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A70" w:rsidRPr="004338A7" w:rsidRDefault="00772A70">
      <w:pPr>
        <w:spacing w:before="120" w:after="120"/>
      </w:pPr>
    </w:p>
    <w:p w:rsidR="00772A70" w:rsidRPr="004338A7" w:rsidRDefault="00772A70">
      <w:pPr>
        <w:spacing w:before="200" w:after="200"/>
      </w:pPr>
    </w:p>
    <w:p w:rsidR="00B83157" w:rsidRDefault="00B83157">
      <w:pPr>
        <w:spacing w:before="30" w:after="30"/>
        <w:jc w:val="center"/>
        <w:rPr>
          <w:color w:val="888888"/>
        </w:rPr>
      </w:pPr>
    </w:p>
    <w:p w:rsidR="00772A70" w:rsidRPr="004338A7" w:rsidRDefault="00D92AD9">
      <w:pPr>
        <w:spacing w:before="30" w:after="30"/>
        <w:jc w:val="center"/>
      </w:pPr>
      <w:r w:rsidRPr="004338A7">
        <w:rPr>
          <w:color w:val="888888"/>
        </w:rPr>
        <w:t>University of Wales Trinity Saint David (UWTSD)</w:t>
      </w:r>
    </w:p>
    <w:p w:rsidR="00B83157" w:rsidRPr="00B83157" w:rsidRDefault="00B83157" w:rsidP="00B83157">
      <w:pPr>
        <w:spacing w:line="480" w:lineRule="auto"/>
        <w:rPr>
          <w:b/>
          <w:sz w:val="22"/>
          <w:szCs w:val="22"/>
        </w:rPr>
      </w:pPr>
      <w:r w:rsidRPr="00B83157">
        <w:rPr>
          <w:b/>
          <w:sz w:val="22"/>
          <w:szCs w:val="22"/>
        </w:rPr>
        <w:t>STUDENT NAME:</w:t>
      </w:r>
      <w:r w:rsidRPr="00B83157">
        <w:rPr>
          <w:b/>
          <w:sz w:val="22"/>
          <w:szCs w:val="22"/>
        </w:rPr>
        <w:tab/>
      </w:r>
      <w:bookmarkStart w:id="0" w:name="_GoBack"/>
      <w:r w:rsidRPr="00B83157">
        <w:rPr>
          <w:b/>
          <w:sz w:val="22"/>
          <w:szCs w:val="22"/>
        </w:rPr>
        <w:t>ABDA PARVEEN</w:t>
      </w:r>
      <w:bookmarkEnd w:id="0"/>
    </w:p>
    <w:p w:rsidR="00B83157" w:rsidRPr="00B83157" w:rsidRDefault="00B83157" w:rsidP="00B83157">
      <w:pPr>
        <w:spacing w:line="480" w:lineRule="auto"/>
        <w:rPr>
          <w:b/>
          <w:sz w:val="22"/>
          <w:szCs w:val="22"/>
        </w:rPr>
      </w:pPr>
      <w:r w:rsidRPr="00B83157">
        <w:rPr>
          <w:b/>
          <w:sz w:val="22"/>
          <w:szCs w:val="22"/>
        </w:rPr>
        <w:t>STUDENT NUMBER:</w:t>
      </w:r>
      <w:r w:rsidRPr="00B83157">
        <w:rPr>
          <w:b/>
          <w:sz w:val="22"/>
          <w:szCs w:val="22"/>
        </w:rPr>
        <w:tab/>
      </w:r>
      <w:r>
        <w:rPr>
          <w:b/>
          <w:sz w:val="22"/>
          <w:szCs w:val="22"/>
        </w:rPr>
        <w:t>25</w:t>
      </w:r>
      <w:r w:rsidR="00380153">
        <w:rPr>
          <w:b/>
          <w:sz w:val="22"/>
          <w:szCs w:val="22"/>
        </w:rPr>
        <w:t>30580</w:t>
      </w:r>
    </w:p>
    <w:p w:rsidR="00B83157" w:rsidRPr="00B83157" w:rsidRDefault="00B83157" w:rsidP="00B83157">
      <w:pPr>
        <w:spacing w:line="480" w:lineRule="auto"/>
        <w:rPr>
          <w:b/>
          <w:sz w:val="22"/>
          <w:szCs w:val="22"/>
        </w:rPr>
      </w:pPr>
      <w:r w:rsidRPr="00B83157">
        <w:rPr>
          <w:b/>
          <w:sz w:val="22"/>
          <w:szCs w:val="22"/>
        </w:rPr>
        <w:t>MODULE CODE:</w:t>
      </w:r>
      <w:r w:rsidRPr="00B83157">
        <w:rPr>
          <w:b/>
          <w:sz w:val="22"/>
          <w:szCs w:val="22"/>
        </w:rPr>
        <w:tab/>
        <w:t>LCHS4003: HEALTH AND SOCIAL CARE</w:t>
      </w:r>
    </w:p>
    <w:p w:rsidR="00B83157" w:rsidRPr="00B83157" w:rsidRDefault="00B83157" w:rsidP="00B83157">
      <w:pPr>
        <w:spacing w:line="480" w:lineRule="auto"/>
        <w:rPr>
          <w:b/>
          <w:sz w:val="22"/>
          <w:szCs w:val="22"/>
        </w:rPr>
      </w:pPr>
      <w:r w:rsidRPr="00B83157">
        <w:rPr>
          <w:b/>
          <w:sz w:val="22"/>
          <w:szCs w:val="22"/>
        </w:rPr>
        <w:t>LECTURER NAME:</w:t>
      </w:r>
      <w:r w:rsidRPr="00B83157">
        <w:rPr>
          <w:b/>
          <w:sz w:val="22"/>
          <w:szCs w:val="22"/>
        </w:rPr>
        <w:tab/>
        <w:t xml:space="preserve">DR HELEN PARSONS </w:t>
      </w:r>
    </w:p>
    <w:p w:rsidR="00772A70" w:rsidRPr="00B83157" w:rsidRDefault="00B83157" w:rsidP="00B83157">
      <w:pPr>
        <w:spacing w:line="480" w:lineRule="auto"/>
        <w:rPr>
          <w:b/>
          <w:sz w:val="22"/>
          <w:szCs w:val="22"/>
        </w:rPr>
      </w:pPr>
      <w:r w:rsidRPr="00B83157">
        <w:rPr>
          <w:b/>
          <w:sz w:val="22"/>
          <w:szCs w:val="22"/>
        </w:rPr>
        <w:t>SUBMISSION DATE:</w:t>
      </w:r>
      <w:r w:rsidRPr="00B83157">
        <w:rPr>
          <w:b/>
          <w:sz w:val="22"/>
          <w:szCs w:val="22"/>
        </w:rPr>
        <w:tab/>
        <w:t>22 JUNE 2026</w:t>
      </w:r>
    </w:p>
    <w:p w:rsidR="00772A70" w:rsidRPr="004338A7" w:rsidRDefault="00772A70">
      <w:pPr>
        <w:sectPr w:rsidR="00772A70" w:rsidRPr="004338A7">
          <w:pgSz w:w="11906" w:h="16838"/>
          <w:pgMar w:top="2880" w:right="1440" w:bottom="1440" w:left="1440" w:header="708" w:footer="708" w:gutter="0"/>
          <w:cols w:space="720"/>
          <w:docGrid w:linePitch="360"/>
        </w:sectPr>
      </w:pPr>
    </w:p>
    <w:tbl>
      <w:tblPr>
        <w:tblW w:w="10466"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772A70" w:rsidRPr="004338A7">
        <w:tblPrEx>
          <w:tblCellMar>
            <w:top w:w="0" w:type="dxa"/>
            <w:bottom w:w="0" w:type="dxa"/>
          </w:tblCellMar>
        </w:tblPrEx>
        <w:tc>
          <w:tcPr>
            <w:tcW w:w="10466" w:type="dxa"/>
            <w:tcBorders>
              <w:top w:val="single" w:sz="6" w:space="0" w:color="003087"/>
              <w:left w:val="single" w:sz="6" w:space="0" w:color="003087"/>
              <w:bottom w:val="single" w:sz="6" w:space="0" w:color="003087"/>
              <w:right w:val="single" w:sz="6" w:space="0" w:color="003087"/>
            </w:tcBorders>
            <w:shd w:val="clear" w:color="auto" w:fill="003087"/>
            <w:tcMar>
              <w:top w:w="80" w:type="dxa"/>
              <w:left w:w="160" w:type="dxa"/>
              <w:bottom w:w="80" w:type="dxa"/>
              <w:right w:w="160" w:type="dxa"/>
            </w:tcMar>
          </w:tcPr>
          <w:p w:rsidR="00772A70" w:rsidRPr="004338A7" w:rsidRDefault="00B83157">
            <w:pPr>
              <w:spacing w:before="30" w:after="10"/>
              <w:jc w:val="center"/>
            </w:pPr>
            <w:r>
              <w:rPr>
                <w:b/>
                <w:bCs/>
                <w:color w:val="FFFFFF"/>
                <w:sz w:val="40"/>
                <w:szCs w:val="40"/>
              </w:rPr>
              <w:lastRenderedPageBreak/>
              <w:t xml:space="preserve">TASK 1 POSTER: </w:t>
            </w:r>
            <w:r w:rsidR="00D92AD9" w:rsidRPr="004338A7">
              <w:rPr>
                <w:b/>
                <w:bCs/>
                <w:color w:val="FFFFFF"/>
                <w:sz w:val="40"/>
                <w:szCs w:val="40"/>
              </w:rPr>
              <w:t>PHARMACY SERVICES IN THE UK</w:t>
            </w:r>
          </w:p>
          <w:p w:rsidR="00772A70" w:rsidRPr="004338A7" w:rsidRDefault="00772A70" w:rsidP="00B83157">
            <w:pPr>
              <w:spacing w:after="30"/>
              <w:jc w:val="center"/>
            </w:pPr>
          </w:p>
        </w:tc>
      </w:tr>
    </w:tbl>
    <w:p w:rsidR="00772A70" w:rsidRPr="004338A7" w:rsidRDefault="00772A70">
      <w:pPr>
        <w:spacing w:before="30" w:after="30"/>
      </w:pPr>
    </w:p>
    <w:tbl>
      <w:tblPr>
        <w:tblW w:w="10466"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6266"/>
      </w:tblGrid>
      <w:tr w:rsidR="00772A70" w:rsidRPr="004338A7">
        <w:tblPrEx>
          <w:tblCellMar>
            <w:top w:w="0" w:type="dxa"/>
            <w:bottom w:w="0" w:type="dxa"/>
          </w:tblCellMar>
        </w:tblPrEx>
        <w:tc>
          <w:tcPr>
            <w:tcW w:w="4200" w:type="dxa"/>
            <w:tcBorders>
              <w:top w:val="single" w:sz="3" w:space="0" w:color="DDDDDD"/>
              <w:left w:val="single" w:sz="3" w:space="0" w:color="DDDDDD"/>
              <w:bottom w:val="single" w:sz="3" w:space="0" w:color="DDDDDD"/>
              <w:right w:val="single" w:sz="3" w:space="0" w:color="DDDDDD"/>
            </w:tcBorders>
            <w:shd w:val="clear" w:color="auto" w:fill="D5E8F5"/>
            <w:tcMar>
              <w:top w:w="80" w:type="dxa"/>
              <w:left w:w="140" w:type="dxa"/>
              <w:bottom w:w="80" w:type="dxa"/>
              <w:right w:w="140" w:type="dxa"/>
            </w:tcMar>
          </w:tcPr>
          <w:p w:rsidR="00772A70" w:rsidRPr="004338A7" w:rsidRDefault="00D92AD9">
            <w:pPr>
              <w:spacing w:before="30" w:after="30"/>
            </w:pPr>
            <w:r w:rsidRPr="004338A7">
              <w:rPr>
                <w:b/>
                <w:bCs/>
                <w:color w:val="003087"/>
                <w:sz w:val="20"/>
                <w:szCs w:val="20"/>
              </w:rPr>
              <w:t>What Are Pharmacy Services?</w:t>
            </w:r>
          </w:p>
          <w:p w:rsidR="00CC48FB" w:rsidRPr="004338A7" w:rsidRDefault="00CC48FB">
            <w:pPr>
              <w:spacing w:before="30" w:after="30"/>
              <w:rPr>
                <w:color w:val="1A1A1A"/>
                <w:sz w:val="17"/>
                <w:szCs w:val="17"/>
              </w:rPr>
            </w:pPr>
            <w:r w:rsidRPr="004338A7">
              <w:rPr>
                <w:color w:val="1A1A1A"/>
                <w:sz w:val="17"/>
                <w:szCs w:val="17"/>
              </w:rPr>
              <w:t>Pharmacy services include provision of medicines, clinical advice and public health support. They are often the first point of contact for health help in the UK (RPS, 2021)</w:t>
            </w:r>
          </w:p>
          <w:p w:rsidR="00772A70" w:rsidRPr="004338A7" w:rsidRDefault="00772A70">
            <w:pPr>
              <w:spacing w:before="10" w:after="10"/>
            </w:pPr>
          </w:p>
          <w:p w:rsidR="00772A70" w:rsidRPr="004338A7" w:rsidRDefault="00D92AD9">
            <w:pPr>
              <w:spacing w:before="30" w:after="30"/>
            </w:pPr>
            <w:r w:rsidRPr="004338A7">
              <w:rPr>
                <w:b/>
                <w:bCs/>
                <w:color w:val="003087"/>
                <w:sz w:val="17"/>
                <w:szCs w:val="17"/>
              </w:rPr>
              <w:t>Who uses them?</w:t>
            </w:r>
          </w:p>
          <w:p w:rsidR="00772A70" w:rsidRPr="004338A7" w:rsidRDefault="00D92AD9">
            <w:pPr>
              <w:pStyle w:val="ListParagraph"/>
              <w:numPr>
                <w:ilvl w:val="0"/>
                <w:numId w:val="2"/>
              </w:numPr>
              <w:spacing w:before="20" w:after="20"/>
            </w:pPr>
            <w:r w:rsidRPr="004338A7">
              <w:rPr>
                <w:color w:val="1A1A1A"/>
                <w:sz w:val="17"/>
                <w:szCs w:val="17"/>
              </w:rPr>
              <w:t>People with short or long term conditions</w:t>
            </w:r>
          </w:p>
          <w:p w:rsidR="00CC48FB" w:rsidRPr="004338A7" w:rsidRDefault="00CC48FB" w:rsidP="00CC48FB">
            <w:pPr>
              <w:pStyle w:val="ListParagraph"/>
              <w:numPr>
                <w:ilvl w:val="0"/>
                <w:numId w:val="2"/>
              </w:numPr>
              <w:spacing w:before="20" w:after="20"/>
            </w:pPr>
            <w:r w:rsidRPr="004338A7">
              <w:rPr>
                <w:color w:val="1A1A1A"/>
                <w:sz w:val="17"/>
                <w:szCs w:val="17"/>
              </w:rPr>
              <w:t>Patients who are on more than one medication, especially older patients</w:t>
            </w:r>
          </w:p>
          <w:p w:rsidR="00772A70" w:rsidRPr="004338A7" w:rsidRDefault="00D92AD9">
            <w:pPr>
              <w:pStyle w:val="ListParagraph"/>
              <w:numPr>
                <w:ilvl w:val="0"/>
                <w:numId w:val="2"/>
              </w:numPr>
              <w:spacing w:before="20" w:after="20"/>
            </w:pPr>
            <w:r w:rsidRPr="004338A7">
              <w:rPr>
                <w:color w:val="1A1A1A"/>
                <w:sz w:val="17"/>
                <w:szCs w:val="17"/>
              </w:rPr>
              <w:t>Pregnant women, carers and NHS staff</w:t>
            </w:r>
          </w:p>
          <w:p w:rsidR="00772A70" w:rsidRPr="004338A7" w:rsidRDefault="00772A70">
            <w:pPr>
              <w:spacing w:before="10" w:after="10"/>
            </w:pPr>
          </w:p>
          <w:p w:rsidR="00772A70" w:rsidRPr="004338A7" w:rsidRDefault="00D92AD9">
            <w:pPr>
              <w:spacing w:before="30" w:after="30"/>
            </w:pPr>
            <w:r w:rsidRPr="004338A7">
              <w:rPr>
                <w:b/>
                <w:bCs/>
                <w:color w:val="003087"/>
                <w:sz w:val="17"/>
                <w:szCs w:val="17"/>
              </w:rPr>
              <w:t>Who provides them?</w:t>
            </w:r>
          </w:p>
          <w:p w:rsidR="00772A70" w:rsidRPr="004338A7" w:rsidRDefault="00D92AD9">
            <w:pPr>
              <w:pStyle w:val="ListParagraph"/>
              <w:numPr>
                <w:ilvl w:val="0"/>
                <w:numId w:val="2"/>
              </w:numPr>
              <w:spacing w:before="20" w:after="20"/>
            </w:pPr>
            <w:proofErr w:type="spellStart"/>
            <w:r w:rsidRPr="004338A7">
              <w:rPr>
                <w:color w:val="1A1A1A"/>
                <w:sz w:val="17"/>
                <w:szCs w:val="17"/>
              </w:rPr>
              <w:t>GPhC</w:t>
            </w:r>
            <w:proofErr w:type="spellEnd"/>
            <w:r w:rsidRPr="004338A7">
              <w:rPr>
                <w:color w:val="1A1A1A"/>
                <w:sz w:val="17"/>
                <w:szCs w:val="17"/>
              </w:rPr>
              <w:t>-registered pharmacists and pharmacy technicians</w:t>
            </w:r>
          </w:p>
          <w:p w:rsidR="00772A70" w:rsidRPr="004338A7" w:rsidRDefault="00D92AD9">
            <w:pPr>
              <w:pStyle w:val="ListParagraph"/>
              <w:numPr>
                <w:ilvl w:val="0"/>
                <w:numId w:val="2"/>
              </w:numPr>
              <w:spacing w:before="20" w:after="20"/>
            </w:pPr>
            <w:r w:rsidRPr="004338A7">
              <w:rPr>
                <w:color w:val="1A1A1A"/>
                <w:sz w:val="17"/>
                <w:szCs w:val="17"/>
              </w:rPr>
              <w:t>Dispensing assistants and medicines management teams</w:t>
            </w:r>
          </w:p>
          <w:p w:rsidR="00772A70" w:rsidRPr="004338A7" w:rsidRDefault="00772A70">
            <w:pPr>
              <w:spacing w:before="10" w:after="10"/>
            </w:pPr>
          </w:p>
          <w:p w:rsidR="00772A70" w:rsidRPr="004338A7" w:rsidRDefault="00D92AD9">
            <w:pPr>
              <w:spacing w:before="30" w:after="30"/>
            </w:pPr>
            <w:r w:rsidRPr="004338A7">
              <w:rPr>
                <w:b/>
                <w:bCs/>
                <w:color w:val="003087"/>
                <w:sz w:val="17"/>
                <w:szCs w:val="17"/>
              </w:rPr>
              <w:t>Where?</w:t>
            </w:r>
          </w:p>
          <w:p w:rsidR="00772A70" w:rsidRPr="004338A7" w:rsidRDefault="00D92AD9">
            <w:pPr>
              <w:pStyle w:val="ListParagraph"/>
              <w:numPr>
                <w:ilvl w:val="0"/>
                <w:numId w:val="2"/>
              </w:numPr>
              <w:spacing w:before="20" w:after="20"/>
            </w:pPr>
            <w:r w:rsidRPr="004338A7">
              <w:rPr>
                <w:color w:val="1A1A1A"/>
                <w:sz w:val="17"/>
                <w:szCs w:val="17"/>
              </w:rPr>
              <w:t>~11,60</w:t>
            </w:r>
            <w:r w:rsidRPr="004338A7">
              <w:rPr>
                <w:color w:val="1A1A1A"/>
                <w:sz w:val="17"/>
                <w:szCs w:val="17"/>
              </w:rPr>
              <w:t>0 community pharmacies across England</w:t>
            </w:r>
          </w:p>
          <w:p w:rsidR="00772A70" w:rsidRPr="004338A7" w:rsidRDefault="00D92AD9">
            <w:pPr>
              <w:pStyle w:val="ListParagraph"/>
              <w:numPr>
                <w:ilvl w:val="0"/>
                <w:numId w:val="2"/>
              </w:numPr>
              <w:spacing w:before="20" w:after="20"/>
            </w:pPr>
            <w:r w:rsidRPr="004338A7">
              <w:rPr>
                <w:color w:val="1A1A1A"/>
                <w:sz w:val="17"/>
                <w:szCs w:val="17"/>
              </w:rPr>
              <w:t>GP surgeries, hospitals and online services</w:t>
            </w:r>
          </w:p>
          <w:p w:rsidR="00772A70" w:rsidRPr="004338A7" w:rsidRDefault="00772A70">
            <w:pPr>
              <w:spacing w:before="10" w:after="10"/>
            </w:pPr>
          </w:p>
          <w:p w:rsidR="00772A70" w:rsidRPr="004338A7" w:rsidRDefault="00D92AD9">
            <w:pPr>
              <w:spacing w:before="30" w:after="30"/>
            </w:pPr>
            <w:r w:rsidRPr="004338A7">
              <w:rPr>
                <w:b/>
                <w:bCs/>
                <w:color w:val="00703C"/>
                <w:sz w:val="17"/>
                <w:szCs w:val="17"/>
              </w:rPr>
              <w:t>Why it matters:</w:t>
            </w:r>
          </w:p>
          <w:p w:rsidR="00CC48FB" w:rsidRPr="004338A7" w:rsidRDefault="00D92AD9">
            <w:pPr>
              <w:spacing w:before="30" w:after="30"/>
              <w:rPr>
                <w:color w:val="1A1A1A"/>
                <w:sz w:val="17"/>
                <w:szCs w:val="17"/>
              </w:rPr>
            </w:pPr>
            <w:r w:rsidRPr="004338A7">
              <w:rPr>
                <w:color w:val="1A1A1A"/>
                <w:sz w:val="17"/>
                <w:szCs w:val="17"/>
              </w:rPr>
              <w:t xml:space="preserve">89% of the population lives within a 20 min walk of a pharmacy. </w:t>
            </w:r>
            <w:r w:rsidR="00CC48FB" w:rsidRPr="004338A7">
              <w:rPr>
                <w:color w:val="1A1A1A"/>
                <w:sz w:val="17"/>
                <w:szCs w:val="17"/>
              </w:rPr>
              <w:t>Pharmacies take the strain on GPs and A&amp;E as they treat minor illnesses (NHS England, 2023a; Nuffield Trust, 2022).</w:t>
            </w:r>
          </w:p>
          <w:p w:rsidR="00772A70" w:rsidRPr="004338A7" w:rsidRDefault="00772A70">
            <w:pPr>
              <w:spacing w:before="30" w:after="30"/>
            </w:pPr>
          </w:p>
        </w:tc>
        <w:tc>
          <w:tcPr>
            <w:tcW w:w="6266" w:type="dxa"/>
            <w:tcBorders>
              <w:top w:val="single" w:sz="3" w:space="0" w:color="DDDDDD"/>
              <w:left w:val="single" w:sz="3" w:space="0" w:color="DDDDDD"/>
              <w:bottom w:val="single" w:sz="3" w:space="0" w:color="DDDDDD"/>
              <w:right w:val="single" w:sz="3" w:space="0" w:color="DDDDDD"/>
            </w:tcBorders>
            <w:shd w:val="clear" w:color="auto" w:fill="FFFFFF"/>
            <w:tcMar>
              <w:top w:w="80" w:type="dxa"/>
              <w:left w:w="140" w:type="dxa"/>
              <w:bottom w:w="80" w:type="dxa"/>
              <w:right w:w="140" w:type="dxa"/>
            </w:tcMar>
          </w:tcPr>
          <w:p w:rsidR="00772A70" w:rsidRPr="004338A7" w:rsidRDefault="00D92AD9">
            <w:pPr>
              <w:spacing w:before="30" w:after="30"/>
            </w:pPr>
            <w:r w:rsidRPr="004338A7">
              <w:rPr>
                <w:b/>
                <w:bCs/>
                <w:color w:val="003087"/>
                <w:sz w:val="20"/>
                <w:szCs w:val="20"/>
              </w:rPr>
              <w:t>Brief History</w:t>
            </w:r>
          </w:p>
          <w:tbl>
            <w:tblPr>
              <w:tblW w:w="4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51"/>
              <w:gridCol w:w="3949"/>
            </w:tblGrid>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Pre-1800s</w:t>
                  </w:r>
                </w:p>
              </w:tc>
              <w:tc>
                <w:tcPr>
                  <w:tcW w:w="9166" w:type="dxa"/>
                  <w:tcBorders>
                    <w:top w:val="single" w:sz="3" w:space="0" w:color="CCCCCC"/>
                    <w:left w:val="single" w:sz="3" w:space="0" w:color="CCCCCC"/>
                    <w:bottom w:val="single" w:sz="3" w:space="0" w:color="CCCCCC"/>
                    <w:right w:val="single" w:sz="3" w:space="0" w:color="CCCCCC"/>
                  </w:tcBorders>
                  <w:shd w:val="clear" w:color="auto" w:fill="F4F4F4"/>
                  <w:tcMar>
                    <w:top w:w="50" w:type="dxa"/>
                    <w:left w:w="120" w:type="dxa"/>
                    <w:bottom w:w="50" w:type="dxa"/>
                    <w:right w:w="100" w:type="dxa"/>
                  </w:tcMar>
                </w:tcPr>
                <w:p w:rsidR="00772A70" w:rsidRPr="004338A7" w:rsidRDefault="00D92AD9">
                  <w:r w:rsidRPr="004338A7">
                    <w:rPr>
                      <w:color w:val="1A1A1A"/>
                      <w:sz w:val="16"/>
                      <w:szCs w:val="16"/>
                    </w:rPr>
                    <w:t>Apothecaries and herbalists provided remedies with no formal regulation.</w:t>
                  </w:r>
                </w:p>
              </w:tc>
            </w:tr>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1815</w:t>
                  </w:r>
                </w:p>
              </w:tc>
              <w:tc>
                <w:tcPr>
                  <w:tcW w:w="9166" w:type="dxa"/>
                  <w:tcBorders>
                    <w:top w:val="single" w:sz="3" w:space="0" w:color="CCCCCC"/>
                    <w:left w:val="single" w:sz="3" w:space="0" w:color="CCCCCC"/>
                    <w:bottom w:val="single" w:sz="3" w:space="0" w:color="CCCCCC"/>
                    <w:right w:val="single" w:sz="3" w:space="0" w:color="CCCCCC"/>
                  </w:tcBorders>
                  <w:shd w:val="clear" w:color="auto" w:fill="FFFFFF"/>
                  <w:tcMar>
                    <w:top w:w="50" w:type="dxa"/>
                    <w:left w:w="120" w:type="dxa"/>
                    <w:bottom w:w="50" w:type="dxa"/>
                    <w:right w:w="100" w:type="dxa"/>
                  </w:tcMar>
                </w:tcPr>
                <w:p w:rsidR="00772A70" w:rsidRPr="004338A7" w:rsidRDefault="00D92AD9">
                  <w:r w:rsidRPr="004338A7">
                    <w:rPr>
                      <w:color w:val="1A1A1A"/>
                      <w:sz w:val="16"/>
                      <w:szCs w:val="16"/>
                    </w:rPr>
                    <w:t>Apothecaries Act: first legal framework for dispensing in the UK.</w:t>
                  </w:r>
                </w:p>
              </w:tc>
            </w:tr>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1868</w:t>
                  </w:r>
                </w:p>
              </w:tc>
              <w:tc>
                <w:tcPr>
                  <w:tcW w:w="9166" w:type="dxa"/>
                  <w:tcBorders>
                    <w:top w:val="single" w:sz="3" w:space="0" w:color="CCCCCC"/>
                    <w:left w:val="single" w:sz="3" w:space="0" w:color="CCCCCC"/>
                    <w:bottom w:val="single" w:sz="3" w:space="0" w:color="CCCCCC"/>
                    <w:right w:val="single" w:sz="3" w:space="0" w:color="CCCCCC"/>
                  </w:tcBorders>
                  <w:shd w:val="clear" w:color="auto" w:fill="F4F4F4"/>
                  <w:tcMar>
                    <w:top w:w="50" w:type="dxa"/>
                    <w:left w:w="120" w:type="dxa"/>
                    <w:bottom w:w="50" w:type="dxa"/>
                    <w:right w:w="100" w:type="dxa"/>
                  </w:tcMar>
                </w:tcPr>
                <w:p w:rsidR="00772A70" w:rsidRPr="004338A7" w:rsidRDefault="00D92AD9">
                  <w:r w:rsidRPr="004338A7">
                    <w:rPr>
                      <w:color w:val="1A1A1A"/>
                      <w:sz w:val="16"/>
                      <w:szCs w:val="16"/>
                    </w:rPr>
                    <w:t>Pharmacy Act created the Pharmaceutical Society; dangerous substances controlled.</w:t>
                  </w:r>
                </w:p>
              </w:tc>
            </w:tr>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1948</w:t>
                  </w:r>
                </w:p>
              </w:tc>
              <w:tc>
                <w:tcPr>
                  <w:tcW w:w="9166" w:type="dxa"/>
                  <w:tcBorders>
                    <w:top w:val="single" w:sz="3" w:space="0" w:color="CCCCCC"/>
                    <w:left w:val="single" w:sz="3" w:space="0" w:color="CCCCCC"/>
                    <w:bottom w:val="single" w:sz="3" w:space="0" w:color="CCCCCC"/>
                    <w:right w:val="single" w:sz="3" w:space="0" w:color="CCCCCC"/>
                  </w:tcBorders>
                  <w:shd w:val="clear" w:color="auto" w:fill="FFFFFF"/>
                  <w:tcMar>
                    <w:top w:w="50" w:type="dxa"/>
                    <w:left w:w="120" w:type="dxa"/>
                    <w:bottom w:w="50" w:type="dxa"/>
                    <w:right w:w="100" w:type="dxa"/>
                  </w:tcMar>
                </w:tcPr>
                <w:p w:rsidR="00772A70" w:rsidRPr="004338A7" w:rsidRDefault="00D92AD9">
                  <w:r w:rsidRPr="004338A7">
                    <w:rPr>
                      <w:color w:val="1A1A1A"/>
                      <w:sz w:val="16"/>
                      <w:szCs w:val="16"/>
                    </w:rPr>
                    <w:t>NHS established. Community pharmacies contracted to dispense NHS prescriptions.</w:t>
                  </w:r>
                </w:p>
              </w:tc>
            </w:tr>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1986</w:t>
                  </w:r>
                </w:p>
              </w:tc>
              <w:tc>
                <w:tcPr>
                  <w:tcW w:w="9166" w:type="dxa"/>
                  <w:tcBorders>
                    <w:top w:val="single" w:sz="3" w:space="0" w:color="CCCCCC"/>
                    <w:left w:val="single" w:sz="3" w:space="0" w:color="CCCCCC"/>
                    <w:bottom w:val="single" w:sz="3" w:space="0" w:color="CCCCCC"/>
                    <w:right w:val="single" w:sz="3" w:space="0" w:color="CCCCCC"/>
                  </w:tcBorders>
                  <w:shd w:val="clear" w:color="auto" w:fill="F4F4F4"/>
                  <w:tcMar>
                    <w:top w:w="50" w:type="dxa"/>
                    <w:left w:w="120" w:type="dxa"/>
                    <w:bottom w:w="50" w:type="dxa"/>
                    <w:right w:w="100" w:type="dxa"/>
                  </w:tcMar>
                </w:tcPr>
                <w:p w:rsidR="00772A70" w:rsidRPr="004338A7" w:rsidRDefault="00D92AD9">
                  <w:r w:rsidRPr="004338A7">
                    <w:rPr>
                      <w:color w:val="1A1A1A"/>
                      <w:sz w:val="16"/>
                      <w:szCs w:val="16"/>
                    </w:rPr>
                    <w:t>OTC deregulation: medicines like ibuprofen available without prescription.</w:t>
                  </w:r>
                </w:p>
              </w:tc>
            </w:tr>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2005</w:t>
                  </w:r>
                </w:p>
              </w:tc>
              <w:tc>
                <w:tcPr>
                  <w:tcW w:w="9166" w:type="dxa"/>
                  <w:tcBorders>
                    <w:top w:val="single" w:sz="3" w:space="0" w:color="CCCCCC"/>
                    <w:left w:val="single" w:sz="3" w:space="0" w:color="CCCCCC"/>
                    <w:bottom w:val="single" w:sz="3" w:space="0" w:color="CCCCCC"/>
                    <w:right w:val="single" w:sz="3" w:space="0" w:color="CCCCCC"/>
                  </w:tcBorders>
                  <w:shd w:val="clear" w:color="auto" w:fill="FFFFFF"/>
                  <w:tcMar>
                    <w:top w:w="50" w:type="dxa"/>
                    <w:left w:w="120" w:type="dxa"/>
                    <w:bottom w:w="50" w:type="dxa"/>
                    <w:right w:w="100" w:type="dxa"/>
                  </w:tcMar>
                </w:tcPr>
                <w:p w:rsidR="00772A70" w:rsidRPr="004338A7" w:rsidRDefault="00D92AD9">
                  <w:r w:rsidRPr="004338A7">
                    <w:rPr>
                      <w:color w:val="1A1A1A"/>
                      <w:sz w:val="16"/>
                      <w:szCs w:val="16"/>
                    </w:rPr>
                    <w:t>New pharmacy contract introduced Medicines Use Reviews and advanced services.</w:t>
                  </w:r>
                </w:p>
              </w:tc>
            </w:tr>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2019-22</w:t>
                  </w:r>
                </w:p>
              </w:tc>
              <w:tc>
                <w:tcPr>
                  <w:tcW w:w="9166" w:type="dxa"/>
                  <w:tcBorders>
                    <w:top w:val="single" w:sz="3" w:space="0" w:color="CCCCCC"/>
                    <w:left w:val="single" w:sz="3" w:space="0" w:color="CCCCCC"/>
                    <w:bottom w:val="single" w:sz="3" w:space="0" w:color="CCCCCC"/>
                    <w:right w:val="single" w:sz="3" w:space="0" w:color="CCCCCC"/>
                  </w:tcBorders>
                  <w:shd w:val="clear" w:color="auto" w:fill="F4F4F4"/>
                  <w:tcMar>
                    <w:top w:w="50" w:type="dxa"/>
                    <w:left w:w="120" w:type="dxa"/>
                    <w:bottom w:w="50" w:type="dxa"/>
                    <w:right w:w="100" w:type="dxa"/>
                  </w:tcMar>
                </w:tcPr>
                <w:p w:rsidR="00772A70" w:rsidRPr="004338A7" w:rsidRDefault="00D92AD9">
                  <w:r w:rsidRPr="004338A7">
                    <w:rPr>
                      <w:color w:val="1A1A1A"/>
                      <w:sz w:val="16"/>
                      <w:szCs w:val="16"/>
                    </w:rPr>
                    <w:t>5-year Community Pharmacy Contractual Framework (CPCF) agreed.</w:t>
                  </w:r>
                </w:p>
              </w:tc>
            </w:tr>
            <w:tr w:rsidR="00772A70" w:rsidRPr="004338A7">
              <w:tblPrEx>
                <w:tblCellMar>
                  <w:top w:w="0" w:type="dxa"/>
                  <w:bottom w:w="0" w:type="dxa"/>
                </w:tblCellMar>
              </w:tblPrEx>
              <w:tc>
                <w:tcPr>
                  <w:tcW w:w="1300" w:type="dxa"/>
                  <w:tcBorders>
                    <w:top w:val="single" w:sz="3" w:space="0" w:color="003087"/>
                    <w:left w:val="single" w:sz="3" w:space="0" w:color="003087"/>
                    <w:bottom w:val="single" w:sz="3" w:space="0" w:color="003087"/>
                    <w:right w:val="single" w:sz="3" w:space="0" w:color="003087"/>
                  </w:tcBorders>
                  <w:shd w:val="clear" w:color="auto" w:fill="003087"/>
                  <w:tcMar>
                    <w:top w:w="50" w:type="dxa"/>
                    <w:left w:w="100" w:type="dxa"/>
                    <w:bottom w:w="50" w:type="dxa"/>
                    <w:right w:w="80" w:type="dxa"/>
                  </w:tcMar>
                  <w:vAlign w:val="center"/>
                </w:tcPr>
                <w:p w:rsidR="00772A70" w:rsidRPr="004338A7" w:rsidRDefault="00D92AD9">
                  <w:pPr>
                    <w:jc w:val="center"/>
                  </w:pPr>
                  <w:r w:rsidRPr="004338A7">
                    <w:rPr>
                      <w:b/>
                      <w:bCs/>
                      <w:color w:val="FFFFFF"/>
                      <w:sz w:val="16"/>
                      <w:szCs w:val="16"/>
                    </w:rPr>
                    <w:t>2023-26</w:t>
                  </w:r>
                </w:p>
              </w:tc>
              <w:tc>
                <w:tcPr>
                  <w:tcW w:w="9166" w:type="dxa"/>
                  <w:tcBorders>
                    <w:top w:val="single" w:sz="3" w:space="0" w:color="CCCCCC"/>
                    <w:left w:val="single" w:sz="3" w:space="0" w:color="CCCCCC"/>
                    <w:bottom w:val="single" w:sz="3" w:space="0" w:color="CCCCCC"/>
                    <w:right w:val="single" w:sz="3" w:space="0" w:color="CCCCCC"/>
                  </w:tcBorders>
                  <w:shd w:val="clear" w:color="auto" w:fill="FFFFFF"/>
                  <w:tcMar>
                    <w:top w:w="50" w:type="dxa"/>
                    <w:left w:w="120" w:type="dxa"/>
                    <w:bottom w:w="50" w:type="dxa"/>
                    <w:right w:w="100" w:type="dxa"/>
                  </w:tcMar>
                </w:tcPr>
                <w:p w:rsidR="00772A70" w:rsidRPr="004338A7" w:rsidRDefault="00D92AD9">
                  <w:r w:rsidRPr="004338A7">
                    <w:rPr>
                      <w:color w:val="1A1A1A"/>
                      <w:sz w:val="16"/>
                      <w:szCs w:val="16"/>
                    </w:rPr>
                    <w:t>Pharmacy First expanded (2024): pharmacists treat 7 conditions without GP referral (NHS England, 2024).</w:t>
                  </w:r>
                </w:p>
              </w:tc>
            </w:tr>
          </w:tbl>
          <w:p w:rsidR="00772A70" w:rsidRPr="004338A7" w:rsidRDefault="00772A70">
            <w:pPr>
              <w:spacing w:before="10" w:after="10"/>
            </w:pPr>
          </w:p>
          <w:p w:rsidR="00772A70" w:rsidRPr="004338A7" w:rsidRDefault="00D92AD9">
            <w:pPr>
              <w:spacing w:before="30" w:after="30"/>
            </w:pPr>
            <w:r w:rsidRPr="004338A7">
              <w:rPr>
                <w:color w:val="666666"/>
                <w:sz w:val="15"/>
                <w:szCs w:val="15"/>
              </w:rPr>
              <w:t>(Holloway, 2019; DHSC, 2022; NHS England, 2024)</w:t>
            </w:r>
          </w:p>
        </w:tc>
      </w:tr>
    </w:tbl>
    <w:p w:rsidR="00772A70" w:rsidRPr="004338A7" w:rsidRDefault="00772A70">
      <w:pPr>
        <w:spacing w:before="25" w:after="25"/>
      </w:pPr>
    </w:p>
    <w:tbl>
      <w:tblPr>
        <w:tblW w:w="10466"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772A70" w:rsidRPr="004338A7">
        <w:tblPrEx>
          <w:tblCellMar>
            <w:top w:w="0" w:type="dxa"/>
            <w:bottom w:w="0" w:type="dxa"/>
          </w:tblCellMar>
        </w:tblPrEx>
        <w:tc>
          <w:tcPr>
            <w:tcW w:w="10466" w:type="dxa"/>
            <w:tcBorders>
              <w:top w:val="single" w:sz="6" w:space="0" w:color="007C91"/>
              <w:left w:val="single" w:sz="6" w:space="0" w:color="007C91"/>
              <w:bottom w:val="single" w:sz="6" w:space="0" w:color="007C91"/>
              <w:right w:val="single" w:sz="6" w:space="0" w:color="007C91"/>
            </w:tcBorders>
            <w:shd w:val="clear" w:color="auto" w:fill="007C91"/>
            <w:tcMar>
              <w:top w:w="80" w:type="dxa"/>
              <w:left w:w="160" w:type="dxa"/>
              <w:bottom w:w="80" w:type="dxa"/>
              <w:right w:w="160" w:type="dxa"/>
            </w:tcMar>
          </w:tcPr>
          <w:p w:rsidR="00772A70" w:rsidRPr="004338A7" w:rsidRDefault="00D92AD9">
            <w:pPr>
              <w:spacing w:before="20" w:after="20"/>
            </w:pPr>
            <w:r w:rsidRPr="004338A7">
              <w:rPr>
                <w:b/>
                <w:bCs/>
                <w:color w:val="FFFFFF"/>
                <w:sz w:val="22"/>
                <w:szCs w:val="22"/>
              </w:rPr>
              <w:t>Current Function of Pharmacy Services</w:t>
            </w:r>
          </w:p>
        </w:tc>
      </w:tr>
    </w:tbl>
    <w:p w:rsidR="00772A70" w:rsidRPr="004338A7" w:rsidRDefault="00772A70">
      <w:pPr>
        <w:spacing w:before="20" w:after="20"/>
      </w:pPr>
    </w:p>
    <w:tbl>
      <w:tblPr>
        <w:tblW w:w="1046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76"/>
        <w:gridCol w:w="5764"/>
        <w:gridCol w:w="3506"/>
      </w:tblGrid>
      <w:tr w:rsidR="00772A70" w:rsidRPr="004338A7">
        <w:tblPrEx>
          <w:tblCellMar>
            <w:top w:w="0" w:type="dxa"/>
            <w:bottom w:w="0" w:type="dxa"/>
          </w:tblCellMar>
        </w:tblPrEx>
        <w:tc>
          <w:tcPr>
            <w:tcW w:w="3100" w:type="dxa"/>
            <w:tcBorders>
              <w:top w:val="single" w:sz="3" w:space="0" w:color="DDDDDD"/>
              <w:left w:val="single" w:sz="3" w:space="0" w:color="DDDDDD"/>
              <w:bottom w:val="single" w:sz="3" w:space="0" w:color="DDDDDD"/>
              <w:right w:val="single" w:sz="3" w:space="0" w:color="DDDDDD"/>
            </w:tcBorders>
            <w:shd w:val="clear" w:color="auto" w:fill="FFFFFF"/>
            <w:tcMar>
              <w:top w:w="80" w:type="dxa"/>
              <w:left w:w="130" w:type="dxa"/>
              <w:bottom w:w="80" w:type="dxa"/>
              <w:right w:w="130" w:type="dxa"/>
            </w:tcMar>
          </w:tcPr>
          <w:p w:rsidR="00772A70" w:rsidRPr="004338A7" w:rsidRDefault="00D92AD9">
            <w:pPr>
              <w:spacing w:before="30" w:after="30"/>
            </w:pPr>
            <w:r w:rsidRPr="004338A7">
              <w:rPr>
                <w:b/>
                <w:bCs/>
                <w:color w:val="007C91"/>
              </w:rPr>
              <w:t>Core Services</w:t>
            </w:r>
          </w:p>
          <w:p w:rsidR="00772A70" w:rsidRPr="004338A7" w:rsidRDefault="00D92AD9">
            <w:pPr>
              <w:pStyle w:val="ListParagraph"/>
              <w:numPr>
                <w:ilvl w:val="0"/>
                <w:numId w:val="2"/>
              </w:numPr>
              <w:spacing w:before="20" w:after="20"/>
            </w:pPr>
            <w:r w:rsidRPr="004338A7">
              <w:rPr>
                <w:color w:val="1A1A1A"/>
                <w:sz w:val="17"/>
                <w:szCs w:val="17"/>
              </w:rPr>
              <w:t>Dispense NHS and private prescriptions</w:t>
            </w:r>
          </w:p>
          <w:p w:rsidR="00772A70" w:rsidRPr="004338A7" w:rsidRDefault="00D92AD9">
            <w:pPr>
              <w:pStyle w:val="ListParagraph"/>
              <w:numPr>
                <w:ilvl w:val="0"/>
                <w:numId w:val="2"/>
              </w:numPr>
              <w:spacing w:before="20" w:after="20"/>
            </w:pPr>
            <w:r w:rsidRPr="004338A7">
              <w:rPr>
                <w:color w:val="1A1A1A"/>
                <w:sz w:val="17"/>
                <w:szCs w:val="17"/>
              </w:rPr>
              <w:t>Minor illness consultations (Pharmacy First)</w:t>
            </w:r>
          </w:p>
          <w:p w:rsidR="00772A70" w:rsidRPr="004338A7" w:rsidRDefault="00D92AD9">
            <w:pPr>
              <w:pStyle w:val="ListParagraph"/>
              <w:numPr>
                <w:ilvl w:val="0"/>
                <w:numId w:val="2"/>
              </w:numPr>
              <w:spacing w:before="20" w:after="20"/>
            </w:pPr>
            <w:r w:rsidRPr="004338A7">
              <w:rPr>
                <w:color w:val="1A1A1A"/>
                <w:sz w:val="17"/>
                <w:szCs w:val="17"/>
              </w:rPr>
              <w:t>Vaccinations: flu, COVID-19, shingles</w:t>
            </w:r>
          </w:p>
          <w:p w:rsidR="00CC48FB" w:rsidRPr="004338A7" w:rsidRDefault="00CC48FB" w:rsidP="00CC48FB">
            <w:pPr>
              <w:pStyle w:val="ListParagraph"/>
              <w:numPr>
                <w:ilvl w:val="0"/>
                <w:numId w:val="2"/>
              </w:numPr>
              <w:spacing w:before="20" w:after="20"/>
            </w:pPr>
            <w:r w:rsidRPr="004338A7">
              <w:rPr>
                <w:color w:val="1A1A1A"/>
                <w:sz w:val="17"/>
                <w:szCs w:val="17"/>
              </w:rPr>
              <w:t>Weight management and quitting smoking</w:t>
            </w:r>
          </w:p>
          <w:p w:rsidR="00772A70" w:rsidRPr="004338A7" w:rsidRDefault="00D92AD9">
            <w:pPr>
              <w:pStyle w:val="ListParagraph"/>
              <w:numPr>
                <w:ilvl w:val="0"/>
                <w:numId w:val="2"/>
              </w:numPr>
              <w:spacing w:before="20" w:after="20"/>
            </w:pPr>
            <w:r w:rsidRPr="004338A7">
              <w:rPr>
                <w:color w:val="1A1A1A"/>
                <w:sz w:val="17"/>
                <w:szCs w:val="17"/>
              </w:rPr>
              <w:t>New Medicine Service and medicines reviews</w:t>
            </w:r>
          </w:p>
          <w:p w:rsidR="00772A70" w:rsidRPr="004338A7" w:rsidRDefault="00D92AD9">
            <w:pPr>
              <w:pStyle w:val="ListParagraph"/>
              <w:numPr>
                <w:ilvl w:val="0"/>
                <w:numId w:val="2"/>
              </w:numPr>
              <w:spacing w:before="20" w:after="20"/>
            </w:pPr>
            <w:r w:rsidRPr="004338A7">
              <w:rPr>
                <w:color w:val="1A1A1A"/>
                <w:sz w:val="17"/>
                <w:szCs w:val="17"/>
              </w:rPr>
              <w:t>Emergency contraception and sexual health</w:t>
            </w:r>
          </w:p>
          <w:p w:rsidR="00772A70" w:rsidRPr="004338A7" w:rsidRDefault="00D92AD9">
            <w:pPr>
              <w:pStyle w:val="ListParagraph"/>
              <w:numPr>
                <w:ilvl w:val="0"/>
                <w:numId w:val="2"/>
              </w:numPr>
              <w:spacing w:before="20" w:after="20"/>
            </w:pPr>
            <w:r w:rsidRPr="004338A7">
              <w:rPr>
                <w:color w:val="1A1A1A"/>
                <w:sz w:val="17"/>
                <w:szCs w:val="17"/>
              </w:rPr>
              <w:t>Independent prescribing by qualified pharmacists</w:t>
            </w:r>
          </w:p>
        </w:tc>
        <w:tc>
          <w:tcPr>
            <w:tcW w:w="4266" w:type="dxa"/>
            <w:tcBorders>
              <w:top w:val="single" w:sz="3" w:space="0" w:color="DDDDDD"/>
              <w:left w:val="single" w:sz="3" w:space="0" w:color="DDDDDD"/>
              <w:bottom w:val="single" w:sz="3" w:space="0" w:color="DDDDDD"/>
              <w:right w:val="single" w:sz="3" w:space="0" w:color="DDDDDD"/>
            </w:tcBorders>
            <w:shd w:val="clear" w:color="auto" w:fill="D6F0F4"/>
            <w:tcMar>
              <w:top w:w="80" w:type="dxa"/>
              <w:left w:w="130" w:type="dxa"/>
              <w:bottom w:w="80" w:type="dxa"/>
              <w:right w:w="130" w:type="dxa"/>
            </w:tcMar>
          </w:tcPr>
          <w:p w:rsidR="00772A70" w:rsidRPr="004338A7" w:rsidRDefault="00D92AD9">
            <w:pPr>
              <w:spacing w:before="30" w:after="30"/>
            </w:pPr>
            <w:r w:rsidRPr="004338A7">
              <w:rPr>
                <w:b/>
                <w:bCs/>
                <w:color w:val="007C91"/>
              </w:rPr>
              <w:t>Funded and Managed By</w:t>
            </w:r>
          </w:p>
          <w:p w:rsidR="00772A70" w:rsidRPr="004338A7" w:rsidRDefault="00D92AD9">
            <w:pPr>
              <w:pStyle w:val="ListParagraph"/>
              <w:numPr>
                <w:ilvl w:val="0"/>
                <w:numId w:val="2"/>
              </w:numPr>
              <w:spacing w:before="20" w:after="20"/>
            </w:pPr>
            <w:r w:rsidRPr="004338A7">
              <w:rPr>
                <w:color w:val="1A1A1A"/>
                <w:sz w:val="17"/>
                <w:szCs w:val="17"/>
              </w:rPr>
              <w:t>NHS via the Community Pharmacy Contractual Framework</w:t>
            </w:r>
          </w:p>
          <w:p w:rsidR="00772A70" w:rsidRPr="004338A7" w:rsidRDefault="00D92AD9">
            <w:pPr>
              <w:pStyle w:val="ListParagraph"/>
              <w:numPr>
                <w:ilvl w:val="0"/>
                <w:numId w:val="2"/>
              </w:numPr>
              <w:spacing w:before="20" w:after="20"/>
            </w:pPr>
            <w:proofErr w:type="spellStart"/>
            <w:r w:rsidRPr="004338A7">
              <w:rPr>
                <w:color w:val="1A1A1A"/>
                <w:sz w:val="17"/>
                <w:szCs w:val="17"/>
              </w:rPr>
              <w:t>GPhC</w:t>
            </w:r>
            <w:proofErr w:type="spellEnd"/>
            <w:r w:rsidRPr="004338A7">
              <w:rPr>
                <w:color w:val="1A1A1A"/>
                <w:sz w:val="17"/>
                <w:szCs w:val="17"/>
              </w:rPr>
              <w:t xml:space="preserve"> regulates all pharmacists and pharmacies</w:t>
            </w:r>
          </w:p>
          <w:p w:rsidR="00772A70" w:rsidRPr="004338A7" w:rsidRDefault="00D92AD9">
            <w:pPr>
              <w:pStyle w:val="ListParagraph"/>
              <w:numPr>
                <w:ilvl w:val="0"/>
                <w:numId w:val="2"/>
              </w:numPr>
              <w:spacing w:before="20" w:after="20"/>
            </w:pPr>
            <w:r w:rsidRPr="004338A7">
              <w:rPr>
                <w:color w:val="1A1A1A"/>
                <w:sz w:val="17"/>
                <w:szCs w:val="17"/>
              </w:rPr>
              <w:t>NHS England and Integrated Care Boards (ICBs) commission services</w:t>
            </w:r>
          </w:p>
          <w:p w:rsidR="00772A70" w:rsidRPr="004338A7" w:rsidRDefault="00D92AD9">
            <w:pPr>
              <w:pStyle w:val="ListParagraph"/>
              <w:numPr>
                <w:ilvl w:val="0"/>
                <w:numId w:val="2"/>
              </w:numPr>
              <w:spacing w:before="20" w:after="20"/>
            </w:pPr>
            <w:r w:rsidRPr="004338A7">
              <w:rPr>
                <w:color w:val="1A1A1A"/>
                <w:sz w:val="17"/>
                <w:szCs w:val="17"/>
              </w:rPr>
              <w:t>Part of Integrated Care Systems since the Health and Care Act 2022 (</w:t>
            </w:r>
            <w:r w:rsidRPr="004338A7">
              <w:rPr>
                <w:color w:val="1A1A1A"/>
                <w:sz w:val="17"/>
                <w:szCs w:val="17"/>
              </w:rPr>
              <w:t>NHS England, 2023b)</w:t>
            </w:r>
          </w:p>
          <w:p w:rsidR="00772A70" w:rsidRPr="004338A7" w:rsidRDefault="00772A70">
            <w:pPr>
              <w:spacing w:before="10" w:after="10"/>
            </w:pPr>
          </w:p>
          <w:p w:rsidR="00772A70" w:rsidRPr="004338A7" w:rsidRDefault="00D92AD9">
            <w:pPr>
              <w:spacing w:before="30" w:after="30"/>
              <w:jc w:val="center"/>
            </w:pPr>
            <w:r w:rsidRPr="004338A7">
              <w:rPr>
                <w:noProof/>
              </w:rPr>
              <w:drawing>
                <wp:inline distT="0" distB="0" distL="0" distR="0" wp14:anchorId="379BBCA3" wp14:editId="6CA078D4">
                  <wp:extent cx="3714750" cy="1285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714750" cy="1285875"/>
                          </a:xfrm>
                          <a:prstGeom prst="rect">
                            <a:avLst/>
                          </a:prstGeom>
                        </pic:spPr>
                      </pic:pic>
                    </a:graphicData>
                  </a:graphic>
                </wp:inline>
              </w:drawing>
            </w:r>
          </w:p>
        </w:tc>
        <w:tc>
          <w:tcPr>
            <w:tcW w:w="3100" w:type="dxa"/>
            <w:tcBorders>
              <w:top w:val="single" w:sz="3" w:space="0" w:color="DDDDDD"/>
              <w:left w:val="single" w:sz="3" w:space="0" w:color="DDDDDD"/>
              <w:bottom w:val="single" w:sz="3" w:space="0" w:color="DDDDDD"/>
              <w:right w:val="single" w:sz="3" w:space="0" w:color="DDDDDD"/>
            </w:tcBorders>
            <w:shd w:val="clear" w:color="auto" w:fill="FFFFFF"/>
            <w:tcMar>
              <w:top w:w="80" w:type="dxa"/>
              <w:left w:w="130" w:type="dxa"/>
              <w:bottom w:w="80" w:type="dxa"/>
              <w:right w:w="130" w:type="dxa"/>
            </w:tcMar>
          </w:tcPr>
          <w:p w:rsidR="00772A70" w:rsidRPr="004338A7" w:rsidRDefault="00D92AD9">
            <w:pPr>
              <w:spacing w:before="30" w:after="30"/>
              <w:jc w:val="center"/>
            </w:pPr>
            <w:r w:rsidRPr="004338A7">
              <w:rPr>
                <w:noProof/>
              </w:rPr>
              <w:drawing>
                <wp:inline distT="0" distB="0" distL="0" distR="0" wp14:anchorId="63483F05" wp14:editId="65A69322">
                  <wp:extent cx="2190750" cy="400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190750" cy="4000500"/>
                          </a:xfrm>
                          <a:prstGeom prst="rect">
                            <a:avLst/>
                          </a:prstGeom>
                        </pic:spPr>
                      </pic:pic>
                    </a:graphicData>
                  </a:graphic>
                </wp:inline>
              </w:drawing>
            </w:r>
          </w:p>
        </w:tc>
      </w:tr>
    </w:tbl>
    <w:p w:rsidR="00772A70" w:rsidRPr="004338A7" w:rsidRDefault="00772A70">
      <w:pPr>
        <w:spacing w:before="25" w:after="25"/>
      </w:pPr>
    </w:p>
    <w:tbl>
      <w:tblPr>
        <w:tblW w:w="10466"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772A70" w:rsidRPr="004338A7">
        <w:tblPrEx>
          <w:tblCellMar>
            <w:top w:w="0" w:type="dxa"/>
            <w:bottom w:w="0" w:type="dxa"/>
          </w:tblCellMar>
        </w:tblPrEx>
        <w:tc>
          <w:tcPr>
            <w:tcW w:w="10466" w:type="dxa"/>
            <w:tcBorders>
              <w:top w:val="single" w:sz="6" w:space="0" w:color="E87722"/>
              <w:left w:val="single" w:sz="6" w:space="0" w:color="E87722"/>
              <w:bottom w:val="single" w:sz="6" w:space="0" w:color="E87722"/>
              <w:right w:val="single" w:sz="6" w:space="0" w:color="E87722"/>
            </w:tcBorders>
            <w:shd w:val="clear" w:color="auto" w:fill="E87722"/>
            <w:tcMar>
              <w:top w:w="80" w:type="dxa"/>
              <w:left w:w="160" w:type="dxa"/>
              <w:bottom w:w="80" w:type="dxa"/>
              <w:right w:w="160" w:type="dxa"/>
            </w:tcMar>
          </w:tcPr>
          <w:p w:rsidR="00772A70" w:rsidRPr="004338A7" w:rsidRDefault="00D92AD9">
            <w:pPr>
              <w:spacing w:before="20" w:after="20"/>
            </w:pPr>
            <w:r w:rsidRPr="004338A7">
              <w:rPr>
                <w:b/>
                <w:bCs/>
                <w:color w:val="FFFFFF"/>
                <w:sz w:val="22"/>
                <w:szCs w:val="22"/>
              </w:rPr>
              <w:t>Challenges Facing Pharmacy Services</w:t>
            </w:r>
          </w:p>
        </w:tc>
      </w:tr>
    </w:tbl>
    <w:p w:rsidR="00772A70" w:rsidRPr="004338A7" w:rsidRDefault="00772A70">
      <w:pPr>
        <w:spacing w:before="20" w:after="20"/>
      </w:pPr>
    </w:p>
    <w:tbl>
      <w:tblPr>
        <w:tblW w:w="10466"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28"/>
        <w:gridCol w:w="5528"/>
      </w:tblGrid>
      <w:tr w:rsidR="00772A70" w:rsidRPr="004338A7">
        <w:tblPrEx>
          <w:tblCellMar>
            <w:top w:w="0" w:type="dxa"/>
            <w:bottom w:w="0" w:type="dxa"/>
          </w:tblCellMar>
        </w:tblPrEx>
        <w:tc>
          <w:tcPr>
            <w:tcW w:w="5233" w:type="dxa"/>
            <w:tcBorders>
              <w:top w:val="single" w:sz="3" w:space="0" w:color="DDDDDD"/>
              <w:left w:val="single" w:sz="3" w:space="0" w:color="DDDDDD"/>
              <w:bottom w:val="single" w:sz="3" w:space="0" w:color="DDDDDD"/>
              <w:right w:val="single" w:sz="3" w:space="0" w:color="DDDDDD"/>
            </w:tcBorders>
            <w:shd w:val="clear" w:color="auto" w:fill="FDE8D5"/>
            <w:tcMar>
              <w:top w:w="80" w:type="dxa"/>
              <w:left w:w="140" w:type="dxa"/>
              <w:bottom w:w="80" w:type="dxa"/>
              <w:right w:w="140" w:type="dxa"/>
            </w:tcMar>
          </w:tcPr>
          <w:p w:rsidR="00772A70" w:rsidRPr="004338A7" w:rsidRDefault="00D92AD9">
            <w:pPr>
              <w:spacing w:before="30" w:after="30"/>
            </w:pPr>
            <w:r w:rsidRPr="004338A7">
              <w:rPr>
                <w:b/>
                <w:bCs/>
                <w:color w:val="E87722"/>
                <w:sz w:val="19"/>
                <w:szCs w:val="19"/>
              </w:rPr>
              <w:t>Challenge 1: Workforce Shortages</w:t>
            </w:r>
          </w:p>
          <w:p w:rsidR="00CC48FB" w:rsidRPr="004338A7" w:rsidRDefault="00D92AD9">
            <w:pPr>
              <w:spacing w:before="30" w:after="30"/>
              <w:rPr>
                <w:color w:val="1A1A1A"/>
                <w:sz w:val="17"/>
                <w:szCs w:val="17"/>
              </w:rPr>
            </w:pPr>
            <w:r w:rsidRPr="004338A7">
              <w:rPr>
                <w:color w:val="1A1A1A"/>
                <w:sz w:val="17"/>
                <w:szCs w:val="17"/>
              </w:rPr>
              <w:t xml:space="preserve">There are not enough pharmacists and technicians to meet growing demand. </w:t>
            </w:r>
            <w:r w:rsidR="00CC48FB" w:rsidRPr="004338A7">
              <w:rPr>
                <w:color w:val="1A1A1A"/>
                <w:sz w:val="17"/>
                <w:szCs w:val="17"/>
              </w:rPr>
              <w:t>There has been a significant increase in vacancies since 2020 (King's Fund, 2023).</w:t>
            </w:r>
          </w:p>
          <w:p w:rsidR="00772A70" w:rsidRPr="004338A7" w:rsidRDefault="00772A70">
            <w:pPr>
              <w:spacing w:before="8" w:after="8"/>
            </w:pPr>
          </w:p>
          <w:p w:rsidR="00772A70" w:rsidRPr="004338A7" w:rsidRDefault="00D92AD9">
            <w:pPr>
              <w:spacing w:before="30" w:after="30"/>
            </w:pPr>
            <w:r w:rsidRPr="004338A7">
              <w:rPr>
                <w:b/>
                <w:bCs/>
                <w:color w:val="1A1A1A"/>
                <w:sz w:val="17"/>
                <w:szCs w:val="17"/>
              </w:rPr>
              <w:t>Causes:</w:t>
            </w:r>
          </w:p>
          <w:p w:rsidR="00772A70" w:rsidRPr="004338A7" w:rsidRDefault="00D92AD9">
            <w:pPr>
              <w:pStyle w:val="ListParagraph"/>
              <w:numPr>
                <w:ilvl w:val="0"/>
                <w:numId w:val="2"/>
              </w:numPr>
              <w:spacing w:before="20" w:after="20"/>
            </w:pPr>
            <w:r w:rsidRPr="004338A7">
              <w:rPr>
                <w:color w:val="1A1A1A"/>
                <w:sz w:val="17"/>
                <w:szCs w:val="17"/>
              </w:rPr>
              <w:t>Poor long-term workforce planning</w:t>
            </w:r>
          </w:p>
          <w:p w:rsidR="00CC48FB" w:rsidRPr="004338A7" w:rsidRDefault="00CC48FB" w:rsidP="00CC48FB">
            <w:pPr>
              <w:pStyle w:val="ListParagraph"/>
              <w:numPr>
                <w:ilvl w:val="0"/>
                <w:numId w:val="2"/>
              </w:numPr>
              <w:spacing w:before="20" w:after="20"/>
            </w:pPr>
            <w:r w:rsidRPr="004338A7">
              <w:rPr>
                <w:color w:val="1A1A1A"/>
                <w:sz w:val="17"/>
                <w:szCs w:val="17"/>
              </w:rPr>
              <w:t>High turnover in community pharmacies and burnout among their staff.</w:t>
            </w:r>
          </w:p>
          <w:p w:rsidR="00772A70" w:rsidRPr="004338A7" w:rsidRDefault="00D92AD9">
            <w:pPr>
              <w:pStyle w:val="ListParagraph"/>
              <w:numPr>
                <w:ilvl w:val="0"/>
                <w:numId w:val="2"/>
              </w:numPr>
              <w:spacing w:before="20" w:after="20"/>
            </w:pPr>
            <w:r w:rsidRPr="004338A7">
              <w:rPr>
                <w:color w:val="1A1A1A"/>
                <w:sz w:val="17"/>
                <w:szCs w:val="17"/>
              </w:rPr>
              <w:t>More attractive roles available in hospitals and GP settings</w:t>
            </w:r>
          </w:p>
          <w:p w:rsidR="00772A70" w:rsidRPr="004338A7" w:rsidRDefault="00772A70">
            <w:pPr>
              <w:spacing w:before="8" w:after="8"/>
            </w:pPr>
          </w:p>
          <w:p w:rsidR="00772A70" w:rsidRPr="004338A7" w:rsidRDefault="00D92AD9">
            <w:pPr>
              <w:spacing w:before="30" w:after="30"/>
            </w:pPr>
            <w:r w:rsidRPr="004338A7">
              <w:rPr>
                <w:b/>
                <w:bCs/>
                <w:color w:val="1A1A1A"/>
                <w:sz w:val="17"/>
                <w:szCs w:val="17"/>
              </w:rPr>
              <w:t>Impact:</w:t>
            </w:r>
          </w:p>
          <w:p w:rsidR="00772A70" w:rsidRPr="004338A7" w:rsidRDefault="00D92AD9">
            <w:pPr>
              <w:pStyle w:val="ListParagraph"/>
              <w:numPr>
                <w:ilvl w:val="0"/>
                <w:numId w:val="2"/>
              </w:numPr>
              <w:spacing w:before="20" w:after="20"/>
            </w:pPr>
            <w:r w:rsidRPr="004338A7">
              <w:rPr>
                <w:color w:val="1A1A1A"/>
                <w:sz w:val="17"/>
                <w:szCs w:val="17"/>
              </w:rPr>
              <w:t>Pharmacies reducing opening hours or closing</w:t>
            </w:r>
          </w:p>
          <w:p w:rsidR="00772A70" w:rsidRPr="004338A7" w:rsidRDefault="00D92AD9">
            <w:pPr>
              <w:pStyle w:val="ListParagraph"/>
              <w:numPr>
                <w:ilvl w:val="0"/>
                <w:numId w:val="2"/>
              </w:numPr>
              <w:spacing w:before="20" w:after="20"/>
            </w:pPr>
            <w:r w:rsidRPr="004338A7">
              <w:rPr>
                <w:color w:val="1A1A1A"/>
                <w:sz w:val="17"/>
                <w:szCs w:val="17"/>
              </w:rPr>
              <w:t>Longer waits for prescriptions and consultations</w:t>
            </w:r>
          </w:p>
          <w:p w:rsidR="00772A70" w:rsidRPr="004338A7" w:rsidRDefault="00D92AD9">
            <w:pPr>
              <w:pStyle w:val="ListParagraph"/>
              <w:numPr>
                <w:ilvl w:val="0"/>
                <w:numId w:val="2"/>
              </w:numPr>
              <w:spacing w:before="20" w:after="20"/>
            </w:pPr>
            <w:r w:rsidRPr="004338A7">
              <w:rPr>
                <w:color w:val="1A1A1A"/>
                <w:sz w:val="17"/>
                <w:szCs w:val="17"/>
              </w:rPr>
              <w:t>Mental health of pharmacy staff deteriorating</w:t>
            </w:r>
          </w:p>
          <w:p w:rsidR="00772A70" w:rsidRPr="004338A7" w:rsidRDefault="00772A70">
            <w:pPr>
              <w:spacing w:before="8" w:after="8"/>
            </w:pPr>
          </w:p>
          <w:p w:rsidR="00772A70" w:rsidRPr="004338A7" w:rsidRDefault="00D92AD9">
            <w:pPr>
              <w:spacing w:before="30" w:after="30"/>
            </w:pPr>
            <w:r w:rsidRPr="004338A7">
              <w:rPr>
                <w:b/>
                <w:bCs/>
                <w:color w:val="E87722"/>
                <w:sz w:val="17"/>
                <w:szCs w:val="17"/>
              </w:rPr>
              <w:t>Evidence:</w:t>
            </w:r>
          </w:p>
          <w:p w:rsidR="00772A70" w:rsidRPr="004338A7" w:rsidRDefault="00D92AD9">
            <w:pPr>
              <w:pStyle w:val="ListParagraph"/>
              <w:numPr>
                <w:ilvl w:val="0"/>
                <w:numId w:val="2"/>
              </w:numPr>
              <w:spacing w:before="20" w:after="20"/>
            </w:pPr>
            <w:r w:rsidRPr="004338A7">
              <w:rPr>
                <w:color w:val="1A1A1A"/>
                <w:sz w:val="17"/>
                <w:szCs w:val="17"/>
              </w:rPr>
              <w:t>1 in 4 contractors struggled to recruit pharmacists (</w:t>
            </w:r>
            <w:proofErr w:type="spellStart"/>
            <w:r w:rsidRPr="004338A7">
              <w:rPr>
                <w:color w:val="1A1A1A"/>
                <w:sz w:val="17"/>
                <w:szCs w:val="17"/>
              </w:rPr>
              <w:t>GPhC</w:t>
            </w:r>
            <w:proofErr w:type="spellEnd"/>
            <w:r w:rsidRPr="004338A7">
              <w:rPr>
                <w:color w:val="1A1A1A"/>
                <w:sz w:val="17"/>
                <w:szCs w:val="17"/>
              </w:rPr>
              <w:t>, 2023)</w:t>
            </w:r>
          </w:p>
          <w:p w:rsidR="00772A70" w:rsidRPr="004338A7" w:rsidRDefault="00D92AD9">
            <w:pPr>
              <w:pStyle w:val="ListParagraph"/>
              <w:numPr>
                <w:ilvl w:val="0"/>
                <w:numId w:val="2"/>
              </w:numPr>
              <w:spacing w:before="20" w:after="20"/>
            </w:pPr>
            <w:r w:rsidRPr="004338A7">
              <w:rPr>
                <w:color w:val="1A1A1A"/>
                <w:sz w:val="17"/>
                <w:szCs w:val="17"/>
              </w:rPr>
              <w:t>15% vacancy rate — nearly double the NHS average (NHS Digital, 2023)</w:t>
            </w:r>
          </w:p>
          <w:p w:rsidR="00CC48FB" w:rsidRPr="004338A7" w:rsidRDefault="00CC48FB" w:rsidP="00CC48FB">
            <w:pPr>
              <w:pStyle w:val="ListParagraph"/>
              <w:numPr>
                <w:ilvl w:val="0"/>
                <w:numId w:val="2"/>
              </w:numPr>
              <w:spacing w:before="20" w:after="20"/>
            </w:pPr>
            <w:r w:rsidRPr="004338A7">
              <w:rPr>
                <w:color w:val="1A1A1A"/>
                <w:sz w:val="17"/>
                <w:szCs w:val="17"/>
              </w:rPr>
              <w:t>Increased workload for Pharmacy First without corresponding staffing (Lim et al., 2022)</w:t>
            </w:r>
          </w:p>
          <w:p w:rsidR="00772A70" w:rsidRPr="004338A7" w:rsidRDefault="00772A70">
            <w:pPr>
              <w:spacing w:before="10" w:after="10"/>
            </w:pPr>
          </w:p>
          <w:p w:rsidR="00772A70" w:rsidRPr="004338A7" w:rsidRDefault="00D92AD9">
            <w:pPr>
              <w:spacing w:before="30" w:after="30"/>
              <w:jc w:val="center"/>
            </w:pPr>
            <w:r w:rsidRPr="004338A7">
              <w:rPr>
                <w:noProof/>
              </w:rPr>
              <w:drawing>
                <wp:inline distT="0" distB="0" distL="0" distR="0" wp14:anchorId="426763E8" wp14:editId="13708BFB">
                  <wp:extent cx="4095750" cy="2047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095750" cy="2047875"/>
                          </a:xfrm>
                          <a:prstGeom prst="rect">
                            <a:avLst/>
                          </a:prstGeom>
                        </pic:spPr>
                      </pic:pic>
                    </a:graphicData>
                  </a:graphic>
                </wp:inline>
              </w:drawing>
            </w:r>
          </w:p>
        </w:tc>
        <w:tc>
          <w:tcPr>
            <w:tcW w:w="5233" w:type="dxa"/>
            <w:tcBorders>
              <w:top w:val="single" w:sz="3" w:space="0" w:color="DDDDDD"/>
              <w:left w:val="single" w:sz="3" w:space="0" w:color="DDDDDD"/>
              <w:bottom w:val="single" w:sz="3" w:space="0" w:color="DDDDDD"/>
              <w:right w:val="single" w:sz="3" w:space="0" w:color="DDDDDD"/>
            </w:tcBorders>
            <w:shd w:val="clear" w:color="auto" w:fill="FDECEA"/>
            <w:tcMar>
              <w:top w:w="80" w:type="dxa"/>
              <w:left w:w="140" w:type="dxa"/>
              <w:bottom w:w="80" w:type="dxa"/>
              <w:right w:w="140" w:type="dxa"/>
            </w:tcMar>
          </w:tcPr>
          <w:p w:rsidR="00772A70" w:rsidRPr="004338A7" w:rsidRDefault="00D92AD9">
            <w:pPr>
              <w:spacing w:before="30" w:after="30"/>
            </w:pPr>
            <w:r w:rsidRPr="004338A7">
              <w:rPr>
                <w:b/>
                <w:bCs/>
                <w:color w:val="CC0000"/>
                <w:sz w:val="19"/>
                <w:szCs w:val="19"/>
              </w:rPr>
              <w:t>Challenge 2: Medicine Supply Shortages</w:t>
            </w:r>
          </w:p>
          <w:p w:rsidR="00CC48FB" w:rsidRPr="004338A7" w:rsidRDefault="00CC48FB">
            <w:pPr>
              <w:spacing w:before="30" w:after="30"/>
              <w:rPr>
                <w:color w:val="1A1A1A"/>
                <w:sz w:val="17"/>
                <w:szCs w:val="17"/>
              </w:rPr>
            </w:pPr>
            <w:r w:rsidRPr="004338A7">
              <w:rPr>
                <w:color w:val="1A1A1A"/>
                <w:sz w:val="17"/>
                <w:szCs w:val="17"/>
              </w:rPr>
              <w:t xml:space="preserve">Medicine shortages have been </w:t>
            </w:r>
            <w:proofErr w:type="spellStart"/>
            <w:r w:rsidRPr="004338A7">
              <w:rPr>
                <w:color w:val="1A1A1A"/>
                <w:sz w:val="17"/>
                <w:szCs w:val="17"/>
              </w:rPr>
              <w:t>ongoing</w:t>
            </w:r>
            <w:proofErr w:type="spellEnd"/>
            <w:r w:rsidRPr="004338A7">
              <w:rPr>
                <w:color w:val="1A1A1A"/>
                <w:sz w:val="17"/>
                <w:szCs w:val="17"/>
              </w:rPr>
              <w:t xml:space="preserve"> and, at the end of 2023, more than 100 active alerts were reported at the same time (DHSC, 2023).</w:t>
            </w:r>
          </w:p>
          <w:p w:rsidR="00772A70" w:rsidRPr="004338A7" w:rsidRDefault="00772A70">
            <w:pPr>
              <w:spacing w:before="8" w:after="8"/>
            </w:pPr>
          </w:p>
          <w:p w:rsidR="00772A70" w:rsidRPr="004338A7" w:rsidRDefault="00D92AD9">
            <w:pPr>
              <w:spacing w:before="30" w:after="30"/>
            </w:pPr>
            <w:r w:rsidRPr="004338A7">
              <w:rPr>
                <w:b/>
                <w:bCs/>
                <w:color w:val="1A1A1A"/>
                <w:sz w:val="17"/>
                <w:szCs w:val="17"/>
              </w:rPr>
              <w:t>Causes:</w:t>
            </w:r>
          </w:p>
          <w:p w:rsidR="00772A70" w:rsidRPr="004338A7" w:rsidRDefault="00D92AD9">
            <w:pPr>
              <w:pStyle w:val="ListParagraph"/>
              <w:numPr>
                <w:ilvl w:val="0"/>
                <w:numId w:val="2"/>
              </w:numPr>
              <w:spacing w:before="20" w:after="20"/>
            </w:pPr>
            <w:r w:rsidRPr="004338A7">
              <w:rPr>
                <w:color w:val="1A1A1A"/>
                <w:sz w:val="17"/>
                <w:szCs w:val="17"/>
              </w:rPr>
              <w:t>Post-</w:t>
            </w:r>
            <w:proofErr w:type="spellStart"/>
            <w:r w:rsidRPr="004338A7">
              <w:rPr>
                <w:color w:val="1A1A1A"/>
                <w:sz w:val="17"/>
                <w:szCs w:val="17"/>
              </w:rPr>
              <w:t>Brexit</w:t>
            </w:r>
            <w:proofErr w:type="spellEnd"/>
            <w:r w:rsidRPr="004338A7">
              <w:rPr>
                <w:color w:val="1A1A1A"/>
                <w:sz w:val="17"/>
                <w:szCs w:val="17"/>
              </w:rPr>
              <w:t xml:space="preserve"> importation and customs changes</w:t>
            </w:r>
          </w:p>
          <w:p w:rsidR="00CC48FB" w:rsidRPr="004338A7" w:rsidRDefault="00CC48FB" w:rsidP="00CC48FB">
            <w:pPr>
              <w:pStyle w:val="ListParagraph"/>
              <w:numPr>
                <w:ilvl w:val="0"/>
                <w:numId w:val="2"/>
              </w:numPr>
              <w:spacing w:before="20" w:after="20"/>
            </w:pPr>
            <w:r w:rsidRPr="004338A7">
              <w:rPr>
                <w:color w:val="1A1A1A"/>
                <w:sz w:val="17"/>
                <w:szCs w:val="17"/>
              </w:rPr>
              <w:t>COVID-19 related disruption of global supply chains</w:t>
            </w:r>
          </w:p>
          <w:p w:rsidR="00772A70" w:rsidRPr="004338A7" w:rsidRDefault="00D92AD9">
            <w:pPr>
              <w:pStyle w:val="ListParagraph"/>
              <w:numPr>
                <w:ilvl w:val="0"/>
                <w:numId w:val="2"/>
              </w:numPr>
              <w:spacing w:before="20" w:after="20"/>
            </w:pPr>
            <w:r w:rsidRPr="004338A7">
              <w:rPr>
                <w:color w:val="1A1A1A"/>
                <w:sz w:val="17"/>
                <w:szCs w:val="17"/>
              </w:rPr>
              <w:t>Fewer manufacturers producing key medicines worldwide</w:t>
            </w:r>
          </w:p>
          <w:p w:rsidR="00CC48FB" w:rsidRPr="004338A7" w:rsidRDefault="00CC48FB" w:rsidP="00CC48FB">
            <w:pPr>
              <w:pStyle w:val="ListParagraph"/>
              <w:numPr>
                <w:ilvl w:val="0"/>
                <w:numId w:val="2"/>
              </w:numPr>
              <w:spacing w:before="20" w:after="20"/>
            </w:pPr>
            <w:r w:rsidRPr="004338A7">
              <w:rPr>
                <w:color w:val="1A1A1A"/>
                <w:sz w:val="17"/>
                <w:szCs w:val="17"/>
              </w:rPr>
              <w:t>Government price controls that lower the supplier's profit margins.</w:t>
            </w:r>
          </w:p>
          <w:p w:rsidR="00772A70" w:rsidRPr="004338A7" w:rsidRDefault="00772A70" w:rsidP="00CC48FB">
            <w:pPr>
              <w:pStyle w:val="ListParagraph"/>
              <w:spacing w:before="20" w:after="20"/>
              <w:ind w:left="400"/>
            </w:pPr>
          </w:p>
          <w:p w:rsidR="00772A70" w:rsidRPr="004338A7" w:rsidRDefault="00772A70">
            <w:pPr>
              <w:spacing w:before="8" w:after="8"/>
            </w:pPr>
          </w:p>
          <w:p w:rsidR="00772A70" w:rsidRPr="004338A7" w:rsidRDefault="00D92AD9">
            <w:pPr>
              <w:spacing w:before="30" w:after="30"/>
            </w:pPr>
            <w:r w:rsidRPr="004338A7">
              <w:rPr>
                <w:b/>
                <w:bCs/>
                <w:color w:val="1A1A1A"/>
                <w:sz w:val="17"/>
                <w:szCs w:val="17"/>
              </w:rPr>
              <w:t>Impact:</w:t>
            </w:r>
          </w:p>
          <w:p w:rsidR="00772A70" w:rsidRPr="004338A7" w:rsidRDefault="00D92AD9">
            <w:pPr>
              <w:pStyle w:val="ListParagraph"/>
              <w:numPr>
                <w:ilvl w:val="0"/>
                <w:numId w:val="2"/>
              </w:numPr>
              <w:spacing w:before="20" w:after="20"/>
            </w:pPr>
            <w:r w:rsidRPr="004338A7">
              <w:rPr>
                <w:color w:val="1A1A1A"/>
                <w:sz w:val="17"/>
                <w:szCs w:val="17"/>
              </w:rPr>
              <w:t>Patients unable to access prescribed medicines</w:t>
            </w:r>
          </w:p>
          <w:p w:rsidR="00772A70" w:rsidRPr="004338A7" w:rsidRDefault="00D92AD9">
            <w:pPr>
              <w:pStyle w:val="ListParagraph"/>
              <w:numPr>
                <w:ilvl w:val="0"/>
                <w:numId w:val="2"/>
              </w:numPr>
              <w:spacing w:before="20" w:after="20"/>
            </w:pPr>
            <w:r w:rsidRPr="004338A7">
              <w:rPr>
                <w:color w:val="1A1A1A"/>
                <w:sz w:val="17"/>
                <w:szCs w:val="17"/>
              </w:rPr>
              <w:t>Forced switches to alternative formulations</w:t>
            </w:r>
          </w:p>
          <w:p w:rsidR="00772A70" w:rsidRPr="004338A7" w:rsidRDefault="00D92AD9">
            <w:pPr>
              <w:pStyle w:val="ListParagraph"/>
              <w:numPr>
                <w:ilvl w:val="0"/>
                <w:numId w:val="2"/>
              </w:numPr>
              <w:spacing w:before="20" w:after="20"/>
            </w:pPr>
            <w:r w:rsidRPr="004338A7">
              <w:rPr>
                <w:color w:val="1A1A1A"/>
                <w:sz w:val="17"/>
                <w:szCs w:val="17"/>
              </w:rPr>
              <w:t>Non-adherence due to unavailability, risking patient safety</w:t>
            </w:r>
          </w:p>
          <w:p w:rsidR="00772A70" w:rsidRPr="004338A7" w:rsidRDefault="00D92AD9">
            <w:pPr>
              <w:pStyle w:val="ListParagraph"/>
              <w:numPr>
                <w:ilvl w:val="0"/>
                <w:numId w:val="2"/>
              </w:numPr>
              <w:spacing w:before="20" w:after="20"/>
            </w:pPr>
            <w:r w:rsidRPr="004338A7">
              <w:rPr>
                <w:color w:val="1A1A1A"/>
                <w:sz w:val="17"/>
                <w:szCs w:val="17"/>
              </w:rPr>
              <w:t>Over 70% of pharmacies affected at any given time (Nuffield Trust, 2023)</w:t>
            </w:r>
          </w:p>
          <w:p w:rsidR="00772A70" w:rsidRPr="004338A7" w:rsidRDefault="00772A70">
            <w:pPr>
              <w:spacing w:before="8" w:after="8"/>
            </w:pPr>
          </w:p>
          <w:p w:rsidR="00772A70" w:rsidRPr="004338A7" w:rsidRDefault="00D92AD9">
            <w:pPr>
              <w:spacing w:before="30" w:after="30"/>
            </w:pPr>
            <w:r w:rsidRPr="004338A7">
              <w:rPr>
                <w:b/>
                <w:bCs/>
                <w:color w:val="CC0000"/>
                <w:sz w:val="17"/>
                <w:szCs w:val="17"/>
              </w:rPr>
              <w:t>Evidence:</w:t>
            </w:r>
          </w:p>
          <w:p w:rsidR="00772A70" w:rsidRPr="004338A7" w:rsidRDefault="00D92AD9">
            <w:pPr>
              <w:pStyle w:val="ListParagraph"/>
              <w:numPr>
                <w:ilvl w:val="0"/>
                <w:numId w:val="2"/>
              </w:numPr>
              <w:spacing w:before="20" w:after="20"/>
            </w:pPr>
            <w:r w:rsidRPr="004338A7">
              <w:rPr>
                <w:color w:val="1A1A1A"/>
                <w:sz w:val="17"/>
                <w:szCs w:val="17"/>
              </w:rPr>
              <w:t>100+ simultaneous supply alerts including HRT and antibiotics (DHSC, 2023)</w:t>
            </w:r>
          </w:p>
          <w:p w:rsidR="00CC48FB" w:rsidRPr="004338A7" w:rsidRDefault="00CC48FB" w:rsidP="00CC48FB">
            <w:pPr>
              <w:pStyle w:val="ListParagraph"/>
              <w:numPr>
                <w:ilvl w:val="0"/>
                <w:numId w:val="2"/>
              </w:numPr>
              <w:spacing w:before="20" w:after="20"/>
            </w:pPr>
            <w:r w:rsidRPr="004338A7">
              <w:rPr>
                <w:color w:val="1A1A1A"/>
                <w:sz w:val="17"/>
                <w:szCs w:val="17"/>
              </w:rPr>
              <w:t>The solution is not for individual pharmacies to take action but for national procurement reform (King's Fund, 2024)</w:t>
            </w:r>
          </w:p>
          <w:p w:rsidR="00772A70" w:rsidRPr="004338A7" w:rsidRDefault="00772A70">
            <w:pPr>
              <w:spacing w:before="10" w:after="10"/>
            </w:pPr>
          </w:p>
          <w:p w:rsidR="00772A70" w:rsidRPr="004338A7" w:rsidRDefault="00D92AD9">
            <w:pPr>
              <w:spacing w:before="30" w:after="30"/>
              <w:jc w:val="center"/>
            </w:pPr>
            <w:r w:rsidRPr="004338A7">
              <w:rPr>
                <w:noProof/>
              </w:rPr>
              <w:drawing>
                <wp:inline distT="0" distB="0" distL="0" distR="0" wp14:anchorId="5FB6E7B6" wp14:editId="06E40E8E">
                  <wp:extent cx="4095750" cy="1905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095750" cy="1905000"/>
                          </a:xfrm>
                          <a:prstGeom prst="rect">
                            <a:avLst/>
                          </a:prstGeom>
                        </pic:spPr>
                      </pic:pic>
                    </a:graphicData>
                  </a:graphic>
                </wp:inline>
              </w:drawing>
            </w:r>
          </w:p>
        </w:tc>
      </w:tr>
    </w:tbl>
    <w:p w:rsidR="00772A70" w:rsidRPr="004338A7" w:rsidRDefault="00772A70">
      <w:pPr>
        <w:spacing w:before="25" w:after="25"/>
      </w:pPr>
    </w:p>
    <w:p w:rsidR="00000000" w:rsidRPr="004338A7" w:rsidRDefault="00D92AD9"/>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p w:rsidR="004338A7" w:rsidRPr="004338A7" w:rsidRDefault="004338A7" w:rsidP="004338A7">
      <w:pPr>
        <w:spacing w:after="200" w:line="360" w:lineRule="auto"/>
        <w:rPr>
          <w:rFonts w:eastAsiaTheme="minorHAnsi"/>
          <w:b/>
          <w:sz w:val="22"/>
          <w:szCs w:val="22"/>
          <w:lang w:eastAsia="en-US"/>
        </w:rPr>
      </w:pPr>
      <w:r w:rsidRPr="004338A7">
        <w:rPr>
          <w:rFonts w:eastAsiaTheme="minorHAnsi"/>
          <w:b/>
          <w:sz w:val="22"/>
          <w:szCs w:val="22"/>
          <w:lang w:eastAsia="en-US"/>
        </w:rPr>
        <w:t>Community Mental Health Services in the UK</w:t>
      </w:r>
    </w:p>
    <w:p w:rsidR="004338A7" w:rsidRPr="004338A7" w:rsidRDefault="004338A7" w:rsidP="004338A7">
      <w:pPr>
        <w:spacing w:after="200" w:line="360" w:lineRule="auto"/>
        <w:rPr>
          <w:rFonts w:eastAsiaTheme="minorHAnsi"/>
          <w:b/>
          <w:sz w:val="22"/>
          <w:szCs w:val="22"/>
          <w:lang w:eastAsia="en-US"/>
        </w:rPr>
      </w:pPr>
      <w:r w:rsidRPr="004338A7">
        <w:rPr>
          <w:rFonts w:eastAsiaTheme="minorHAnsi"/>
          <w:b/>
          <w:sz w:val="22"/>
          <w:szCs w:val="22"/>
          <w:lang w:eastAsia="en-US"/>
        </w:rPr>
        <w:t>Introduction</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Community mental health services play a crucial role in the UK's social care system, providing support to individuals who are suffering from mental health issues while still being able to live in their communities. They foster recovery, independence and social inclusion, instead of long-term institutionalisation. This essay explores the origins of these services, their current operation, and their importance to service users' quality of life.</w:t>
      </w:r>
    </w:p>
    <w:p w:rsidR="004338A7" w:rsidRPr="004338A7" w:rsidRDefault="004338A7" w:rsidP="004338A7">
      <w:pPr>
        <w:spacing w:after="200" w:line="360" w:lineRule="auto"/>
        <w:rPr>
          <w:rFonts w:eastAsiaTheme="minorHAnsi"/>
          <w:b/>
          <w:sz w:val="22"/>
          <w:szCs w:val="22"/>
          <w:lang w:eastAsia="en-US"/>
        </w:rPr>
      </w:pPr>
      <w:r w:rsidRPr="004338A7">
        <w:rPr>
          <w:rFonts w:eastAsiaTheme="minorHAnsi"/>
          <w:b/>
          <w:sz w:val="22"/>
          <w:szCs w:val="22"/>
          <w:lang w:eastAsia="en-US"/>
        </w:rPr>
        <w:t>Origins and Historical Development</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The origins of mental health care in the UK are in institutional care. In the 1800s and early 1900s, individuals were frequently admitted to large asylums, the goal of which was containment not cure. This legacy of stigma and criticism for overcrowding and isolation transformed mental health stigma even after the closing of these institutions (</w:t>
      </w:r>
      <w:proofErr w:type="spellStart"/>
      <w:r w:rsidRPr="004338A7">
        <w:rPr>
          <w:rFonts w:eastAsiaTheme="minorHAnsi"/>
          <w:sz w:val="22"/>
          <w:szCs w:val="22"/>
          <w:lang w:eastAsia="en-US"/>
        </w:rPr>
        <w:t>Bhugra</w:t>
      </w:r>
      <w:proofErr w:type="spellEnd"/>
      <w:r w:rsidRPr="004338A7">
        <w:rPr>
          <w:rFonts w:eastAsiaTheme="minorHAnsi"/>
          <w:sz w:val="22"/>
          <w:szCs w:val="22"/>
          <w:lang w:eastAsia="en-US"/>
        </w:rPr>
        <w:t xml:space="preserve"> et al., 2017).</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A major change took place in the 1950s and 1960s. The Royal Commission on Mental Illness and Mental Deficiency (1954-1957) recommended a shift away from compulsory institutional care that influenced the Mental Health Act 1959, which promoted voluntary community treatment. This was in response to an increased understanding that recovery could be improved with interventions in the community, including supported accommodation and vocational rehabilitation, rather than isolation (</w:t>
      </w:r>
      <w:proofErr w:type="spellStart"/>
      <w:r w:rsidRPr="004338A7">
        <w:rPr>
          <w:rFonts w:eastAsiaTheme="minorHAnsi"/>
          <w:sz w:val="22"/>
          <w:szCs w:val="22"/>
          <w:lang w:eastAsia="en-US"/>
        </w:rPr>
        <w:t>Killaspy</w:t>
      </w:r>
      <w:proofErr w:type="spellEnd"/>
      <w:r w:rsidRPr="004338A7">
        <w:rPr>
          <w:rFonts w:eastAsiaTheme="minorHAnsi"/>
          <w:sz w:val="22"/>
          <w:szCs w:val="22"/>
          <w:lang w:eastAsia="en-US"/>
        </w:rPr>
        <w:t xml:space="preserve"> et al., 2022). The Hospital Plan 1962 then speeded up the process of closing psychiatric hospitals and moving to community care.</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The NHS and Community Care Act 1990 made it statutory for both local authorities and health services to provide support in the community. This was further strengthened by the NHS Long Term Plan (2019) by increasing the provision in the community and decreasing the need for inpatient care.  Service delivery today was also influenced by the Five Year Forward View for Mental Health (2016).</w:t>
      </w:r>
    </w:p>
    <w:p w:rsidR="004338A7" w:rsidRPr="004338A7" w:rsidRDefault="004338A7" w:rsidP="004338A7">
      <w:pPr>
        <w:spacing w:after="200" w:line="360" w:lineRule="auto"/>
        <w:rPr>
          <w:rFonts w:eastAsiaTheme="minorHAnsi"/>
          <w:b/>
          <w:sz w:val="22"/>
          <w:szCs w:val="22"/>
          <w:lang w:eastAsia="en-US"/>
        </w:rPr>
      </w:pPr>
      <w:r w:rsidRPr="004338A7">
        <w:rPr>
          <w:rFonts w:eastAsiaTheme="minorHAnsi"/>
          <w:b/>
          <w:sz w:val="22"/>
          <w:szCs w:val="22"/>
          <w:lang w:eastAsia="en-US"/>
        </w:rPr>
        <w:t>How Community Mental Health Services Function Today</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 xml:space="preserve">Services are today provided by Community Mental Health Teams (CMHTs) that bring together psychiatrists, psychologists, nurses, social workers and occupational therapists to provide care in a person-centred way. This is an example of partnership working, which involves partnership among professionals in order to address complex needs in a holistic way. There </w:t>
      </w:r>
      <w:proofErr w:type="gramStart"/>
      <w:r w:rsidRPr="004338A7">
        <w:rPr>
          <w:rFonts w:eastAsiaTheme="minorHAnsi"/>
          <w:sz w:val="22"/>
          <w:szCs w:val="22"/>
          <w:lang w:eastAsia="en-US"/>
        </w:rPr>
        <w:t>are GP referral</w:t>
      </w:r>
      <w:proofErr w:type="gramEnd"/>
      <w:r w:rsidRPr="004338A7">
        <w:rPr>
          <w:rFonts w:eastAsiaTheme="minorHAnsi"/>
          <w:sz w:val="22"/>
          <w:szCs w:val="22"/>
          <w:lang w:eastAsia="en-US"/>
        </w:rPr>
        <w:t>, self-referral or crisis teams and supports provided include CBT, medication management and early intervention for psychosis.</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Services are commissioned by Integrated Care Boards and regulated by the CQC. The NHS Long Term Plan (2019) pledged to provide help to 370,000 more adults every year, but there are real pressures. Stigma and fear of judgement are significant challenges to accessing support (</w:t>
      </w:r>
      <w:proofErr w:type="spellStart"/>
      <w:r w:rsidRPr="004338A7">
        <w:rPr>
          <w:rFonts w:eastAsiaTheme="minorHAnsi"/>
          <w:sz w:val="22"/>
          <w:szCs w:val="22"/>
          <w:lang w:eastAsia="en-US"/>
        </w:rPr>
        <w:t>Broglia</w:t>
      </w:r>
      <w:proofErr w:type="spellEnd"/>
      <w:r w:rsidRPr="004338A7">
        <w:rPr>
          <w:rFonts w:eastAsiaTheme="minorHAnsi"/>
          <w:sz w:val="22"/>
          <w:szCs w:val="22"/>
          <w:lang w:eastAsia="en-US"/>
        </w:rPr>
        <w:t xml:space="preserve">, Millings and </w:t>
      </w:r>
      <w:proofErr w:type="spellStart"/>
      <w:r w:rsidRPr="004338A7">
        <w:rPr>
          <w:rFonts w:eastAsiaTheme="minorHAnsi"/>
          <w:sz w:val="22"/>
          <w:szCs w:val="22"/>
          <w:lang w:eastAsia="en-US"/>
        </w:rPr>
        <w:t>Barkham</w:t>
      </w:r>
      <w:proofErr w:type="spellEnd"/>
      <w:r w:rsidRPr="004338A7">
        <w:rPr>
          <w:rFonts w:eastAsiaTheme="minorHAnsi"/>
          <w:sz w:val="22"/>
          <w:szCs w:val="22"/>
          <w:lang w:eastAsia="en-US"/>
        </w:rPr>
        <w:t xml:space="preserve"> 2021), and users of services with complex emotional needs are likely to report inconsistencies in the care they receive and struggle to access services (</w:t>
      </w:r>
      <w:proofErr w:type="spellStart"/>
      <w:r w:rsidRPr="004338A7">
        <w:rPr>
          <w:rFonts w:eastAsiaTheme="minorHAnsi"/>
          <w:sz w:val="22"/>
          <w:szCs w:val="22"/>
          <w:lang w:eastAsia="en-US"/>
        </w:rPr>
        <w:t>Trevillion</w:t>
      </w:r>
      <w:proofErr w:type="spellEnd"/>
      <w:r w:rsidRPr="004338A7">
        <w:rPr>
          <w:rFonts w:eastAsiaTheme="minorHAnsi"/>
          <w:sz w:val="22"/>
          <w:szCs w:val="22"/>
          <w:lang w:eastAsia="en-US"/>
        </w:rPr>
        <w:t xml:space="preserve"> et al. 2022).</w:t>
      </w:r>
    </w:p>
    <w:p w:rsidR="004338A7" w:rsidRPr="004338A7" w:rsidRDefault="004338A7" w:rsidP="004338A7">
      <w:pPr>
        <w:spacing w:after="200" w:line="360" w:lineRule="auto"/>
        <w:rPr>
          <w:rFonts w:eastAsiaTheme="minorHAnsi"/>
          <w:b/>
          <w:sz w:val="22"/>
          <w:szCs w:val="22"/>
          <w:lang w:eastAsia="en-US"/>
        </w:rPr>
      </w:pPr>
      <w:r w:rsidRPr="004338A7">
        <w:rPr>
          <w:rFonts w:eastAsiaTheme="minorHAnsi"/>
          <w:b/>
          <w:sz w:val="22"/>
          <w:szCs w:val="22"/>
          <w:lang w:eastAsia="en-US"/>
        </w:rPr>
        <w:t>Significance in Enhancing Quality of Life</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Community mental health services have a dramatic impact on the lives of people who use services. Spending time in their own community helps them to maintain their independence, dignity and self-confidence, as well as relationships, employment and daily living habits (Patel et al., 2018).</w:t>
      </w:r>
    </w:p>
    <w:p w:rsidR="004338A7" w:rsidRPr="004338A7" w:rsidRDefault="004338A7" w:rsidP="004338A7">
      <w:pPr>
        <w:spacing w:after="200" w:line="360" w:lineRule="auto"/>
        <w:rPr>
          <w:rFonts w:eastAsiaTheme="minorHAnsi"/>
          <w:sz w:val="22"/>
          <w:szCs w:val="22"/>
          <w:lang w:eastAsia="en-US"/>
        </w:rPr>
      </w:pPr>
      <w:proofErr w:type="gramStart"/>
      <w:r w:rsidRPr="004338A7">
        <w:rPr>
          <w:rFonts w:eastAsiaTheme="minorHAnsi"/>
          <w:sz w:val="22"/>
          <w:szCs w:val="22"/>
          <w:lang w:eastAsia="en-US"/>
        </w:rPr>
        <w:t>Another strength</w:t>
      </w:r>
      <w:proofErr w:type="gramEnd"/>
      <w:r w:rsidRPr="004338A7">
        <w:rPr>
          <w:rFonts w:eastAsiaTheme="minorHAnsi"/>
          <w:sz w:val="22"/>
          <w:szCs w:val="22"/>
          <w:lang w:eastAsia="en-US"/>
        </w:rPr>
        <w:t xml:space="preserve"> is early intervention which avoids deterioration as well as reducing the risk of hospital admission (Mind, 2022). The quality of supported accommodation is also crucial to </w:t>
      </w:r>
      <w:proofErr w:type="gramStart"/>
      <w:r w:rsidRPr="004338A7">
        <w:rPr>
          <w:rFonts w:eastAsiaTheme="minorHAnsi"/>
          <w:sz w:val="22"/>
          <w:szCs w:val="22"/>
          <w:lang w:eastAsia="en-US"/>
        </w:rPr>
        <w:t>recovery,</w:t>
      </w:r>
      <w:proofErr w:type="gramEnd"/>
      <w:r w:rsidRPr="004338A7">
        <w:rPr>
          <w:rFonts w:eastAsiaTheme="minorHAnsi"/>
          <w:sz w:val="22"/>
          <w:szCs w:val="22"/>
          <w:lang w:eastAsia="en-US"/>
        </w:rPr>
        <w:t xml:space="preserve"> and poor housing or weak support systems can have a significant impact on the effectiveness of community-based care in practice (</w:t>
      </w:r>
      <w:proofErr w:type="spellStart"/>
      <w:r w:rsidRPr="004338A7">
        <w:rPr>
          <w:rFonts w:eastAsiaTheme="minorHAnsi"/>
          <w:sz w:val="22"/>
          <w:szCs w:val="22"/>
          <w:lang w:eastAsia="en-US"/>
        </w:rPr>
        <w:t>Almeda</w:t>
      </w:r>
      <w:proofErr w:type="spellEnd"/>
      <w:r w:rsidRPr="004338A7">
        <w:rPr>
          <w:rFonts w:eastAsiaTheme="minorHAnsi"/>
          <w:sz w:val="22"/>
          <w:szCs w:val="22"/>
          <w:lang w:eastAsia="en-US"/>
        </w:rPr>
        <w:t xml:space="preserve"> et al., 2022).</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These benefits are also not always equally shared. There are structural inequalities, with black, Asian and minority ethnic communities still being disproportionately detained under the Mental Health Act 1983 (CQC, 2023). King's Fund (2023) reports that deprived areas are more likely to experience workforce shortages, which results in the areas with the greatest need having less access. Targeted policy changes are needed to address these inequalities.</w:t>
      </w:r>
    </w:p>
    <w:p w:rsidR="004338A7" w:rsidRPr="004338A7" w:rsidRDefault="004338A7" w:rsidP="004338A7">
      <w:pPr>
        <w:spacing w:after="200" w:line="360" w:lineRule="auto"/>
        <w:rPr>
          <w:rFonts w:eastAsiaTheme="minorHAnsi"/>
          <w:b/>
          <w:sz w:val="22"/>
          <w:szCs w:val="22"/>
          <w:lang w:eastAsia="en-US"/>
        </w:rPr>
      </w:pPr>
      <w:r w:rsidRPr="004338A7">
        <w:rPr>
          <w:rFonts w:eastAsiaTheme="minorHAnsi"/>
          <w:b/>
          <w:sz w:val="22"/>
          <w:szCs w:val="22"/>
          <w:lang w:eastAsia="en-US"/>
        </w:rPr>
        <w:t>Conclusion</w:t>
      </w:r>
    </w:p>
    <w:p w:rsidR="004338A7" w:rsidRPr="004338A7" w:rsidRDefault="004338A7" w:rsidP="004338A7">
      <w:pPr>
        <w:spacing w:after="200" w:line="360" w:lineRule="auto"/>
        <w:rPr>
          <w:rFonts w:eastAsiaTheme="minorHAnsi"/>
          <w:sz w:val="22"/>
          <w:szCs w:val="22"/>
          <w:lang w:eastAsia="en-US"/>
        </w:rPr>
      </w:pPr>
      <w:r w:rsidRPr="004338A7">
        <w:rPr>
          <w:rFonts w:eastAsiaTheme="minorHAnsi"/>
          <w:sz w:val="22"/>
          <w:szCs w:val="22"/>
          <w:lang w:eastAsia="en-US"/>
        </w:rPr>
        <w:t>Today, the community mental health services are very different from the previous institutional services, and they are person centred, based on multidisciplinary teams. However, there is a gap between ambition and delivery, and benefits are not equally available because of inconsistent quality, stigma and inequality. Services need sustained investment, stable housing and partnership working if they are to maximise their potential for the people who use them.</w:t>
      </w:r>
    </w:p>
    <w:p w:rsidR="004338A7" w:rsidRPr="004338A7" w:rsidRDefault="00B83157" w:rsidP="004338A7">
      <w:pPr>
        <w:spacing w:after="160" w:line="360" w:lineRule="auto"/>
        <w:ind w:left="720" w:hanging="720"/>
        <w:rPr>
          <w:color w:val="1A1A1A"/>
          <w:sz w:val="22"/>
          <w:szCs w:val="22"/>
        </w:rPr>
      </w:pPr>
      <w:r>
        <w:rPr>
          <w:b/>
          <w:bCs/>
          <w:color w:val="000000" w:themeColor="text1"/>
          <w:sz w:val="22"/>
          <w:szCs w:val="22"/>
        </w:rPr>
        <w:t>Reference List</w:t>
      </w:r>
    </w:p>
    <w:p w:rsidR="004338A7" w:rsidRPr="004338A7" w:rsidRDefault="004338A7" w:rsidP="00B83157">
      <w:pPr>
        <w:spacing w:line="360" w:lineRule="auto"/>
        <w:ind w:left="880" w:hangingChars="400" w:hanging="880"/>
        <w:rPr>
          <w:sz w:val="22"/>
          <w:szCs w:val="22"/>
        </w:rPr>
      </w:pPr>
    </w:p>
    <w:p w:rsidR="004338A7" w:rsidRPr="004338A7" w:rsidRDefault="004338A7" w:rsidP="00B83157">
      <w:pPr>
        <w:spacing w:after="160" w:line="360" w:lineRule="auto"/>
        <w:ind w:left="880" w:hangingChars="400" w:hanging="880"/>
        <w:rPr>
          <w:color w:val="222222"/>
          <w:sz w:val="22"/>
          <w:szCs w:val="22"/>
          <w:shd w:val="clear" w:color="auto" w:fill="FFFFFF"/>
        </w:rPr>
      </w:pPr>
      <w:proofErr w:type="spellStart"/>
      <w:proofErr w:type="gramStart"/>
      <w:r w:rsidRPr="004338A7">
        <w:rPr>
          <w:color w:val="222222"/>
          <w:sz w:val="22"/>
          <w:szCs w:val="22"/>
          <w:shd w:val="clear" w:color="auto" w:fill="FFFFFF"/>
        </w:rPr>
        <w:t>Almeda</w:t>
      </w:r>
      <w:proofErr w:type="spellEnd"/>
      <w:r w:rsidRPr="004338A7">
        <w:rPr>
          <w:color w:val="222222"/>
          <w:sz w:val="22"/>
          <w:szCs w:val="22"/>
          <w:shd w:val="clear" w:color="auto" w:fill="FFFFFF"/>
        </w:rPr>
        <w:t xml:space="preserve">, N., </w:t>
      </w:r>
      <w:proofErr w:type="spellStart"/>
      <w:r w:rsidRPr="004338A7">
        <w:rPr>
          <w:color w:val="222222"/>
          <w:sz w:val="22"/>
          <w:szCs w:val="22"/>
          <w:shd w:val="clear" w:color="auto" w:fill="FFFFFF"/>
        </w:rPr>
        <w:t>García</w:t>
      </w:r>
      <w:proofErr w:type="spellEnd"/>
      <w:r w:rsidRPr="004338A7">
        <w:rPr>
          <w:color w:val="222222"/>
          <w:sz w:val="22"/>
          <w:szCs w:val="22"/>
          <w:shd w:val="clear" w:color="auto" w:fill="FFFFFF"/>
        </w:rPr>
        <w:t xml:space="preserve">-Alonso, C.R., </w:t>
      </w:r>
      <w:proofErr w:type="spellStart"/>
      <w:r w:rsidRPr="004338A7">
        <w:rPr>
          <w:color w:val="222222"/>
          <w:sz w:val="22"/>
          <w:szCs w:val="22"/>
          <w:shd w:val="clear" w:color="auto" w:fill="FFFFFF"/>
        </w:rPr>
        <w:t>Killaspy</w:t>
      </w:r>
      <w:proofErr w:type="spellEnd"/>
      <w:r w:rsidRPr="004338A7">
        <w:rPr>
          <w:color w:val="222222"/>
          <w:sz w:val="22"/>
          <w:szCs w:val="22"/>
          <w:shd w:val="clear" w:color="auto" w:fill="FFFFFF"/>
        </w:rPr>
        <w:t>, H., Gutiérrez-</w:t>
      </w:r>
      <w:proofErr w:type="spellStart"/>
      <w:r w:rsidRPr="004338A7">
        <w:rPr>
          <w:color w:val="222222"/>
          <w:sz w:val="22"/>
          <w:szCs w:val="22"/>
          <w:shd w:val="clear" w:color="auto" w:fill="FFFFFF"/>
        </w:rPr>
        <w:t>Colosía</w:t>
      </w:r>
      <w:proofErr w:type="spellEnd"/>
      <w:r w:rsidRPr="004338A7">
        <w:rPr>
          <w:color w:val="222222"/>
          <w:sz w:val="22"/>
          <w:szCs w:val="22"/>
          <w:shd w:val="clear" w:color="auto" w:fill="FFFFFF"/>
        </w:rPr>
        <w:t>, M.R. and Salvador-</w:t>
      </w:r>
      <w:proofErr w:type="spellStart"/>
      <w:r w:rsidRPr="004338A7">
        <w:rPr>
          <w:color w:val="222222"/>
          <w:sz w:val="22"/>
          <w:szCs w:val="22"/>
          <w:shd w:val="clear" w:color="auto" w:fill="FFFFFF"/>
        </w:rPr>
        <w:t>Carulla</w:t>
      </w:r>
      <w:proofErr w:type="spellEnd"/>
      <w:r w:rsidRPr="004338A7">
        <w:rPr>
          <w:color w:val="222222"/>
          <w:sz w:val="22"/>
          <w:szCs w:val="22"/>
          <w:shd w:val="clear" w:color="auto" w:fill="FFFFFF"/>
        </w:rPr>
        <w:t>, L., 2022.</w:t>
      </w:r>
      <w:proofErr w:type="gramEnd"/>
      <w:r w:rsidRPr="004338A7">
        <w:rPr>
          <w:color w:val="222222"/>
          <w:sz w:val="22"/>
          <w:szCs w:val="22"/>
          <w:shd w:val="clear" w:color="auto" w:fill="FFFFFF"/>
        </w:rPr>
        <w:t xml:space="preserve"> The critical factor: The role of quality in the performance of supported accommodation services for complex mental illness in England. </w:t>
      </w:r>
      <w:proofErr w:type="spellStart"/>
      <w:r w:rsidRPr="004338A7">
        <w:rPr>
          <w:i/>
          <w:iCs/>
          <w:color w:val="222222"/>
          <w:sz w:val="22"/>
          <w:szCs w:val="22"/>
          <w:shd w:val="clear" w:color="auto" w:fill="FFFFFF"/>
        </w:rPr>
        <w:t>PLoS</w:t>
      </w:r>
      <w:proofErr w:type="spellEnd"/>
      <w:r w:rsidRPr="004338A7">
        <w:rPr>
          <w:i/>
          <w:iCs/>
          <w:color w:val="222222"/>
          <w:sz w:val="22"/>
          <w:szCs w:val="22"/>
          <w:shd w:val="clear" w:color="auto" w:fill="FFFFFF"/>
        </w:rPr>
        <w:t xml:space="preserve"> One</w:t>
      </w:r>
      <w:r w:rsidRPr="004338A7">
        <w:rPr>
          <w:color w:val="222222"/>
          <w:sz w:val="22"/>
          <w:szCs w:val="22"/>
          <w:shd w:val="clear" w:color="auto" w:fill="FFFFFF"/>
        </w:rPr>
        <w:t>, </w:t>
      </w:r>
      <w:r w:rsidRPr="004338A7">
        <w:rPr>
          <w:i/>
          <w:iCs/>
          <w:color w:val="222222"/>
          <w:sz w:val="22"/>
          <w:szCs w:val="22"/>
          <w:shd w:val="clear" w:color="auto" w:fill="FFFFFF"/>
        </w:rPr>
        <w:t>17</w:t>
      </w:r>
      <w:r w:rsidRPr="004338A7">
        <w:rPr>
          <w:color w:val="222222"/>
          <w:sz w:val="22"/>
          <w:szCs w:val="22"/>
          <w:shd w:val="clear" w:color="auto" w:fill="FFFFFF"/>
        </w:rPr>
        <w:t>(3), p.e0265319.</w:t>
      </w:r>
    </w:p>
    <w:p w:rsidR="004338A7" w:rsidRPr="004338A7" w:rsidRDefault="004338A7" w:rsidP="00B83157">
      <w:pPr>
        <w:spacing w:after="160" w:line="360" w:lineRule="auto"/>
        <w:ind w:left="880" w:hangingChars="400" w:hanging="880"/>
        <w:rPr>
          <w:color w:val="1A1A1A"/>
          <w:sz w:val="22"/>
          <w:szCs w:val="22"/>
        </w:rPr>
      </w:pPr>
      <w:proofErr w:type="spellStart"/>
      <w:proofErr w:type="gramStart"/>
      <w:r w:rsidRPr="004338A7">
        <w:rPr>
          <w:color w:val="222222"/>
          <w:sz w:val="22"/>
          <w:szCs w:val="22"/>
          <w:shd w:val="clear" w:color="auto" w:fill="FFFFFF"/>
        </w:rPr>
        <w:t>Bhugra</w:t>
      </w:r>
      <w:proofErr w:type="spellEnd"/>
      <w:r w:rsidRPr="004338A7">
        <w:rPr>
          <w:color w:val="222222"/>
          <w:sz w:val="22"/>
          <w:szCs w:val="22"/>
          <w:shd w:val="clear" w:color="auto" w:fill="FFFFFF"/>
        </w:rPr>
        <w:t xml:space="preserve">, D., Tasman, A., </w:t>
      </w:r>
      <w:proofErr w:type="spellStart"/>
      <w:r w:rsidRPr="004338A7">
        <w:rPr>
          <w:color w:val="222222"/>
          <w:sz w:val="22"/>
          <w:szCs w:val="22"/>
          <w:shd w:val="clear" w:color="auto" w:fill="FFFFFF"/>
        </w:rPr>
        <w:t>Pathare</w:t>
      </w:r>
      <w:proofErr w:type="spellEnd"/>
      <w:r w:rsidRPr="004338A7">
        <w:rPr>
          <w:color w:val="222222"/>
          <w:sz w:val="22"/>
          <w:szCs w:val="22"/>
          <w:shd w:val="clear" w:color="auto" w:fill="FFFFFF"/>
        </w:rPr>
        <w:t xml:space="preserve">, S., </w:t>
      </w:r>
      <w:proofErr w:type="spellStart"/>
      <w:r w:rsidRPr="004338A7">
        <w:rPr>
          <w:color w:val="222222"/>
          <w:sz w:val="22"/>
          <w:szCs w:val="22"/>
          <w:shd w:val="clear" w:color="auto" w:fill="FFFFFF"/>
        </w:rPr>
        <w:t>Priebe</w:t>
      </w:r>
      <w:proofErr w:type="spellEnd"/>
      <w:r w:rsidRPr="004338A7">
        <w:rPr>
          <w:color w:val="222222"/>
          <w:sz w:val="22"/>
          <w:szCs w:val="22"/>
          <w:shd w:val="clear" w:color="auto" w:fill="FFFFFF"/>
        </w:rPr>
        <w:t xml:space="preserve">, S., Smith, S., </w:t>
      </w:r>
      <w:proofErr w:type="spellStart"/>
      <w:r w:rsidRPr="004338A7">
        <w:rPr>
          <w:color w:val="222222"/>
          <w:sz w:val="22"/>
          <w:szCs w:val="22"/>
          <w:shd w:val="clear" w:color="auto" w:fill="FFFFFF"/>
        </w:rPr>
        <w:t>Torous</w:t>
      </w:r>
      <w:proofErr w:type="spellEnd"/>
      <w:r w:rsidRPr="004338A7">
        <w:rPr>
          <w:color w:val="222222"/>
          <w:sz w:val="22"/>
          <w:szCs w:val="22"/>
          <w:shd w:val="clear" w:color="auto" w:fill="FFFFFF"/>
        </w:rPr>
        <w:t xml:space="preserve">, J., Arbuckle, M.R., Langford, A., </w:t>
      </w:r>
      <w:proofErr w:type="spellStart"/>
      <w:r w:rsidRPr="004338A7">
        <w:rPr>
          <w:color w:val="222222"/>
          <w:sz w:val="22"/>
          <w:szCs w:val="22"/>
          <w:shd w:val="clear" w:color="auto" w:fill="FFFFFF"/>
        </w:rPr>
        <w:t>Alarcón</w:t>
      </w:r>
      <w:proofErr w:type="spellEnd"/>
      <w:r w:rsidRPr="004338A7">
        <w:rPr>
          <w:color w:val="222222"/>
          <w:sz w:val="22"/>
          <w:szCs w:val="22"/>
          <w:shd w:val="clear" w:color="auto" w:fill="FFFFFF"/>
        </w:rPr>
        <w:t>, R.D., Chiu, H.F.K. and First, M.B., 2017.</w:t>
      </w:r>
      <w:proofErr w:type="gramEnd"/>
      <w:r w:rsidRPr="004338A7">
        <w:rPr>
          <w:color w:val="222222"/>
          <w:sz w:val="22"/>
          <w:szCs w:val="22"/>
          <w:shd w:val="clear" w:color="auto" w:fill="FFFFFF"/>
        </w:rPr>
        <w:t xml:space="preserve"> </w:t>
      </w:r>
      <w:proofErr w:type="gramStart"/>
      <w:r w:rsidRPr="004338A7">
        <w:rPr>
          <w:color w:val="222222"/>
          <w:sz w:val="22"/>
          <w:szCs w:val="22"/>
          <w:shd w:val="clear" w:color="auto" w:fill="FFFFFF"/>
        </w:rPr>
        <w:t>The WPA-lancet psychiatry commission on the future of psychiatry.</w:t>
      </w:r>
      <w:proofErr w:type="gramEnd"/>
      <w:r w:rsidRPr="004338A7">
        <w:rPr>
          <w:color w:val="222222"/>
          <w:sz w:val="22"/>
          <w:szCs w:val="22"/>
          <w:shd w:val="clear" w:color="auto" w:fill="FFFFFF"/>
        </w:rPr>
        <w:t> </w:t>
      </w:r>
      <w:proofErr w:type="gramStart"/>
      <w:r w:rsidRPr="004338A7">
        <w:rPr>
          <w:i/>
          <w:iCs/>
          <w:color w:val="222222"/>
          <w:sz w:val="22"/>
          <w:szCs w:val="22"/>
          <w:shd w:val="clear" w:color="auto" w:fill="FFFFFF"/>
        </w:rPr>
        <w:t>The Lancet Psychiatry</w:t>
      </w:r>
      <w:r w:rsidRPr="004338A7">
        <w:rPr>
          <w:color w:val="222222"/>
          <w:sz w:val="22"/>
          <w:szCs w:val="22"/>
          <w:shd w:val="clear" w:color="auto" w:fill="FFFFFF"/>
        </w:rPr>
        <w:t>, </w:t>
      </w:r>
      <w:r w:rsidRPr="004338A7">
        <w:rPr>
          <w:i/>
          <w:iCs/>
          <w:color w:val="222222"/>
          <w:sz w:val="22"/>
          <w:szCs w:val="22"/>
          <w:shd w:val="clear" w:color="auto" w:fill="FFFFFF"/>
        </w:rPr>
        <w:t>4</w:t>
      </w:r>
      <w:r w:rsidRPr="004338A7">
        <w:rPr>
          <w:color w:val="222222"/>
          <w:sz w:val="22"/>
          <w:szCs w:val="22"/>
          <w:shd w:val="clear" w:color="auto" w:fill="FFFFFF"/>
        </w:rPr>
        <w:t>(10), pp.775-818.</w:t>
      </w:r>
      <w:proofErr w:type="gramEnd"/>
    </w:p>
    <w:p w:rsidR="004338A7" w:rsidRPr="004338A7" w:rsidRDefault="004338A7" w:rsidP="00B83157">
      <w:pPr>
        <w:spacing w:after="160" w:line="360" w:lineRule="auto"/>
        <w:ind w:left="880" w:hangingChars="400" w:hanging="880"/>
        <w:rPr>
          <w:color w:val="222222"/>
          <w:sz w:val="22"/>
          <w:szCs w:val="22"/>
          <w:shd w:val="clear" w:color="auto" w:fill="FFFFFF"/>
        </w:rPr>
      </w:pPr>
      <w:proofErr w:type="spellStart"/>
      <w:proofErr w:type="gramStart"/>
      <w:r w:rsidRPr="004338A7">
        <w:rPr>
          <w:color w:val="222222"/>
          <w:sz w:val="22"/>
          <w:szCs w:val="22"/>
          <w:shd w:val="clear" w:color="auto" w:fill="FFFFFF"/>
        </w:rPr>
        <w:t>Broglia</w:t>
      </w:r>
      <w:proofErr w:type="spellEnd"/>
      <w:r w:rsidRPr="004338A7">
        <w:rPr>
          <w:color w:val="222222"/>
          <w:sz w:val="22"/>
          <w:szCs w:val="22"/>
          <w:shd w:val="clear" w:color="auto" w:fill="FFFFFF"/>
        </w:rPr>
        <w:t xml:space="preserve">, E., Millings, A. and </w:t>
      </w:r>
      <w:proofErr w:type="spellStart"/>
      <w:r w:rsidRPr="004338A7">
        <w:rPr>
          <w:color w:val="222222"/>
          <w:sz w:val="22"/>
          <w:szCs w:val="22"/>
          <w:shd w:val="clear" w:color="auto" w:fill="FFFFFF"/>
        </w:rPr>
        <w:t>Barkham</w:t>
      </w:r>
      <w:proofErr w:type="spellEnd"/>
      <w:r w:rsidRPr="004338A7">
        <w:rPr>
          <w:color w:val="222222"/>
          <w:sz w:val="22"/>
          <w:szCs w:val="22"/>
          <w:shd w:val="clear" w:color="auto" w:fill="FFFFFF"/>
        </w:rPr>
        <w:t>, M., 2021.</w:t>
      </w:r>
      <w:proofErr w:type="gramEnd"/>
      <w:r w:rsidRPr="004338A7">
        <w:rPr>
          <w:color w:val="222222"/>
          <w:sz w:val="22"/>
          <w:szCs w:val="22"/>
          <w:shd w:val="clear" w:color="auto" w:fill="FFFFFF"/>
        </w:rPr>
        <w:t xml:space="preserve"> Student mental health profiles and barriers to help seeking: When and why students seek help for a mental health concern. </w:t>
      </w:r>
      <w:r w:rsidRPr="004338A7">
        <w:rPr>
          <w:i/>
          <w:iCs/>
          <w:color w:val="222222"/>
          <w:sz w:val="22"/>
          <w:szCs w:val="22"/>
          <w:shd w:val="clear" w:color="auto" w:fill="FFFFFF"/>
        </w:rPr>
        <w:t>Counselling and psychotherapy research</w:t>
      </w:r>
      <w:r w:rsidRPr="004338A7">
        <w:rPr>
          <w:color w:val="222222"/>
          <w:sz w:val="22"/>
          <w:szCs w:val="22"/>
          <w:shd w:val="clear" w:color="auto" w:fill="FFFFFF"/>
        </w:rPr>
        <w:t>, </w:t>
      </w:r>
      <w:r w:rsidRPr="004338A7">
        <w:rPr>
          <w:i/>
          <w:iCs/>
          <w:color w:val="222222"/>
          <w:sz w:val="22"/>
          <w:szCs w:val="22"/>
          <w:shd w:val="clear" w:color="auto" w:fill="FFFFFF"/>
        </w:rPr>
        <w:t>21</w:t>
      </w:r>
      <w:r w:rsidRPr="004338A7">
        <w:rPr>
          <w:color w:val="222222"/>
          <w:sz w:val="22"/>
          <w:szCs w:val="22"/>
          <w:shd w:val="clear" w:color="auto" w:fill="FFFFFF"/>
        </w:rPr>
        <w:t>(4), pp.816-826.</w:t>
      </w:r>
    </w:p>
    <w:p w:rsidR="004338A7" w:rsidRPr="004338A7" w:rsidRDefault="004338A7" w:rsidP="00B83157">
      <w:pPr>
        <w:spacing w:after="160" w:line="360" w:lineRule="auto"/>
        <w:ind w:left="880" w:hangingChars="400" w:hanging="880"/>
        <w:rPr>
          <w:color w:val="1A1A1A"/>
          <w:sz w:val="22"/>
          <w:szCs w:val="22"/>
        </w:rPr>
      </w:pPr>
      <w:r w:rsidRPr="004338A7">
        <w:rPr>
          <w:color w:val="1A1A1A"/>
          <w:sz w:val="22"/>
          <w:szCs w:val="22"/>
        </w:rPr>
        <w:t>Care Quality Commission (CQC) (2023) Mental Health Act: the rise in detentions and inequalities. Newcastle: CQC. Available at: https://www.cqc.org.uk/publications/major-report/mental-health-act-rise-detentions-inequalities (Accessed: 15 May 2026).</w:t>
      </w:r>
    </w:p>
    <w:p w:rsidR="004338A7" w:rsidRPr="004338A7" w:rsidRDefault="004338A7" w:rsidP="00B83157">
      <w:pPr>
        <w:spacing w:after="200" w:line="360" w:lineRule="auto"/>
        <w:ind w:left="880" w:hangingChars="400" w:hanging="880"/>
        <w:rPr>
          <w:rFonts w:eastAsiaTheme="minorHAnsi"/>
          <w:sz w:val="22"/>
          <w:szCs w:val="22"/>
          <w:lang w:eastAsia="en-US"/>
        </w:rPr>
      </w:pPr>
      <w:proofErr w:type="gramStart"/>
      <w:r w:rsidRPr="004338A7">
        <w:rPr>
          <w:rFonts w:eastAsiaTheme="minorHAnsi"/>
          <w:sz w:val="22"/>
          <w:szCs w:val="22"/>
          <w:lang w:eastAsia="en-US"/>
        </w:rPr>
        <w:t>Department of Health and Social Care (DHSC) (2022) Community Pharmacy Contractual Framework 2019/20-2023/24.</w:t>
      </w:r>
      <w:proofErr w:type="gramEnd"/>
      <w:r w:rsidRPr="004338A7">
        <w:rPr>
          <w:rFonts w:eastAsiaTheme="minorHAnsi"/>
          <w:sz w:val="22"/>
          <w:szCs w:val="22"/>
          <w:lang w:eastAsia="en-US"/>
        </w:rPr>
        <w:t xml:space="preserve"> London: DHSC.</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Department of Health and Social Care (DHSC) (2023) Medicine supply notifications. London: DHSC. Available at: https://www.gov.uk/drug-device-alerts (Accessed: 15 May 2026).</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General Pharmaceutical Council (</w:t>
      </w:r>
      <w:proofErr w:type="spellStart"/>
      <w:r w:rsidRPr="004338A7">
        <w:rPr>
          <w:rFonts w:eastAsiaTheme="minorHAnsi"/>
          <w:sz w:val="22"/>
          <w:szCs w:val="22"/>
          <w:lang w:eastAsia="en-US"/>
        </w:rPr>
        <w:t>GPhC</w:t>
      </w:r>
      <w:proofErr w:type="spellEnd"/>
      <w:r w:rsidRPr="004338A7">
        <w:rPr>
          <w:rFonts w:eastAsiaTheme="minorHAnsi"/>
          <w:sz w:val="22"/>
          <w:szCs w:val="22"/>
          <w:lang w:eastAsia="en-US"/>
        </w:rPr>
        <w:t xml:space="preserve">) (2023) Annual report and accounts 2022-2023. London: </w:t>
      </w:r>
      <w:proofErr w:type="spellStart"/>
      <w:r w:rsidRPr="004338A7">
        <w:rPr>
          <w:rFonts w:eastAsiaTheme="minorHAnsi"/>
          <w:sz w:val="22"/>
          <w:szCs w:val="22"/>
          <w:lang w:eastAsia="en-US"/>
        </w:rPr>
        <w:t>GPhC</w:t>
      </w:r>
      <w:proofErr w:type="spellEnd"/>
      <w:r w:rsidRPr="004338A7">
        <w:rPr>
          <w:rFonts w:eastAsiaTheme="minorHAnsi"/>
          <w:sz w:val="22"/>
          <w:szCs w:val="22"/>
          <w:lang w:eastAsia="en-US"/>
        </w:rPr>
        <w:t>.</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 xml:space="preserve">Holloway, S. (2019) </w:t>
      </w:r>
      <w:proofErr w:type="gramStart"/>
      <w:r w:rsidRPr="004338A7">
        <w:rPr>
          <w:rFonts w:eastAsiaTheme="minorHAnsi"/>
          <w:sz w:val="22"/>
          <w:szCs w:val="22"/>
          <w:lang w:eastAsia="en-US"/>
        </w:rPr>
        <w:t>A</w:t>
      </w:r>
      <w:proofErr w:type="gramEnd"/>
      <w:r w:rsidRPr="004338A7">
        <w:rPr>
          <w:rFonts w:eastAsiaTheme="minorHAnsi"/>
          <w:sz w:val="22"/>
          <w:szCs w:val="22"/>
          <w:lang w:eastAsia="en-US"/>
        </w:rPr>
        <w:t xml:space="preserve"> history of the pharmaceutical industry. London: </w:t>
      </w:r>
      <w:proofErr w:type="spellStart"/>
      <w:r w:rsidRPr="004338A7">
        <w:rPr>
          <w:rFonts w:eastAsiaTheme="minorHAnsi"/>
          <w:sz w:val="22"/>
          <w:szCs w:val="22"/>
          <w:lang w:eastAsia="en-US"/>
        </w:rPr>
        <w:t>Routledge</w:t>
      </w:r>
      <w:proofErr w:type="spellEnd"/>
      <w:r w:rsidRPr="004338A7">
        <w:rPr>
          <w:rFonts w:eastAsiaTheme="minorHAnsi"/>
          <w:sz w:val="22"/>
          <w:szCs w:val="22"/>
          <w:lang w:eastAsia="en-US"/>
        </w:rPr>
        <w:t>.</w:t>
      </w:r>
    </w:p>
    <w:p w:rsidR="004338A7" w:rsidRPr="004338A7" w:rsidRDefault="004338A7" w:rsidP="00B83157">
      <w:pPr>
        <w:spacing w:after="160" w:line="360" w:lineRule="auto"/>
        <w:ind w:left="880" w:hangingChars="400" w:hanging="880"/>
        <w:rPr>
          <w:color w:val="222222"/>
          <w:sz w:val="22"/>
          <w:szCs w:val="22"/>
          <w:shd w:val="clear" w:color="auto" w:fill="FFFFFF"/>
        </w:rPr>
      </w:pPr>
      <w:proofErr w:type="spellStart"/>
      <w:r w:rsidRPr="004338A7">
        <w:rPr>
          <w:color w:val="222222"/>
          <w:sz w:val="22"/>
          <w:szCs w:val="22"/>
          <w:shd w:val="clear" w:color="auto" w:fill="FFFFFF"/>
        </w:rPr>
        <w:t>Killaspy</w:t>
      </w:r>
      <w:proofErr w:type="spellEnd"/>
      <w:r w:rsidRPr="004338A7">
        <w:rPr>
          <w:color w:val="222222"/>
          <w:sz w:val="22"/>
          <w:szCs w:val="22"/>
          <w:shd w:val="clear" w:color="auto" w:fill="FFFFFF"/>
        </w:rPr>
        <w:t xml:space="preserve">, H., Harvey, C., </w:t>
      </w:r>
      <w:proofErr w:type="spellStart"/>
      <w:r w:rsidRPr="004338A7">
        <w:rPr>
          <w:color w:val="222222"/>
          <w:sz w:val="22"/>
          <w:szCs w:val="22"/>
          <w:shd w:val="clear" w:color="auto" w:fill="FFFFFF"/>
        </w:rPr>
        <w:t>Brasier</w:t>
      </w:r>
      <w:proofErr w:type="spellEnd"/>
      <w:r w:rsidRPr="004338A7">
        <w:rPr>
          <w:color w:val="222222"/>
          <w:sz w:val="22"/>
          <w:szCs w:val="22"/>
          <w:shd w:val="clear" w:color="auto" w:fill="FFFFFF"/>
        </w:rPr>
        <w:t xml:space="preserve">, C., </w:t>
      </w:r>
      <w:proofErr w:type="spellStart"/>
      <w:r w:rsidRPr="004338A7">
        <w:rPr>
          <w:color w:val="222222"/>
          <w:sz w:val="22"/>
          <w:szCs w:val="22"/>
          <w:shd w:val="clear" w:color="auto" w:fill="FFFFFF"/>
        </w:rPr>
        <w:t>Brophy</w:t>
      </w:r>
      <w:proofErr w:type="spellEnd"/>
      <w:r w:rsidRPr="004338A7">
        <w:rPr>
          <w:color w:val="222222"/>
          <w:sz w:val="22"/>
          <w:szCs w:val="22"/>
          <w:shd w:val="clear" w:color="auto" w:fill="FFFFFF"/>
        </w:rPr>
        <w:t xml:space="preserve">, L., </w:t>
      </w:r>
      <w:proofErr w:type="spellStart"/>
      <w:r w:rsidRPr="004338A7">
        <w:rPr>
          <w:color w:val="222222"/>
          <w:sz w:val="22"/>
          <w:szCs w:val="22"/>
          <w:shd w:val="clear" w:color="auto" w:fill="FFFFFF"/>
        </w:rPr>
        <w:t>Ennals</w:t>
      </w:r>
      <w:proofErr w:type="spellEnd"/>
      <w:r w:rsidRPr="004338A7">
        <w:rPr>
          <w:color w:val="222222"/>
          <w:sz w:val="22"/>
          <w:szCs w:val="22"/>
          <w:shd w:val="clear" w:color="auto" w:fill="FFFFFF"/>
        </w:rPr>
        <w:t>, P., Fletcher, J. and Hamilton, B., 2022. Community</w:t>
      </w:r>
      <w:r w:rsidRPr="004338A7">
        <w:rPr>
          <w:rFonts w:ascii="Cambria Math" w:hAnsi="Cambria Math" w:cs="Cambria Math"/>
          <w:color w:val="222222"/>
          <w:sz w:val="22"/>
          <w:szCs w:val="22"/>
          <w:shd w:val="clear" w:color="auto" w:fill="FFFFFF"/>
        </w:rPr>
        <w:t>‐</w:t>
      </w:r>
      <w:r w:rsidRPr="004338A7">
        <w:rPr>
          <w:color w:val="222222"/>
          <w:sz w:val="22"/>
          <w:szCs w:val="22"/>
          <w:shd w:val="clear" w:color="auto" w:fill="FFFFFF"/>
        </w:rPr>
        <w:t>based social interventions for people with severe mental illness: a systematic review and narrative synthesis of recent evidence. </w:t>
      </w:r>
      <w:proofErr w:type="gramStart"/>
      <w:r w:rsidRPr="004338A7">
        <w:rPr>
          <w:i/>
          <w:iCs/>
          <w:color w:val="222222"/>
          <w:sz w:val="22"/>
          <w:szCs w:val="22"/>
          <w:shd w:val="clear" w:color="auto" w:fill="FFFFFF"/>
        </w:rPr>
        <w:t>World Psychiatry</w:t>
      </w:r>
      <w:r w:rsidRPr="004338A7">
        <w:rPr>
          <w:color w:val="222222"/>
          <w:sz w:val="22"/>
          <w:szCs w:val="22"/>
          <w:shd w:val="clear" w:color="auto" w:fill="FFFFFF"/>
        </w:rPr>
        <w:t>, </w:t>
      </w:r>
      <w:r w:rsidRPr="004338A7">
        <w:rPr>
          <w:i/>
          <w:iCs/>
          <w:color w:val="222222"/>
          <w:sz w:val="22"/>
          <w:szCs w:val="22"/>
          <w:shd w:val="clear" w:color="auto" w:fill="FFFFFF"/>
        </w:rPr>
        <w:t>21</w:t>
      </w:r>
      <w:r w:rsidRPr="004338A7">
        <w:rPr>
          <w:color w:val="222222"/>
          <w:sz w:val="22"/>
          <w:szCs w:val="22"/>
          <w:shd w:val="clear" w:color="auto" w:fill="FFFFFF"/>
        </w:rPr>
        <w:t>(1), pp.96-123.</w:t>
      </w:r>
      <w:proofErr w:type="gramEnd"/>
    </w:p>
    <w:p w:rsidR="004338A7" w:rsidRPr="004338A7" w:rsidRDefault="004338A7" w:rsidP="00B83157">
      <w:pPr>
        <w:spacing w:after="160" w:line="360" w:lineRule="auto"/>
        <w:ind w:left="880" w:hangingChars="400" w:hanging="880"/>
        <w:rPr>
          <w:color w:val="1A1A1A"/>
          <w:sz w:val="22"/>
          <w:szCs w:val="22"/>
        </w:rPr>
      </w:pPr>
      <w:r w:rsidRPr="004338A7">
        <w:rPr>
          <w:color w:val="1A1A1A"/>
          <w:sz w:val="22"/>
          <w:szCs w:val="22"/>
        </w:rPr>
        <w:t xml:space="preserve">King's Fund (2023) </w:t>
      </w:r>
      <w:proofErr w:type="gramStart"/>
      <w:r w:rsidRPr="004338A7">
        <w:rPr>
          <w:color w:val="1A1A1A"/>
          <w:sz w:val="22"/>
          <w:szCs w:val="22"/>
        </w:rPr>
        <w:t>Mental</w:t>
      </w:r>
      <w:proofErr w:type="gramEnd"/>
      <w:r w:rsidRPr="004338A7">
        <w:rPr>
          <w:color w:val="1A1A1A"/>
          <w:sz w:val="22"/>
          <w:szCs w:val="22"/>
        </w:rPr>
        <w:t xml:space="preserve"> health 360: workforce. London: King's Fund. Available at: https://www.kingsfund.org.uk/insight-and-analysis/data-and-charts/mental-health-360-workforce (Accessed: 15 May 2026).</w:t>
      </w:r>
    </w:p>
    <w:p w:rsidR="004338A7" w:rsidRPr="004338A7" w:rsidRDefault="004338A7" w:rsidP="00B83157">
      <w:pPr>
        <w:spacing w:after="200" w:line="360" w:lineRule="auto"/>
        <w:ind w:left="880" w:hangingChars="400" w:hanging="880"/>
        <w:rPr>
          <w:rFonts w:eastAsiaTheme="minorHAnsi"/>
          <w:sz w:val="22"/>
          <w:szCs w:val="22"/>
          <w:lang w:eastAsia="en-US"/>
        </w:rPr>
      </w:pPr>
      <w:proofErr w:type="gramStart"/>
      <w:r w:rsidRPr="004338A7">
        <w:rPr>
          <w:rFonts w:eastAsiaTheme="minorHAnsi"/>
          <w:sz w:val="22"/>
          <w:szCs w:val="22"/>
          <w:lang w:eastAsia="en-US"/>
        </w:rPr>
        <w:t>King's Fund (2023) The NHS workforce in numbers.</w:t>
      </w:r>
      <w:proofErr w:type="gramEnd"/>
      <w:r w:rsidRPr="004338A7">
        <w:rPr>
          <w:rFonts w:eastAsiaTheme="minorHAnsi"/>
          <w:sz w:val="22"/>
          <w:szCs w:val="22"/>
          <w:lang w:eastAsia="en-US"/>
        </w:rPr>
        <w:t xml:space="preserve"> London: King's Fund.</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King's Fund (2024) Medicines supply: what is going wrong and how can it be fixed? London: King's Fund.</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 xml:space="preserve">Lim, R., Ng, W. and </w:t>
      </w:r>
      <w:proofErr w:type="spellStart"/>
      <w:r w:rsidRPr="004338A7">
        <w:rPr>
          <w:rFonts w:eastAsiaTheme="minorHAnsi"/>
          <w:sz w:val="22"/>
          <w:szCs w:val="22"/>
          <w:lang w:eastAsia="en-US"/>
        </w:rPr>
        <w:t>Tordoff</w:t>
      </w:r>
      <w:proofErr w:type="spellEnd"/>
      <w:r w:rsidRPr="004338A7">
        <w:rPr>
          <w:rFonts w:eastAsiaTheme="minorHAnsi"/>
          <w:sz w:val="22"/>
          <w:szCs w:val="22"/>
          <w:lang w:eastAsia="en-US"/>
        </w:rPr>
        <w:t>, J. (2022) 'Pharmacy workforce planning: a global overview', Research in Social and Administrative Pharmacy, 18(3), pp. 2180-2187.</w:t>
      </w:r>
    </w:p>
    <w:p w:rsidR="004338A7" w:rsidRPr="004338A7" w:rsidRDefault="004338A7" w:rsidP="00B83157">
      <w:pPr>
        <w:spacing w:after="160" w:line="360" w:lineRule="auto"/>
        <w:ind w:left="880" w:hangingChars="400" w:hanging="880"/>
        <w:rPr>
          <w:color w:val="1A1A1A"/>
          <w:sz w:val="22"/>
          <w:szCs w:val="22"/>
        </w:rPr>
      </w:pPr>
      <w:r w:rsidRPr="004338A7">
        <w:rPr>
          <w:color w:val="1A1A1A"/>
          <w:sz w:val="22"/>
          <w:szCs w:val="22"/>
        </w:rPr>
        <w:t xml:space="preserve">Mind (2022) </w:t>
      </w:r>
      <w:proofErr w:type="gramStart"/>
      <w:r w:rsidRPr="004338A7">
        <w:rPr>
          <w:color w:val="1A1A1A"/>
          <w:sz w:val="22"/>
          <w:szCs w:val="22"/>
        </w:rPr>
        <w:t>Mental</w:t>
      </w:r>
      <w:proofErr w:type="gramEnd"/>
      <w:r w:rsidRPr="004338A7">
        <w:rPr>
          <w:color w:val="1A1A1A"/>
          <w:sz w:val="22"/>
          <w:szCs w:val="22"/>
        </w:rPr>
        <w:t xml:space="preserve"> health in the pandemic: findings from Mind's research. London: Mind. Available at: https://www.mind.org.uk/news-campaigns/news/mental-health-pandemic-findings (Accessed: 15 May 2026).</w:t>
      </w:r>
    </w:p>
    <w:p w:rsidR="004338A7" w:rsidRPr="004338A7" w:rsidRDefault="004338A7" w:rsidP="00B83157">
      <w:pPr>
        <w:spacing w:after="200" w:line="360" w:lineRule="auto"/>
        <w:ind w:left="880" w:hangingChars="400" w:hanging="880"/>
        <w:rPr>
          <w:rFonts w:eastAsiaTheme="minorHAnsi"/>
          <w:sz w:val="22"/>
          <w:szCs w:val="22"/>
          <w:lang w:eastAsia="en-US"/>
        </w:rPr>
      </w:pPr>
      <w:proofErr w:type="gramStart"/>
      <w:r w:rsidRPr="004338A7">
        <w:rPr>
          <w:rFonts w:eastAsiaTheme="minorHAnsi"/>
          <w:sz w:val="22"/>
          <w:szCs w:val="22"/>
          <w:lang w:eastAsia="en-US"/>
        </w:rPr>
        <w:t>NHS Digital (2023) NHS vacancy statistics England.</w:t>
      </w:r>
      <w:proofErr w:type="gramEnd"/>
      <w:r w:rsidRPr="004338A7">
        <w:rPr>
          <w:rFonts w:eastAsiaTheme="minorHAnsi"/>
          <w:sz w:val="22"/>
          <w:szCs w:val="22"/>
          <w:lang w:eastAsia="en-US"/>
        </w:rPr>
        <w:t xml:space="preserve"> Leeds: NHS Digital.</w:t>
      </w:r>
    </w:p>
    <w:p w:rsidR="004338A7" w:rsidRPr="004338A7" w:rsidRDefault="004338A7" w:rsidP="00B83157">
      <w:pPr>
        <w:spacing w:after="200" w:line="360" w:lineRule="auto"/>
        <w:ind w:left="880" w:hangingChars="400" w:hanging="880"/>
        <w:rPr>
          <w:rFonts w:eastAsiaTheme="minorHAnsi"/>
          <w:sz w:val="22"/>
          <w:szCs w:val="22"/>
          <w:lang w:eastAsia="en-US"/>
        </w:rPr>
      </w:pPr>
      <w:proofErr w:type="gramStart"/>
      <w:r w:rsidRPr="004338A7">
        <w:rPr>
          <w:rFonts w:eastAsiaTheme="minorHAnsi"/>
          <w:sz w:val="22"/>
          <w:szCs w:val="22"/>
          <w:lang w:eastAsia="en-US"/>
        </w:rPr>
        <w:t>NHS England (2023a) Pharmacy First.</w:t>
      </w:r>
      <w:proofErr w:type="gramEnd"/>
      <w:r w:rsidRPr="004338A7">
        <w:rPr>
          <w:rFonts w:eastAsiaTheme="minorHAnsi"/>
          <w:sz w:val="22"/>
          <w:szCs w:val="22"/>
          <w:lang w:eastAsia="en-US"/>
        </w:rPr>
        <w:t xml:space="preserve"> London: NHS England. Available at: https://www.england.nhs.uk/primary-care/pharmacy/pharmacy-first/ (Accessed: 15 May 2026).</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NHS England (2023b) Integrated Care Systems explained. London: NHS England.</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NHS England (2024) Pharmacy First: two million consultations milestone. London: NHS England.</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Nuffield Trust (2022) Community pharmacy: understanding its role in primary care. London: Nuffield Trust.</w:t>
      </w:r>
    </w:p>
    <w:p w:rsidR="004338A7" w:rsidRPr="004338A7" w:rsidRDefault="004338A7" w:rsidP="00B83157">
      <w:pPr>
        <w:spacing w:after="200" w:line="360" w:lineRule="auto"/>
        <w:ind w:left="880" w:hangingChars="400" w:hanging="880"/>
        <w:rPr>
          <w:rFonts w:eastAsiaTheme="minorHAnsi"/>
          <w:sz w:val="22"/>
          <w:szCs w:val="22"/>
          <w:lang w:eastAsia="en-US"/>
        </w:rPr>
      </w:pPr>
      <w:r w:rsidRPr="004338A7">
        <w:rPr>
          <w:rFonts w:eastAsiaTheme="minorHAnsi"/>
          <w:sz w:val="22"/>
          <w:szCs w:val="22"/>
          <w:lang w:eastAsia="en-US"/>
        </w:rPr>
        <w:t>Nuffield Trust (2023) Medicine supply shortages: impact on community pharmacy. London: Nuffield Trust.</w:t>
      </w:r>
    </w:p>
    <w:p w:rsidR="004338A7" w:rsidRPr="004338A7" w:rsidRDefault="004338A7" w:rsidP="00B83157">
      <w:pPr>
        <w:spacing w:after="160" w:line="360" w:lineRule="auto"/>
        <w:ind w:left="880" w:hangingChars="400" w:hanging="880"/>
        <w:rPr>
          <w:color w:val="222222"/>
          <w:sz w:val="22"/>
          <w:szCs w:val="22"/>
          <w:shd w:val="clear" w:color="auto" w:fill="FFFFFF"/>
        </w:rPr>
      </w:pPr>
      <w:proofErr w:type="gramStart"/>
      <w:r w:rsidRPr="004338A7">
        <w:rPr>
          <w:color w:val="222222"/>
          <w:sz w:val="22"/>
          <w:szCs w:val="22"/>
          <w:shd w:val="clear" w:color="auto" w:fill="FFFFFF"/>
        </w:rPr>
        <w:t xml:space="preserve">Patel, V., </w:t>
      </w:r>
      <w:proofErr w:type="spellStart"/>
      <w:r w:rsidRPr="004338A7">
        <w:rPr>
          <w:color w:val="222222"/>
          <w:sz w:val="22"/>
          <w:szCs w:val="22"/>
          <w:shd w:val="clear" w:color="auto" w:fill="FFFFFF"/>
        </w:rPr>
        <w:t>Saxena</w:t>
      </w:r>
      <w:proofErr w:type="spellEnd"/>
      <w:r w:rsidRPr="004338A7">
        <w:rPr>
          <w:color w:val="222222"/>
          <w:sz w:val="22"/>
          <w:szCs w:val="22"/>
          <w:shd w:val="clear" w:color="auto" w:fill="FFFFFF"/>
        </w:rPr>
        <w:t xml:space="preserve">, S., Lund, C., </w:t>
      </w:r>
      <w:proofErr w:type="spellStart"/>
      <w:r w:rsidRPr="004338A7">
        <w:rPr>
          <w:color w:val="222222"/>
          <w:sz w:val="22"/>
          <w:szCs w:val="22"/>
          <w:shd w:val="clear" w:color="auto" w:fill="FFFFFF"/>
        </w:rPr>
        <w:t>Thornicroft</w:t>
      </w:r>
      <w:proofErr w:type="spellEnd"/>
      <w:r w:rsidRPr="004338A7">
        <w:rPr>
          <w:color w:val="222222"/>
          <w:sz w:val="22"/>
          <w:szCs w:val="22"/>
          <w:shd w:val="clear" w:color="auto" w:fill="FFFFFF"/>
        </w:rPr>
        <w:t xml:space="preserve">, G., </w:t>
      </w:r>
      <w:proofErr w:type="spellStart"/>
      <w:r w:rsidRPr="004338A7">
        <w:rPr>
          <w:color w:val="222222"/>
          <w:sz w:val="22"/>
          <w:szCs w:val="22"/>
          <w:shd w:val="clear" w:color="auto" w:fill="FFFFFF"/>
        </w:rPr>
        <w:t>Baingana</w:t>
      </w:r>
      <w:proofErr w:type="spellEnd"/>
      <w:r w:rsidRPr="004338A7">
        <w:rPr>
          <w:color w:val="222222"/>
          <w:sz w:val="22"/>
          <w:szCs w:val="22"/>
          <w:shd w:val="clear" w:color="auto" w:fill="FFFFFF"/>
        </w:rPr>
        <w:t xml:space="preserve">, F., Bolton, P., Chisholm, D., Collins, P.Y., Cooper, J.L., Eaton, J. and </w:t>
      </w:r>
      <w:proofErr w:type="spellStart"/>
      <w:r w:rsidRPr="004338A7">
        <w:rPr>
          <w:color w:val="222222"/>
          <w:sz w:val="22"/>
          <w:szCs w:val="22"/>
          <w:shd w:val="clear" w:color="auto" w:fill="FFFFFF"/>
        </w:rPr>
        <w:t>Herrman</w:t>
      </w:r>
      <w:proofErr w:type="spellEnd"/>
      <w:r w:rsidRPr="004338A7">
        <w:rPr>
          <w:color w:val="222222"/>
          <w:sz w:val="22"/>
          <w:szCs w:val="22"/>
          <w:shd w:val="clear" w:color="auto" w:fill="FFFFFF"/>
        </w:rPr>
        <w:t>, H., 2018.</w:t>
      </w:r>
      <w:proofErr w:type="gramEnd"/>
      <w:r w:rsidRPr="004338A7">
        <w:rPr>
          <w:color w:val="222222"/>
          <w:sz w:val="22"/>
          <w:szCs w:val="22"/>
          <w:shd w:val="clear" w:color="auto" w:fill="FFFFFF"/>
        </w:rPr>
        <w:t xml:space="preserve"> The Lancet Commission on global mental health and sustainable development. </w:t>
      </w:r>
      <w:proofErr w:type="gramStart"/>
      <w:r w:rsidRPr="004338A7">
        <w:rPr>
          <w:i/>
          <w:iCs/>
          <w:color w:val="222222"/>
          <w:sz w:val="22"/>
          <w:szCs w:val="22"/>
          <w:shd w:val="clear" w:color="auto" w:fill="FFFFFF"/>
        </w:rPr>
        <w:t>The lancet</w:t>
      </w:r>
      <w:r w:rsidRPr="004338A7">
        <w:rPr>
          <w:color w:val="222222"/>
          <w:sz w:val="22"/>
          <w:szCs w:val="22"/>
          <w:shd w:val="clear" w:color="auto" w:fill="FFFFFF"/>
        </w:rPr>
        <w:t>, </w:t>
      </w:r>
      <w:r w:rsidRPr="004338A7">
        <w:rPr>
          <w:i/>
          <w:iCs/>
          <w:color w:val="222222"/>
          <w:sz w:val="22"/>
          <w:szCs w:val="22"/>
          <w:shd w:val="clear" w:color="auto" w:fill="FFFFFF"/>
        </w:rPr>
        <w:t>392</w:t>
      </w:r>
      <w:r w:rsidRPr="004338A7">
        <w:rPr>
          <w:color w:val="222222"/>
          <w:sz w:val="22"/>
          <w:szCs w:val="22"/>
          <w:shd w:val="clear" w:color="auto" w:fill="FFFFFF"/>
        </w:rPr>
        <w:t>(10157), pp.1553-1598.</w:t>
      </w:r>
      <w:proofErr w:type="gramEnd"/>
    </w:p>
    <w:p w:rsidR="004338A7" w:rsidRPr="004338A7" w:rsidRDefault="004338A7" w:rsidP="00B83157">
      <w:pPr>
        <w:spacing w:after="200" w:line="360" w:lineRule="auto"/>
        <w:ind w:left="880" w:hangingChars="400" w:hanging="880"/>
        <w:rPr>
          <w:rFonts w:eastAsiaTheme="minorHAnsi"/>
          <w:sz w:val="22"/>
          <w:szCs w:val="22"/>
          <w:lang w:eastAsia="en-US"/>
        </w:rPr>
      </w:pPr>
      <w:proofErr w:type="gramStart"/>
      <w:r w:rsidRPr="004338A7">
        <w:rPr>
          <w:rFonts w:eastAsiaTheme="minorHAnsi"/>
          <w:sz w:val="22"/>
          <w:szCs w:val="22"/>
          <w:lang w:eastAsia="en-US"/>
        </w:rPr>
        <w:t>Royal Pharmaceutical Society (RPS) (2021) Professional standards for the pharmacy team.</w:t>
      </w:r>
      <w:proofErr w:type="gramEnd"/>
      <w:r w:rsidRPr="004338A7">
        <w:rPr>
          <w:rFonts w:eastAsiaTheme="minorHAnsi"/>
          <w:sz w:val="22"/>
          <w:szCs w:val="22"/>
          <w:lang w:eastAsia="en-US"/>
        </w:rPr>
        <w:t xml:space="preserve"> London: RPS.</w:t>
      </w:r>
    </w:p>
    <w:p w:rsidR="004338A7" w:rsidRPr="004338A7" w:rsidRDefault="004338A7" w:rsidP="00B83157">
      <w:pPr>
        <w:spacing w:after="160" w:line="360" w:lineRule="auto"/>
        <w:ind w:left="880" w:hangingChars="400" w:hanging="880"/>
        <w:rPr>
          <w:color w:val="222222"/>
          <w:sz w:val="22"/>
          <w:szCs w:val="22"/>
          <w:shd w:val="clear" w:color="auto" w:fill="FFFFFF"/>
        </w:rPr>
      </w:pPr>
      <w:proofErr w:type="spellStart"/>
      <w:proofErr w:type="gramStart"/>
      <w:r w:rsidRPr="004338A7">
        <w:rPr>
          <w:color w:val="222222"/>
          <w:sz w:val="22"/>
          <w:szCs w:val="22"/>
          <w:shd w:val="clear" w:color="auto" w:fill="FFFFFF"/>
        </w:rPr>
        <w:t>Trevillion</w:t>
      </w:r>
      <w:proofErr w:type="spellEnd"/>
      <w:r w:rsidRPr="004338A7">
        <w:rPr>
          <w:color w:val="222222"/>
          <w:sz w:val="22"/>
          <w:szCs w:val="22"/>
          <w:shd w:val="clear" w:color="auto" w:fill="FFFFFF"/>
        </w:rPr>
        <w:t xml:space="preserve">, K., Stuart, R., </w:t>
      </w:r>
      <w:proofErr w:type="spellStart"/>
      <w:r w:rsidRPr="004338A7">
        <w:rPr>
          <w:color w:val="222222"/>
          <w:sz w:val="22"/>
          <w:szCs w:val="22"/>
          <w:shd w:val="clear" w:color="auto" w:fill="FFFFFF"/>
        </w:rPr>
        <w:t>Ocloo</w:t>
      </w:r>
      <w:proofErr w:type="spellEnd"/>
      <w:r w:rsidRPr="004338A7">
        <w:rPr>
          <w:color w:val="222222"/>
          <w:sz w:val="22"/>
          <w:szCs w:val="22"/>
          <w:shd w:val="clear" w:color="auto" w:fill="FFFFFF"/>
        </w:rPr>
        <w:t xml:space="preserve">, J., </w:t>
      </w:r>
      <w:proofErr w:type="spellStart"/>
      <w:r w:rsidRPr="004338A7">
        <w:rPr>
          <w:color w:val="222222"/>
          <w:sz w:val="22"/>
          <w:szCs w:val="22"/>
          <w:shd w:val="clear" w:color="auto" w:fill="FFFFFF"/>
        </w:rPr>
        <w:t>Broeckelmann</w:t>
      </w:r>
      <w:proofErr w:type="spellEnd"/>
      <w:r w:rsidRPr="004338A7">
        <w:rPr>
          <w:color w:val="222222"/>
          <w:sz w:val="22"/>
          <w:szCs w:val="22"/>
          <w:shd w:val="clear" w:color="auto" w:fill="FFFFFF"/>
        </w:rPr>
        <w:t xml:space="preserve">, E., </w:t>
      </w:r>
      <w:proofErr w:type="spellStart"/>
      <w:r w:rsidRPr="004338A7">
        <w:rPr>
          <w:color w:val="222222"/>
          <w:sz w:val="22"/>
          <w:szCs w:val="22"/>
          <w:shd w:val="clear" w:color="auto" w:fill="FFFFFF"/>
        </w:rPr>
        <w:t>Jeffreys</w:t>
      </w:r>
      <w:proofErr w:type="spellEnd"/>
      <w:r w:rsidRPr="004338A7">
        <w:rPr>
          <w:color w:val="222222"/>
          <w:sz w:val="22"/>
          <w:szCs w:val="22"/>
          <w:shd w:val="clear" w:color="auto" w:fill="FFFFFF"/>
        </w:rPr>
        <w:t xml:space="preserve">, S., </w:t>
      </w:r>
      <w:proofErr w:type="spellStart"/>
      <w:r w:rsidRPr="004338A7">
        <w:rPr>
          <w:color w:val="222222"/>
          <w:sz w:val="22"/>
          <w:szCs w:val="22"/>
          <w:shd w:val="clear" w:color="auto" w:fill="FFFFFF"/>
        </w:rPr>
        <w:t>Jeynes</w:t>
      </w:r>
      <w:proofErr w:type="spellEnd"/>
      <w:r w:rsidRPr="004338A7">
        <w:rPr>
          <w:color w:val="222222"/>
          <w:sz w:val="22"/>
          <w:szCs w:val="22"/>
          <w:shd w:val="clear" w:color="auto" w:fill="FFFFFF"/>
        </w:rPr>
        <w:t>, T., Allen, D., Russell, J., Billings, J., Crawford, M.J. and Dale, O., 2022.</w:t>
      </w:r>
      <w:proofErr w:type="gramEnd"/>
      <w:r w:rsidRPr="004338A7">
        <w:rPr>
          <w:color w:val="222222"/>
          <w:sz w:val="22"/>
          <w:szCs w:val="22"/>
          <w:shd w:val="clear" w:color="auto" w:fill="FFFFFF"/>
        </w:rPr>
        <w:t xml:space="preserve"> Service user perspectives of community mental health services for people with complex emotional needs: a co-produced qualitative interview study. </w:t>
      </w:r>
      <w:proofErr w:type="gramStart"/>
      <w:r w:rsidRPr="004338A7">
        <w:rPr>
          <w:i/>
          <w:iCs/>
          <w:color w:val="222222"/>
          <w:sz w:val="22"/>
          <w:szCs w:val="22"/>
          <w:shd w:val="clear" w:color="auto" w:fill="FFFFFF"/>
        </w:rPr>
        <w:t>BMC psychiatry</w:t>
      </w:r>
      <w:r w:rsidRPr="004338A7">
        <w:rPr>
          <w:color w:val="222222"/>
          <w:sz w:val="22"/>
          <w:szCs w:val="22"/>
          <w:shd w:val="clear" w:color="auto" w:fill="FFFFFF"/>
        </w:rPr>
        <w:t>, </w:t>
      </w:r>
      <w:r w:rsidRPr="004338A7">
        <w:rPr>
          <w:i/>
          <w:iCs/>
          <w:color w:val="222222"/>
          <w:sz w:val="22"/>
          <w:szCs w:val="22"/>
          <w:shd w:val="clear" w:color="auto" w:fill="FFFFFF"/>
        </w:rPr>
        <w:t>22</w:t>
      </w:r>
      <w:r w:rsidRPr="004338A7">
        <w:rPr>
          <w:color w:val="222222"/>
          <w:sz w:val="22"/>
          <w:szCs w:val="22"/>
          <w:shd w:val="clear" w:color="auto" w:fill="FFFFFF"/>
        </w:rPr>
        <w:t>(1), p.55.</w:t>
      </w:r>
      <w:proofErr w:type="gramEnd"/>
    </w:p>
    <w:sectPr w:rsidR="004338A7" w:rsidRPr="004338A7">
      <w:footerReference w:type="default" r:id="rId13"/>
      <w:pgSz w:w="11906" w:h="16838"/>
      <w:pgMar w:top="500" w:right="500" w:bottom="800" w:left="50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AD9" w:rsidRDefault="00D92AD9">
      <w:r>
        <w:separator/>
      </w:r>
    </w:p>
  </w:endnote>
  <w:endnote w:type="continuationSeparator" w:id="0">
    <w:p w:rsidR="00D92AD9" w:rsidRDefault="00D9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A70" w:rsidRDefault="00D92AD9">
    <w:pPr>
      <w:jc w:val="center"/>
    </w:pPr>
    <w:proofErr w:type="gramStart"/>
    <w:r>
      <w:rPr>
        <w:color w:val="888888"/>
        <w:sz w:val="16"/>
        <w:szCs w:val="16"/>
      </w:rPr>
      <w:t>LCHS4003  |</w:t>
    </w:r>
    <w:proofErr w:type="gramEnd"/>
    <w:r>
      <w:rPr>
        <w:color w:val="888888"/>
        <w:sz w:val="16"/>
        <w:szCs w:val="16"/>
      </w:rPr>
      <w:t xml:space="preserve">  Task 1 Poster  |  Page </w:t>
    </w:r>
    <w:r>
      <w:rPr>
        <w:color w:val="888888"/>
        <w:sz w:val="16"/>
        <w:szCs w:val="16"/>
      </w:rPr>
      <w:fldChar w:fldCharType="begin"/>
    </w:r>
    <w:r>
      <w:rPr>
        <w:color w:val="888888"/>
        <w:sz w:val="16"/>
        <w:szCs w:val="16"/>
      </w:rPr>
      <w:instrText>PAGE</w:instrText>
    </w:r>
    <w:r w:rsidR="00CC48FB">
      <w:rPr>
        <w:color w:val="888888"/>
        <w:sz w:val="16"/>
        <w:szCs w:val="16"/>
      </w:rPr>
      <w:fldChar w:fldCharType="separate"/>
    </w:r>
    <w:r w:rsidR="00B83157">
      <w:rPr>
        <w:noProof/>
        <w:color w:val="888888"/>
        <w:sz w:val="16"/>
        <w:szCs w:val="16"/>
      </w:rPr>
      <w:t>2</w:t>
    </w:r>
    <w:r>
      <w:rPr>
        <w:color w:val="888888"/>
        <w:sz w:val="16"/>
        <w:szCs w:val="16"/>
      </w:rPr>
      <w:fldChar w:fldCharType="end"/>
    </w:r>
    <w:r>
      <w:rPr>
        <w:color w:val="888888"/>
        <w:sz w:val="16"/>
        <w:szCs w:val="16"/>
      </w:rPr>
      <w:t xml:space="preserve"> of </w:t>
    </w:r>
    <w:r>
      <w:rPr>
        <w:color w:val="888888"/>
        <w:sz w:val="16"/>
        <w:szCs w:val="16"/>
      </w:rPr>
      <w:fldChar w:fldCharType="begin"/>
    </w:r>
    <w:r>
      <w:rPr>
        <w:color w:val="888888"/>
        <w:sz w:val="16"/>
        <w:szCs w:val="16"/>
      </w:rPr>
      <w:instrText>NUMPAGES</w:instrText>
    </w:r>
    <w:r w:rsidR="00CC48FB">
      <w:rPr>
        <w:color w:val="888888"/>
        <w:sz w:val="16"/>
        <w:szCs w:val="16"/>
      </w:rPr>
      <w:fldChar w:fldCharType="separate"/>
    </w:r>
    <w:r w:rsidR="00B83157">
      <w:rPr>
        <w:noProof/>
        <w:color w:val="888888"/>
        <w:sz w:val="16"/>
        <w:szCs w:val="16"/>
      </w:rPr>
      <w:t>6</w:t>
    </w:r>
    <w:r>
      <w:rPr>
        <w:color w:val="88888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AD9" w:rsidRDefault="00D92AD9">
      <w:r>
        <w:separator/>
      </w:r>
    </w:p>
  </w:footnote>
  <w:footnote w:type="continuationSeparator" w:id="0">
    <w:p w:rsidR="00D92AD9" w:rsidRDefault="00D92A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D05DD"/>
    <w:multiLevelType w:val="hybridMultilevel"/>
    <w:tmpl w:val="3748347A"/>
    <w:lvl w:ilvl="0" w:tplc="8BF4919A">
      <w:start w:val="1"/>
      <w:numFmt w:val="bullet"/>
      <w:lvlText w:val="•"/>
      <w:lvlJc w:val="left"/>
      <w:pPr>
        <w:ind w:left="400" w:hanging="200"/>
      </w:pPr>
    </w:lvl>
    <w:lvl w:ilvl="1" w:tplc="282A23B4">
      <w:numFmt w:val="decimal"/>
      <w:lvlText w:val=""/>
      <w:lvlJc w:val="left"/>
    </w:lvl>
    <w:lvl w:ilvl="2" w:tplc="11A8BD0E">
      <w:numFmt w:val="decimal"/>
      <w:lvlText w:val=""/>
      <w:lvlJc w:val="left"/>
    </w:lvl>
    <w:lvl w:ilvl="3" w:tplc="4CD04950">
      <w:numFmt w:val="decimal"/>
      <w:lvlText w:val=""/>
      <w:lvlJc w:val="left"/>
    </w:lvl>
    <w:lvl w:ilvl="4" w:tplc="CF8A9F58">
      <w:numFmt w:val="decimal"/>
      <w:lvlText w:val=""/>
      <w:lvlJc w:val="left"/>
    </w:lvl>
    <w:lvl w:ilvl="5" w:tplc="9BFC9464">
      <w:numFmt w:val="decimal"/>
      <w:lvlText w:val=""/>
      <w:lvlJc w:val="left"/>
    </w:lvl>
    <w:lvl w:ilvl="6" w:tplc="4C420EE0">
      <w:numFmt w:val="decimal"/>
      <w:lvlText w:val=""/>
      <w:lvlJc w:val="left"/>
    </w:lvl>
    <w:lvl w:ilvl="7" w:tplc="007044E0">
      <w:numFmt w:val="decimal"/>
      <w:lvlText w:val=""/>
      <w:lvlJc w:val="left"/>
    </w:lvl>
    <w:lvl w:ilvl="8" w:tplc="A822B2D6">
      <w:numFmt w:val="decimal"/>
      <w:lvlText w:val=""/>
      <w:lvlJc w:val="left"/>
    </w:lvl>
  </w:abstractNum>
  <w:abstractNum w:abstractNumId="1">
    <w:nsid w:val="6D1D3EB2"/>
    <w:multiLevelType w:val="hybridMultilevel"/>
    <w:tmpl w:val="D50829DC"/>
    <w:lvl w:ilvl="0" w:tplc="21D89E72">
      <w:start w:val="1"/>
      <w:numFmt w:val="bullet"/>
      <w:lvlText w:val="●"/>
      <w:lvlJc w:val="left"/>
      <w:pPr>
        <w:ind w:left="720" w:hanging="360"/>
      </w:pPr>
    </w:lvl>
    <w:lvl w:ilvl="1" w:tplc="19DA2C08">
      <w:start w:val="1"/>
      <w:numFmt w:val="bullet"/>
      <w:lvlText w:val="○"/>
      <w:lvlJc w:val="left"/>
      <w:pPr>
        <w:ind w:left="1440" w:hanging="360"/>
      </w:pPr>
    </w:lvl>
    <w:lvl w:ilvl="2" w:tplc="9D8232DA">
      <w:start w:val="1"/>
      <w:numFmt w:val="bullet"/>
      <w:lvlText w:val="■"/>
      <w:lvlJc w:val="left"/>
      <w:pPr>
        <w:ind w:left="2160" w:hanging="360"/>
      </w:pPr>
    </w:lvl>
    <w:lvl w:ilvl="3" w:tplc="1EBEC4BC">
      <w:start w:val="1"/>
      <w:numFmt w:val="bullet"/>
      <w:lvlText w:val="●"/>
      <w:lvlJc w:val="left"/>
      <w:pPr>
        <w:ind w:left="2880" w:hanging="360"/>
      </w:pPr>
    </w:lvl>
    <w:lvl w:ilvl="4" w:tplc="E6226110">
      <w:start w:val="1"/>
      <w:numFmt w:val="bullet"/>
      <w:lvlText w:val="○"/>
      <w:lvlJc w:val="left"/>
      <w:pPr>
        <w:ind w:left="3600" w:hanging="360"/>
      </w:pPr>
    </w:lvl>
    <w:lvl w:ilvl="5" w:tplc="42204E50">
      <w:start w:val="1"/>
      <w:numFmt w:val="bullet"/>
      <w:lvlText w:val="■"/>
      <w:lvlJc w:val="left"/>
      <w:pPr>
        <w:ind w:left="4320" w:hanging="360"/>
      </w:pPr>
    </w:lvl>
    <w:lvl w:ilvl="6" w:tplc="C4B28254">
      <w:start w:val="1"/>
      <w:numFmt w:val="bullet"/>
      <w:lvlText w:val="●"/>
      <w:lvlJc w:val="left"/>
      <w:pPr>
        <w:ind w:left="5040" w:hanging="360"/>
      </w:pPr>
    </w:lvl>
    <w:lvl w:ilvl="7" w:tplc="4880D97C">
      <w:start w:val="1"/>
      <w:numFmt w:val="bullet"/>
      <w:lvlText w:val="●"/>
      <w:lvlJc w:val="left"/>
      <w:pPr>
        <w:ind w:left="5760" w:hanging="360"/>
      </w:pPr>
    </w:lvl>
    <w:lvl w:ilvl="8" w:tplc="F1D4F204">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772A70"/>
    <w:rsid w:val="00380153"/>
    <w:rsid w:val="004338A7"/>
    <w:rsid w:val="00772A70"/>
    <w:rsid w:val="00B83157"/>
    <w:rsid w:val="00CC48FB"/>
    <w:rsid w:val="00D92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18"/>
        <w:szCs w:val="18"/>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BalloonText">
    <w:name w:val="Balloon Text"/>
    <w:basedOn w:val="Normal"/>
    <w:link w:val="BalloonTextChar"/>
    <w:uiPriority w:val="99"/>
    <w:semiHidden/>
    <w:unhideWhenUsed/>
    <w:rsid w:val="00CC48FB"/>
    <w:rPr>
      <w:rFonts w:ascii="Tahoma" w:hAnsi="Tahoma" w:cs="Tahoma"/>
      <w:sz w:val="16"/>
      <w:szCs w:val="16"/>
    </w:rPr>
  </w:style>
  <w:style w:type="character" w:customStyle="1" w:styleId="BalloonTextChar">
    <w:name w:val="Balloon Text Char"/>
    <w:basedOn w:val="DefaultParagraphFont"/>
    <w:link w:val="BalloonText"/>
    <w:uiPriority w:val="99"/>
    <w:semiHidden/>
    <w:rsid w:val="00CC48FB"/>
    <w:rPr>
      <w:rFonts w:ascii="Tahoma" w:hAnsi="Tahoma" w:cs="Tahoma"/>
      <w:sz w:val="16"/>
      <w:szCs w:val="16"/>
    </w:rPr>
  </w:style>
  <w:style w:type="paragraph" w:styleId="Header">
    <w:name w:val="header"/>
    <w:basedOn w:val="Normal"/>
    <w:link w:val="HeaderChar"/>
    <w:uiPriority w:val="99"/>
    <w:unhideWhenUsed/>
    <w:rsid w:val="004338A7"/>
    <w:pPr>
      <w:tabs>
        <w:tab w:val="center" w:pos="4680"/>
        <w:tab w:val="right" w:pos="9360"/>
      </w:tabs>
    </w:pPr>
  </w:style>
  <w:style w:type="character" w:customStyle="1" w:styleId="HeaderChar">
    <w:name w:val="Header Char"/>
    <w:basedOn w:val="DefaultParagraphFont"/>
    <w:link w:val="Header"/>
    <w:uiPriority w:val="99"/>
    <w:rsid w:val="004338A7"/>
  </w:style>
  <w:style w:type="paragraph" w:styleId="Footer">
    <w:name w:val="footer"/>
    <w:basedOn w:val="Normal"/>
    <w:link w:val="FooterChar"/>
    <w:uiPriority w:val="99"/>
    <w:unhideWhenUsed/>
    <w:rsid w:val="004338A7"/>
    <w:pPr>
      <w:tabs>
        <w:tab w:val="center" w:pos="4680"/>
        <w:tab w:val="right" w:pos="9360"/>
      </w:tabs>
    </w:pPr>
  </w:style>
  <w:style w:type="character" w:customStyle="1" w:styleId="FooterChar">
    <w:name w:val="Footer Char"/>
    <w:basedOn w:val="DefaultParagraphFont"/>
    <w:link w:val="Footer"/>
    <w:uiPriority w:val="99"/>
    <w:rsid w:val="004338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18"/>
        <w:szCs w:val="18"/>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BalloonText">
    <w:name w:val="Balloon Text"/>
    <w:basedOn w:val="Normal"/>
    <w:link w:val="BalloonTextChar"/>
    <w:uiPriority w:val="99"/>
    <w:semiHidden/>
    <w:unhideWhenUsed/>
    <w:rsid w:val="00CC48FB"/>
    <w:rPr>
      <w:rFonts w:ascii="Tahoma" w:hAnsi="Tahoma" w:cs="Tahoma"/>
      <w:sz w:val="16"/>
      <w:szCs w:val="16"/>
    </w:rPr>
  </w:style>
  <w:style w:type="character" w:customStyle="1" w:styleId="BalloonTextChar">
    <w:name w:val="Balloon Text Char"/>
    <w:basedOn w:val="DefaultParagraphFont"/>
    <w:link w:val="BalloonText"/>
    <w:uiPriority w:val="99"/>
    <w:semiHidden/>
    <w:rsid w:val="00CC48FB"/>
    <w:rPr>
      <w:rFonts w:ascii="Tahoma" w:hAnsi="Tahoma" w:cs="Tahoma"/>
      <w:sz w:val="16"/>
      <w:szCs w:val="16"/>
    </w:rPr>
  </w:style>
  <w:style w:type="paragraph" w:styleId="Header">
    <w:name w:val="header"/>
    <w:basedOn w:val="Normal"/>
    <w:link w:val="HeaderChar"/>
    <w:uiPriority w:val="99"/>
    <w:unhideWhenUsed/>
    <w:rsid w:val="004338A7"/>
    <w:pPr>
      <w:tabs>
        <w:tab w:val="center" w:pos="4680"/>
        <w:tab w:val="right" w:pos="9360"/>
      </w:tabs>
    </w:pPr>
  </w:style>
  <w:style w:type="character" w:customStyle="1" w:styleId="HeaderChar">
    <w:name w:val="Header Char"/>
    <w:basedOn w:val="DefaultParagraphFont"/>
    <w:link w:val="Header"/>
    <w:uiPriority w:val="99"/>
    <w:rsid w:val="004338A7"/>
  </w:style>
  <w:style w:type="paragraph" w:styleId="Footer">
    <w:name w:val="footer"/>
    <w:basedOn w:val="Normal"/>
    <w:link w:val="FooterChar"/>
    <w:uiPriority w:val="99"/>
    <w:unhideWhenUsed/>
    <w:rsid w:val="004338A7"/>
    <w:pPr>
      <w:tabs>
        <w:tab w:val="center" w:pos="4680"/>
        <w:tab w:val="right" w:pos="9360"/>
      </w:tabs>
    </w:pPr>
  </w:style>
  <w:style w:type="character" w:customStyle="1" w:styleId="FooterChar">
    <w:name w:val="Footer Char"/>
    <w:basedOn w:val="DefaultParagraphFont"/>
    <w:link w:val="Footer"/>
    <w:uiPriority w:val="99"/>
    <w:rsid w:val="00433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06445-3DC6-4916-9B34-3D3BB626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Kelvin</cp:lastModifiedBy>
  <cp:revision>2</cp:revision>
  <dcterms:created xsi:type="dcterms:W3CDTF">2026-06-21T19:03:00Z</dcterms:created>
  <dcterms:modified xsi:type="dcterms:W3CDTF">2026-06-21T19:03:00Z</dcterms:modified>
</cp:coreProperties>
</file>