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A8C47" w14:textId="77777777" w:rsidR="004C30C4" w:rsidRPr="00E95330" w:rsidRDefault="004C30C4" w:rsidP="00DE1C7D">
      <w:pPr>
        <w:pStyle w:val="AssignHeader"/>
        <w:spacing w:line="276" w:lineRule="auto"/>
        <w:rPr>
          <w:sz w:val="32"/>
        </w:rPr>
      </w:pPr>
    </w:p>
    <w:p w14:paraId="514F89F9" w14:textId="77777777" w:rsidR="004C30C4" w:rsidRPr="00E95330" w:rsidRDefault="004C30C4" w:rsidP="00DE1C7D">
      <w:pPr>
        <w:pStyle w:val="AssignHeader"/>
        <w:spacing w:line="276" w:lineRule="auto"/>
        <w:rPr>
          <w:sz w:val="32"/>
        </w:rPr>
      </w:pPr>
    </w:p>
    <w:p w14:paraId="3A7434FE" w14:textId="71036411" w:rsidR="004C30C4" w:rsidRPr="00E95330" w:rsidRDefault="004C30C4" w:rsidP="00DE1C7D">
      <w:pPr>
        <w:pStyle w:val="AssignHeader"/>
        <w:spacing w:line="276" w:lineRule="auto"/>
        <w:rPr>
          <w:sz w:val="32"/>
        </w:rPr>
      </w:pPr>
      <w:r w:rsidRPr="00E95330">
        <w:rPr>
          <w:b w:val="0"/>
          <w:i w:val="0"/>
          <w:noProof/>
          <w:u w:val="none"/>
          <w:lang w:eastAsia="en-GB"/>
        </w:rPr>
        <w:drawing>
          <wp:anchor distT="0" distB="0" distL="114300" distR="114300" simplePos="0" relativeHeight="251656192" behindDoc="0" locked="0" layoutInCell="1" allowOverlap="1" wp14:anchorId="5048550B" wp14:editId="2CFC21E2">
            <wp:simplePos x="0" y="0"/>
            <wp:positionH relativeFrom="margin">
              <wp:align>center</wp:align>
            </wp:positionH>
            <wp:positionV relativeFrom="paragraph">
              <wp:posOffset>266065</wp:posOffset>
            </wp:positionV>
            <wp:extent cx="2753995" cy="1052195"/>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6278" t="48726" r="40098" b="35221"/>
                    <a:stretch/>
                  </pic:blipFill>
                  <pic:spPr bwMode="auto">
                    <a:xfrm>
                      <a:off x="0" y="0"/>
                      <a:ext cx="2753995" cy="1052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21CCC4" w14:textId="3C35A4E3" w:rsidR="004C30C4" w:rsidRPr="00E95330" w:rsidRDefault="004C30C4" w:rsidP="00DE1C7D">
      <w:pPr>
        <w:pStyle w:val="AssignHeader"/>
        <w:spacing w:line="276" w:lineRule="auto"/>
        <w:rPr>
          <w:b w:val="0"/>
          <w:i w:val="0"/>
          <w:sz w:val="32"/>
          <w:u w:val="none"/>
        </w:rPr>
      </w:pPr>
    </w:p>
    <w:p w14:paraId="06B9428A" w14:textId="77777777" w:rsidR="004C30C4" w:rsidRPr="00E95330" w:rsidRDefault="004C30C4" w:rsidP="00DE1C7D">
      <w:pPr>
        <w:pStyle w:val="AssignHeader"/>
        <w:spacing w:line="276" w:lineRule="auto"/>
        <w:rPr>
          <w:sz w:val="32"/>
        </w:rPr>
      </w:pPr>
    </w:p>
    <w:p w14:paraId="0C3A589D" w14:textId="77777777" w:rsidR="004C30C4" w:rsidRPr="00E95330" w:rsidRDefault="004C30C4" w:rsidP="00DE1C7D">
      <w:pPr>
        <w:pStyle w:val="AssignHeader"/>
        <w:spacing w:line="276" w:lineRule="auto"/>
        <w:rPr>
          <w:sz w:val="32"/>
        </w:rPr>
      </w:pPr>
    </w:p>
    <w:p w14:paraId="35664685" w14:textId="77777777" w:rsidR="004C30C4" w:rsidRPr="00E95330" w:rsidRDefault="004C30C4" w:rsidP="00DE1C7D">
      <w:pPr>
        <w:pStyle w:val="AssignHeader"/>
        <w:spacing w:line="276" w:lineRule="auto"/>
        <w:rPr>
          <w:sz w:val="32"/>
        </w:rPr>
      </w:pPr>
    </w:p>
    <w:p w14:paraId="3C54D3DD" w14:textId="77777777" w:rsidR="004C30C4" w:rsidRPr="00E95330" w:rsidRDefault="004C30C4" w:rsidP="00E778EF">
      <w:pPr>
        <w:pStyle w:val="AssignHeader"/>
        <w:spacing w:line="276" w:lineRule="auto"/>
        <w:jc w:val="left"/>
        <w:rPr>
          <w:sz w:val="32"/>
        </w:rPr>
      </w:pPr>
    </w:p>
    <w:p w14:paraId="1D50A426" w14:textId="77777777" w:rsidR="004C30C4" w:rsidRPr="00E95330" w:rsidRDefault="004C30C4" w:rsidP="004C30C4">
      <w:pPr>
        <w:pStyle w:val="AssignHeader"/>
        <w:spacing w:line="276" w:lineRule="auto"/>
        <w:rPr>
          <w:sz w:val="32"/>
        </w:rPr>
      </w:pPr>
    </w:p>
    <w:p w14:paraId="118CB437" w14:textId="52621169" w:rsidR="006419C3" w:rsidRDefault="00E778EF" w:rsidP="004C30C4">
      <w:pPr>
        <w:pStyle w:val="AssignHeader"/>
        <w:spacing w:line="276" w:lineRule="auto"/>
        <w:rPr>
          <w:sz w:val="32"/>
        </w:rPr>
      </w:pPr>
      <w:r>
        <w:rPr>
          <w:sz w:val="32"/>
        </w:rPr>
        <w:t xml:space="preserve">How does the use of mini whiteboards during whole class questioning activities affect learner involvement in the primary school classroom? </w:t>
      </w:r>
    </w:p>
    <w:p w14:paraId="7F630AB5" w14:textId="159EACFB" w:rsidR="00E778EF" w:rsidRDefault="00E778EF" w:rsidP="00E778EF">
      <w:pPr>
        <w:pStyle w:val="AssignSubHeader"/>
      </w:pPr>
    </w:p>
    <w:p w14:paraId="22AA4214" w14:textId="1D71C4D5" w:rsidR="00E778EF" w:rsidRDefault="00E778EF" w:rsidP="00E778EF">
      <w:pPr>
        <w:pStyle w:val="AssignSubHeader"/>
      </w:pPr>
    </w:p>
    <w:p w14:paraId="3098D21B" w14:textId="71C12E85" w:rsidR="00946A27" w:rsidRDefault="00946A27" w:rsidP="00946A27">
      <w:pPr>
        <w:pStyle w:val="AssignBody"/>
      </w:pPr>
    </w:p>
    <w:p w14:paraId="1B22A6EB" w14:textId="77777777" w:rsidR="00946A27" w:rsidRPr="00946A27" w:rsidRDefault="00946A27" w:rsidP="00946A27">
      <w:pPr>
        <w:pStyle w:val="AssignBody"/>
      </w:pPr>
    </w:p>
    <w:tbl>
      <w:tblPr>
        <w:tblStyle w:val="TableGrid"/>
        <w:tblW w:w="0" w:type="auto"/>
        <w:tblLook w:val="04A0" w:firstRow="1" w:lastRow="0" w:firstColumn="1" w:lastColumn="0" w:noHBand="0" w:noVBand="1"/>
      </w:tblPr>
      <w:tblGrid>
        <w:gridCol w:w="1722"/>
        <w:gridCol w:w="3647"/>
        <w:gridCol w:w="3647"/>
      </w:tblGrid>
      <w:tr w:rsidR="00E778EF" w14:paraId="6466E36C" w14:textId="77777777" w:rsidTr="001F2B6B">
        <w:tc>
          <w:tcPr>
            <w:tcW w:w="1722" w:type="dxa"/>
            <w:tcBorders>
              <w:top w:val="single" w:sz="4" w:space="0" w:color="auto"/>
              <w:left w:val="single" w:sz="4" w:space="0" w:color="auto"/>
              <w:bottom w:val="single" w:sz="4" w:space="0" w:color="auto"/>
              <w:right w:val="single" w:sz="4" w:space="0" w:color="auto"/>
            </w:tcBorders>
          </w:tcPr>
          <w:p w14:paraId="44B287DF" w14:textId="77777777" w:rsidR="00E778EF" w:rsidRDefault="00E778EF" w:rsidP="001F2B6B">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10133D1F" w14:textId="265BCDB6" w:rsidR="00E778EF" w:rsidRDefault="00E778EF" w:rsidP="001F2B6B">
            <w:pPr>
              <w:pStyle w:val="AssignBody"/>
            </w:pPr>
            <w:r>
              <w:t>Target</w:t>
            </w:r>
          </w:p>
        </w:tc>
        <w:tc>
          <w:tcPr>
            <w:tcW w:w="3647" w:type="dxa"/>
            <w:tcBorders>
              <w:top w:val="single" w:sz="4" w:space="0" w:color="auto"/>
              <w:left w:val="single" w:sz="4" w:space="0" w:color="auto"/>
              <w:bottom w:val="single" w:sz="4" w:space="0" w:color="auto"/>
              <w:right w:val="single" w:sz="4" w:space="0" w:color="auto"/>
            </w:tcBorders>
          </w:tcPr>
          <w:p w14:paraId="0D17C82B" w14:textId="77777777" w:rsidR="00E778EF" w:rsidRPr="00755E37" w:rsidRDefault="00E778EF" w:rsidP="001F2B6B">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E778EF" w14:paraId="33A18338" w14:textId="77777777" w:rsidTr="001F2B6B">
        <w:tc>
          <w:tcPr>
            <w:tcW w:w="1722" w:type="dxa"/>
            <w:tcBorders>
              <w:top w:val="single" w:sz="4" w:space="0" w:color="auto"/>
              <w:left w:val="single" w:sz="4" w:space="0" w:color="auto"/>
              <w:bottom w:val="single" w:sz="4" w:space="0" w:color="auto"/>
              <w:right w:val="single" w:sz="4" w:space="0" w:color="auto"/>
            </w:tcBorders>
            <w:hideMark/>
          </w:tcPr>
          <w:p w14:paraId="5A2FA337" w14:textId="07BF2DE9" w:rsidR="00E778EF" w:rsidRDefault="00E778EF" w:rsidP="001F2B6B">
            <w:pPr>
              <w:pStyle w:val="AssignBody"/>
            </w:pPr>
            <w:r>
              <w:t>Target 1</w:t>
            </w:r>
          </w:p>
        </w:tc>
        <w:tc>
          <w:tcPr>
            <w:tcW w:w="3647" w:type="dxa"/>
            <w:tcBorders>
              <w:top w:val="single" w:sz="4" w:space="0" w:color="auto"/>
              <w:left w:val="single" w:sz="4" w:space="0" w:color="auto"/>
              <w:bottom w:val="single" w:sz="4" w:space="0" w:color="auto"/>
              <w:right w:val="single" w:sz="4" w:space="0" w:color="auto"/>
            </w:tcBorders>
          </w:tcPr>
          <w:p w14:paraId="70954DEB" w14:textId="1BB63C2C" w:rsidR="00E778EF" w:rsidRDefault="00946A27" w:rsidP="00E0044B">
            <w:pPr>
              <w:pStyle w:val="AssignBody"/>
              <w:spacing w:line="276" w:lineRule="auto"/>
            </w:pPr>
            <w:r>
              <w:t>Further synthesis of reading will enhance understanding.</w:t>
            </w:r>
          </w:p>
        </w:tc>
        <w:tc>
          <w:tcPr>
            <w:tcW w:w="3647" w:type="dxa"/>
            <w:tcBorders>
              <w:top w:val="single" w:sz="4" w:space="0" w:color="auto"/>
              <w:left w:val="single" w:sz="4" w:space="0" w:color="auto"/>
              <w:bottom w:val="single" w:sz="4" w:space="0" w:color="auto"/>
              <w:right w:val="single" w:sz="4" w:space="0" w:color="auto"/>
            </w:tcBorders>
          </w:tcPr>
          <w:p w14:paraId="2ADB2184" w14:textId="60A55819" w:rsidR="00E778EF" w:rsidRDefault="00946A27" w:rsidP="00E0044B">
            <w:pPr>
              <w:pStyle w:val="AssignBody"/>
              <w:spacing w:line="276" w:lineRule="auto"/>
            </w:pPr>
            <w:r>
              <w:t>I have cross-referenced sources when possible and synthesised</w:t>
            </w:r>
            <w:r w:rsidR="00E0044B">
              <w:t xml:space="preserve"> all literature. </w:t>
            </w:r>
          </w:p>
        </w:tc>
      </w:tr>
      <w:tr w:rsidR="00E778EF" w14:paraId="08B3947F" w14:textId="77777777" w:rsidTr="001F2B6B">
        <w:tc>
          <w:tcPr>
            <w:tcW w:w="1722" w:type="dxa"/>
            <w:tcBorders>
              <w:top w:val="single" w:sz="4" w:space="0" w:color="auto"/>
              <w:left w:val="single" w:sz="4" w:space="0" w:color="auto"/>
              <w:bottom w:val="single" w:sz="4" w:space="0" w:color="auto"/>
              <w:right w:val="single" w:sz="4" w:space="0" w:color="auto"/>
            </w:tcBorders>
            <w:hideMark/>
          </w:tcPr>
          <w:p w14:paraId="4092DD5E" w14:textId="616D2C7D" w:rsidR="00E778EF" w:rsidRDefault="00E778EF" w:rsidP="001F2B6B">
            <w:pPr>
              <w:pStyle w:val="AssignBody"/>
            </w:pPr>
            <w:r>
              <w:t xml:space="preserve">Target </w:t>
            </w:r>
            <w:r w:rsidR="00E0044B">
              <w:t>2</w:t>
            </w:r>
          </w:p>
        </w:tc>
        <w:tc>
          <w:tcPr>
            <w:tcW w:w="3647" w:type="dxa"/>
            <w:tcBorders>
              <w:top w:val="single" w:sz="4" w:space="0" w:color="auto"/>
              <w:left w:val="single" w:sz="4" w:space="0" w:color="auto"/>
              <w:bottom w:val="single" w:sz="4" w:space="0" w:color="auto"/>
              <w:right w:val="single" w:sz="4" w:space="0" w:color="auto"/>
            </w:tcBorders>
          </w:tcPr>
          <w:p w14:paraId="5D43413A" w14:textId="1F38B9CB" w:rsidR="00E778EF" w:rsidRDefault="00E0044B" w:rsidP="00E0044B">
            <w:pPr>
              <w:pStyle w:val="AssignBody"/>
              <w:spacing w:line="276" w:lineRule="auto"/>
            </w:pPr>
            <w:r>
              <w:t>Ensure all referencing is accurate.</w:t>
            </w:r>
          </w:p>
        </w:tc>
        <w:tc>
          <w:tcPr>
            <w:tcW w:w="3647" w:type="dxa"/>
            <w:tcBorders>
              <w:top w:val="single" w:sz="4" w:space="0" w:color="auto"/>
              <w:left w:val="single" w:sz="4" w:space="0" w:color="auto"/>
              <w:bottom w:val="single" w:sz="4" w:space="0" w:color="auto"/>
              <w:right w:val="single" w:sz="4" w:space="0" w:color="auto"/>
            </w:tcBorders>
          </w:tcPr>
          <w:p w14:paraId="782A455A" w14:textId="7EC28652" w:rsidR="00E778EF" w:rsidRDefault="00E0044B" w:rsidP="00E0044B">
            <w:pPr>
              <w:pStyle w:val="AssignBody"/>
              <w:spacing w:line="276" w:lineRule="auto"/>
            </w:pPr>
            <w:r>
              <w:t xml:space="preserve">I have closely followed the Harvard referencing guide on the UWTSD website. </w:t>
            </w:r>
          </w:p>
        </w:tc>
      </w:tr>
    </w:tbl>
    <w:p w14:paraId="39B5F7A2" w14:textId="0C679AA3" w:rsidR="004C30C4" w:rsidRDefault="004C30C4" w:rsidP="00E778EF">
      <w:pPr>
        <w:pStyle w:val="AssignBody"/>
        <w:rPr>
          <w:b/>
        </w:rPr>
      </w:pPr>
    </w:p>
    <w:p w14:paraId="7DA4226C" w14:textId="1CC986D1" w:rsidR="00AD5CBA" w:rsidRDefault="00AD5CBA" w:rsidP="00E778EF">
      <w:pPr>
        <w:pStyle w:val="AssignBody"/>
        <w:rPr>
          <w:b/>
        </w:rPr>
      </w:pPr>
      <w:bookmarkStart w:id="0" w:name="_GoBack"/>
      <w:bookmarkEnd w:id="0"/>
    </w:p>
    <w:p w14:paraId="7A45C3E2" w14:textId="6178ABA3" w:rsidR="00AD5CBA" w:rsidRDefault="00AD5CBA" w:rsidP="00E778EF">
      <w:pPr>
        <w:pStyle w:val="AssignBody"/>
        <w:rPr>
          <w:b/>
        </w:rPr>
      </w:pPr>
    </w:p>
    <w:p w14:paraId="6D5D73D7" w14:textId="77777777" w:rsidR="00AD5CBA" w:rsidRPr="00E95330" w:rsidRDefault="00AD5CBA" w:rsidP="00E778EF">
      <w:pPr>
        <w:pStyle w:val="AssignBody"/>
        <w:rPr>
          <w:b/>
        </w:rPr>
      </w:pPr>
    </w:p>
    <w:p w14:paraId="14E9D3AD" w14:textId="77777777" w:rsidR="004C30C4" w:rsidRPr="00E95330" w:rsidRDefault="004C30C4" w:rsidP="00B7041A">
      <w:pPr>
        <w:pStyle w:val="AssignBody"/>
        <w:jc w:val="center"/>
        <w:rPr>
          <w:b/>
        </w:rPr>
      </w:pPr>
    </w:p>
    <w:p w14:paraId="2FAC1ABC" w14:textId="788A5D89" w:rsidR="004C30C4" w:rsidRPr="00E95330" w:rsidRDefault="004C30C4" w:rsidP="00B7041A">
      <w:pPr>
        <w:pStyle w:val="AssignBody"/>
        <w:jc w:val="center"/>
        <w:rPr>
          <w:b/>
        </w:rPr>
      </w:pPr>
      <w:r w:rsidRPr="00E95330">
        <w:rPr>
          <w:b/>
        </w:rPr>
        <w:t>Student Number: 1903170</w:t>
      </w:r>
    </w:p>
    <w:p w14:paraId="6F33364B" w14:textId="77777777" w:rsidR="004C30C4" w:rsidRPr="00E95330" w:rsidRDefault="004C30C4" w:rsidP="00B7041A">
      <w:pPr>
        <w:pStyle w:val="AssignBody"/>
        <w:jc w:val="center"/>
        <w:rPr>
          <w:b/>
        </w:rPr>
      </w:pPr>
    </w:p>
    <w:p w14:paraId="19EFF83D" w14:textId="18768620" w:rsidR="00B7041A" w:rsidRPr="00E95330" w:rsidRDefault="003065EA" w:rsidP="00B7041A">
      <w:pPr>
        <w:pStyle w:val="AssignBody"/>
        <w:jc w:val="center"/>
        <w:rPr>
          <w:b/>
        </w:rPr>
      </w:pPr>
      <w:r>
        <w:rPr>
          <w:b/>
        </w:rPr>
        <w:t xml:space="preserve">Word Count: </w:t>
      </w:r>
      <w:r w:rsidR="007D1D8E">
        <w:rPr>
          <w:b/>
        </w:rPr>
        <w:t>5003</w:t>
      </w:r>
    </w:p>
    <w:p w14:paraId="2686A47F" w14:textId="77777777" w:rsidR="004D4A67" w:rsidRPr="00E95330" w:rsidRDefault="004D4A67" w:rsidP="00B7041A">
      <w:pPr>
        <w:pStyle w:val="AssignBody"/>
        <w:jc w:val="center"/>
        <w:rPr>
          <w:b/>
        </w:rPr>
      </w:pPr>
    </w:p>
    <w:p w14:paraId="17DAD122" w14:textId="77777777" w:rsidR="009149FC" w:rsidRPr="00E95330" w:rsidRDefault="009149FC" w:rsidP="009149FC">
      <w:pPr>
        <w:pStyle w:val="AssignBody"/>
        <w:jc w:val="both"/>
      </w:pPr>
    </w:p>
    <w:p w14:paraId="4C0B613D" w14:textId="77777777" w:rsidR="009149FC" w:rsidRPr="00E95330" w:rsidRDefault="009149FC">
      <w:pPr>
        <w:rPr>
          <w:rFonts w:ascii="Arial" w:hAnsi="Arial"/>
        </w:rPr>
      </w:pPr>
      <w:r w:rsidRPr="00E95330">
        <w:br w:type="page"/>
      </w:r>
    </w:p>
    <w:p w14:paraId="2F3C0CD4" w14:textId="6FBAA087" w:rsidR="009149FC" w:rsidRDefault="006663FD" w:rsidP="009149FC">
      <w:pPr>
        <w:pStyle w:val="AssignBody"/>
        <w:jc w:val="both"/>
        <w:rPr>
          <w:u w:val="single"/>
        </w:rPr>
      </w:pPr>
      <w:r w:rsidRPr="00E95330">
        <w:rPr>
          <w:u w:val="single"/>
        </w:rPr>
        <w:lastRenderedPageBreak/>
        <w:t xml:space="preserve">Aim, Focus and Purpose </w:t>
      </w:r>
    </w:p>
    <w:p w14:paraId="65AD54E0" w14:textId="77777777" w:rsidR="00875130" w:rsidRPr="00E95330" w:rsidRDefault="00875130" w:rsidP="009149FC">
      <w:pPr>
        <w:pStyle w:val="AssignBody"/>
        <w:jc w:val="both"/>
        <w:rPr>
          <w:u w:val="single"/>
        </w:rPr>
      </w:pPr>
    </w:p>
    <w:p w14:paraId="08E378B1" w14:textId="25285F15" w:rsidR="00EE4634" w:rsidRPr="00E95330" w:rsidRDefault="00EE4634" w:rsidP="009149FC">
      <w:pPr>
        <w:pStyle w:val="AssignBody"/>
        <w:jc w:val="both"/>
      </w:pPr>
      <w:r w:rsidRPr="00E95330">
        <w:t>The</w:t>
      </w:r>
      <w:r w:rsidR="00FE3616" w:rsidRPr="00E95330">
        <w:t xml:space="preserve"> main</w:t>
      </w:r>
      <w:r w:rsidRPr="00E95330">
        <w:t xml:space="preserve"> </w:t>
      </w:r>
      <w:r w:rsidR="00FE3616" w:rsidRPr="00E95330">
        <w:t>aim</w:t>
      </w:r>
      <w:r w:rsidRPr="00E95330">
        <w:t xml:space="preserve"> of this research project was to determine the effect of using mini whiteboards upon learner involvement in the primary school classroom. Investigating assessment for learning strategies was of particular interest to </w:t>
      </w:r>
      <w:r w:rsidR="0069447C">
        <w:t xml:space="preserve">me and </w:t>
      </w:r>
      <w:r w:rsidRPr="00E95330">
        <w:t xml:space="preserve">my research partner and we had observed that mini whiteboards had not been used regularly in </w:t>
      </w:r>
      <w:r w:rsidRPr="00E95330">
        <w:rPr>
          <w:i/>
        </w:rPr>
        <w:t>School X</w:t>
      </w:r>
      <w:r w:rsidRPr="00E95330">
        <w:t xml:space="preserve">. </w:t>
      </w:r>
      <w:r w:rsidR="00E65B49" w:rsidRPr="00E95330">
        <w:t>Moreover, during PTE 1 – Block 1, the school’s headteacher introduced an initiative ensuring that all pupils had their own mini whiteboard.</w:t>
      </w:r>
      <w:r w:rsidR="00FE3616" w:rsidRPr="00E95330">
        <w:t xml:space="preserve"> We utilised the opportunity to deliver numeracy lessons with the aid of mini whiteboards, in order to determine their potential effectiveness in raising pupil involvement levels</w:t>
      </w:r>
      <w:r w:rsidR="005B2D97" w:rsidRPr="00E95330">
        <w:t>. Furthermore, we</w:t>
      </w:r>
      <w:r w:rsidR="00FE3616" w:rsidRPr="00E95330">
        <w:t xml:space="preserve"> use</w:t>
      </w:r>
      <w:r w:rsidR="005B2D97" w:rsidRPr="00E95330">
        <w:t>d</w:t>
      </w:r>
      <w:r w:rsidR="00FE3616" w:rsidRPr="00E95330">
        <w:t xml:space="preserve"> this lesson study experience to experiment with</w:t>
      </w:r>
      <w:r w:rsidR="0069447C">
        <w:t xml:space="preserve"> a</w:t>
      </w:r>
      <w:r w:rsidR="00FE3616" w:rsidRPr="00E95330">
        <w:t xml:space="preserve"> previously unused asse</w:t>
      </w:r>
      <w:r w:rsidR="005B2D97" w:rsidRPr="00E95330">
        <w:t xml:space="preserve">ssment for learning technique so that learning within the classroom may be augmented and future teaching practice can be expertly informed. </w:t>
      </w:r>
    </w:p>
    <w:p w14:paraId="0FE38FE4" w14:textId="77777777" w:rsidR="000475A3" w:rsidRPr="00E95330" w:rsidRDefault="000475A3" w:rsidP="009149FC">
      <w:pPr>
        <w:pStyle w:val="AssignBody"/>
        <w:jc w:val="both"/>
        <w:rPr>
          <w:u w:val="single"/>
        </w:rPr>
      </w:pPr>
    </w:p>
    <w:p w14:paraId="34AE5BCA" w14:textId="1A26D8BD" w:rsidR="0069445E" w:rsidRDefault="006663FD" w:rsidP="00F9019F">
      <w:pPr>
        <w:pStyle w:val="AssignBody"/>
        <w:jc w:val="both"/>
        <w:rPr>
          <w:u w:val="single"/>
        </w:rPr>
      </w:pPr>
      <w:r w:rsidRPr="00E95330">
        <w:rPr>
          <w:u w:val="single"/>
        </w:rPr>
        <w:t xml:space="preserve">Research Context </w:t>
      </w:r>
    </w:p>
    <w:p w14:paraId="5F558ACC" w14:textId="77777777" w:rsidR="00875130" w:rsidRPr="00E95330" w:rsidRDefault="00875130" w:rsidP="00F9019F">
      <w:pPr>
        <w:pStyle w:val="AssignBody"/>
        <w:jc w:val="both"/>
        <w:rPr>
          <w:u w:val="single"/>
        </w:rPr>
      </w:pPr>
    </w:p>
    <w:p w14:paraId="573DE29E" w14:textId="0C3BF8AE" w:rsidR="0069445E" w:rsidRPr="00E95330" w:rsidRDefault="009507A3" w:rsidP="00F9019F">
      <w:pPr>
        <w:pStyle w:val="AssignBody"/>
        <w:jc w:val="both"/>
      </w:pPr>
      <w:r w:rsidRPr="00E95330">
        <w:t xml:space="preserve">Our research question </w:t>
      </w:r>
      <w:r w:rsidRPr="00BB0E74">
        <w:t xml:space="preserve">is: </w:t>
      </w:r>
      <w:r w:rsidRPr="00BB0E74">
        <w:rPr>
          <w:i/>
        </w:rPr>
        <w:t>How does the use of mini whiteboards during whole class questioning activities affect</w:t>
      </w:r>
      <w:r w:rsidR="00E778EF" w:rsidRPr="00BB0E74">
        <w:rPr>
          <w:i/>
        </w:rPr>
        <w:t xml:space="preserve"> learner</w:t>
      </w:r>
      <w:r w:rsidRPr="00BB0E74">
        <w:rPr>
          <w:i/>
        </w:rPr>
        <w:t xml:space="preserve"> involvement in the primary school classroom?</w:t>
      </w:r>
      <w:r w:rsidRPr="00BB0E74">
        <w:t xml:space="preserve"> </w:t>
      </w:r>
      <w:r w:rsidR="00B66F83" w:rsidRPr="00BB0E74">
        <w:t>The</w:t>
      </w:r>
      <w:r w:rsidR="00B66F83" w:rsidRPr="00E95330">
        <w:t xml:space="preserve"> lesson study observations took place in my research partner’s Year Three class, and later my Year Two class at </w:t>
      </w:r>
      <w:r w:rsidR="00B66F83" w:rsidRPr="00E95330">
        <w:rPr>
          <w:i/>
        </w:rPr>
        <w:t>School X</w:t>
      </w:r>
      <w:r w:rsidR="00B66F83" w:rsidRPr="00E95330">
        <w:t xml:space="preserve">. The school comprises 504 students as of 2019, with almost 40% consisting of English as an Additional Language (EAL) students (Welsh Government, 2019). The most recent </w:t>
      </w:r>
      <w:r w:rsidR="00B66F83" w:rsidRPr="00E95330">
        <w:rPr>
          <w:i/>
        </w:rPr>
        <w:t>Estyn</w:t>
      </w:r>
      <w:r w:rsidR="00B66F83" w:rsidRPr="00E95330">
        <w:t xml:space="preserve"> report described the school’s performance as “Good”, and the school was particularly praised for pupil wellbeing and promoting positive learning environments (Estyn, 2014). </w:t>
      </w:r>
    </w:p>
    <w:p w14:paraId="28BE0E57" w14:textId="77777777" w:rsidR="009507A3" w:rsidRPr="00E95330" w:rsidRDefault="009507A3" w:rsidP="00F9019F">
      <w:pPr>
        <w:pStyle w:val="AssignBody"/>
        <w:jc w:val="both"/>
        <w:rPr>
          <w:u w:val="single"/>
        </w:rPr>
      </w:pPr>
    </w:p>
    <w:p w14:paraId="7C2BA368" w14:textId="3F2BB4A0" w:rsidR="0069445E" w:rsidRDefault="0069445E" w:rsidP="00F9019F">
      <w:pPr>
        <w:pStyle w:val="AssignBody"/>
        <w:jc w:val="both"/>
        <w:rPr>
          <w:u w:val="single"/>
        </w:rPr>
      </w:pPr>
      <w:r w:rsidRPr="00E95330">
        <w:rPr>
          <w:u w:val="single"/>
        </w:rPr>
        <w:t xml:space="preserve">Relevant Literature </w:t>
      </w:r>
    </w:p>
    <w:p w14:paraId="7785ABC4" w14:textId="77777777" w:rsidR="00CD774A" w:rsidRPr="00E95330" w:rsidRDefault="00CD774A" w:rsidP="00F9019F">
      <w:pPr>
        <w:pStyle w:val="AssignBody"/>
        <w:jc w:val="both"/>
        <w:rPr>
          <w:u w:val="single"/>
        </w:rPr>
      </w:pPr>
    </w:p>
    <w:p w14:paraId="44D868A0" w14:textId="0538AFFE" w:rsidR="00496C9F" w:rsidRDefault="00187051" w:rsidP="0022285F">
      <w:pPr>
        <w:pStyle w:val="AssignBody"/>
        <w:jc w:val="both"/>
      </w:pPr>
      <w:r w:rsidRPr="00E95330">
        <w:t xml:space="preserve">Lessons require </w:t>
      </w:r>
      <w:r w:rsidR="003A7240" w:rsidRPr="00E95330">
        <w:t>proficient</w:t>
      </w:r>
      <w:r w:rsidRPr="00E95330">
        <w:t xml:space="preserve"> questioning strategies in order to </w:t>
      </w:r>
      <w:r w:rsidR="003A7240" w:rsidRPr="00E95330">
        <w:t xml:space="preserve">be productive, and a </w:t>
      </w:r>
      <w:r w:rsidR="007B26C1">
        <w:t>variety of techniques</w:t>
      </w:r>
      <w:r w:rsidR="003A7240" w:rsidRPr="00E95330">
        <w:t xml:space="preserve"> </w:t>
      </w:r>
      <w:r w:rsidR="00560624">
        <w:t xml:space="preserve">have long been debated </w:t>
      </w:r>
      <w:r w:rsidRPr="00E95330">
        <w:t>by academics</w:t>
      </w:r>
      <w:r w:rsidR="003A7240" w:rsidRPr="00E95330">
        <w:t xml:space="preserve">. </w:t>
      </w:r>
      <w:r w:rsidR="002E59A0" w:rsidRPr="00E95330">
        <w:t xml:space="preserve">It has often been </w:t>
      </w:r>
      <w:r w:rsidR="00E95330" w:rsidRPr="00E95330">
        <w:t>suggested that there is</w:t>
      </w:r>
      <w:r w:rsidR="003A7240" w:rsidRPr="00E95330">
        <w:t xml:space="preserve"> a positive correlation between frequently posing questions during lessons and the retaining of facts (Cotton, 2</w:t>
      </w:r>
      <w:r w:rsidR="002E59A0" w:rsidRPr="00E95330">
        <w:t>001).</w:t>
      </w:r>
      <w:r w:rsidR="002D7C04">
        <w:t xml:space="preserve"> However, Fusco (201</w:t>
      </w:r>
      <w:r w:rsidR="00914A04">
        <w:t>2</w:t>
      </w:r>
      <w:r w:rsidR="002D7C04">
        <w:t xml:space="preserve">) proposes that it is not the regularity of </w:t>
      </w:r>
      <w:r w:rsidR="00F54B79">
        <w:t xml:space="preserve">simple </w:t>
      </w:r>
      <w:r w:rsidR="002D7C04">
        <w:t xml:space="preserve">questions that matters, rather </w:t>
      </w:r>
      <w:r w:rsidR="00D60DC1">
        <w:t xml:space="preserve">it is equally as effective to ask </w:t>
      </w:r>
      <w:r w:rsidR="002D7C04">
        <w:t xml:space="preserve">fewer questions that promote creativity of thought. </w:t>
      </w:r>
      <w:r w:rsidR="00914A04">
        <w:t>Moreover, many academics propose that too many questions in quick succession can have a negative effect</w:t>
      </w:r>
      <w:r w:rsidR="001F1BAD">
        <w:t xml:space="preserve"> upon pupil concentration levels (Dillon, 198</w:t>
      </w:r>
      <w:r w:rsidR="00BF576F">
        <w:t>8</w:t>
      </w:r>
      <w:r w:rsidR="001F1BAD">
        <w:t xml:space="preserve">). </w:t>
      </w:r>
      <w:r w:rsidR="007B26C1">
        <w:t xml:space="preserve">The standard </w:t>
      </w:r>
      <w:r w:rsidR="007B26C1">
        <w:rPr>
          <w:i/>
        </w:rPr>
        <w:t>I-R-E</w:t>
      </w:r>
      <w:r w:rsidR="007B26C1">
        <w:t xml:space="preserve"> (initiation-response-evaluation) model is routinely employed as a questioning strategy, yet </w:t>
      </w:r>
      <w:r w:rsidR="001F1BAD">
        <w:t xml:space="preserve">some </w:t>
      </w:r>
      <w:r w:rsidR="007B26C1">
        <w:t xml:space="preserve">recent literature has sought to dissuade teachers away from this technique. </w:t>
      </w:r>
      <w:r w:rsidR="00435254">
        <w:t>Wiliam (2014</w:t>
      </w:r>
      <w:r w:rsidR="007B26C1">
        <w:t xml:space="preserve">) argues that the </w:t>
      </w:r>
      <w:r w:rsidR="007B26C1">
        <w:rPr>
          <w:i/>
        </w:rPr>
        <w:t>I-R-E</w:t>
      </w:r>
      <w:r w:rsidR="007B26C1">
        <w:t xml:space="preserve"> model makes pupil participation voluntary and does not allow for sufficient planning of quality questions. </w:t>
      </w:r>
      <w:r w:rsidR="00D33E07">
        <w:t xml:space="preserve">In addition, </w:t>
      </w:r>
      <w:r w:rsidR="00911BE3">
        <w:t xml:space="preserve">the dynamics of this structure are </w:t>
      </w:r>
      <w:r w:rsidR="00911BE3">
        <w:lastRenderedPageBreak/>
        <w:t>extremely controlled, whereas other</w:t>
      </w:r>
      <w:r w:rsidR="005A464A">
        <w:t xml:space="preserve"> </w:t>
      </w:r>
      <w:r w:rsidR="00911BE3">
        <w:t>forms of questioning may allow an inquiring culture to develop within the classroom, where pupil curiosity and unpredictability</w:t>
      </w:r>
      <w:r w:rsidR="007A4E13">
        <w:t xml:space="preserve"> of answers are </w:t>
      </w:r>
      <w:r w:rsidR="000632D8">
        <w:t>able to thrive (</w:t>
      </w:r>
      <w:proofErr w:type="spellStart"/>
      <w:r w:rsidR="000632D8">
        <w:t>Ulleberg</w:t>
      </w:r>
      <w:proofErr w:type="spellEnd"/>
      <w:r w:rsidR="000632D8">
        <w:t xml:space="preserve"> and </w:t>
      </w:r>
      <w:proofErr w:type="spellStart"/>
      <w:r w:rsidR="000632D8">
        <w:t>Solem</w:t>
      </w:r>
      <w:proofErr w:type="spellEnd"/>
      <w:r w:rsidR="000632D8">
        <w:t xml:space="preserve">, 2018). </w:t>
      </w:r>
      <w:r w:rsidR="008A7C02">
        <w:t xml:space="preserve">We concluded that, while </w:t>
      </w:r>
      <w:r w:rsidR="00BF2704">
        <w:t xml:space="preserve">frequently </w:t>
      </w:r>
      <w:r w:rsidR="008A7C02">
        <w:t>asking questions is important in maintaining a productive classroom environment, quality of questioning is paramount in eliciting higher order responses from pupils.</w:t>
      </w:r>
      <w:r w:rsidR="00911BE3">
        <w:tab/>
      </w:r>
    </w:p>
    <w:p w14:paraId="28FFBAF7" w14:textId="77777777" w:rsidR="00211EFB" w:rsidRDefault="00211EFB" w:rsidP="0022285F">
      <w:pPr>
        <w:pStyle w:val="AssignBody"/>
        <w:jc w:val="both"/>
      </w:pPr>
    </w:p>
    <w:p w14:paraId="7FF7929F" w14:textId="6AC458D8" w:rsidR="0022285F" w:rsidRDefault="009F175A" w:rsidP="00435254">
      <w:pPr>
        <w:pStyle w:val="AssignBody"/>
        <w:jc w:val="both"/>
      </w:pPr>
      <w:r>
        <w:t>T</w:t>
      </w:r>
      <w:r w:rsidR="002E59A0" w:rsidRPr="00E95330">
        <w:t xml:space="preserve">he types of questions we ask and the purpose of those questions </w:t>
      </w:r>
      <w:r w:rsidR="007A4E13">
        <w:t>are</w:t>
      </w:r>
      <w:r w:rsidR="002C1D31">
        <w:t xml:space="preserve"> </w:t>
      </w:r>
      <w:r w:rsidR="002E59A0" w:rsidRPr="00E95330">
        <w:t>extremely important in eliciting information about</w:t>
      </w:r>
      <w:r>
        <w:t xml:space="preserve"> pupil understanding </w:t>
      </w:r>
      <w:r w:rsidR="002C1D31">
        <w:t xml:space="preserve">and progress. Black and Wiliam (1998) </w:t>
      </w:r>
      <w:r w:rsidR="00B4399D">
        <w:t xml:space="preserve">stress that questioning techniques must not become ritualistic, where thoughtful involvement suffers in order to keep a lesson flowing. </w:t>
      </w:r>
      <w:r w:rsidR="00435254">
        <w:t>Similarly</w:t>
      </w:r>
      <w:r w:rsidR="00435254" w:rsidRPr="00E95330">
        <w:t xml:space="preserve">, </w:t>
      </w:r>
      <w:proofErr w:type="spellStart"/>
      <w:r w:rsidR="00435254" w:rsidRPr="00E95330">
        <w:t>Bradtmueller</w:t>
      </w:r>
      <w:proofErr w:type="spellEnd"/>
      <w:r w:rsidR="00435254" w:rsidRPr="00E95330">
        <w:t xml:space="preserve"> and </w:t>
      </w:r>
      <w:r w:rsidR="00435254">
        <w:t xml:space="preserve">Egan (1983) </w:t>
      </w:r>
      <w:r w:rsidR="00435254" w:rsidRPr="00E95330">
        <w:t>s</w:t>
      </w:r>
      <w:r w:rsidR="00435254">
        <w:t>uggest</w:t>
      </w:r>
      <w:r w:rsidR="00435254" w:rsidRPr="00E95330">
        <w:t xml:space="preserve"> that teachers use </w:t>
      </w:r>
      <w:r w:rsidR="00435254">
        <w:t xml:space="preserve">fact-based </w:t>
      </w:r>
      <w:r w:rsidR="00435254" w:rsidRPr="006038D1">
        <w:t>questions</w:t>
      </w:r>
      <w:r w:rsidR="00435254" w:rsidRPr="00E95330">
        <w:t xml:space="preserve"> </w:t>
      </w:r>
      <w:r w:rsidR="00435254">
        <w:t>more</w:t>
      </w:r>
      <w:r w:rsidR="00435254" w:rsidRPr="00E95330">
        <w:t xml:space="preserve"> than any other type of question, and conclude that </w:t>
      </w:r>
      <w:r w:rsidR="00435254">
        <w:t>using open questions more often would be</w:t>
      </w:r>
      <w:r w:rsidR="00435254" w:rsidRPr="00E95330">
        <w:t xml:space="preserve"> less threatening </w:t>
      </w:r>
      <w:r w:rsidR="00435254">
        <w:t>to pupils than closed questions. Moreover</w:t>
      </w:r>
      <w:r w:rsidR="00B4399D">
        <w:t>, Dong et al. (</w:t>
      </w:r>
      <w:r w:rsidR="0052430A">
        <w:t>2019) infer</w:t>
      </w:r>
      <w:r w:rsidR="00B4399D">
        <w:t xml:space="preserve"> that lower-cognitive questions are </w:t>
      </w:r>
      <w:r w:rsidR="0052430A">
        <w:t xml:space="preserve">often </w:t>
      </w:r>
      <w:r w:rsidR="00B4399D">
        <w:t>more commonplace within the c</w:t>
      </w:r>
      <w:r w:rsidR="0052430A">
        <w:t>l</w:t>
      </w:r>
      <w:r w:rsidR="00B4399D">
        <w:t>assroom</w:t>
      </w:r>
      <w:r w:rsidR="0052430A">
        <w:t xml:space="preserve"> so that children of all abilities are able to comprehend and answer. </w:t>
      </w:r>
      <w:r w:rsidR="00DB5628">
        <w:t xml:space="preserve">A questioning technique that would therefore be more beneficial to the entire class would be to ask questions that are at the appropriate level for each pupil ability. If the purpose of questioning is to instruct, then ensuring that all pupils </w:t>
      </w:r>
      <w:r w:rsidR="00435254">
        <w:t xml:space="preserve">can </w:t>
      </w:r>
      <w:r w:rsidR="00DB5628">
        <w:t xml:space="preserve">understand the content is vital, therefore asking a variety of question difficulties would be </w:t>
      </w:r>
      <w:r w:rsidR="00435254">
        <w:t xml:space="preserve">the </w:t>
      </w:r>
      <w:r w:rsidR="00DB5628">
        <w:t xml:space="preserve">most productive </w:t>
      </w:r>
      <w:r w:rsidR="00435254">
        <w:t xml:space="preserve">strategy </w:t>
      </w:r>
      <w:r w:rsidR="00DB5628">
        <w:t xml:space="preserve">(Bond, 2008). </w:t>
      </w:r>
      <w:r w:rsidR="008A7C02">
        <w:t>There are many other purposes of questioning, such as focusing attention, prompting additional responses, probing for further clarification, and redirecting (Moore, 2007). However, for the intentions of this research study, we decided that fact-based, closed questions are most suitable in determining a change in involvement level. In</w:t>
      </w:r>
      <w:r w:rsidR="00435254">
        <w:t xml:space="preserve"> a numeracy</w:t>
      </w:r>
      <w:r w:rsidR="008A7C02">
        <w:t>-based</w:t>
      </w:r>
      <w:r w:rsidR="00435254">
        <w:t xml:space="preserve"> lesson, it would prove difficult to pose a large amount of open, higher-order questions, and this led us to exploring other ways in which questioning could be delivered.</w:t>
      </w:r>
    </w:p>
    <w:p w14:paraId="12AA2FE3" w14:textId="77777777" w:rsidR="00875130" w:rsidRDefault="00875130" w:rsidP="00435254">
      <w:pPr>
        <w:pStyle w:val="AssignBody"/>
        <w:jc w:val="both"/>
      </w:pPr>
    </w:p>
    <w:p w14:paraId="4DF32CF8" w14:textId="07023414" w:rsidR="005A111F" w:rsidRDefault="004D5381" w:rsidP="00F9019F">
      <w:pPr>
        <w:pStyle w:val="AssignBody"/>
        <w:jc w:val="both"/>
      </w:pPr>
      <w:r>
        <w:t xml:space="preserve">Much of the research surrounding the use of mini whiteboards in the learning environment suggests that positive associations can be made between raised pupil involvement levels and the employment of mini whiteboards as a response system. </w:t>
      </w:r>
      <w:r w:rsidR="00A84B7F">
        <w:t xml:space="preserve">Wiliam (2014) suggests that all-student response systems, such as mini whiteboards or electronic voting systems, help to increase pupil involvement levels and therefore teacher feedback is also improved. </w:t>
      </w:r>
      <w:r>
        <w:t xml:space="preserve">Gimbutas (2019) deduces that mini whiteboards generally increased </w:t>
      </w:r>
      <w:r w:rsidR="00323B6F">
        <w:t>pupil</w:t>
      </w:r>
      <w:r>
        <w:t xml:space="preserve"> involvemen</w:t>
      </w:r>
      <w:r w:rsidR="00A84B7F">
        <w:t>t and engagement levels, and were</w:t>
      </w:r>
      <w:r>
        <w:t xml:space="preserve"> particularly effective in whole class situations. Additionally, mini whiteboards are generally easy to use and most pupils felt very comfortable sharing answers via </w:t>
      </w:r>
      <w:r w:rsidR="00D02D7D">
        <w:t>this response system</w:t>
      </w:r>
      <w:r>
        <w:t xml:space="preserve">. </w:t>
      </w:r>
      <w:r w:rsidR="00A84B7F">
        <w:t>One study found that not only did mini whiteboards elicit evidence of student learning, but also helped to create and further student involvement during learning activities (Andersson and Palm, 2017). Sim</w:t>
      </w:r>
      <w:r>
        <w:t xml:space="preserve">ilarly, </w:t>
      </w:r>
      <w:r w:rsidR="00323B6F">
        <w:t>another study found that mini whiteboards helped to maintain on-task behaviour and had positive effects upon lesson participation</w:t>
      </w:r>
      <w:r w:rsidR="00A84B7F">
        <w:t xml:space="preserve"> levels</w:t>
      </w:r>
      <w:r w:rsidR="00323B6F">
        <w:t xml:space="preserve"> (</w:t>
      </w:r>
      <w:proofErr w:type="spellStart"/>
      <w:r w:rsidR="00323B6F">
        <w:t>Musti</w:t>
      </w:r>
      <w:proofErr w:type="spellEnd"/>
      <w:r w:rsidR="00323B6F">
        <w:t>-</w:t>
      </w:r>
      <w:r w:rsidR="00323B6F">
        <w:lastRenderedPageBreak/>
        <w:t xml:space="preserve">Rao, </w:t>
      </w:r>
      <w:proofErr w:type="spellStart"/>
      <w:r w:rsidR="00323B6F">
        <w:t>Kroeger</w:t>
      </w:r>
      <w:proofErr w:type="spellEnd"/>
      <w:r w:rsidR="00323B6F">
        <w:t xml:space="preserve"> and Schumacher-Dyke, 2008). </w:t>
      </w:r>
      <w:r w:rsidR="005E234F">
        <w:t>Much of the literature</w:t>
      </w:r>
      <w:r w:rsidR="00207A64">
        <w:t xml:space="preserve"> make</w:t>
      </w:r>
      <w:r w:rsidR="005E234F">
        <w:t>s</w:t>
      </w:r>
      <w:r w:rsidR="00207A64">
        <w:t xml:space="preserve"> clear connections between positive behaviour dispositions and higher pupil involvement levels</w:t>
      </w:r>
      <w:r w:rsidR="005E234F">
        <w:t xml:space="preserve"> and therefore this study will also consider the effects of mini whiteboards upon </w:t>
      </w:r>
      <w:r w:rsidR="00744EED">
        <w:t>pupil</w:t>
      </w:r>
      <w:r w:rsidR="005E234F">
        <w:t xml:space="preserve"> behaviour. </w:t>
      </w:r>
      <w:r w:rsidR="00323B6F">
        <w:t xml:space="preserve">Other </w:t>
      </w:r>
      <w:r w:rsidR="00A84B7F">
        <w:t>inquiries</w:t>
      </w:r>
      <w:r w:rsidR="00323B6F">
        <w:t xml:space="preserve"> make strong connections between mini whiteboards and improved examination </w:t>
      </w:r>
      <w:r w:rsidR="00D60DC1">
        <w:t>results</w:t>
      </w:r>
      <w:r w:rsidR="00524A8F">
        <w:t xml:space="preserve"> (</w:t>
      </w:r>
      <w:proofErr w:type="spellStart"/>
      <w:r w:rsidR="00524A8F">
        <w:t>Maheady</w:t>
      </w:r>
      <w:proofErr w:type="spellEnd"/>
      <w:r w:rsidR="00524A8F">
        <w:t xml:space="preserve"> et al., 2002)</w:t>
      </w:r>
      <w:r w:rsidR="00D60DC1">
        <w:t>;</w:t>
      </w:r>
      <w:r w:rsidR="00323B6F">
        <w:t xml:space="preserve"> however</w:t>
      </w:r>
      <w:r w:rsidR="00D60DC1">
        <w:t>,</w:t>
      </w:r>
      <w:r w:rsidR="00323B6F">
        <w:t xml:space="preserve"> </w:t>
      </w:r>
      <w:r w:rsidR="00267E95">
        <w:t>the lesson study nature of this</w:t>
      </w:r>
      <w:r w:rsidR="00323B6F">
        <w:t xml:space="preserve"> research </w:t>
      </w:r>
      <w:r w:rsidR="00267E95">
        <w:t>project has not allowed for evaluation of</w:t>
      </w:r>
      <w:r w:rsidR="00323B6F">
        <w:t xml:space="preserve"> </w:t>
      </w:r>
      <w:r w:rsidR="00D60DC1">
        <w:t xml:space="preserve">any potential </w:t>
      </w:r>
      <w:r w:rsidR="00323B6F">
        <w:t xml:space="preserve">improved academic achievement. </w:t>
      </w:r>
    </w:p>
    <w:p w14:paraId="7A147006" w14:textId="77777777" w:rsidR="005A111F" w:rsidRDefault="005A111F" w:rsidP="00F9019F">
      <w:pPr>
        <w:pStyle w:val="AssignBody"/>
        <w:jc w:val="both"/>
      </w:pPr>
    </w:p>
    <w:p w14:paraId="3194A3D7" w14:textId="22DAC2C5" w:rsidR="0014008E" w:rsidRDefault="00AD7113" w:rsidP="00F9019F">
      <w:pPr>
        <w:pStyle w:val="AssignBody"/>
        <w:jc w:val="both"/>
      </w:pPr>
      <w:r>
        <w:t xml:space="preserve">A high level of pupil involvement </w:t>
      </w:r>
      <w:r w:rsidR="0005450B">
        <w:t xml:space="preserve">and engagement </w:t>
      </w:r>
      <w:r>
        <w:t xml:space="preserve">can be extremely beneficial in the classroom, particularly in allowing for </w:t>
      </w:r>
      <w:r w:rsidR="006A3416">
        <w:t xml:space="preserve">sound teacher </w:t>
      </w:r>
      <w:r>
        <w:t>evaluation of responses</w:t>
      </w:r>
      <w:r w:rsidR="006A3416">
        <w:t xml:space="preserve"> and ensuring that enthusiasm constantly surrounds the teaching content</w:t>
      </w:r>
      <w:r w:rsidR="00E642E3">
        <w:t xml:space="preserve"> (Hayes, 2009).</w:t>
      </w:r>
      <w:r w:rsidR="00585F0B">
        <w:t xml:space="preserve"> S</w:t>
      </w:r>
      <w:r w:rsidR="00E642E3">
        <w:t xml:space="preserve">tudies consistently demonstrate that the more time students spend involved during instruction, the more they learn </w:t>
      </w:r>
      <w:r w:rsidR="00267F94">
        <w:t>throughout</w:t>
      </w:r>
      <w:r w:rsidR="00E642E3">
        <w:t xml:space="preserve"> </w:t>
      </w:r>
      <w:r w:rsidR="00585F0B">
        <w:t>a lesson (</w:t>
      </w:r>
      <w:proofErr w:type="spellStart"/>
      <w:r w:rsidR="00585F0B">
        <w:t>Schlechty</w:t>
      </w:r>
      <w:proofErr w:type="spellEnd"/>
      <w:r w:rsidR="00585F0B">
        <w:t xml:space="preserve">, 2002). Consequently, it is a cogent assumption to make that high pupil involvement and engagement levels during the most instructional components of lessons would serve to produce equally high involvement levels during learning activities. </w:t>
      </w:r>
      <w:r w:rsidR="0062444A">
        <w:t>T</w:t>
      </w:r>
      <w:r w:rsidR="006A3416">
        <w:t xml:space="preserve">eachers are </w:t>
      </w:r>
      <w:r w:rsidR="00207A64">
        <w:t>commonly</w:t>
      </w:r>
      <w:r w:rsidR="00585F0B">
        <w:t xml:space="preserve"> </w:t>
      </w:r>
      <w:r w:rsidR="006A3416">
        <w:t xml:space="preserve">able to facilitate </w:t>
      </w:r>
      <w:r w:rsidR="0062444A">
        <w:t>active pupil</w:t>
      </w:r>
      <w:r w:rsidR="006A3416">
        <w:t xml:space="preserve"> involvement through the use of assessment for lea</w:t>
      </w:r>
      <w:r w:rsidR="0062444A">
        <w:t xml:space="preserve">rning techniques, and </w:t>
      </w:r>
      <w:r w:rsidR="0015520A">
        <w:t>such</w:t>
      </w:r>
      <w:r w:rsidR="0062444A">
        <w:t xml:space="preserve"> techniques that promote </w:t>
      </w:r>
      <w:r w:rsidR="0015520A">
        <w:t>constant interaction</w:t>
      </w:r>
      <w:r w:rsidR="0062444A">
        <w:t xml:space="preserve"> between teacher and p</w:t>
      </w:r>
      <w:r w:rsidR="0015520A">
        <w:t>upils are foremost in</w:t>
      </w:r>
      <w:r w:rsidR="0062444A">
        <w:t xml:space="preserve"> </w:t>
      </w:r>
      <w:r w:rsidR="0015520A">
        <w:t>increasing involvemen</w:t>
      </w:r>
      <w:r w:rsidR="00E92D21">
        <w:t>t</w:t>
      </w:r>
      <w:r w:rsidR="0062444A">
        <w:t xml:space="preserve"> (Heritage, 2018). </w:t>
      </w:r>
      <w:r w:rsidR="00686AAD">
        <w:t xml:space="preserve">No matter the selected assessment for learning strategy, Black and Wiliam (2009) imply that any formative interaction between teacher and pupil goes a long way to broadening involvement levels in the classroom. </w:t>
      </w:r>
      <w:r w:rsidR="00715361">
        <w:t xml:space="preserve">Furthermore, Donaldson (2015) </w:t>
      </w:r>
      <w:r w:rsidR="0072660D">
        <w:t xml:space="preserve">stresses the importance of employing effective assessment for learning strategies in </w:t>
      </w:r>
      <w:r w:rsidR="0072660D">
        <w:rPr>
          <w:i/>
        </w:rPr>
        <w:t xml:space="preserve">Successful </w:t>
      </w:r>
      <w:r w:rsidR="0072660D" w:rsidRPr="0072660D">
        <w:rPr>
          <w:i/>
        </w:rPr>
        <w:t>Futures</w:t>
      </w:r>
      <w:r w:rsidR="0072660D">
        <w:rPr>
          <w:i/>
        </w:rPr>
        <w:t xml:space="preserve">, </w:t>
      </w:r>
      <w:r w:rsidR="00BB0E74">
        <w:t xml:space="preserve">in preparation for the introduction of the new curriculum in 2022. </w:t>
      </w:r>
      <w:r w:rsidR="007E2575">
        <w:t>To date, w</w:t>
      </w:r>
      <w:r w:rsidR="00267F94">
        <w:t>e feel that mini whiteboards as an assessment for learning strategy ha</w:t>
      </w:r>
      <w:r w:rsidR="005A464A">
        <w:t>ve</w:t>
      </w:r>
      <w:r w:rsidR="00267F94">
        <w:t xml:space="preserve"> been relatively underexplored and this study therefore aims to analyse the</w:t>
      </w:r>
      <w:r w:rsidR="007F5FB1">
        <w:t>ir</w:t>
      </w:r>
      <w:r w:rsidR="00267F94">
        <w:t xml:space="preserve"> direct effect upon pupil involvement levels in the primary classroom. </w:t>
      </w:r>
    </w:p>
    <w:p w14:paraId="137F586C" w14:textId="77777777" w:rsidR="008132B6" w:rsidRPr="008132B6" w:rsidRDefault="008132B6" w:rsidP="00F9019F">
      <w:pPr>
        <w:pStyle w:val="AssignBody"/>
        <w:jc w:val="both"/>
      </w:pPr>
    </w:p>
    <w:p w14:paraId="4B0F29E8" w14:textId="176FF098" w:rsidR="00875130" w:rsidRDefault="0069445E" w:rsidP="00F9019F">
      <w:pPr>
        <w:pStyle w:val="AssignBody"/>
        <w:jc w:val="both"/>
        <w:rPr>
          <w:u w:val="single"/>
        </w:rPr>
      </w:pPr>
      <w:r w:rsidRPr="00E95330">
        <w:rPr>
          <w:u w:val="single"/>
        </w:rPr>
        <w:t xml:space="preserve">Lesson Study Design </w:t>
      </w:r>
    </w:p>
    <w:p w14:paraId="3C6DA407" w14:textId="77777777" w:rsidR="008132B6" w:rsidRPr="008132B6" w:rsidRDefault="008132B6" w:rsidP="00F9019F">
      <w:pPr>
        <w:pStyle w:val="AssignBody"/>
        <w:jc w:val="both"/>
      </w:pPr>
    </w:p>
    <w:p w14:paraId="1A2765E6" w14:textId="37601EE6" w:rsidR="00B6043C" w:rsidRDefault="00794B3D" w:rsidP="00F9019F">
      <w:pPr>
        <w:pStyle w:val="AssignBody"/>
        <w:jc w:val="both"/>
      </w:pPr>
      <w:r>
        <w:t xml:space="preserve">The methodology used in this project is lesson study research, </w:t>
      </w:r>
      <w:r w:rsidR="00A31BF5">
        <w:t>which is a fo</w:t>
      </w:r>
      <w:r w:rsidR="00B9711E">
        <w:t>rm of classroom action research that aims to develop teacher practice knowledge</w:t>
      </w:r>
      <w:r w:rsidR="00595557">
        <w:t xml:space="preserve"> (Dudley, 201</w:t>
      </w:r>
      <w:r w:rsidR="006D0330">
        <w:t>4</w:t>
      </w:r>
      <w:r w:rsidR="00595557">
        <w:t>)</w:t>
      </w:r>
      <w:r w:rsidR="00B9711E">
        <w:t>.</w:t>
      </w:r>
      <w:r w:rsidR="00023B41">
        <w:t xml:space="preserve"> The principal methods of data collection used were observation (non-participant), reflection, and focus group interview, which were completed collaboratively by </w:t>
      </w:r>
      <w:r w:rsidR="00E4597E">
        <w:t xml:space="preserve">me and </w:t>
      </w:r>
      <w:r w:rsidR="00023B41">
        <w:t>my research partner. Beforehand</w:t>
      </w:r>
      <w:r w:rsidR="00595557">
        <w:t>, we jointly identified an assessment for learning technique – questioning using mini whiteboards – which we sought to scrutinise</w:t>
      </w:r>
      <w:r w:rsidR="00024106">
        <w:t xml:space="preserve"> in order to develop classroom practice</w:t>
      </w:r>
      <w:r w:rsidR="00595557">
        <w:t xml:space="preserve">, before planning lessons that allowed us to incorporate mini whiteboards as part of whole class teaching. </w:t>
      </w:r>
      <w:r w:rsidR="0075477F">
        <w:t xml:space="preserve">To foster consistency between the lesson studies, it was decided that both lessons would be numeracy-based (Cheung and Wong, 2014). </w:t>
      </w:r>
      <w:r w:rsidR="00934261">
        <w:t xml:space="preserve">However, due to curriculum </w:t>
      </w:r>
      <w:r w:rsidR="00934261">
        <w:lastRenderedPageBreak/>
        <w:t xml:space="preserve">inconsistencies, the learning objectives of each lesson differed to some extent. </w:t>
      </w:r>
      <w:r w:rsidR="00595557">
        <w:t>We identified a sample of three focus group pupils, each of whom represented a diverse habitual amount of involvement during whol</w:t>
      </w:r>
      <w:r w:rsidR="00185BD1">
        <w:t>e-class questioning activities</w:t>
      </w:r>
      <w:r w:rsidR="00B6043C">
        <w:t xml:space="preserve"> in the four weeks prior to the lesson study</w:t>
      </w:r>
      <w:r w:rsidR="00185BD1">
        <w:t xml:space="preserve">. </w:t>
      </w:r>
      <w:r w:rsidR="00185BD1">
        <w:rPr>
          <w:i/>
        </w:rPr>
        <w:t>Child 1</w:t>
      </w:r>
      <w:r w:rsidR="00185BD1">
        <w:t xml:space="preserve"> regularly displays extremely high levels of involvement throughout lessons, </w:t>
      </w:r>
      <w:r w:rsidR="00185BD1">
        <w:rPr>
          <w:i/>
        </w:rPr>
        <w:t>Child 2</w:t>
      </w:r>
      <w:r w:rsidR="00185BD1">
        <w:t xml:space="preserve"> usually exhibits moderate levels of involvement, and </w:t>
      </w:r>
      <w:r w:rsidR="00185BD1">
        <w:rPr>
          <w:i/>
        </w:rPr>
        <w:t>Child 3</w:t>
      </w:r>
      <w:r w:rsidR="00185BD1">
        <w:t xml:space="preserve"> commonly shows some degree of activity</w:t>
      </w:r>
      <w:r w:rsidR="007F5FB1">
        <w:t>,</w:t>
      </w:r>
      <w:r w:rsidR="00C76DEA">
        <w:t xml:space="preserve"> but is easily distracted. </w:t>
      </w:r>
      <w:r w:rsidR="00D5447E">
        <w:t xml:space="preserve">Although the focus group pupils in each lesson typify varying ability levels, this was not considered during the selection process. </w:t>
      </w:r>
      <w:r w:rsidR="0075477F">
        <w:t xml:space="preserve">For the purpose of this </w:t>
      </w:r>
      <w:r w:rsidR="00934261">
        <w:t>research project</w:t>
      </w:r>
      <w:r w:rsidR="0075477F">
        <w:t>, ‘involvement’ is defined as being completely ‘absorbed by the activity’</w:t>
      </w:r>
      <w:r w:rsidR="005263D9">
        <w:t>, in which motivation, satisfaction, and exploratory drive are fully manifest (</w:t>
      </w:r>
      <w:proofErr w:type="spellStart"/>
      <w:r w:rsidR="005263D9">
        <w:t>Laevers</w:t>
      </w:r>
      <w:proofErr w:type="spellEnd"/>
      <w:r w:rsidR="005263D9">
        <w:t xml:space="preserve">, 2005, p. 10).  </w:t>
      </w:r>
    </w:p>
    <w:p w14:paraId="58F44B5F" w14:textId="77777777" w:rsidR="00875130" w:rsidRDefault="00875130" w:rsidP="00F9019F">
      <w:pPr>
        <w:pStyle w:val="AssignBody"/>
        <w:jc w:val="both"/>
      </w:pPr>
    </w:p>
    <w:p w14:paraId="2EE979C0" w14:textId="028D35AF" w:rsidR="00185BD1" w:rsidRDefault="0012098B" w:rsidP="00F9019F">
      <w:pPr>
        <w:pStyle w:val="AssignBody"/>
        <w:jc w:val="both"/>
      </w:pPr>
      <w:r>
        <w:t>Our</w:t>
      </w:r>
      <w:r w:rsidR="00CF14E2">
        <w:t xml:space="preserve"> observation </w:t>
      </w:r>
      <w:r w:rsidR="00185BD1">
        <w:t>schedule</w:t>
      </w:r>
      <w:r w:rsidR="00CF14E2">
        <w:t xml:space="preserve"> involved the systematic recording of the focus group pupils’ involvement levels </w:t>
      </w:r>
      <w:r w:rsidR="00814495">
        <w:t>in questioning activities during two</w:t>
      </w:r>
      <w:r w:rsidR="00CF14E2">
        <w:t xml:space="preserve"> le</w:t>
      </w:r>
      <w:r w:rsidR="00863BDA">
        <w:t xml:space="preserve">ssons using the Leuven Scale for </w:t>
      </w:r>
      <w:r w:rsidR="00863BDA" w:rsidRPr="001A1D3B">
        <w:t>Involvement</w:t>
      </w:r>
      <w:r w:rsidR="00185BD1" w:rsidRPr="001A1D3B">
        <w:t xml:space="preserve"> </w:t>
      </w:r>
      <w:r w:rsidR="00697D2C" w:rsidRPr="001A1D3B">
        <w:t>(see Appendix</w:t>
      </w:r>
      <w:r w:rsidR="001A1D3B" w:rsidRPr="001A1D3B">
        <w:t xml:space="preserve"> 1</w:t>
      </w:r>
      <w:r w:rsidR="001F3594" w:rsidRPr="001A1D3B">
        <w:t>)</w:t>
      </w:r>
      <w:r w:rsidR="00863BDA" w:rsidRPr="001A1D3B">
        <w:t xml:space="preserve">, </w:t>
      </w:r>
      <w:r w:rsidR="00CF14E2" w:rsidRPr="001A1D3B">
        <w:t>adapted</w:t>
      </w:r>
      <w:r w:rsidR="00CF14E2">
        <w:t xml:space="preserve"> from </w:t>
      </w:r>
      <w:proofErr w:type="spellStart"/>
      <w:r w:rsidR="00CF14E2">
        <w:t>Laevers</w:t>
      </w:r>
      <w:proofErr w:type="spellEnd"/>
      <w:r w:rsidR="00CF14E2">
        <w:t xml:space="preserve"> (2005)</w:t>
      </w:r>
      <w:r w:rsidR="00863BDA">
        <w:t xml:space="preserve">. </w:t>
      </w:r>
      <w:r w:rsidR="00EA6E38">
        <w:t>It was important to maintain a structured observation strategy,</w:t>
      </w:r>
      <w:r w:rsidR="00E24BC1">
        <w:t xml:space="preserve"> recording score</w:t>
      </w:r>
      <w:r w:rsidR="00CD41FE">
        <w:t>s</w:t>
      </w:r>
      <w:r w:rsidR="00E24BC1">
        <w:t xml:space="preserve"> in one-minute intervals,</w:t>
      </w:r>
      <w:r w:rsidR="00EA6E38">
        <w:t xml:space="preserve"> in order to </w:t>
      </w:r>
      <w:r w:rsidR="007F5FB1">
        <w:t>identify</w:t>
      </w:r>
      <w:r w:rsidR="00EA6E38">
        <w:t xml:space="preserve"> any </w:t>
      </w:r>
      <w:r w:rsidR="00E24BC1">
        <w:t xml:space="preserve">specific </w:t>
      </w:r>
      <w:r w:rsidR="00EA6E38">
        <w:t xml:space="preserve">differentiation of involvement level. </w:t>
      </w:r>
      <w:r w:rsidR="00185BD1">
        <w:t xml:space="preserve">Observational notes were taken in the form of both qualitative and quantitative data: written analysis was recorded during the </w:t>
      </w:r>
      <w:r w:rsidR="00B6043C">
        <w:t>mini whiteboards and hands-up questioning activities</w:t>
      </w:r>
      <w:r w:rsidR="00185BD1">
        <w:t xml:space="preserve"> before a quantitative value was afforded to each pupil, based on their overall level of involvement with and without the use of mini whiteboards. </w:t>
      </w:r>
      <w:r w:rsidR="00A92ABD">
        <w:t>Although there are evident threats to validity and reliability in observations, both observers were made aware of important antecedent information and maintained a non-participant role throughout, in order to minimise any unreliable data</w:t>
      </w:r>
      <w:r w:rsidR="00EA6E38">
        <w:t xml:space="preserve"> (Co</w:t>
      </w:r>
      <w:r w:rsidR="00185BD1">
        <w:t xml:space="preserve">hen, </w:t>
      </w:r>
      <w:proofErr w:type="spellStart"/>
      <w:r w:rsidR="00185BD1">
        <w:t>Manion</w:t>
      </w:r>
      <w:proofErr w:type="spellEnd"/>
      <w:r w:rsidR="00185BD1">
        <w:t xml:space="preserve"> and Morrison, 2018). </w:t>
      </w:r>
      <w:r w:rsidR="008A031B">
        <w:t>However</w:t>
      </w:r>
      <w:r w:rsidR="0000550A">
        <w:t xml:space="preserve">, prior unwanted behaviour exhibited by Child 3 </w:t>
      </w:r>
      <w:r w:rsidR="009D6346">
        <w:t>from</w:t>
      </w:r>
      <w:r w:rsidR="0000550A">
        <w:t xml:space="preserve"> Lesson 1 indicated that some observer preconception</w:t>
      </w:r>
      <w:r w:rsidR="009D6346">
        <w:t>s</w:t>
      </w:r>
      <w:r w:rsidR="0000550A">
        <w:t xml:space="preserve"> may have </w:t>
      </w:r>
      <w:r w:rsidR="009D6346">
        <w:t xml:space="preserve">occurred. Moreover, establishing rapport with the participants prior to the study </w:t>
      </w:r>
      <w:r w:rsidR="004A5748">
        <w:t>may prove important</w:t>
      </w:r>
      <w:r w:rsidR="009D6346">
        <w:t xml:space="preserve"> in mitigating the Hawthorne Effect, yet an opportunity to establish </w:t>
      </w:r>
      <w:r w:rsidR="004A5748">
        <w:t xml:space="preserve">observer </w:t>
      </w:r>
      <w:r w:rsidR="009D6346">
        <w:t>rapport with the pupils did not arise</w:t>
      </w:r>
      <w:r w:rsidR="004A5748">
        <w:t xml:space="preserve"> (Oswald, </w:t>
      </w:r>
      <w:proofErr w:type="spellStart"/>
      <w:r w:rsidR="004A5748">
        <w:t>Sherratt</w:t>
      </w:r>
      <w:proofErr w:type="spellEnd"/>
      <w:r w:rsidR="004A5748">
        <w:t xml:space="preserve"> and Smith, 2014).</w:t>
      </w:r>
      <w:r w:rsidR="008A031B">
        <w:t xml:space="preserve"> </w:t>
      </w:r>
      <w:r w:rsidR="00BF041C">
        <w:t>Nonetheless, e</w:t>
      </w:r>
      <w:r w:rsidR="00185BD1">
        <w:t>ach observer was able to watch the lessons in their natural context, bec</w:t>
      </w:r>
      <w:r w:rsidR="003129EF">
        <w:t>oming</w:t>
      </w:r>
      <w:r w:rsidR="00185BD1">
        <w:t xml:space="preserve"> part of the normal classroom routine by playing a largely unobtrusive role, and was therefore able to notice elements of the lesson that may otherwise escape conscious awareness.</w:t>
      </w:r>
    </w:p>
    <w:p w14:paraId="6EC08E98" w14:textId="77777777" w:rsidR="00875130" w:rsidRDefault="00875130" w:rsidP="00F9019F">
      <w:pPr>
        <w:pStyle w:val="AssignBody"/>
        <w:jc w:val="both"/>
      </w:pPr>
    </w:p>
    <w:p w14:paraId="408BBA21" w14:textId="649E45D4" w:rsidR="007E5BD9" w:rsidRDefault="003F63CA" w:rsidP="00F9019F">
      <w:pPr>
        <w:pStyle w:val="AssignBody"/>
        <w:jc w:val="both"/>
      </w:pPr>
      <w:r>
        <w:t xml:space="preserve">There are a number of effective reflection models that could have been employed in this research project, such as </w:t>
      </w:r>
      <w:proofErr w:type="spellStart"/>
      <w:r>
        <w:t>Schön’s</w:t>
      </w:r>
      <w:proofErr w:type="spellEnd"/>
      <w:r>
        <w:t xml:space="preserve"> reflection-in-action and reflection-on-action</w:t>
      </w:r>
      <w:r w:rsidR="00987757">
        <w:t xml:space="preserve"> (1978)</w:t>
      </w:r>
      <w:r>
        <w:t>, Gibbs’ Reflective Cycle</w:t>
      </w:r>
      <w:r w:rsidR="00987757">
        <w:t xml:space="preserve"> (1988)</w:t>
      </w:r>
      <w:r>
        <w:t xml:space="preserve">, </w:t>
      </w:r>
      <w:r w:rsidR="00987757">
        <w:t>or</w:t>
      </w:r>
      <w:r>
        <w:t xml:space="preserve"> Brookfield’s four </w:t>
      </w:r>
      <w:r w:rsidR="00987757">
        <w:t xml:space="preserve">critical </w:t>
      </w:r>
      <w:r>
        <w:t xml:space="preserve">lenses (2005). </w:t>
      </w:r>
      <w:r w:rsidR="00C26DF5">
        <w:t xml:space="preserve">While </w:t>
      </w:r>
      <w:proofErr w:type="spellStart"/>
      <w:r w:rsidR="00C26DF5">
        <w:t>Schön’s</w:t>
      </w:r>
      <w:proofErr w:type="spellEnd"/>
      <w:r w:rsidR="00C26DF5">
        <w:t xml:space="preserve"> model allows for self-reflection during the observation, this may have diverted attention from an intense evaluation of involvement levels. Moreover, </w:t>
      </w:r>
      <w:r w:rsidR="00655EB9">
        <w:t xml:space="preserve">while our reflection process has included all four of Brookfield’s lenses (2005), we feel that Gibbs’ model (1988) enabled us to focus more </w:t>
      </w:r>
      <w:r w:rsidR="00655EB9">
        <w:lastRenderedPageBreak/>
        <w:t>specifically on self-reflection</w:t>
      </w:r>
      <w:r w:rsidR="003B36A1">
        <w:t xml:space="preserve"> and our own feelings. </w:t>
      </w:r>
      <w:r w:rsidR="00C26DF5">
        <w:t>Thus,</w:t>
      </w:r>
      <w:r w:rsidR="00DC0B95">
        <w:t xml:space="preserve"> </w:t>
      </w:r>
      <w:r w:rsidR="00C26DF5">
        <w:t xml:space="preserve">although </w:t>
      </w:r>
      <w:r w:rsidR="00DC0B95">
        <w:t xml:space="preserve">originally advocated for repeated use, we decided to use Gibbs’ Reflective Cycle (1988) as our reflection model as we felt it could apply equally well to only two lessons. The cyclic nature of the reflection framework allowed us to analyse specific elements of the lesson in greater depth and consequently we were able to make sound conclusions and recommendations for what may be done </w:t>
      </w:r>
      <w:r w:rsidR="00DC0B95" w:rsidRPr="004B0217">
        <w:t>differently in the future.</w:t>
      </w:r>
      <w:r w:rsidR="00C26DF5" w:rsidRPr="004B0217">
        <w:t xml:space="preserve"> </w:t>
      </w:r>
      <w:r w:rsidR="00185BD1" w:rsidRPr="004B0217">
        <w:t>Our post-lesson reflections were capture</w:t>
      </w:r>
      <w:r w:rsidR="0012098B" w:rsidRPr="004B0217">
        <w:t xml:space="preserve">d using the reflection pro </w:t>
      </w:r>
      <w:r w:rsidR="00185BD1" w:rsidRPr="004B0217">
        <w:t>forma (see Appendix</w:t>
      </w:r>
      <w:r w:rsidR="004B0217" w:rsidRPr="004B0217">
        <w:t xml:space="preserve"> 2</w:t>
      </w:r>
      <w:r w:rsidR="00185BD1" w:rsidRPr="004B0217">
        <w:t>)</w:t>
      </w:r>
      <w:r w:rsidR="0012098B" w:rsidRPr="004B0217">
        <w:t>, adapted</w:t>
      </w:r>
      <w:r w:rsidR="0012098B">
        <w:t xml:space="preserve"> from Gibbs (198</w:t>
      </w:r>
      <w:r w:rsidR="00185BD1">
        <w:t>8).</w:t>
      </w:r>
      <w:r w:rsidR="0012098B">
        <w:t xml:space="preserve"> The pro forma was used independently to reflect upon our </w:t>
      </w:r>
      <w:r w:rsidR="00FE1DF2">
        <w:t xml:space="preserve">individual </w:t>
      </w:r>
      <w:r w:rsidR="0012098B">
        <w:t xml:space="preserve">experience of </w:t>
      </w:r>
      <w:r w:rsidR="00D73A51">
        <w:t>each</w:t>
      </w:r>
      <w:r w:rsidR="0012098B">
        <w:t xml:space="preserve"> lesson</w:t>
      </w:r>
      <w:r w:rsidR="00FE1DF2">
        <w:t>, before both reflecti</w:t>
      </w:r>
      <w:r w:rsidR="00586487">
        <w:t xml:space="preserve">ons were </w:t>
      </w:r>
      <w:r w:rsidR="00C26DF5">
        <w:t>combined</w:t>
      </w:r>
      <w:r w:rsidR="00FE1DF2">
        <w:t xml:space="preserve"> to create a joint document detailing our findings</w:t>
      </w:r>
      <w:r w:rsidR="004B0217">
        <w:t>.</w:t>
      </w:r>
    </w:p>
    <w:p w14:paraId="5569D877" w14:textId="77777777" w:rsidR="00875130" w:rsidRPr="00794B3D" w:rsidRDefault="00875130" w:rsidP="00F9019F">
      <w:pPr>
        <w:pStyle w:val="AssignBody"/>
        <w:jc w:val="both"/>
      </w:pPr>
    </w:p>
    <w:p w14:paraId="3918325C" w14:textId="59FE1582" w:rsidR="00D73514" w:rsidRPr="00715361" w:rsidRDefault="00791A57" w:rsidP="00F9019F">
      <w:pPr>
        <w:pStyle w:val="AssignBody"/>
        <w:jc w:val="both"/>
      </w:pPr>
      <w:r>
        <w:t>Upon finalisation of reflection documents, two focus group interviews were conducted</w:t>
      </w:r>
      <w:r w:rsidR="001069DE">
        <w:t xml:space="preserve"> and au</w:t>
      </w:r>
      <w:r w:rsidR="001069DE" w:rsidRPr="00A00483">
        <w:t>dio-recorded</w:t>
      </w:r>
      <w:r w:rsidRPr="00A00483">
        <w:t xml:space="preserve"> (see Appendix</w:t>
      </w:r>
      <w:r w:rsidR="00A00483" w:rsidRPr="00A00483">
        <w:t xml:space="preserve"> 3</w:t>
      </w:r>
      <w:r w:rsidRPr="00A00483">
        <w:t>) in</w:t>
      </w:r>
      <w:r>
        <w:t xml:space="preserve"> a familiar school </w:t>
      </w:r>
      <w:r w:rsidR="001F0887">
        <w:t>setting</w:t>
      </w:r>
      <w:r>
        <w:t xml:space="preserve"> with the three focus group pupils of each lesson. The interview questions were semi-structured</w:t>
      </w:r>
      <w:r w:rsidR="00697D2C">
        <w:t xml:space="preserve"> and non-dichotomous</w:t>
      </w:r>
      <w:r>
        <w:t>, based on the responses of the participants</w:t>
      </w:r>
      <w:r w:rsidR="001778A0">
        <w:t>, in order to allow the group to talk in greater depth if desired</w:t>
      </w:r>
      <w:r>
        <w:t>.</w:t>
      </w:r>
      <w:r w:rsidR="001F0887">
        <w:t xml:space="preserve"> An initial sorting</w:t>
      </w:r>
      <w:r>
        <w:t xml:space="preserve"> activity </w:t>
      </w:r>
      <w:r w:rsidR="001F0887">
        <w:t>served a twofold purpose: firstly, t</w:t>
      </w:r>
      <w:r>
        <w:t>o gauge pupil attitude towards the use of mini whiteboards and hands-up questioning</w:t>
      </w:r>
      <w:r w:rsidR="001F0887">
        <w:t xml:space="preserve">, and secondly, to build positive rapport with the pupils and create a relaxed interview environment. </w:t>
      </w:r>
      <w:r>
        <w:t xml:space="preserve">A number of predesigned questions followed, </w:t>
      </w:r>
      <w:r w:rsidR="001F0887">
        <w:t>generated</w:t>
      </w:r>
      <w:r>
        <w:t xml:space="preserve"> in order to encourage pupils to share their honest opinions, without leading their answers one way or another. A short debrief ensued, in which pupils were given the opportunity to ask any questions they had about the study.</w:t>
      </w:r>
      <w:r w:rsidR="00810B73">
        <w:t xml:space="preserve"> </w:t>
      </w:r>
      <w:r w:rsidR="001F0887">
        <w:t>During the</w:t>
      </w:r>
      <w:r w:rsidR="00697D2C">
        <w:t xml:space="preserve"> entire</w:t>
      </w:r>
      <w:r w:rsidR="001F0887">
        <w:t xml:space="preserve"> interview process, we aimed to maximise validity and reliability via a number of approaches:</w:t>
      </w:r>
      <w:r w:rsidR="000E1DFC">
        <w:t xml:space="preserve"> use of interviewer terminology was clear and </w:t>
      </w:r>
      <w:r w:rsidR="006124B6">
        <w:t>familiar to ensure consistent understanding for all participants (Bell and Waters, 2018)</w:t>
      </w:r>
      <w:r w:rsidR="00655EB9">
        <w:t xml:space="preserve">, </w:t>
      </w:r>
      <w:r w:rsidR="006124B6">
        <w:t xml:space="preserve">active listening was employed by the interviewer, </w:t>
      </w:r>
      <w:r w:rsidR="004E1E0A">
        <w:t>n</w:t>
      </w:r>
      <w:r w:rsidR="000E1DFC">
        <w:t xml:space="preserve">on-verbal cues were </w:t>
      </w:r>
      <w:r w:rsidR="006124B6">
        <w:t>carefully observed</w:t>
      </w:r>
      <w:r w:rsidR="00655EB9">
        <w:t>,</w:t>
      </w:r>
      <w:r w:rsidR="000E1DFC">
        <w:t xml:space="preserve"> and interviewees were given ample time to respond in their own way (Cohen, </w:t>
      </w:r>
      <w:proofErr w:type="spellStart"/>
      <w:r w:rsidR="000E1DFC">
        <w:t>Manion</w:t>
      </w:r>
      <w:proofErr w:type="spellEnd"/>
      <w:r w:rsidR="000E1DFC">
        <w:t xml:space="preserve"> and Morrison, 2018). </w:t>
      </w:r>
      <w:r w:rsidR="001069DE">
        <w:t>Written transcripts of the interviews were generate</w:t>
      </w:r>
      <w:r w:rsidR="001069DE" w:rsidRPr="00A00483">
        <w:t>d (see Appendix</w:t>
      </w:r>
      <w:r w:rsidR="00A00483" w:rsidRPr="00A00483">
        <w:t xml:space="preserve"> 3</w:t>
      </w:r>
      <w:r w:rsidR="001069DE" w:rsidRPr="00A00483">
        <w:t>) at a later</w:t>
      </w:r>
      <w:r w:rsidR="001069DE">
        <w:t xml:space="preserve"> date and dissected thoroughly, in order to provide additional analysis on the effects of using mini whiteboards. </w:t>
      </w:r>
    </w:p>
    <w:p w14:paraId="48F019F9" w14:textId="77777777" w:rsidR="007E2575" w:rsidRPr="00E95330" w:rsidRDefault="007E2575" w:rsidP="00F9019F">
      <w:pPr>
        <w:pStyle w:val="AssignBody"/>
        <w:jc w:val="both"/>
        <w:rPr>
          <w:u w:val="single"/>
        </w:rPr>
      </w:pPr>
    </w:p>
    <w:p w14:paraId="17C5D2ED" w14:textId="2EFC6E61" w:rsidR="0069445E" w:rsidRDefault="0069445E" w:rsidP="00F9019F">
      <w:pPr>
        <w:pStyle w:val="AssignBody"/>
        <w:jc w:val="both"/>
        <w:rPr>
          <w:u w:val="single"/>
        </w:rPr>
      </w:pPr>
      <w:r w:rsidRPr="00E95330">
        <w:rPr>
          <w:u w:val="single"/>
        </w:rPr>
        <w:t xml:space="preserve">Ethics </w:t>
      </w:r>
    </w:p>
    <w:p w14:paraId="2523442D" w14:textId="77777777" w:rsidR="00875130" w:rsidRPr="00E95330" w:rsidRDefault="00875130" w:rsidP="00F9019F">
      <w:pPr>
        <w:pStyle w:val="AssignBody"/>
        <w:jc w:val="both"/>
        <w:rPr>
          <w:u w:val="single"/>
        </w:rPr>
      </w:pPr>
    </w:p>
    <w:p w14:paraId="1F4AC8A7" w14:textId="032AF95B" w:rsidR="00EC231C" w:rsidRPr="00EC231C" w:rsidRDefault="00EC231C" w:rsidP="00F9019F">
      <w:pPr>
        <w:pStyle w:val="AssignBody"/>
        <w:jc w:val="both"/>
      </w:pPr>
      <w:r>
        <w:t xml:space="preserve">When conducting a classroom-based research study, certain ethical considerations must be made. </w:t>
      </w:r>
      <w:r w:rsidR="008F220E">
        <w:t>As such, t</w:t>
      </w:r>
      <w:r w:rsidR="002107F5">
        <w:t xml:space="preserve">he </w:t>
      </w:r>
      <w:r w:rsidR="002107F5">
        <w:rPr>
          <w:i/>
        </w:rPr>
        <w:t>BERA</w:t>
      </w:r>
      <w:r w:rsidR="00440410">
        <w:t xml:space="preserve"> </w:t>
      </w:r>
      <w:r w:rsidR="008F220E">
        <w:t>Ethical Guidelines for Educational Research (2018)</w:t>
      </w:r>
      <w:r w:rsidR="00194071">
        <w:t xml:space="preserve"> and the </w:t>
      </w:r>
      <w:r w:rsidR="00194071" w:rsidRPr="002107F5">
        <w:rPr>
          <w:i/>
        </w:rPr>
        <w:t>UWTSD</w:t>
      </w:r>
      <w:r w:rsidR="00194071">
        <w:t xml:space="preserve"> Research Ethics and Integrity Code of Practice (2017) </w:t>
      </w:r>
      <w:r w:rsidR="008F220E">
        <w:t xml:space="preserve">have been strictly adhered to </w:t>
      </w:r>
      <w:r w:rsidR="001246F5">
        <w:t>during</w:t>
      </w:r>
      <w:r w:rsidR="008F220E">
        <w:t xml:space="preserve"> this project.</w:t>
      </w:r>
      <w:r w:rsidR="001246F5">
        <w:t xml:space="preserve"> Pupil anonymity and confidentiality has been maintained throughout the research </w:t>
      </w:r>
      <w:r w:rsidR="001246F5" w:rsidRPr="00BB0E74">
        <w:t>process, informed consent was provided by parents/carers before the lesson study took place, and</w:t>
      </w:r>
      <w:r w:rsidR="001246F5">
        <w:t xml:space="preserve"> verbal assent was supplied by the pupils before their involvement in the observation and </w:t>
      </w:r>
      <w:r w:rsidR="002107F5">
        <w:t>subsequent</w:t>
      </w:r>
      <w:r w:rsidR="001246F5">
        <w:t xml:space="preserve"> focus group interview. </w:t>
      </w:r>
      <w:r w:rsidR="00AA4982">
        <w:t xml:space="preserve">Any pupil data has been shared via a </w:t>
      </w:r>
      <w:r w:rsidR="00AA4982">
        <w:lastRenderedPageBreak/>
        <w:t xml:space="preserve">password-protected folder within the </w:t>
      </w:r>
      <w:r w:rsidR="00AA4982" w:rsidRPr="002107F5">
        <w:rPr>
          <w:i/>
        </w:rPr>
        <w:t>UWTSD</w:t>
      </w:r>
      <w:r w:rsidR="00AA4982">
        <w:t xml:space="preserve">-provided OneDrive </w:t>
      </w:r>
      <w:r w:rsidR="00070B54">
        <w:t xml:space="preserve">system, in line with the </w:t>
      </w:r>
      <w:r w:rsidR="00070B54" w:rsidRPr="002107F5">
        <w:rPr>
          <w:i/>
        </w:rPr>
        <w:t>UWTSD</w:t>
      </w:r>
      <w:r w:rsidR="00070B54">
        <w:t xml:space="preserve"> Data Protection</w:t>
      </w:r>
      <w:r w:rsidR="002107F5">
        <w:t xml:space="preserve"> Policy (2018), and will be stored and archived on the OneDrive system for the </w:t>
      </w:r>
      <w:r w:rsidR="00C94279">
        <w:t>duration</w:t>
      </w:r>
      <w:r w:rsidR="002107F5">
        <w:t xml:space="preserve"> of the PGCE course.  </w:t>
      </w:r>
      <w:r w:rsidR="00070B54">
        <w:t xml:space="preserve"> </w:t>
      </w:r>
      <w:r w:rsidR="008F220E">
        <w:t xml:space="preserve">  </w:t>
      </w:r>
    </w:p>
    <w:p w14:paraId="434E2D58" w14:textId="77777777" w:rsidR="00791A57" w:rsidRPr="00E95330" w:rsidRDefault="00791A57" w:rsidP="00F9019F">
      <w:pPr>
        <w:pStyle w:val="AssignBody"/>
        <w:jc w:val="both"/>
        <w:rPr>
          <w:u w:val="single"/>
        </w:rPr>
      </w:pPr>
    </w:p>
    <w:p w14:paraId="2687F6E6" w14:textId="0CDF8F2F" w:rsidR="0040616C" w:rsidRDefault="0069445E" w:rsidP="00F9019F">
      <w:pPr>
        <w:pStyle w:val="AssignBody"/>
        <w:jc w:val="both"/>
        <w:rPr>
          <w:u w:val="single"/>
        </w:rPr>
      </w:pPr>
      <w:r w:rsidRPr="00E95330">
        <w:rPr>
          <w:u w:val="single"/>
        </w:rPr>
        <w:t xml:space="preserve">Results and Analysis </w:t>
      </w:r>
    </w:p>
    <w:p w14:paraId="7784B3CB" w14:textId="3C26222E" w:rsidR="00117CC1" w:rsidRDefault="00117CC1" w:rsidP="00F9019F">
      <w:pPr>
        <w:pStyle w:val="AssignBody"/>
        <w:jc w:val="both"/>
        <w:rPr>
          <w:u w:val="single"/>
        </w:rPr>
      </w:pPr>
    </w:p>
    <w:p w14:paraId="1DFA0033" w14:textId="060C119A" w:rsidR="00583AC1" w:rsidRDefault="00583AC1" w:rsidP="00F9019F">
      <w:pPr>
        <w:pStyle w:val="AssignBody"/>
        <w:jc w:val="both"/>
      </w:pPr>
      <w:r>
        <w:t xml:space="preserve">Lesson 1 in our research project was a Year 3 numeracy lesson, in which pupils were tasked with telling the time to o’clock. </w:t>
      </w:r>
      <w:r w:rsidR="00B9200A">
        <w:t>An extended</w:t>
      </w:r>
      <w:r w:rsidR="00ED36D3">
        <w:t xml:space="preserve"> whole class</w:t>
      </w:r>
      <w:r w:rsidR="00B9200A">
        <w:t xml:space="preserve"> introduction featured two questioning strategies – hands-up questioning and the use of mini whiteboards</w:t>
      </w:r>
      <w:r w:rsidR="00ED36D3">
        <w:t xml:space="preserve"> – which served as a scaffold for furthering learning across the lesson. </w:t>
      </w:r>
      <w:r w:rsidR="00B9200A">
        <w:t>The core activity of the lesson involved drawing hands on blank clock faces, in order to demonstrate an understanding of the content</w:t>
      </w:r>
      <w:r w:rsidR="00ED36D3">
        <w:t xml:space="preserve"> delivered. A short plenary involved the self</w:t>
      </w:r>
      <w:r w:rsidR="003F3D3E">
        <w:t>-</w:t>
      </w:r>
      <w:r w:rsidR="00ED36D3">
        <w:t xml:space="preserve"> and peer-assessment of work. All pupils were seated in differentiated ability groups for the duration of the lesson. </w:t>
      </w:r>
    </w:p>
    <w:p w14:paraId="615B112F" w14:textId="7DAF2E4F" w:rsidR="00A40CC3" w:rsidRDefault="00A40CC3" w:rsidP="00F9019F">
      <w:pPr>
        <w:pStyle w:val="AssignBody"/>
        <w:jc w:val="both"/>
      </w:pPr>
    </w:p>
    <w:p w14:paraId="2214BD6C" w14:textId="10AA4CE8" w:rsidR="00ED2333" w:rsidRPr="00ED2333" w:rsidRDefault="00E24BC1" w:rsidP="00F9019F">
      <w:pPr>
        <w:pStyle w:val="AssignBody"/>
        <w:jc w:val="both"/>
      </w:pPr>
      <w:r>
        <w:t>A</w:t>
      </w:r>
      <w:r w:rsidR="00A40CC3">
        <w:t xml:space="preserve"> Leuven Scale for Involvement (2005) score for each focus group pupil </w:t>
      </w:r>
      <w:r>
        <w:t xml:space="preserve">was allotted at one-minute intervals during both the hands-up questioning and mini whiteboard activities (see Appendix 1). </w:t>
      </w:r>
      <w:r w:rsidR="00ED2333">
        <w:t>The mean</w:t>
      </w:r>
      <w:r w:rsidR="003F3D3E">
        <w:t xml:space="preserve"> (M)</w:t>
      </w:r>
      <w:r w:rsidR="006F2FDA">
        <w:t xml:space="preserve"> </w:t>
      </w:r>
      <w:r w:rsidR="006F2FDA">
        <w:rPr>
          <w:rFonts w:cs="Arial"/>
        </w:rPr>
        <w:t>± standard error of the mean (SEM)</w:t>
      </w:r>
      <w:r w:rsidR="00ED2333">
        <w:t xml:space="preserve"> involvement levels of the focus pupils during the hands-up questioning activity (M = 2.93</w:t>
      </w:r>
      <w:r w:rsidR="00D96C1C">
        <w:rPr>
          <w:rFonts w:cs="Arial"/>
        </w:rPr>
        <w:t>±</w:t>
      </w:r>
      <w:r w:rsidR="006F2FDA">
        <w:t>0.26</w:t>
      </w:r>
      <w:r w:rsidR="00ED2333">
        <w:t>) were higher when compared with the mean involvement levels when mini whiteboards were used as the response system (M = 3.87</w:t>
      </w:r>
      <w:r w:rsidR="00D96C1C">
        <w:rPr>
          <w:rFonts w:cs="Arial"/>
        </w:rPr>
        <w:t>±</w:t>
      </w:r>
      <w:r w:rsidR="006F2FDA">
        <w:t>0.23</w:t>
      </w:r>
      <w:r w:rsidR="00ED2333">
        <w:t xml:space="preserve">). </w:t>
      </w:r>
      <w:r w:rsidR="005E4B20">
        <w:t xml:space="preserve">Using a two-tailed </w:t>
      </w:r>
      <w:r w:rsidR="005E4B20" w:rsidRPr="005E4B20">
        <w:rPr>
          <w:i/>
          <w:iCs/>
        </w:rPr>
        <w:t>t</w:t>
      </w:r>
      <w:r w:rsidR="005E4B20">
        <w:t xml:space="preserve">-test, </w:t>
      </w:r>
      <w:r w:rsidR="006F2FDA">
        <w:t xml:space="preserve">where </w:t>
      </w:r>
      <w:r w:rsidR="006F2FDA">
        <w:rPr>
          <w:i/>
          <w:iCs/>
        </w:rPr>
        <w:t xml:space="preserve">p </w:t>
      </w:r>
      <w:r w:rsidR="006F2FDA">
        <w:t xml:space="preserve">values &lt;0.05 were deemed statistically significant, </w:t>
      </w:r>
      <w:r w:rsidR="005E4B20">
        <w:t>t</w:t>
      </w:r>
      <w:r w:rsidR="00ED2333" w:rsidRPr="005E4B20">
        <w:t>h</w:t>
      </w:r>
      <w:r w:rsidR="006F2FDA">
        <w:t>e</w:t>
      </w:r>
      <w:r w:rsidR="00ED2333">
        <w:t xml:space="preserve"> difference</w:t>
      </w:r>
      <w:r w:rsidR="006F2FDA">
        <w:t xml:space="preserve"> between the means</w:t>
      </w:r>
      <w:r w:rsidR="00ED2333">
        <w:t xml:space="preserve"> proved to be </w:t>
      </w:r>
      <w:r w:rsidR="006F2FDA">
        <w:t xml:space="preserve">so, with </w:t>
      </w:r>
      <w:r w:rsidR="006F2FDA">
        <w:rPr>
          <w:i/>
          <w:iCs/>
        </w:rPr>
        <w:t xml:space="preserve">p </w:t>
      </w:r>
      <w:r w:rsidR="006F2FDA">
        <w:t>= 0.0102</w:t>
      </w:r>
      <w:r w:rsidR="00ED2333">
        <w:t xml:space="preserve">. The hands up response system </w:t>
      </w:r>
      <w:r w:rsidR="00097438">
        <w:t>was highly es</w:t>
      </w:r>
      <w:r w:rsidR="00ED2333">
        <w:t xml:space="preserve">tablished within the classroom and that could suggest why pupil </w:t>
      </w:r>
      <w:r w:rsidR="00097438">
        <w:t xml:space="preserve">involvement levels </w:t>
      </w:r>
      <w:r w:rsidR="00ED2333">
        <w:t>were higher during that segment of the introduction</w:t>
      </w:r>
      <w:r w:rsidR="00097438">
        <w:t xml:space="preserve">. </w:t>
      </w:r>
      <w:r w:rsidR="00ED2333">
        <w:t xml:space="preserve">Although </w:t>
      </w:r>
      <w:r w:rsidR="00ED2333">
        <w:rPr>
          <w:i/>
        </w:rPr>
        <w:t>Child 1</w:t>
      </w:r>
      <w:r w:rsidR="00ED2333">
        <w:t xml:space="preserve"> presented a similarly high level of involvement during the mini whiteboards questioning, both </w:t>
      </w:r>
      <w:r w:rsidR="00ED2333">
        <w:rPr>
          <w:i/>
        </w:rPr>
        <w:t xml:space="preserve">Child 2 </w:t>
      </w:r>
      <w:r w:rsidR="00ED2333">
        <w:t xml:space="preserve">and </w:t>
      </w:r>
      <w:r w:rsidR="00ED2333">
        <w:rPr>
          <w:i/>
        </w:rPr>
        <w:t xml:space="preserve">Child 3 </w:t>
      </w:r>
      <w:r w:rsidR="00ED2333">
        <w:t xml:space="preserve">displayed drastically lower involvement levels. Observer notes illustrate that after the introduction of the mini whiteboards, </w:t>
      </w:r>
      <w:r w:rsidR="00ED2333">
        <w:rPr>
          <w:i/>
        </w:rPr>
        <w:t>Child 2</w:t>
      </w:r>
      <w:r w:rsidR="00ED2333">
        <w:t xml:space="preserve"> often became distracted and </w:t>
      </w:r>
      <w:r w:rsidR="00ED2333">
        <w:rPr>
          <w:i/>
        </w:rPr>
        <w:t>Child 3</w:t>
      </w:r>
      <w:r w:rsidR="00ED2333">
        <w:t xml:space="preserve"> struggled to follow instructions correctly; this could infer that the use of mini whiteboards led to an increase in unwanted behaviour. Therefore, the results from Lesson 1 </w:t>
      </w:r>
      <w:r w:rsidR="007B2D58">
        <w:t>suggest</w:t>
      </w:r>
      <w:r w:rsidR="00ED2333">
        <w:t xml:space="preserve"> that mini whiteboards</w:t>
      </w:r>
      <w:r w:rsidR="007B2D58">
        <w:t xml:space="preserve"> may</w:t>
      </w:r>
      <w:r w:rsidR="00ED2333">
        <w:t xml:space="preserve"> negatively affect pupil involvement levels </w:t>
      </w:r>
      <w:r w:rsidR="007B2D58">
        <w:t>and could also</w:t>
      </w:r>
      <w:r w:rsidR="00ED2333">
        <w:t xml:space="preserve"> distract attention away from </w:t>
      </w:r>
      <w:r w:rsidR="00D00C67">
        <w:t xml:space="preserve">teaching and learning. </w:t>
      </w:r>
    </w:p>
    <w:p w14:paraId="5376A89E" w14:textId="77777777" w:rsidR="00ED2333" w:rsidRDefault="00ED2333" w:rsidP="00F9019F">
      <w:pPr>
        <w:pStyle w:val="AssignBody"/>
        <w:jc w:val="both"/>
      </w:pPr>
    </w:p>
    <w:p w14:paraId="32C6C229" w14:textId="1904A6AE" w:rsidR="00D00C67" w:rsidRDefault="00AA736F" w:rsidP="00F9019F">
      <w:pPr>
        <w:pStyle w:val="AssignBody"/>
        <w:jc w:val="both"/>
      </w:pPr>
      <w:r>
        <w:t xml:space="preserve">In the post-lesson interview (see Appendix 3), both </w:t>
      </w:r>
      <w:r>
        <w:rPr>
          <w:i/>
        </w:rPr>
        <w:t xml:space="preserve">Child 2 </w:t>
      </w:r>
      <w:r>
        <w:t xml:space="preserve">and </w:t>
      </w:r>
      <w:r>
        <w:rPr>
          <w:i/>
        </w:rPr>
        <w:t>Child 3</w:t>
      </w:r>
      <w:r>
        <w:t xml:space="preserve"> assert</w:t>
      </w:r>
      <w:r w:rsidR="007B2D58">
        <w:t>ed</w:t>
      </w:r>
      <w:r>
        <w:t xml:space="preserve"> that hands-up questioning is a favourable questioning strategy within the classroom as it helps to keep noise to a minimum. Even so, all three children maintained that they would be </w:t>
      </w:r>
      <w:r w:rsidR="00902B95">
        <w:t>most</w:t>
      </w:r>
      <w:r>
        <w:t xml:space="preserve"> likely to participate in a questioning activity if</w:t>
      </w:r>
      <w:r w:rsidR="00902B95">
        <w:t xml:space="preserve"> mini whiteboards were employed, suggesting that the use of mini whiteboards and increased noise levels </w:t>
      </w:r>
      <w:r w:rsidR="007B2D58">
        <w:t>may</w:t>
      </w:r>
      <w:r w:rsidR="00902B95">
        <w:t xml:space="preserve"> not </w:t>
      </w:r>
      <w:r w:rsidR="007B2D58">
        <w:t xml:space="preserve">be </w:t>
      </w:r>
      <w:r w:rsidR="00902B95">
        <w:t xml:space="preserve">directly associated. </w:t>
      </w:r>
      <w:r w:rsidR="00274DEF">
        <w:t>In addition</w:t>
      </w:r>
      <w:r w:rsidR="00902B95">
        <w:t xml:space="preserve">, the </w:t>
      </w:r>
      <w:r w:rsidR="00274DEF">
        <w:t xml:space="preserve">positive reaction towards mini whiteboards in the interview, combined with the </w:t>
      </w:r>
      <w:r w:rsidR="00902B95">
        <w:t xml:space="preserve">fact that </w:t>
      </w:r>
      <w:r w:rsidR="00902B95">
        <w:lastRenderedPageBreak/>
        <w:t xml:space="preserve">mini whiteboards had not been regularly used in the </w:t>
      </w:r>
      <w:r w:rsidR="00274DEF">
        <w:t xml:space="preserve">class prior to the lesson study, </w:t>
      </w:r>
      <w:r w:rsidR="000D5BB2">
        <w:t>may indicate why behaviour</w:t>
      </w:r>
      <w:r w:rsidR="007B2D58">
        <w:t xml:space="preserve"> </w:t>
      </w:r>
      <w:r w:rsidR="003B4288">
        <w:t>leve</w:t>
      </w:r>
      <w:r w:rsidR="00274DEF">
        <w:t>ls worsened</w:t>
      </w:r>
      <w:r w:rsidR="007B2D58">
        <w:t>.</w:t>
      </w:r>
      <w:r w:rsidR="003B4288">
        <w:t xml:space="preserve"> </w:t>
      </w:r>
      <w:r w:rsidR="007B2D58">
        <w:t>T</w:t>
      </w:r>
      <w:r w:rsidR="003B4288">
        <w:t xml:space="preserve">he pupils became overly enthusiastic about </w:t>
      </w:r>
      <w:r w:rsidR="007B2D58">
        <w:t xml:space="preserve">answering </w:t>
      </w:r>
      <w:r w:rsidR="00274DEF">
        <w:t>questions in an unfamiliar way</w:t>
      </w:r>
      <w:r w:rsidR="007B2D58">
        <w:t>, and this consequently contributed to the negative impact seen upon involvement levels</w:t>
      </w:r>
      <w:r w:rsidR="00274DEF">
        <w:t xml:space="preserve">. </w:t>
      </w:r>
    </w:p>
    <w:p w14:paraId="7010F53F" w14:textId="77777777" w:rsidR="00AF56ED" w:rsidRDefault="00AF56ED" w:rsidP="00F9019F">
      <w:pPr>
        <w:pStyle w:val="AssignBody"/>
        <w:jc w:val="both"/>
      </w:pPr>
    </w:p>
    <w:p w14:paraId="53742FF2" w14:textId="009B6164" w:rsidR="006C7113" w:rsidRDefault="00AF56ED" w:rsidP="00F9019F">
      <w:pPr>
        <w:pStyle w:val="AssignBody"/>
        <w:jc w:val="both"/>
      </w:pPr>
      <w:r>
        <w:t xml:space="preserve">The teacher’s post-lesson reflection (see Appendix 2) illustrates how mini whiteboards were used as a successful assessment for learning strategy in this lesson; they allowed the teacher to identify when some questions were too difficult as a decrease in involvement was observed. The minute-by-minute assessments of Leuven Scale for Involvement (2005) scores for </w:t>
      </w:r>
      <w:r>
        <w:rPr>
          <w:i/>
        </w:rPr>
        <w:t>Child 2</w:t>
      </w:r>
      <w:r>
        <w:t xml:space="preserve"> and </w:t>
      </w:r>
      <w:r>
        <w:rPr>
          <w:i/>
        </w:rPr>
        <w:t>Child 3</w:t>
      </w:r>
      <w:r w:rsidR="00A95608">
        <w:t xml:space="preserve">, as shown </w:t>
      </w:r>
      <w:r w:rsidR="00A95608" w:rsidRPr="00715361">
        <w:t>in Fig. 1,</w:t>
      </w:r>
      <w:r w:rsidR="00A31FD1" w:rsidRPr="00715361">
        <w:t xml:space="preserve"> demonstrate</w:t>
      </w:r>
      <w:r>
        <w:t xml:space="preserve"> that</w:t>
      </w:r>
      <w:r w:rsidR="00A31FD1">
        <w:t xml:space="preserve"> their</w:t>
      </w:r>
      <w:r>
        <w:t xml:space="preserve"> involvement levels continually fluctuated dur</w:t>
      </w:r>
      <w:r w:rsidR="00A31FD1">
        <w:t xml:space="preserve">ing the use of mini whiteboards. This would further suggest that the mini whiteboards allowed the teacher to collect feedback from the pupils, as involvement levels increased when the pupils felt they were able to correctly answer. </w:t>
      </w:r>
      <w:r w:rsidR="00A95608">
        <w:t xml:space="preserve">Additionally, this underpins guidance from Welsh Government (2010) that assessment for learning in the classroom requires further evolution and research. </w:t>
      </w:r>
      <w:r w:rsidR="00696E48">
        <w:t xml:space="preserve">Although </w:t>
      </w:r>
      <w:r w:rsidR="00696E48">
        <w:rPr>
          <w:i/>
        </w:rPr>
        <w:t xml:space="preserve">Child 2 </w:t>
      </w:r>
      <w:r w:rsidR="00696E48">
        <w:t xml:space="preserve">and </w:t>
      </w:r>
      <w:r w:rsidR="00696E48">
        <w:rPr>
          <w:i/>
        </w:rPr>
        <w:t xml:space="preserve">Child 3 </w:t>
      </w:r>
      <w:r w:rsidR="00696E48">
        <w:t xml:space="preserve">overall showed lower involvement levels when using mini whiteboards, they allowed the teacher to more effectively gauge the understanding of the pupils. </w:t>
      </w:r>
      <w:r w:rsidR="00A31FD1">
        <w:t>Mini whiteboards a</w:t>
      </w:r>
      <w:r w:rsidR="00696E48">
        <w:t xml:space="preserve">re therefore able to positively </w:t>
      </w:r>
      <w:r w:rsidR="00696E48">
        <w:rPr>
          <w:i/>
        </w:rPr>
        <w:t xml:space="preserve">and </w:t>
      </w:r>
      <w:r w:rsidR="00696E48">
        <w:t xml:space="preserve">negatively </w:t>
      </w:r>
      <w:r w:rsidR="00A31FD1">
        <w:t xml:space="preserve">affect pupil involvement levels during whole class questioning activities, especially in terms of assessment for learning purposes. </w:t>
      </w:r>
    </w:p>
    <w:p w14:paraId="1ADCB8BB" w14:textId="452D8C06" w:rsidR="009E6990" w:rsidRDefault="009E6990" w:rsidP="00F9019F">
      <w:pPr>
        <w:pStyle w:val="AssignBody"/>
        <w:jc w:val="both"/>
      </w:pPr>
    </w:p>
    <w:p w14:paraId="20A790DA" w14:textId="7F61A036" w:rsidR="009E6990" w:rsidRDefault="00F65583" w:rsidP="00F9019F">
      <w:pPr>
        <w:pStyle w:val="AssignBody"/>
        <w:jc w:val="both"/>
      </w:pPr>
      <w:r>
        <w:rPr>
          <w:noProof/>
          <w:lang w:eastAsia="en-GB"/>
        </w:rPr>
        <w:drawing>
          <wp:anchor distT="0" distB="0" distL="114300" distR="114300" simplePos="0" relativeHeight="251658240" behindDoc="0" locked="0" layoutInCell="1" allowOverlap="1" wp14:anchorId="22264AE9" wp14:editId="172949AE">
            <wp:simplePos x="0" y="0"/>
            <wp:positionH relativeFrom="margin">
              <wp:align>left</wp:align>
            </wp:positionH>
            <wp:positionV relativeFrom="paragraph">
              <wp:posOffset>6985</wp:posOffset>
            </wp:positionV>
            <wp:extent cx="3897630" cy="2362200"/>
            <wp:effectExtent l="0" t="0" r="762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762" t="33103" r="36018" b="24631"/>
                    <a:stretch/>
                  </pic:blipFill>
                  <pic:spPr bwMode="auto">
                    <a:xfrm>
                      <a:off x="0" y="0"/>
                      <a:ext cx="3903390" cy="23655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C3EEA5" w14:textId="77777777" w:rsidR="00696E48" w:rsidRDefault="00696E48" w:rsidP="00F9019F">
      <w:pPr>
        <w:pStyle w:val="AssignBody"/>
        <w:jc w:val="both"/>
      </w:pPr>
    </w:p>
    <w:p w14:paraId="1B431DE9" w14:textId="77777777" w:rsidR="00F65583" w:rsidRDefault="00F65583" w:rsidP="00F9019F">
      <w:pPr>
        <w:pStyle w:val="AssignBody"/>
        <w:jc w:val="both"/>
      </w:pPr>
    </w:p>
    <w:p w14:paraId="78DF34E7" w14:textId="77777777" w:rsidR="00F65583" w:rsidRDefault="00F65583" w:rsidP="00F9019F">
      <w:pPr>
        <w:pStyle w:val="AssignBody"/>
        <w:jc w:val="both"/>
      </w:pPr>
    </w:p>
    <w:p w14:paraId="25FD8A24" w14:textId="77777777" w:rsidR="00F65583" w:rsidRDefault="00F65583" w:rsidP="00F9019F">
      <w:pPr>
        <w:pStyle w:val="AssignBody"/>
        <w:jc w:val="both"/>
      </w:pPr>
    </w:p>
    <w:p w14:paraId="0AA94340" w14:textId="77777777" w:rsidR="00F65583" w:rsidRDefault="00F65583" w:rsidP="00F9019F">
      <w:pPr>
        <w:pStyle w:val="AssignBody"/>
        <w:jc w:val="both"/>
      </w:pPr>
    </w:p>
    <w:p w14:paraId="152BCF86" w14:textId="77777777" w:rsidR="00F65583" w:rsidRDefault="00F65583" w:rsidP="00F9019F">
      <w:pPr>
        <w:pStyle w:val="AssignBody"/>
        <w:jc w:val="both"/>
      </w:pPr>
    </w:p>
    <w:p w14:paraId="4CC506B2" w14:textId="77777777" w:rsidR="00F65583" w:rsidRDefault="00F65583" w:rsidP="00F9019F">
      <w:pPr>
        <w:pStyle w:val="AssignBody"/>
        <w:jc w:val="both"/>
      </w:pPr>
    </w:p>
    <w:p w14:paraId="3D9EAB4A" w14:textId="77777777" w:rsidR="00F65583" w:rsidRDefault="00F65583" w:rsidP="00F9019F">
      <w:pPr>
        <w:pStyle w:val="AssignBody"/>
        <w:jc w:val="both"/>
      </w:pPr>
    </w:p>
    <w:p w14:paraId="25FC611E" w14:textId="77777777" w:rsidR="00F65583" w:rsidRDefault="00F65583" w:rsidP="00F9019F">
      <w:pPr>
        <w:pStyle w:val="AssignBody"/>
        <w:jc w:val="both"/>
      </w:pPr>
    </w:p>
    <w:p w14:paraId="181DA29C" w14:textId="193F1F9C" w:rsidR="00F65583" w:rsidRDefault="00F65583" w:rsidP="00F9019F">
      <w:pPr>
        <w:pStyle w:val="AssignBody"/>
        <w:jc w:val="both"/>
      </w:pPr>
      <w:r>
        <w:t xml:space="preserve">Figure 1. Leuven Scale for Involvement (2005) score for focus group pupils observed at one-minute intervals during Lesson 1. </w:t>
      </w:r>
    </w:p>
    <w:p w14:paraId="2FA6A23A" w14:textId="77777777" w:rsidR="00F65583" w:rsidRDefault="00F65583" w:rsidP="00F9019F">
      <w:pPr>
        <w:pStyle w:val="AssignBody"/>
        <w:jc w:val="both"/>
      </w:pPr>
    </w:p>
    <w:p w14:paraId="5BA6FEC4" w14:textId="615F5F90" w:rsidR="00696E48" w:rsidRPr="00CD7D36" w:rsidRDefault="00CD7D36" w:rsidP="00F9019F">
      <w:pPr>
        <w:pStyle w:val="AssignBody"/>
        <w:jc w:val="both"/>
      </w:pPr>
      <w:r>
        <w:t xml:space="preserve">Prior to the delivery of Lesson 2, certain </w:t>
      </w:r>
      <w:r w:rsidR="00EE110A">
        <w:t>characteristics</w:t>
      </w:r>
      <w:r>
        <w:t xml:space="preserve"> </w:t>
      </w:r>
      <w:r w:rsidR="00EE110A">
        <w:t xml:space="preserve">from Lesson 1 </w:t>
      </w:r>
      <w:r>
        <w:t>were revised after deliberation between me and my research partner. We found that two uninter</w:t>
      </w:r>
      <w:r w:rsidR="00EE110A">
        <w:t>rupted questioning activities, totalling over 20 minutes</w:t>
      </w:r>
      <w:r>
        <w:t xml:space="preserve">, had been too intense for the pupils </w:t>
      </w:r>
      <w:r w:rsidR="00EE110A">
        <w:t xml:space="preserve">and </w:t>
      </w:r>
      <w:r w:rsidR="00114ADC">
        <w:t>this may have impacted somewhat upon the observed decrease in involvement levels</w:t>
      </w:r>
      <w:r w:rsidR="00BF576F">
        <w:t xml:space="preserve">; this mirrors </w:t>
      </w:r>
      <w:r w:rsidR="00BF576F">
        <w:lastRenderedPageBreak/>
        <w:t xml:space="preserve">the argument made by Dillon (1988) that too many continuous questions will eventually disengage pupils. </w:t>
      </w:r>
      <w:r w:rsidR="00114ADC">
        <w:t>Moreover, instances of unwanted behaviour had also increased, possibly due to agitation or apathy, and we therefore</w:t>
      </w:r>
      <w:r w:rsidR="00EE110A">
        <w:t xml:space="preserve"> moved the second questioning activity into the plenary of Lesson 2. </w:t>
      </w:r>
      <w:r w:rsidR="00114ADC">
        <w:t xml:space="preserve">Additionally, we observed that the level of questioning during Lesson 1 had not engaged the </w:t>
      </w:r>
      <w:r w:rsidR="00365391">
        <w:t>lower and middle ability</w:t>
      </w:r>
      <w:r w:rsidR="00114ADC">
        <w:t xml:space="preserve"> pupils enough and </w:t>
      </w:r>
      <w:r w:rsidR="00CC480E">
        <w:t>thus, we</w:t>
      </w:r>
      <w:r w:rsidR="00114ADC">
        <w:t xml:space="preserve"> </w:t>
      </w:r>
      <w:r w:rsidR="00365391">
        <w:t>adjusted</w:t>
      </w:r>
      <w:r w:rsidR="00114ADC">
        <w:t xml:space="preserve"> </w:t>
      </w:r>
      <w:r w:rsidR="00F51557">
        <w:t xml:space="preserve">the general </w:t>
      </w:r>
      <w:r w:rsidR="00114ADC">
        <w:t xml:space="preserve">question difficulty so that a deeper assessment of all pupils’ understanding could be made. </w:t>
      </w:r>
    </w:p>
    <w:p w14:paraId="6CE11E73" w14:textId="77777777" w:rsidR="00A40CC3" w:rsidRDefault="00A40CC3" w:rsidP="00F9019F">
      <w:pPr>
        <w:pStyle w:val="AssignBody"/>
        <w:jc w:val="both"/>
        <w:rPr>
          <w:u w:val="single"/>
        </w:rPr>
      </w:pPr>
    </w:p>
    <w:p w14:paraId="0E1F9097" w14:textId="4A010ADA" w:rsidR="0040616C" w:rsidRDefault="00AF570A" w:rsidP="00F9019F">
      <w:pPr>
        <w:pStyle w:val="AssignBody"/>
        <w:jc w:val="both"/>
      </w:pPr>
      <w:r>
        <w:t xml:space="preserve">Lesson 2 </w:t>
      </w:r>
      <w:r w:rsidR="00583AC1">
        <w:t>of</w:t>
      </w:r>
      <w:r>
        <w:t xml:space="preserve"> our </w:t>
      </w:r>
      <w:r w:rsidR="00583AC1">
        <w:t xml:space="preserve">study </w:t>
      </w:r>
      <w:r w:rsidR="00117CC1">
        <w:t xml:space="preserve">was a </w:t>
      </w:r>
      <w:r w:rsidR="00495EC0">
        <w:t xml:space="preserve">Year 2 </w:t>
      </w:r>
      <w:r w:rsidR="00117CC1">
        <w:t xml:space="preserve">numeracy lesson, in which the main objective was to recall subtraction within 20. A short introduction recapped subtraction using a number line and pupils were encouraged to submit answers by raising their hand; partner talk was employed on two separate occasions. The core component of the lesson was undertaken in a carousel format, consisting of three cross-curricular activities. </w:t>
      </w:r>
      <w:r w:rsidR="00302F5F">
        <w:t xml:space="preserve">The lesson concluded with an extended plenary, in which the pupils were tasked with answering questions using mini whiteboards. </w:t>
      </w:r>
      <w:r w:rsidR="00495EC0">
        <w:t xml:space="preserve">Both the introduction and plenary were carried out </w:t>
      </w:r>
      <w:r w:rsidR="00ED36D3">
        <w:t xml:space="preserve">whole class, </w:t>
      </w:r>
      <w:r w:rsidR="00495EC0">
        <w:t xml:space="preserve">on the carpet in front of an Interactive Whiteboard. </w:t>
      </w:r>
    </w:p>
    <w:p w14:paraId="597F40B7" w14:textId="799613F1" w:rsidR="00A91986" w:rsidRDefault="00A91986" w:rsidP="00F9019F">
      <w:pPr>
        <w:pStyle w:val="AssignBody"/>
        <w:jc w:val="both"/>
        <w:rPr>
          <w:u w:val="single"/>
        </w:rPr>
      </w:pPr>
    </w:p>
    <w:p w14:paraId="3976CB55" w14:textId="1A949B98" w:rsidR="00EE52A4" w:rsidRDefault="00495EC0" w:rsidP="00F9019F">
      <w:pPr>
        <w:pStyle w:val="AssignBody"/>
        <w:jc w:val="both"/>
      </w:pPr>
      <w:r>
        <w:t>During the</w:t>
      </w:r>
      <w:r w:rsidR="00992C30">
        <w:t xml:space="preserve"> introductory</w:t>
      </w:r>
      <w:r>
        <w:t xml:space="preserve"> </w:t>
      </w:r>
      <w:r w:rsidR="000902A0">
        <w:t>hands-up questioning activity</w:t>
      </w:r>
      <w:r>
        <w:t xml:space="preserve">, </w:t>
      </w:r>
      <w:r w:rsidR="00A40CC3">
        <w:t>a</w:t>
      </w:r>
      <w:r w:rsidR="0013119A">
        <w:t xml:space="preserve"> Leuven Scale for Involvement </w:t>
      </w:r>
      <w:r w:rsidR="000902A0">
        <w:t xml:space="preserve">(2005) </w:t>
      </w:r>
      <w:r w:rsidR="0013119A">
        <w:t xml:space="preserve">score </w:t>
      </w:r>
      <w:r w:rsidR="00A40CC3">
        <w:t xml:space="preserve">was </w:t>
      </w:r>
      <w:r w:rsidR="00CC480E">
        <w:t xml:space="preserve">again </w:t>
      </w:r>
      <w:r w:rsidR="00A40CC3">
        <w:t>assigned to</w:t>
      </w:r>
      <w:r w:rsidR="0013119A">
        <w:t xml:space="preserve"> each focus group pupil </w:t>
      </w:r>
      <w:r w:rsidR="00A40CC3">
        <w:t xml:space="preserve">at </w:t>
      </w:r>
      <w:r w:rsidR="00E24BC1">
        <w:t>one-minute</w:t>
      </w:r>
      <w:r w:rsidR="00A40CC3">
        <w:t xml:space="preserve"> intervals (see Appendix 1)</w:t>
      </w:r>
      <w:r w:rsidR="00992C30">
        <w:t>.</w:t>
      </w:r>
      <w:r w:rsidR="0013119A">
        <w:t xml:space="preserve"> </w:t>
      </w:r>
      <w:r w:rsidR="00D4559F">
        <w:rPr>
          <w:i/>
        </w:rPr>
        <w:t>Child 1</w:t>
      </w:r>
      <w:r w:rsidR="002F0B1E">
        <w:t xml:space="preserve"> (</w:t>
      </w:r>
      <w:r w:rsidR="00D00C67">
        <w:t>M = 2</w:t>
      </w:r>
      <w:r w:rsidR="00CC480E">
        <w:t>.0</w:t>
      </w:r>
      <w:r w:rsidR="002F0B1E">
        <w:t>)</w:t>
      </w:r>
      <w:r w:rsidR="00D4559F">
        <w:t xml:space="preserve"> displayed </w:t>
      </w:r>
      <w:r w:rsidR="002A4622">
        <w:t>abnormally low levels of involvement during this activity</w:t>
      </w:r>
      <w:r w:rsidR="000902A0">
        <w:t xml:space="preserve">. </w:t>
      </w:r>
      <w:r w:rsidR="000902A0">
        <w:rPr>
          <w:i/>
        </w:rPr>
        <w:t>Child 2</w:t>
      </w:r>
      <w:r w:rsidR="000902A0">
        <w:t xml:space="preserve"> </w:t>
      </w:r>
      <w:r w:rsidR="00D00C67">
        <w:t>(M = 2.7</w:t>
      </w:r>
      <w:r w:rsidR="002F0B1E">
        <w:t xml:space="preserve">) </w:t>
      </w:r>
      <w:r w:rsidR="000902A0">
        <w:t xml:space="preserve">displayed an expected level of involvement, however </w:t>
      </w:r>
      <w:r w:rsidR="000902A0">
        <w:rPr>
          <w:i/>
        </w:rPr>
        <w:t>Child 3</w:t>
      </w:r>
      <w:r w:rsidR="000902A0">
        <w:t xml:space="preserve"> </w:t>
      </w:r>
      <w:r w:rsidR="00D00C67">
        <w:t>(M = 3.8</w:t>
      </w:r>
      <w:r w:rsidR="002F0B1E">
        <w:t xml:space="preserve">) </w:t>
      </w:r>
      <w:r w:rsidR="000902A0">
        <w:t xml:space="preserve">appeared motivated and eager to answer all questions. </w:t>
      </w:r>
      <w:r w:rsidR="00992C30">
        <w:t xml:space="preserve">The main objective of the introduction was to allow the class to recall simple subtraction using a number line and </w:t>
      </w:r>
      <w:r w:rsidR="00060208">
        <w:t xml:space="preserve">most </w:t>
      </w:r>
      <w:r w:rsidR="00992C30">
        <w:t xml:space="preserve">of the class were highly involved throughout the activity, with only a few pupils failing to raise their hand to submit a response. </w:t>
      </w:r>
      <w:r w:rsidR="002F0B1E">
        <w:t xml:space="preserve">The unusual lack of engagement shown by </w:t>
      </w:r>
      <w:r w:rsidR="002F0B1E">
        <w:rPr>
          <w:i/>
        </w:rPr>
        <w:t>Child 1</w:t>
      </w:r>
      <w:r w:rsidR="002F0B1E">
        <w:t xml:space="preserve">, who is of highest ability of the case pupils, could </w:t>
      </w:r>
      <w:r w:rsidR="00EE52A4">
        <w:t>demonstrate</w:t>
      </w:r>
      <w:r w:rsidR="002F0B1E">
        <w:t xml:space="preserve"> that the introductory activity was too </w:t>
      </w:r>
      <w:r w:rsidR="00D00C67">
        <w:t>straightforward</w:t>
      </w:r>
      <w:r w:rsidR="00992C30">
        <w:t xml:space="preserve">, </w:t>
      </w:r>
      <w:r w:rsidR="002F0B1E">
        <w:t>especially as their involvement scores throughout the more challenging plenary – in which mini whiteboards were employed – were drastically raised</w:t>
      </w:r>
      <w:r w:rsidR="00CC480E">
        <w:t xml:space="preserve"> (M = 4.9)</w:t>
      </w:r>
      <w:r w:rsidR="002F0B1E">
        <w:t xml:space="preserve">. </w:t>
      </w:r>
      <w:r w:rsidR="002F0B1E">
        <w:rPr>
          <w:i/>
        </w:rPr>
        <w:t>Child 2</w:t>
      </w:r>
      <w:r w:rsidR="002F0B1E">
        <w:t xml:space="preserve">, </w:t>
      </w:r>
      <w:r w:rsidR="00EE52A4">
        <w:t xml:space="preserve">also </w:t>
      </w:r>
      <w:r w:rsidR="002F0B1E">
        <w:t xml:space="preserve">of </w:t>
      </w:r>
      <w:r w:rsidR="00EE52A4">
        <w:t>high</w:t>
      </w:r>
      <w:r w:rsidR="002F0B1E">
        <w:t xml:space="preserve"> ability, exhibited a </w:t>
      </w:r>
      <w:r w:rsidR="00992C30">
        <w:t>radical</w:t>
      </w:r>
      <w:r w:rsidR="002F0B1E">
        <w:t xml:space="preserve"> change in involvement level between the introduction and plenary (</w:t>
      </w:r>
      <w:r w:rsidR="00D00C67">
        <w:t>M = 4.8</w:t>
      </w:r>
      <w:r w:rsidR="002F0B1E">
        <w:t>)</w:t>
      </w:r>
      <w:r w:rsidR="00EE52A4">
        <w:t>, further suggesting that the introductory content was not demanding or engaging enough</w:t>
      </w:r>
      <w:r w:rsidR="00C55F45">
        <w:t>.</w:t>
      </w:r>
      <w:r w:rsidR="002F0B1E">
        <w:t xml:space="preserve"> </w:t>
      </w:r>
      <w:r w:rsidR="00AA736F">
        <w:t xml:space="preserve">The </w:t>
      </w:r>
      <w:r w:rsidR="002F0B1E">
        <w:t xml:space="preserve">comparable data collected for </w:t>
      </w:r>
      <w:r w:rsidR="002F0B1E">
        <w:rPr>
          <w:i/>
        </w:rPr>
        <w:t>Child 3</w:t>
      </w:r>
      <w:r w:rsidR="00D00C67">
        <w:t xml:space="preserve"> (M = 3.8)</w:t>
      </w:r>
      <w:r w:rsidR="00C55F45">
        <w:t xml:space="preserve">, of </w:t>
      </w:r>
      <w:r w:rsidR="00EE52A4">
        <w:t>middle</w:t>
      </w:r>
      <w:r w:rsidR="00C55F45">
        <w:t xml:space="preserve"> ability</w:t>
      </w:r>
      <w:r w:rsidR="00F5206A">
        <w:t>,</w:t>
      </w:r>
      <w:r w:rsidR="002F0B1E">
        <w:rPr>
          <w:i/>
        </w:rPr>
        <w:t xml:space="preserve"> </w:t>
      </w:r>
      <w:r w:rsidR="002F0B1E">
        <w:t>proved</w:t>
      </w:r>
      <w:r w:rsidR="00D00C67">
        <w:t xml:space="preserve"> slightly</w:t>
      </w:r>
      <w:r w:rsidR="002F0B1E">
        <w:t xml:space="preserve"> </w:t>
      </w:r>
      <w:r w:rsidR="00EE52A4">
        <w:t>more</w:t>
      </w:r>
      <w:r w:rsidR="00D00C67">
        <w:t xml:space="preserve"> insignificant</w:t>
      </w:r>
      <w:r w:rsidR="00EE52A4">
        <w:t xml:space="preserve"> as they were similarly involved in both activities.</w:t>
      </w:r>
      <w:r w:rsidR="00AA736F">
        <w:t xml:space="preserve"> However, the </w:t>
      </w:r>
      <w:r w:rsidR="00CC480E">
        <w:t xml:space="preserve">overall </w:t>
      </w:r>
      <w:r w:rsidR="00AA736F">
        <w:t>results</w:t>
      </w:r>
      <w:r w:rsidR="00696E48">
        <w:t xml:space="preserve"> for all three pupils</w:t>
      </w:r>
      <w:r w:rsidR="00AA736F">
        <w:t xml:space="preserve"> were statistically significant</w:t>
      </w:r>
      <w:r w:rsidR="00CC480E">
        <w:t xml:space="preserve"> when analysed with a two-tailed </w:t>
      </w:r>
      <w:r w:rsidR="00CC480E">
        <w:rPr>
          <w:i/>
          <w:iCs/>
        </w:rPr>
        <w:t>t</w:t>
      </w:r>
      <w:r w:rsidR="00CC480E">
        <w:t>-test (</w:t>
      </w:r>
      <w:r w:rsidR="00CC480E">
        <w:rPr>
          <w:i/>
          <w:iCs/>
        </w:rPr>
        <w:t>p</w:t>
      </w:r>
      <w:r w:rsidR="00CC480E">
        <w:t>&lt;0.05)</w:t>
      </w:r>
      <w:r w:rsidR="00AA736F">
        <w:t xml:space="preserve">. </w:t>
      </w:r>
    </w:p>
    <w:p w14:paraId="54BAC1ED" w14:textId="1BAE8AE5" w:rsidR="00EE52A4" w:rsidRDefault="00EE52A4" w:rsidP="00F9019F">
      <w:pPr>
        <w:pStyle w:val="AssignBody"/>
        <w:jc w:val="both"/>
      </w:pPr>
    </w:p>
    <w:p w14:paraId="121325D9" w14:textId="6DE3B518" w:rsidR="00EE52A4" w:rsidRDefault="00EE52A4" w:rsidP="00F9019F">
      <w:pPr>
        <w:pStyle w:val="AssignBody"/>
        <w:jc w:val="both"/>
      </w:pPr>
      <w:r>
        <w:t>During the use of mini whiteboards in the plenary, all three focus group pupils displayed extremely high scores on the Leuven Scale for Involvement (2005). This not only suggests that the content was more challenging, but also infers that the use of mini whiteboards initiated an improved level o</w:t>
      </w:r>
      <w:r w:rsidR="009143FA">
        <w:t xml:space="preserve">f involvement across the class. The teacher and observer post-lesson </w:t>
      </w:r>
      <w:r w:rsidR="009143FA">
        <w:lastRenderedPageBreak/>
        <w:t>reflections (see Appendix 2) agree that</w:t>
      </w:r>
      <w:r>
        <w:t xml:space="preserve"> the</w:t>
      </w:r>
      <w:r w:rsidR="009143FA">
        <w:t xml:space="preserve"> </w:t>
      </w:r>
      <w:r w:rsidR="002E10DB">
        <w:t>majority of the</w:t>
      </w:r>
      <w:r>
        <w:t xml:space="preserve"> class engaged exceptionally well with t</w:t>
      </w:r>
      <w:r w:rsidR="009143FA">
        <w:t>he mini whiteboard questioning, aside from a handful of pupils.</w:t>
      </w:r>
      <w:r>
        <w:t xml:space="preserve"> Since the introduction and plenary both took place in the same setting and used</w:t>
      </w:r>
      <w:r w:rsidR="009143FA">
        <w:t xml:space="preserve"> the same simple questioning format</w:t>
      </w:r>
      <w:r>
        <w:t xml:space="preserve">, it could be argued that the use of mini whiteboards was the direct cause of the rise in involvement levels. </w:t>
      </w:r>
      <w:r w:rsidR="00060208">
        <w:t xml:space="preserve">Moreover, the introductory subtraction method was more familiar to the class and therefore a higher level of involvement </w:t>
      </w:r>
      <w:r w:rsidR="009143FA">
        <w:t>had been</w:t>
      </w:r>
      <w:r w:rsidR="00060208">
        <w:t xml:space="preserve"> anticipated in the introduction</w:t>
      </w:r>
      <w:r w:rsidR="009143FA">
        <w:t>, rather</w:t>
      </w:r>
      <w:r w:rsidR="00060208">
        <w:t xml:space="preserve"> than the plenary. </w:t>
      </w:r>
      <w:r>
        <w:t>Nevertheless, it should be noted that the plenary content was</w:t>
      </w:r>
      <w:r w:rsidR="00FC758F">
        <w:t xml:space="preserve"> more</w:t>
      </w:r>
      <w:r>
        <w:t xml:space="preserve"> </w:t>
      </w:r>
      <w:r w:rsidR="00FC758F">
        <w:t xml:space="preserve">complex than that in the introduction, and it is therefore likely that the rise in content difficulty may have also increased involvement levels. </w:t>
      </w:r>
    </w:p>
    <w:p w14:paraId="6875333F" w14:textId="733BDCE3" w:rsidR="00060208" w:rsidRDefault="00060208" w:rsidP="00F9019F">
      <w:pPr>
        <w:pStyle w:val="AssignBody"/>
        <w:jc w:val="both"/>
      </w:pPr>
    </w:p>
    <w:p w14:paraId="2ABA2702" w14:textId="501CA3B8" w:rsidR="009143FA" w:rsidRDefault="009143FA" w:rsidP="00F9019F">
      <w:pPr>
        <w:pStyle w:val="AssignBody"/>
        <w:jc w:val="both"/>
      </w:pPr>
      <w:r>
        <w:t>In the post-lesson focus group interview (see Appendix 3), all three pupils stated that mini whiteboards is their preferred method of response system and that they would like to see them used in class more often, while only one pupil indicated that they would like hands-up questioning more frequently. This would suggest that the rise in involvement levels came about as a direct consequence of the introduction of mini whiteboards. In futur</w:t>
      </w:r>
      <w:r w:rsidR="00CD7D36">
        <w:t xml:space="preserve">e lessons, maintaining a similar level of question difficulty when using both hands-up questioning and mini whiteboards would allow us to either confirm or dispel the notion that question difficulty impacted upon involvement levels. </w:t>
      </w:r>
      <w:r w:rsidR="00FD1EF6">
        <w:t xml:space="preserve">Moreover, the carousel nature of the lesson also made it difficult to judge which response system best contributed to the lesson goal. </w:t>
      </w:r>
      <w:r w:rsidR="00CD7D36">
        <w:t xml:space="preserve">Nonetheless, this lesson demonstrated that using mini whiteboards as a questioning strategy can be successful, as it undoubtedly increased pupil involvement levels to some extent. More effective teaching and learning was also conducted during the plenary, and on-task behaviour was at a near-maximum; more time is now required to embed mini whiteboards within the classroom, so that it works effortlessly as a response system. </w:t>
      </w:r>
    </w:p>
    <w:p w14:paraId="33B18728" w14:textId="77777777" w:rsidR="00511DFC" w:rsidRDefault="00511DFC" w:rsidP="00F9019F">
      <w:pPr>
        <w:pStyle w:val="AssignBody"/>
        <w:jc w:val="both"/>
        <w:rPr>
          <w:u w:val="single"/>
        </w:rPr>
      </w:pPr>
    </w:p>
    <w:p w14:paraId="1DCF3CA7" w14:textId="6C138530" w:rsidR="00511DFC" w:rsidRPr="00D86A80" w:rsidRDefault="009E4804" w:rsidP="00F9019F">
      <w:pPr>
        <w:pStyle w:val="AssignBody"/>
        <w:jc w:val="both"/>
      </w:pPr>
      <w:r>
        <w:t xml:space="preserve">Across both lessons in the study, there were divergent levels of involvement during the use of mini whiteboards. This is most patently illustrated </w:t>
      </w:r>
      <w:r w:rsidR="00C60368">
        <w:t>in the differences in overall means</w:t>
      </w:r>
      <w:r>
        <w:t xml:space="preserve"> of involvement levels between</w:t>
      </w:r>
      <w:r w:rsidR="00C60368">
        <w:t xml:space="preserve"> hands-up questioning and mini whiteboards in</w:t>
      </w:r>
      <w:r>
        <w:t xml:space="preserve"> Lesson 1 (-0.93) and Lesson 2 (2.03). There are a number of reasons that may explain the </w:t>
      </w:r>
      <w:r w:rsidR="00C60368">
        <w:t>varying</w:t>
      </w:r>
      <w:r>
        <w:t xml:space="preserve"> nature of the results. In Lesson 1, the length of the questioning activities may have led to an organic decrease in pupil involvement; in Lesson 2, the more challenging content when using mini whiteboards may have influenced</w:t>
      </w:r>
      <w:r w:rsidR="00D86A80">
        <w:t xml:space="preserve"> the raised levels of involvement; the use of mini whiteboards at different points in each lesson may have had wide-ranging effects on pupil attitude towards them. Nevertheless, it could be argued that when used at certain stages within a lesson, and with appropriate question difficulty, mini whiteboards can have a positive effect upon pupil involvement levels during whole class questioning activities in the primary school classroom.  </w:t>
      </w:r>
    </w:p>
    <w:p w14:paraId="3BCF91D7" w14:textId="77777777" w:rsidR="00511DFC" w:rsidRDefault="00511DFC" w:rsidP="00F9019F">
      <w:pPr>
        <w:pStyle w:val="AssignBody"/>
        <w:jc w:val="both"/>
        <w:rPr>
          <w:u w:val="single"/>
        </w:rPr>
      </w:pPr>
    </w:p>
    <w:p w14:paraId="1E7E5296" w14:textId="32568240" w:rsidR="0069445E" w:rsidRPr="00E95330" w:rsidRDefault="0069445E" w:rsidP="00F9019F">
      <w:pPr>
        <w:pStyle w:val="AssignBody"/>
        <w:jc w:val="both"/>
        <w:rPr>
          <w:u w:val="single"/>
        </w:rPr>
      </w:pPr>
      <w:r w:rsidRPr="00E95330">
        <w:rPr>
          <w:u w:val="single"/>
        </w:rPr>
        <w:lastRenderedPageBreak/>
        <w:t xml:space="preserve">Discussion </w:t>
      </w:r>
    </w:p>
    <w:p w14:paraId="6F331830" w14:textId="490EA375" w:rsidR="0069445E" w:rsidRDefault="0069445E" w:rsidP="00F9019F">
      <w:pPr>
        <w:pStyle w:val="AssignBody"/>
        <w:jc w:val="both"/>
        <w:rPr>
          <w:u w:val="single"/>
        </w:rPr>
      </w:pPr>
    </w:p>
    <w:p w14:paraId="089E63B5" w14:textId="585384B5" w:rsidR="00C04750" w:rsidRDefault="007509DC" w:rsidP="00F9019F">
      <w:pPr>
        <w:pStyle w:val="AssignBody"/>
        <w:jc w:val="both"/>
      </w:pPr>
      <w:r>
        <w:t>There are many aspects of the use of mini whiteboards that make it a compelling assessment for learning questioning strategy. Alth</w:t>
      </w:r>
      <w:r w:rsidR="009A38C6">
        <w:t xml:space="preserve">ough the mini whiteboards were </w:t>
      </w:r>
      <w:r>
        <w:t>used in a highly structured way</w:t>
      </w:r>
      <w:r w:rsidR="009A38C6">
        <w:t xml:space="preserve"> in this study</w:t>
      </w:r>
      <w:r>
        <w:t>, they encourage</w:t>
      </w:r>
      <w:r w:rsidR="009A38C6">
        <w:t>d</w:t>
      </w:r>
      <w:r>
        <w:t xml:space="preserve"> a compulsory response from all pupils (Wiliam, 2014), thus invoking the raised involvement observed in Lesson 2. Moreover, they allow the teacher to swiftly gauge the general cognitive level of the class so that future questions can be more comprehensible for all (Dong et al., 2019). However, it could be argued that the mini whiteb</w:t>
      </w:r>
      <w:r w:rsidR="009A38C6">
        <w:t>oards did not give the teachers further</w:t>
      </w:r>
      <w:r>
        <w:t xml:space="preserve"> opportunity to ask </w:t>
      </w:r>
      <w:r w:rsidR="009A38C6">
        <w:t xml:space="preserve">any </w:t>
      </w:r>
      <w:r>
        <w:t xml:space="preserve">higher-order, </w:t>
      </w:r>
      <w:r w:rsidR="009A38C6">
        <w:t>open questions than the hands-up questioning did</w:t>
      </w:r>
      <w:r w:rsidR="00C60368">
        <w:t xml:space="preserve">; </w:t>
      </w:r>
      <w:r w:rsidR="009A38C6">
        <w:t>therefore fact-based questions were still the most prevalent throughout both lessons (</w:t>
      </w:r>
      <w:proofErr w:type="spellStart"/>
      <w:r w:rsidR="009A38C6">
        <w:t>Bradtmueller</w:t>
      </w:r>
      <w:proofErr w:type="spellEnd"/>
      <w:r w:rsidR="009A38C6">
        <w:t xml:space="preserve"> and Egan, 1983). This study suggests that while mini whiteboards are extremely useful in measuring pupil understanding, they do not give rise to a more complex </w:t>
      </w:r>
      <w:r w:rsidR="00B25877">
        <w:t xml:space="preserve">or fruitful </w:t>
      </w:r>
      <w:r w:rsidR="009A38C6">
        <w:t xml:space="preserve">questioning style. </w:t>
      </w:r>
    </w:p>
    <w:p w14:paraId="08B5A181" w14:textId="77777777" w:rsidR="009A38C6" w:rsidRDefault="009A38C6" w:rsidP="00F9019F">
      <w:pPr>
        <w:pStyle w:val="AssignBody"/>
        <w:jc w:val="both"/>
      </w:pPr>
    </w:p>
    <w:p w14:paraId="3B017DB2" w14:textId="2456CCF8" w:rsidR="009A38C6" w:rsidRDefault="00C60368" w:rsidP="00F9019F">
      <w:pPr>
        <w:pStyle w:val="AssignBody"/>
        <w:jc w:val="both"/>
      </w:pPr>
      <w:r>
        <w:t>T</w:t>
      </w:r>
      <w:r w:rsidR="009A38C6">
        <w:t>he data from Lesson 2</w:t>
      </w:r>
      <w:r w:rsidR="0077443A">
        <w:t xml:space="preserve"> mirrors that of Gimbutas (2019),</w:t>
      </w:r>
      <w:r w:rsidR="009A38C6">
        <w:t xml:space="preserve"> </w:t>
      </w:r>
      <w:r w:rsidR="0077443A">
        <w:t>indicating</w:t>
      </w:r>
      <w:r w:rsidR="009A38C6">
        <w:t xml:space="preserve"> that mini whiteboards are able to positively </w:t>
      </w:r>
      <w:r w:rsidR="0077443A">
        <w:t>affect involvement levels in whole class situations.</w:t>
      </w:r>
      <w:r w:rsidR="00CD2297">
        <w:t xml:space="preserve"> Moreover, the increase in teacher-pupil interaction through the use of mini whiteboards in Lesson 2, in comparison with the hands-up introduction, supports the work of Heritage (2018) in that constant interaction between teacher and pupils directly inflates participation levels. </w:t>
      </w:r>
      <w:r w:rsidR="0077443A">
        <w:t>The fact that the mini whiteboards were able to effectively elicit evidence of student learning in Lesson 2 meant that involvement could be further increased through appropriate questioning</w:t>
      </w:r>
      <w:r w:rsidR="00CD2297">
        <w:t xml:space="preserve"> levels</w:t>
      </w:r>
      <w:r w:rsidR="0077443A">
        <w:t xml:space="preserve"> (Andersson and Palm, 2017).</w:t>
      </w:r>
      <w:r w:rsidR="00CD2297">
        <w:t xml:space="preserve"> </w:t>
      </w:r>
      <w:proofErr w:type="spellStart"/>
      <w:r w:rsidR="00CD2297">
        <w:t>Gmitrova</w:t>
      </w:r>
      <w:proofErr w:type="spellEnd"/>
      <w:r w:rsidR="00CD2297">
        <w:t xml:space="preserve"> and </w:t>
      </w:r>
      <w:proofErr w:type="spellStart"/>
      <w:r w:rsidR="00CD2297">
        <w:t>Gmitrov</w:t>
      </w:r>
      <w:proofErr w:type="spellEnd"/>
      <w:r w:rsidR="00CD2297">
        <w:t xml:space="preserve"> (2003) infer that involvement level is an indicator of </w:t>
      </w:r>
      <w:r w:rsidR="00EC052F">
        <w:t>pupils’</w:t>
      </w:r>
      <w:r w:rsidR="00CD2297">
        <w:t xml:space="preserve"> cognitive awareness and therefore pitching questions at the correct level</w:t>
      </w:r>
      <w:r w:rsidR="006B1DA7">
        <w:t xml:space="preserve"> for the class is extremely important in raising involvement; </w:t>
      </w:r>
      <w:r w:rsidR="00EC052F">
        <w:t xml:space="preserve">the mini whiteboards in Lesson 2 allowed the teacher to gauge </w:t>
      </w:r>
      <w:r w:rsidR="003E1CC3">
        <w:t>specific</w:t>
      </w:r>
      <w:r w:rsidR="00EC052F">
        <w:t xml:space="preserve"> cognitive ability</w:t>
      </w:r>
      <w:r>
        <w:t xml:space="preserve">, enabling </w:t>
      </w:r>
      <w:r w:rsidR="00F5072F">
        <w:t>versatility in the style and level of questioning.</w:t>
      </w:r>
    </w:p>
    <w:p w14:paraId="36A70007" w14:textId="77777777" w:rsidR="00086F93" w:rsidRDefault="00086F93" w:rsidP="00F9019F">
      <w:pPr>
        <w:pStyle w:val="AssignBody"/>
        <w:jc w:val="both"/>
      </w:pPr>
    </w:p>
    <w:p w14:paraId="3FB8E808" w14:textId="7D4AB63D" w:rsidR="00086F93" w:rsidRPr="00464DA9" w:rsidRDefault="00F56EB8" w:rsidP="00F9019F">
      <w:pPr>
        <w:pStyle w:val="AssignBody"/>
        <w:jc w:val="both"/>
      </w:pPr>
      <w:r>
        <w:t>The data from Lesson 1 contradicts a number of studies which suggest that mini whiteboards have a positive impact upon on-task behaviour (</w:t>
      </w:r>
      <w:proofErr w:type="spellStart"/>
      <w:r w:rsidR="006F3708">
        <w:t>Maheady</w:t>
      </w:r>
      <w:proofErr w:type="spellEnd"/>
      <w:r w:rsidR="006F3708">
        <w:t xml:space="preserve"> et al., 2002; </w:t>
      </w:r>
      <w:proofErr w:type="spellStart"/>
      <w:r>
        <w:t>Musti</w:t>
      </w:r>
      <w:proofErr w:type="spellEnd"/>
      <w:r>
        <w:t xml:space="preserve">-Rao, </w:t>
      </w:r>
      <w:proofErr w:type="spellStart"/>
      <w:r>
        <w:t>Kroeger</w:t>
      </w:r>
      <w:proofErr w:type="spellEnd"/>
      <w:r>
        <w:t xml:space="preserve"> and Schumacher-Dyke, 2008). </w:t>
      </w:r>
      <w:r w:rsidR="00B77A77">
        <w:t xml:space="preserve">Furthermore, in the post-lesson interview (see Appendix 3), all three pupils suggested that mini whiteboards is their preferred method of response. However, </w:t>
      </w:r>
      <w:r w:rsidR="004C4CA6">
        <w:t>their</w:t>
      </w:r>
      <w:r w:rsidR="00B77A77">
        <w:t xml:space="preserve"> response contradicts research by </w:t>
      </w:r>
      <w:proofErr w:type="spellStart"/>
      <w:r w:rsidR="00B77A77">
        <w:t>Nutbrown</w:t>
      </w:r>
      <w:proofErr w:type="spellEnd"/>
      <w:r w:rsidR="00B77A77">
        <w:t xml:space="preserve"> (2011), who argues that children are capable of sustained concentration when activities match their interests. </w:t>
      </w:r>
      <w:r w:rsidR="004C4CA6">
        <w:t>The carousel nature of Lesson 2</w:t>
      </w:r>
      <w:r w:rsidR="00F5072F">
        <w:t>,</w:t>
      </w:r>
      <w:r w:rsidR="004C4CA6">
        <w:t xml:space="preserve"> and </w:t>
      </w:r>
      <w:r w:rsidR="00F5072F">
        <w:t>its incorporation of</w:t>
      </w:r>
      <w:r w:rsidR="004C4CA6">
        <w:t xml:space="preserve"> more pupil movement between activities before the use of mini whiteboards</w:t>
      </w:r>
      <w:r w:rsidR="00F5072F">
        <w:t>,</w:t>
      </w:r>
      <w:r w:rsidR="004C4CA6">
        <w:t xml:space="preserve"> may explain why on-task behaviour was </w:t>
      </w:r>
      <w:r w:rsidR="003E1CC3">
        <w:t xml:space="preserve">far </w:t>
      </w:r>
      <w:r w:rsidR="004C4CA6">
        <w:t>superior</w:t>
      </w:r>
      <w:r w:rsidR="003E1CC3">
        <w:t xml:space="preserve"> than</w:t>
      </w:r>
      <w:r w:rsidR="004C4CA6">
        <w:t xml:space="preserve"> in Lesson 1</w:t>
      </w:r>
      <w:r w:rsidR="003E1CC3">
        <w:t>,</w:t>
      </w:r>
      <w:r w:rsidR="004C4CA6">
        <w:t xml:space="preserve"> </w:t>
      </w:r>
      <w:r w:rsidR="003E1CC3">
        <w:t xml:space="preserve">where </w:t>
      </w:r>
      <w:r w:rsidR="004C4CA6">
        <w:t>pupils remained seated for the entire lesson (</w:t>
      </w:r>
      <w:proofErr w:type="spellStart"/>
      <w:r w:rsidR="004C4CA6">
        <w:t>Mahar</w:t>
      </w:r>
      <w:proofErr w:type="spellEnd"/>
      <w:r w:rsidR="004C4CA6">
        <w:t xml:space="preserve"> et al., 2006; </w:t>
      </w:r>
      <w:proofErr w:type="spellStart"/>
      <w:r w:rsidR="003E1CC3">
        <w:t>Shephard</w:t>
      </w:r>
      <w:proofErr w:type="spellEnd"/>
      <w:r w:rsidR="003E1CC3">
        <w:t xml:space="preserve">, 1997). </w:t>
      </w:r>
      <w:r w:rsidR="00464DA9">
        <w:t>A</w:t>
      </w:r>
      <w:r w:rsidR="00B77A77">
        <w:t xml:space="preserve">lthough the focus group pupils </w:t>
      </w:r>
      <w:r w:rsidR="003E1CC3">
        <w:t xml:space="preserve">from Lesson 1 </w:t>
      </w:r>
      <w:r w:rsidR="00B77A77">
        <w:t xml:space="preserve">prefer to use mini whiteboards, their observed </w:t>
      </w:r>
      <w:r w:rsidR="00B77A77">
        <w:lastRenderedPageBreak/>
        <w:t xml:space="preserve">involvement levels were overall much higher during the less preferred questioning technique. </w:t>
      </w:r>
      <w:r w:rsidR="00464DA9">
        <w:t xml:space="preserve">Therefore, the standard </w:t>
      </w:r>
      <w:r w:rsidR="00464DA9">
        <w:rPr>
          <w:i/>
        </w:rPr>
        <w:t>I-R-E</w:t>
      </w:r>
      <w:r w:rsidR="00464DA9">
        <w:rPr>
          <w:i/>
        </w:rPr>
        <w:softHyphen/>
        <w:t xml:space="preserve"> </w:t>
      </w:r>
      <w:r w:rsidR="00464DA9">
        <w:t xml:space="preserve">model that contemporaries such as </w:t>
      </w:r>
      <w:r w:rsidR="00914A04">
        <w:t xml:space="preserve">Fusco (2012) and </w:t>
      </w:r>
      <w:r w:rsidR="00464DA9">
        <w:t>Wiliam (2014</w:t>
      </w:r>
      <w:r w:rsidR="00914A04">
        <w:t>)</w:t>
      </w:r>
      <w:r w:rsidR="00464DA9">
        <w:t xml:space="preserve"> criticise was the most effective questioning strategy during Lesson 1 in increasing involvement levels; mini whiteboards ultimately had the opposite desired effect. </w:t>
      </w:r>
    </w:p>
    <w:p w14:paraId="3F63DF23" w14:textId="77777777" w:rsidR="00C04750" w:rsidRPr="00E95330" w:rsidRDefault="00C04750" w:rsidP="00F9019F">
      <w:pPr>
        <w:pStyle w:val="AssignBody"/>
        <w:jc w:val="both"/>
        <w:rPr>
          <w:u w:val="single"/>
        </w:rPr>
      </w:pPr>
    </w:p>
    <w:p w14:paraId="5DABABF3" w14:textId="280E5A45" w:rsidR="0069445E" w:rsidRPr="00E95330" w:rsidRDefault="0069445E" w:rsidP="00F9019F">
      <w:pPr>
        <w:pStyle w:val="AssignBody"/>
        <w:jc w:val="both"/>
        <w:rPr>
          <w:u w:val="single"/>
        </w:rPr>
      </w:pPr>
      <w:r w:rsidRPr="00E95330">
        <w:rPr>
          <w:u w:val="single"/>
        </w:rPr>
        <w:t xml:space="preserve">Conclusion </w:t>
      </w:r>
    </w:p>
    <w:p w14:paraId="541240DD" w14:textId="433D2C23" w:rsidR="00642A8E" w:rsidRDefault="00642A8E" w:rsidP="00F9019F">
      <w:pPr>
        <w:pStyle w:val="AssignBody"/>
        <w:jc w:val="both"/>
        <w:rPr>
          <w:u w:val="single"/>
        </w:rPr>
      </w:pPr>
    </w:p>
    <w:p w14:paraId="2C4AA240" w14:textId="63AA392A" w:rsidR="00592FF2" w:rsidRDefault="0062369C" w:rsidP="00F9019F">
      <w:pPr>
        <w:pStyle w:val="AssignBody"/>
        <w:jc w:val="both"/>
      </w:pPr>
      <w:r>
        <w:t xml:space="preserve">The purpose of this research project was to analyse the effectiveness of mini whiteboards upon learner involvement levels during whole class questioning activities. </w:t>
      </w:r>
      <w:r w:rsidR="00AA6076">
        <w:t>After</w:t>
      </w:r>
      <w:r>
        <w:t xml:space="preserve"> our methods of research, based on Dudley (201</w:t>
      </w:r>
      <w:r w:rsidR="006D0330">
        <w:t>4</w:t>
      </w:r>
      <w:r>
        <w:t>), produced a mixture of</w:t>
      </w:r>
      <w:r w:rsidR="00AA6076">
        <w:t xml:space="preserve"> findings</w:t>
      </w:r>
      <w:r>
        <w:t xml:space="preserve">, </w:t>
      </w:r>
      <w:r w:rsidR="00AA6076">
        <w:t xml:space="preserve">we </w:t>
      </w:r>
      <w:r>
        <w:t>were able to identify</w:t>
      </w:r>
      <w:r w:rsidR="00AA6076">
        <w:t xml:space="preserve"> certain limitations with our methods. </w:t>
      </w:r>
      <w:r w:rsidR="00AD5CBA">
        <w:t>D</w:t>
      </w:r>
      <w:r w:rsidR="00F50615">
        <w:t xml:space="preserve">ue to time constraints </w:t>
      </w:r>
      <w:r w:rsidR="00404E5C">
        <w:t xml:space="preserve">we were unable to pilot the use of mini whiteboards, or alternative response systems, and therefore we did not have a baseline of Leuven Scale for Involvement (2005) scores for each focus group pupil. </w:t>
      </w:r>
      <w:r w:rsidR="00AD5CBA">
        <w:t>S</w:t>
      </w:r>
      <w:r w:rsidR="00F50615">
        <w:t xml:space="preserve">tudies have found that pilots can be extremely useful in foreshadowing research issues or highlighting gaps during data collection (Sampson, 2004). </w:t>
      </w:r>
      <w:r w:rsidR="00AD5CBA">
        <w:t>Moreover, as mini whiteboards had not been commonly employed in either classroom prior to the observations, this may have caused pupils to be overly excitable and therefore this added an element of unreliability to the involvement data. Another limitation was that</w:t>
      </w:r>
      <w:r w:rsidR="006D0330">
        <w:t xml:space="preserve"> o</w:t>
      </w:r>
      <w:r w:rsidR="00F50615">
        <w:t>nly two lesson observations were undertaken in this lesson study, whereas Dudley’s model (201</w:t>
      </w:r>
      <w:r w:rsidR="006D0330">
        <w:t>4</w:t>
      </w:r>
      <w:r w:rsidR="00F50615">
        <w:t xml:space="preserve">) recommends that there are three lesson research cycles and that three to four teachers are involved in the </w:t>
      </w:r>
      <w:r w:rsidR="006D0330">
        <w:t>procedure</w:t>
      </w:r>
      <w:r w:rsidR="00F50615">
        <w:t xml:space="preserve">. </w:t>
      </w:r>
      <w:r w:rsidR="006D0330">
        <w:t xml:space="preserve">This limited our breadth of data collection and meant that only one revision process took place during the study. </w:t>
      </w:r>
    </w:p>
    <w:p w14:paraId="42C3DC30" w14:textId="6EE30476" w:rsidR="005048AE" w:rsidRDefault="005048AE" w:rsidP="00F9019F">
      <w:pPr>
        <w:pStyle w:val="AssignBody"/>
        <w:jc w:val="both"/>
      </w:pPr>
    </w:p>
    <w:p w14:paraId="162F19B5" w14:textId="40499432" w:rsidR="005048AE" w:rsidRDefault="00AD5CBA" w:rsidP="00F9019F">
      <w:pPr>
        <w:pStyle w:val="AssignBody"/>
        <w:jc w:val="both"/>
      </w:pPr>
      <w:r>
        <w:t>Many strengths of using this lesson study model mirrored tho</w:t>
      </w:r>
      <w:r w:rsidR="00BB0E74">
        <w:t>s</w:t>
      </w:r>
      <w:r w:rsidR="00783DBB">
        <w:t>e found in other studies, such as supporting profession</w:t>
      </w:r>
      <w:r w:rsidR="00C34ACD">
        <w:t>al</w:t>
      </w:r>
      <w:r w:rsidR="00783DBB">
        <w:t xml:space="preserve"> teacher development (</w:t>
      </w:r>
      <w:proofErr w:type="spellStart"/>
      <w:r w:rsidR="00783DBB">
        <w:t>Holmqvist</w:t>
      </w:r>
      <w:proofErr w:type="spellEnd"/>
      <w:r w:rsidR="00783DBB">
        <w:t>, 2011) and enhancing student learning (Cheung and Wong, 2014)</w:t>
      </w:r>
      <w:r>
        <w:t xml:space="preserve">. Although our observations </w:t>
      </w:r>
      <w:r w:rsidR="00550167">
        <w:t xml:space="preserve">ultimately </w:t>
      </w:r>
      <w:r>
        <w:t>produced mixed results, they were extremely beneficial in improving</w:t>
      </w:r>
      <w:r w:rsidR="00550167">
        <w:t xml:space="preserve"> a number of </w:t>
      </w:r>
      <w:r>
        <w:t xml:space="preserve">pedagogical approaches. </w:t>
      </w:r>
      <w:r w:rsidR="009C76AF">
        <w:t>Through</w:t>
      </w:r>
      <w:r w:rsidR="00550167">
        <w:t xml:space="preserve"> observation and collaboration</w:t>
      </w:r>
      <w:r w:rsidR="003112FE">
        <w:t xml:space="preserve">, </w:t>
      </w:r>
      <w:r w:rsidR="00550167">
        <w:t xml:space="preserve">we were able to revise our future lesson ideas in order to enhance pupil learning and to further experience of working with mini whiteboards. </w:t>
      </w:r>
      <w:r w:rsidR="003112FE">
        <w:rPr>
          <w:i/>
        </w:rPr>
        <w:t>Successful Futures</w:t>
      </w:r>
      <w:r w:rsidR="003112FE">
        <w:t xml:space="preserve"> stresses the importance of colleague collaboration and this </w:t>
      </w:r>
      <w:r w:rsidR="00C34ACD">
        <w:t>project</w:t>
      </w:r>
      <w:r w:rsidR="003112FE">
        <w:t xml:space="preserve"> provided ample opportunity to mutually benefit from peer feedback (Donaldson, 2015). </w:t>
      </w:r>
      <w:r w:rsidR="00550167">
        <w:t>Additionally, the use of Gibbs’ Reflective Cycle (1988) allowed for productive self-reflection</w:t>
      </w:r>
      <w:r w:rsidR="003112FE">
        <w:t xml:space="preserve">, in order to further improve my classroom pedagogy. Finally, this project has provided continuous opportunities to expand knowledge through the exploration of relevant literature, particularly that which surrounds assessment for learning strategies, response systems, and pupil involvement levels. </w:t>
      </w:r>
    </w:p>
    <w:p w14:paraId="1F339A2A" w14:textId="77777777" w:rsidR="00C34ACD" w:rsidRDefault="00C34ACD" w:rsidP="00F9019F">
      <w:pPr>
        <w:pStyle w:val="AssignBody"/>
        <w:jc w:val="both"/>
      </w:pPr>
    </w:p>
    <w:p w14:paraId="1FFE4561" w14:textId="2B282827" w:rsidR="00D216FE" w:rsidRDefault="00EE1333" w:rsidP="00F9019F">
      <w:pPr>
        <w:pStyle w:val="AssignBody"/>
        <w:jc w:val="both"/>
      </w:pPr>
      <w:r>
        <w:lastRenderedPageBreak/>
        <w:t xml:space="preserve">In the context of our research question, </w:t>
      </w:r>
      <w:r w:rsidR="008E5385">
        <w:t xml:space="preserve">our findings </w:t>
      </w:r>
      <w:r w:rsidR="00D9472E">
        <w:t>may not</w:t>
      </w:r>
      <w:r w:rsidR="008E5385">
        <w:t xml:space="preserve"> be generalised as there was too much data variation across the two lessons. </w:t>
      </w:r>
      <w:r w:rsidR="00DE6AEE">
        <w:t>During the use of mini whiteboards, t</w:t>
      </w:r>
      <w:r w:rsidR="008E5385">
        <w:t xml:space="preserve">here was a mean Leuven Scale for Involvement (2005) score difference of 2.9 </w:t>
      </w:r>
      <w:r w:rsidR="00DE6AEE">
        <w:t>between Lesson 1 and Lesson 2</w:t>
      </w:r>
      <w:r w:rsidR="00D9472E">
        <w:t xml:space="preserve"> for all focus group pupils</w:t>
      </w:r>
      <w:r w:rsidR="00DE6AEE">
        <w:t xml:space="preserve">. </w:t>
      </w:r>
      <w:r w:rsidR="00F006D7">
        <w:t xml:space="preserve">While both teachers came together to decide the topics of the research lessons, in accordance with Dudley’s model (2014), curriculum and school policy constraints resulted in disparity between much of the lessons’ format and content. </w:t>
      </w:r>
      <w:r w:rsidR="004577FA">
        <w:t xml:space="preserve">Consequently, there were intrinsic inconsistencies between each lesson </w:t>
      </w:r>
      <w:r w:rsidR="00F006D7">
        <w:t xml:space="preserve">delivery. </w:t>
      </w:r>
      <w:r w:rsidR="004577FA">
        <w:t xml:space="preserve">With prior knowledge of the diverse classroom environments, </w:t>
      </w:r>
      <w:r w:rsidR="00DE6AEE">
        <w:t xml:space="preserve">post-study reflection has suggested that the research question was too restrictive. To offer a reliable baseline, the question </w:t>
      </w:r>
      <w:r w:rsidR="00F006D7">
        <w:t>could</w:t>
      </w:r>
      <w:r w:rsidR="00DE6AEE">
        <w:t xml:space="preserve"> have compared mini whiteboards to hands-up questioning, which was the customary response system in both classes. </w:t>
      </w:r>
      <w:r w:rsidR="00D9472E">
        <w:t>Qualitative analysis was restricted as data was only collected</w:t>
      </w:r>
      <w:r w:rsidR="00DE6AEE">
        <w:t xml:space="preserve"> </w:t>
      </w:r>
      <w:r w:rsidR="00D9472E">
        <w:t>during the two questioning activities</w:t>
      </w:r>
      <w:r w:rsidR="00DE6AEE">
        <w:t xml:space="preserve"> in each lesson</w:t>
      </w:r>
      <w:r w:rsidR="00D9472E">
        <w:t>; therefore, we were</w:t>
      </w:r>
      <w:r w:rsidR="00DE6AEE">
        <w:t xml:space="preserve"> unable to </w:t>
      </w:r>
      <w:r w:rsidR="00D9472E">
        <w:t>consider</w:t>
      </w:r>
      <w:r w:rsidR="00DE6AEE">
        <w:t xml:space="preserve"> </w:t>
      </w:r>
      <w:r w:rsidR="00D9472E">
        <w:t xml:space="preserve">the effects of other lesson components upon </w:t>
      </w:r>
      <w:r w:rsidR="00DE6AEE">
        <w:t xml:space="preserve">the stark contrast in involvement levels. </w:t>
      </w:r>
    </w:p>
    <w:p w14:paraId="246BB62B" w14:textId="77777777" w:rsidR="00AA6076" w:rsidRPr="00E95330" w:rsidRDefault="00AA6076" w:rsidP="00F9019F">
      <w:pPr>
        <w:pStyle w:val="AssignBody"/>
        <w:jc w:val="both"/>
        <w:rPr>
          <w:u w:val="single"/>
        </w:rPr>
      </w:pPr>
    </w:p>
    <w:p w14:paraId="52289DDA" w14:textId="1D03D6BE" w:rsidR="0069445E" w:rsidRDefault="0069445E" w:rsidP="00F9019F">
      <w:pPr>
        <w:pStyle w:val="AssignBody"/>
        <w:jc w:val="both"/>
        <w:rPr>
          <w:u w:val="single"/>
        </w:rPr>
      </w:pPr>
      <w:r w:rsidRPr="00E95330">
        <w:rPr>
          <w:u w:val="single"/>
        </w:rPr>
        <w:t xml:space="preserve">Recommendations </w:t>
      </w:r>
    </w:p>
    <w:p w14:paraId="1389046A" w14:textId="0A7B18F9" w:rsidR="000707FA" w:rsidRDefault="000707FA" w:rsidP="00F9019F">
      <w:pPr>
        <w:pStyle w:val="AssignBody"/>
        <w:jc w:val="both"/>
        <w:rPr>
          <w:u w:val="single"/>
        </w:rPr>
      </w:pPr>
    </w:p>
    <w:p w14:paraId="044FD26F" w14:textId="305BCF16" w:rsidR="004577FA" w:rsidRDefault="00492858" w:rsidP="003C3A8C">
      <w:pPr>
        <w:pStyle w:val="AssignBody"/>
        <w:jc w:val="both"/>
        <w:rPr>
          <w:b/>
        </w:rPr>
      </w:pPr>
      <w:r>
        <w:t xml:space="preserve">As a consequence of this lesson study research project, moving forward I will feel much more confident in effectively employing mini whiteboards and similar response systems as assessment for learning strategies. The study has indicated that, with further research and experimentation, mini whiteboards can become a valuable assessment for learning resource in the primary school classroom. </w:t>
      </w:r>
      <w:r w:rsidR="005C0BAE">
        <w:t xml:space="preserve">Recommendations for future research include a more prolonged use of mini whiteboards over a larger amount of lessons, carrying out the study with an increased number of focus group pupils, and conducting research in a format that focuses solely upon improving quality of learning. In line with </w:t>
      </w:r>
      <w:r w:rsidR="005C0BAE">
        <w:rPr>
          <w:i/>
        </w:rPr>
        <w:t>Successful Futures</w:t>
      </w:r>
      <w:r w:rsidR="005C0BAE">
        <w:t xml:space="preserve">, the ongoing development and refinement of formative assessment techniques is necessary across primary environments in Wales (Donaldson, 2015) and </w:t>
      </w:r>
      <w:r w:rsidR="009C76AF">
        <w:t>thus</w:t>
      </w:r>
      <w:r w:rsidR="005C0BAE">
        <w:t xml:space="preserve"> analogous research projects would serve to enhance such preparation.</w:t>
      </w:r>
    </w:p>
    <w:p w14:paraId="30BA38F1" w14:textId="7F3E4BB1" w:rsidR="00E43A2A" w:rsidRPr="003C3A8C" w:rsidRDefault="00E43A2A" w:rsidP="003C3A8C">
      <w:pPr>
        <w:pStyle w:val="AssignBody"/>
        <w:jc w:val="both"/>
        <w:rPr>
          <w:b/>
        </w:rPr>
      </w:pPr>
      <w:r>
        <w:rPr>
          <w:b/>
          <w:u w:val="single"/>
        </w:rPr>
        <w:br w:type="page"/>
      </w:r>
    </w:p>
    <w:p w14:paraId="7D8C2AE4" w14:textId="77777777" w:rsidR="009149FC" w:rsidRPr="00E95330" w:rsidRDefault="009149FC" w:rsidP="004F2059">
      <w:pPr>
        <w:pStyle w:val="AssignBody"/>
        <w:jc w:val="both"/>
        <w:rPr>
          <w:b/>
          <w:u w:val="single"/>
        </w:rPr>
      </w:pPr>
    </w:p>
    <w:p w14:paraId="199966AD" w14:textId="6E741F31" w:rsidR="00556992" w:rsidRPr="00E95330" w:rsidRDefault="00446395" w:rsidP="004F2059">
      <w:pPr>
        <w:pStyle w:val="AssignBody"/>
        <w:jc w:val="both"/>
        <w:rPr>
          <w:b/>
          <w:u w:val="single"/>
        </w:rPr>
      </w:pPr>
      <w:r w:rsidRPr="00E95330">
        <w:rPr>
          <w:b/>
          <w:u w:val="single"/>
        </w:rPr>
        <w:t>REFERENCES</w:t>
      </w:r>
    </w:p>
    <w:p w14:paraId="775EF773" w14:textId="77777777" w:rsidR="00556992" w:rsidRPr="00E95330" w:rsidRDefault="00556992" w:rsidP="004F2059">
      <w:pPr>
        <w:pStyle w:val="AssignBody"/>
        <w:jc w:val="both"/>
        <w:rPr>
          <w:b/>
          <w:u w:val="single"/>
        </w:rPr>
      </w:pPr>
    </w:p>
    <w:p w14:paraId="78258B57" w14:textId="4BE55B01" w:rsidR="00780965" w:rsidRDefault="00780965" w:rsidP="00EA6E38">
      <w:pPr>
        <w:pStyle w:val="AssignBody"/>
      </w:pPr>
      <w:r>
        <w:t xml:space="preserve">Andersson, C. and Palm, T. </w:t>
      </w:r>
      <w:r w:rsidR="00CD38AE">
        <w:t>(2017) ‘</w:t>
      </w:r>
      <w:proofErr w:type="gramStart"/>
      <w:r w:rsidR="00CD38AE">
        <w:t>The</w:t>
      </w:r>
      <w:proofErr w:type="gramEnd"/>
      <w:r w:rsidR="00CD38AE">
        <w:t xml:space="preserve"> Impact of Formative Assessment on Student Achievement: A Study of the Effects of Changes to Classroom Practice After a Comprehensive Professional Development Programme’, </w:t>
      </w:r>
      <w:r w:rsidR="00554971">
        <w:rPr>
          <w:i/>
        </w:rPr>
        <w:t>Learning and Instruction,</w:t>
      </w:r>
      <w:r w:rsidR="00554971">
        <w:t xml:space="preserve"> </w:t>
      </w:r>
      <w:r w:rsidR="00CD38AE" w:rsidRPr="00554971">
        <w:t>49</w:t>
      </w:r>
      <w:r w:rsidR="00CD38AE">
        <w:t xml:space="preserve">, pp. 92-102 </w:t>
      </w:r>
    </w:p>
    <w:p w14:paraId="79F37B24" w14:textId="77777777" w:rsidR="00987757" w:rsidRDefault="00987757" w:rsidP="00EA6E38">
      <w:pPr>
        <w:pStyle w:val="AssignBody"/>
      </w:pPr>
    </w:p>
    <w:p w14:paraId="0CC7FC88" w14:textId="377DB43B" w:rsidR="00987757" w:rsidRDefault="00987757" w:rsidP="00EA6E38">
      <w:pPr>
        <w:pStyle w:val="AssignBody"/>
      </w:pPr>
      <w:proofErr w:type="spellStart"/>
      <w:r>
        <w:t>Argyris</w:t>
      </w:r>
      <w:proofErr w:type="spellEnd"/>
      <w:r>
        <w:t xml:space="preserve">, C. and </w:t>
      </w:r>
      <w:proofErr w:type="spellStart"/>
      <w:r>
        <w:t>Schön</w:t>
      </w:r>
      <w:proofErr w:type="spellEnd"/>
      <w:r>
        <w:t xml:space="preserve">, D. (1978) </w:t>
      </w:r>
      <w:r>
        <w:rPr>
          <w:i/>
        </w:rPr>
        <w:t>Organizational Learning: A Theory of Action Perspective</w:t>
      </w:r>
      <w:r>
        <w:t xml:space="preserve">. Reading, MA: Addison-Wesley </w:t>
      </w:r>
    </w:p>
    <w:p w14:paraId="6C781040" w14:textId="551458C4" w:rsidR="006124B6" w:rsidRDefault="006124B6" w:rsidP="00EA6E38">
      <w:pPr>
        <w:pStyle w:val="AssignBody"/>
      </w:pPr>
    </w:p>
    <w:p w14:paraId="089E383D" w14:textId="18755904" w:rsidR="006124B6" w:rsidRDefault="006124B6" w:rsidP="00EA6E38">
      <w:pPr>
        <w:pStyle w:val="AssignBody"/>
      </w:pPr>
      <w:r>
        <w:t xml:space="preserve">Bell, J. and Waters, S. (2018) </w:t>
      </w:r>
      <w:r>
        <w:rPr>
          <w:i/>
        </w:rPr>
        <w:t xml:space="preserve">Doing Your Research Project: A Guide </w:t>
      </w:r>
      <w:r w:rsidR="00655EB9">
        <w:rPr>
          <w:i/>
        </w:rPr>
        <w:t>for</w:t>
      </w:r>
      <w:r>
        <w:rPr>
          <w:i/>
        </w:rPr>
        <w:t xml:space="preserve"> First-Time Researchers.</w:t>
      </w:r>
      <w:r>
        <w:t xml:space="preserve"> London: Open University Press </w:t>
      </w:r>
    </w:p>
    <w:p w14:paraId="68E49DE1" w14:textId="2589C01E" w:rsidR="00914A04" w:rsidRDefault="00914A04" w:rsidP="00EA6E38">
      <w:pPr>
        <w:pStyle w:val="AssignBody"/>
      </w:pPr>
    </w:p>
    <w:p w14:paraId="309C10A5" w14:textId="5EF5D613" w:rsidR="00914A04" w:rsidRPr="006124B6" w:rsidRDefault="00914A04" w:rsidP="00EA6E38">
      <w:pPr>
        <w:pStyle w:val="AssignBody"/>
      </w:pPr>
      <w:r>
        <w:t>BERA [</w:t>
      </w:r>
      <w:r w:rsidRPr="006A0B57">
        <w:t>British Educational Research Association</w:t>
      </w:r>
      <w:r>
        <w:t>]</w:t>
      </w:r>
      <w:r w:rsidRPr="006A0B57">
        <w:t xml:space="preserve"> (2018) </w:t>
      </w:r>
      <w:r w:rsidRPr="006A0B57">
        <w:rPr>
          <w:i/>
        </w:rPr>
        <w:t xml:space="preserve">Ethical guidelines for educational research. </w:t>
      </w:r>
      <w:r w:rsidRPr="006A0B57">
        <w:t>4</w:t>
      </w:r>
      <w:r w:rsidRPr="006A0B57">
        <w:rPr>
          <w:vertAlign w:val="superscript"/>
        </w:rPr>
        <w:t>th</w:t>
      </w:r>
      <w:r w:rsidRPr="006A0B57">
        <w:t xml:space="preserve"> Ed. Available at: https://www.bera.ac.uk/researchers-resources/publications/ethical-guidelines-for-educational-research-2018 (Accessed: </w:t>
      </w:r>
      <w:r>
        <w:t>13</w:t>
      </w:r>
      <w:r w:rsidRPr="00440410">
        <w:rPr>
          <w:vertAlign w:val="superscript"/>
        </w:rPr>
        <w:t>th</w:t>
      </w:r>
      <w:r>
        <w:t xml:space="preserve"> January 2020</w:t>
      </w:r>
      <w:r w:rsidRPr="006A0B57">
        <w:t xml:space="preserve">). </w:t>
      </w:r>
      <w:r>
        <w:t xml:space="preserve"> </w:t>
      </w:r>
    </w:p>
    <w:p w14:paraId="535F8D14" w14:textId="77777777" w:rsidR="00780965" w:rsidRDefault="00780965" w:rsidP="00EA6E38">
      <w:pPr>
        <w:pStyle w:val="AssignBody"/>
      </w:pPr>
    </w:p>
    <w:p w14:paraId="58F4DB18" w14:textId="1E9C879D" w:rsidR="00B4399D" w:rsidRDefault="00B4399D" w:rsidP="00EA6E38">
      <w:pPr>
        <w:pStyle w:val="AssignBody"/>
      </w:pPr>
      <w:r>
        <w:t xml:space="preserve">Black P. and Wiliam, D. (1998) </w:t>
      </w:r>
      <w:r>
        <w:rPr>
          <w:i/>
        </w:rPr>
        <w:t xml:space="preserve">Inside the Black Box: Raising Standards </w:t>
      </w:r>
      <w:proofErr w:type="gramStart"/>
      <w:r>
        <w:rPr>
          <w:i/>
        </w:rPr>
        <w:t>Through</w:t>
      </w:r>
      <w:proofErr w:type="gramEnd"/>
      <w:r>
        <w:rPr>
          <w:i/>
        </w:rPr>
        <w:t xml:space="preserve"> Classroom Assessment</w:t>
      </w:r>
      <w:r>
        <w:t xml:space="preserve">. London: King’s College London. </w:t>
      </w:r>
    </w:p>
    <w:p w14:paraId="15A94B71" w14:textId="77777777" w:rsidR="00AE65E7" w:rsidRDefault="00AE65E7" w:rsidP="00EA6E38">
      <w:pPr>
        <w:pStyle w:val="AssignBody"/>
      </w:pPr>
    </w:p>
    <w:p w14:paraId="1ABFF8C2" w14:textId="64B0BEBA" w:rsidR="00AE65E7" w:rsidRPr="00AE65E7" w:rsidRDefault="00AE65E7" w:rsidP="00EA6E38">
      <w:pPr>
        <w:pStyle w:val="AssignBody"/>
      </w:pPr>
      <w:r>
        <w:t xml:space="preserve">Black P. and Wiliam, D. (2009) ‘Developing the Theory of Formative Assessment’, </w:t>
      </w:r>
      <w:r>
        <w:rPr>
          <w:i/>
        </w:rPr>
        <w:t>Educational Assessment, Evaluation, and Accountability</w:t>
      </w:r>
      <w:r>
        <w:t xml:space="preserve">, 21, pp. 5-31 </w:t>
      </w:r>
    </w:p>
    <w:p w14:paraId="554A6184" w14:textId="77777777" w:rsidR="00DB5628" w:rsidRDefault="00DB5628" w:rsidP="00EA6E38">
      <w:pPr>
        <w:pStyle w:val="AssignBody"/>
      </w:pPr>
    </w:p>
    <w:p w14:paraId="218BD7C0" w14:textId="1C98C94A" w:rsidR="00DB5628" w:rsidRPr="00435254" w:rsidRDefault="00DB5628" w:rsidP="00EA6E38">
      <w:pPr>
        <w:pStyle w:val="AssignBody"/>
      </w:pPr>
      <w:r>
        <w:t xml:space="preserve">Bond, N. (2008) ‘Questioning Strategies that Minimize Behavior Problems’, </w:t>
      </w:r>
      <w:r w:rsidR="00435254">
        <w:rPr>
          <w:i/>
        </w:rPr>
        <w:t>Education Digest: Essential Readings Condensed for Quick Review</w:t>
      </w:r>
      <w:r w:rsidR="00435254">
        <w:t xml:space="preserve">, 73(6), pp. 41-45 </w:t>
      </w:r>
    </w:p>
    <w:p w14:paraId="4485FA24" w14:textId="77777777" w:rsidR="00B4399D" w:rsidRDefault="00B4399D" w:rsidP="00EA6E38">
      <w:pPr>
        <w:pStyle w:val="AssignBody"/>
      </w:pPr>
    </w:p>
    <w:p w14:paraId="76CD60E7" w14:textId="77777777" w:rsidR="00440410" w:rsidRDefault="00E95330" w:rsidP="00EA6E38">
      <w:pPr>
        <w:pStyle w:val="AssignBody"/>
      </w:pPr>
      <w:proofErr w:type="spellStart"/>
      <w:r w:rsidRPr="00E95330">
        <w:t>Bradtmueller</w:t>
      </w:r>
      <w:proofErr w:type="spellEnd"/>
      <w:r w:rsidRPr="00E95330">
        <w:t xml:space="preserve">, W.G. and Egan, J.B. (1983) </w:t>
      </w:r>
      <w:r>
        <w:t xml:space="preserve">‘To Question or Not To Question: That Seems to Be the Question’, </w:t>
      </w:r>
      <w:r>
        <w:rPr>
          <w:i/>
        </w:rPr>
        <w:t>Annual Meeting of the Great Lakes Regional Conference of the International Reading Association</w:t>
      </w:r>
      <w:r>
        <w:t>. Springfield, IL, October 5-8, 1983.</w:t>
      </w:r>
    </w:p>
    <w:p w14:paraId="22707E49" w14:textId="77777777" w:rsidR="00EC5100" w:rsidRDefault="00EC5100" w:rsidP="00EA6E38">
      <w:pPr>
        <w:pStyle w:val="AssignBody"/>
      </w:pPr>
    </w:p>
    <w:p w14:paraId="50A969C5" w14:textId="048AC669" w:rsidR="00EC5100" w:rsidRPr="00EC5100" w:rsidRDefault="00EC5100" w:rsidP="00EA6E38">
      <w:pPr>
        <w:pStyle w:val="AssignBody"/>
      </w:pPr>
      <w:r>
        <w:t xml:space="preserve">Brookfield, S. (2005) </w:t>
      </w:r>
      <w:r>
        <w:rPr>
          <w:i/>
        </w:rPr>
        <w:t>Becoming a Critically Reflective Teacher</w:t>
      </w:r>
      <w:r>
        <w:t xml:space="preserve">. </w:t>
      </w:r>
      <w:r w:rsidR="00DC0B95">
        <w:t>2</w:t>
      </w:r>
      <w:r w:rsidR="00DC0B95" w:rsidRPr="00DC0B95">
        <w:rPr>
          <w:vertAlign w:val="superscript"/>
        </w:rPr>
        <w:t>nd</w:t>
      </w:r>
      <w:r w:rsidR="00DC0B95">
        <w:t xml:space="preserve"> Ed. </w:t>
      </w:r>
      <w:r>
        <w:t xml:space="preserve">San Francisco: </w:t>
      </w:r>
      <w:proofErr w:type="spellStart"/>
      <w:r>
        <w:t>Jossey</w:t>
      </w:r>
      <w:proofErr w:type="spellEnd"/>
      <w:r>
        <w:t xml:space="preserve">-Bass </w:t>
      </w:r>
    </w:p>
    <w:p w14:paraId="48B8E434" w14:textId="78177B0D" w:rsidR="0075477F" w:rsidRDefault="0075477F" w:rsidP="00EA6E38">
      <w:pPr>
        <w:pStyle w:val="AssignBody"/>
      </w:pPr>
    </w:p>
    <w:p w14:paraId="37D88B99" w14:textId="6775298F" w:rsidR="0075477F" w:rsidRPr="0075477F" w:rsidRDefault="0075477F" w:rsidP="00EA6E38">
      <w:pPr>
        <w:pStyle w:val="AssignBody"/>
      </w:pPr>
      <w:r>
        <w:lastRenderedPageBreak/>
        <w:t xml:space="preserve">Cheung, W. M. and Wong W. Y. (2014) ‘Does Lesson Study work? A Systematic Review on the Effects of Lesson Study and Learning Study on Teachers and Students’, </w:t>
      </w:r>
      <w:r>
        <w:rPr>
          <w:i/>
        </w:rPr>
        <w:t>International Journal for Lesson and Learning Studies</w:t>
      </w:r>
      <w:r>
        <w:t xml:space="preserve">, 3(2), pp. 137-149 </w:t>
      </w:r>
    </w:p>
    <w:p w14:paraId="75E544D9" w14:textId="77777777" w:rsidR="00EA6E38" w:rsidRDefault="00EA6E38" w:rsidP="00EA6E38">
      <w:pPr>
        <w:pStyle w:val="AssignBody"/>
      </w:pPr>
    </w:p>
    <w:p w14:paraId="778F38CE" w14:textId="2647482C" w:rsidR="00EA6E38" w:rsidRPr="00EA6E38" w:rsidRDefault="00EA6E38" w:rsidP="00EA6E38">
      <w:pPr>
        <w:pStyle w:val="AssignBody"/>
      </w:pPr>
      <w:r>
        <w:t xml:space="preserve">Cohen, L., </w:t>
      </w:r>
      <w:proofErr w:type="spellStart"/>
      <w:r>
        <w:t>Manion</w:t>
      </w:r>
      <w:proofErr w:type="spellEnd"/>
      <w:r>
        <w:t xml:space="preserve">, L. and Morrison, K. (2018) </w:t>
      </w:r>
      <w:r>
        <w:rPr>
          <w:i/>
        </w:rPr>
        <w:t>Research Methods in Education</w:t>
      </w:r>
      <w:r>
        <w:t>. 8</w:t>
      </w:r>
      <w:r w:rsidRPr="00EA6E38">
        <w:rPr>
          <w:vertAlign w:val="superscript"/>
        </w:rPr>
        <w:t>th</w:t>
      </w:r>
      <w:r>
        <w:t xml:space="preserve"> Ed. Oxford: </w:t>
      </w:r>
      <w:proofErr w:type="spellStart"/>
      <w:r>
        <w:t>Routledge</w:t>
      </w:r>
      <w:proofErr w:type="spellEnd"/>
      <w:r>
        <w:t xml:space="preserve"> </w:t>
      </w:r>
    </w:p>
    <w:p w14:paraId="739E3DD2" w14:textId="77777777" w:rsidR="00E95330" w:rsidRPr="00E95330" w:rsidRDefault="00E95330" w:rsidP="00EA6E38">
      <w:pPr>
        <w:pStyle w:val="AssignBody"/>
      </w:pPr>
    </w:p>
    <w:p w14:paraId="7EF80516" w14:textId="0AECB1B6" w:rsidR="003A7240" w:rsidRDefault="003A7240" w:rsidP="00EA6E38">
      <w:pPr>
        <w:pStyle w:val="AssignBody"/>
      </w:pPr>
      <w:r w:rsidRPr="00E95330">
        <w:t xml:space="preserve">Cotton, K. (2001) </w:t>
      </w:r>
      <w:r w:rsidRPr="00A31BF5">
        <w:rPr>
          <w:i/>
        </w:rPr>
        <w:t>Classroom Questioning</w:t>
      </w:r>
      <w:r w:rsidRPr="00E95330">
        <w:t>. Available at: http://learner3.learner.org/workshops/socialstudies/pdf/session6/6.ClassroomQuestion</w:t>
      </w:r>
      <w:r w:rsidR="002E59A0" w:rsidRPr="00E95330">
        <w:t>ing.pdf. (Accessed: 17</w:t>
      </w:r>
      <w:r w:rsidR="002E59A0" w:rsidRPr="00E95330">
        <w:rPr>
          <w:vertAlign w:val="superscript"/>
        </w:rPr>
        <w:t>th</w:t>
      </w:r>
      <w:r w:rsidR="002E59A0" w:rsidRPr="00E95330">
        <w:t xml:space="preserve"> January 2020</w:t>
      </w:r>
      <w:r w:rsidRPr="00E95330">
        <w:t>).</w:t>
      </w:r>
      <w:r w:rsidR="002E59A0" w:rsidRPr="00E95330">
        <w:t xml:space="preserve"> </w:t>
      </w:r>
    </w:p>
    <w:p w14:paraId="356A458B" w14:textId="48FAC8B3" w:rsidR="00D40F42" w:rsidRDefault="00D40F42" w:rsidP="00EA6E38">
      <w:pPr>
        <w:pStyle w:val="AssignBody"/>
      </w:pPr>
    </w:p>
    <w:p w14:paraId="57F267BF" w14:textId="0B3D1929" w:rsidR="00D40F42" w:rsidRDefault="00D40F42" w:rsidP="00EA6E38">
      <w:pPr>
        <w:pStyle w:val="AssignBody"/>
      </w:pPr>
      <w:r>
        <w:t xml:space="preserve">Dillon, J. T. (1988) ‘The Remedial Status of Student Questioning’, </w:t>
      </w:r>
      <w:r>
        <w:rPr>
          <w:i/>
        </w:rPr>
        <w:t>Journal of Curriculum Studies</w:t>
      </w:r>
      <w:r>
        <w:t xml:space="preserve">, 20(3), pp. 197-210 </w:t>
      </w:r>
    </w:p>
    <w:p w14:paraId="41FAEEB8" w14:textId="52A4E4DB" w:rsidR="003112FE" w:rsidRDefault="003112FE" w:rsidP="00EA6E38">
      <w:pPr>
        <w:pStyle w:val="AssignBody"/>
      </w:pPr>
    </w:p>
    <w:p w14:paraId="1AEC8180" w14:textId="6905DCFA" w:rsidR="003112FE" w:rsidRPr="00CD774A" w:rsidRDefault="003112FE" w:rsidP="00EA6E38">
      <w:pPr>
        <w:pStyle w:val="AssignBody"/>
      </w:pPr>
      <w:r>
        <w:t xml:space="preserve">Donaldson, G. (2015) </w:t>
      </w:r>
      <w:r w:rsidR="00CD774A">
        <w:rPr>
          <w:i/>
        </w:rPr>
        <w:t>Successful Futures: Independent Review of Curriculum and Assessment Arrangements in Wales</w:t>
      </w:r>
      <w:r w:rsidR="00CD774A">
        <w:t xml:space="preserve">. Available at: </w:t>
      </w:r>
      <w:r w:rsidR="00CD774A" w:rsidRPr="00EE1333">
        <w:t>https:</w:t>
      </w:r>
      <w:r w:rsidR="00EE1333">
        <w:t>//dera.ioe.ac.uk/22165/2/150225-successful-futures-en_Redacted.pdf (Accessed: 19</w:t>
      </w:r>
      <w:r w:rsidR="00EE1333" w:rsidRPr="00EE1333">
        <w:rPr>
          <w:vertAlign w:val="superscript"/>
        </w:rPr>
        <w:t>th</w:t>
      </w:r>
      <w:r w:rsidR="00EE1333">
        <w:t xml:space="preserve"> January 2020) </w:t>
      </w:r>
    </w:p>
    <w:p w14:paraId="7602B611" w14:textId="77777777" w:rsidR="00B4399D" w:rsidRDefault="00B4399D" w:rsidP="00EA6E38">
      <w:pPr>
        <w:pStyle w:val="AssignBody"/>
      </w:pPr>
    </w:p>
    <w:p w14:paraId="610F971F" w14:textId="79C3981D" w:rsidR="00B4399D" w:rsidRDefault="00B4399D" w:rsidP="00EA6E38">
      <w:pPr>
        <w:pStyle w:val="AssignBody"/>
      </w:pPr>
      <w:r>
        <w:t xml:space="preserve">Dong, L. et al. (2019) ‘Teacher Questioning Practices over a Sequence of Consecutive Lessons: A Case Study of Mathematics Teachers’, </w:t>
      </w:r>
      <w:r>
        <w:rPr>
          <w:i/>
        </w:rPr>
        <w:t>Sustainability</w:t>
      </w:r>
      <w:r>
        <w:t xml:space="preserve">, 11(1), 139 </w:t>
      </w:r>
    </w:p>
    <w:p w14:paraId="3C4CD2EF" w14:textId="77777777" w:rsidR="002C5CED" w:rsidRDefault="002C5CED" w:rsidP="00EA6E38">
      <w:pPr>
        <w:pStyle w:val="AssignBody"/>
      </w:pPr>
    </w:p>
    <w:p w14:paraId="6A44F7BC" w14:textId="18E572A2" w:rsidR="002C5CED" w:rsidRPr="00B4399D" w:rsidRDefault="002C5CED" w:rsidP="00EA6E38">
      <w:pPr>
        <w:pStyle w:val="AssignBody"/>
      </w:pPr>
      <w:r>
        <w:t>Dudley, P. (201</w:t>
      </w:r>
      <w:r w:rsidR="00F50615">
        <w:t>4</w:t>
      </w:r>
      <w:r>
        <w:t xml:space="preserve">) </w:t>
      </w:r>
      <w:r w:rsidRPr="00A31BF5">
        <w:rPr>
          <w:i/>
        </w:rPr>
        <w:t>Lesson Study: A Handbook</w:t>
      </w:r>
      <w:r>
        <w:t xml:space="preserve">. Available at: </w:t>
      </w:r>
      <w:r w:rsidR="006D0330">
        <w:t xml:space="preserve">http://lessonstudy.co.uk/wp-content/uploads/2012/03/new-handbook-revisedMay14.pdf </w:t>
      </w:r>
      <w:r>
        <w:t>(Accessed: 19</w:t>
      </w:r>
      <w:r w:rsidRPr="002C5CED">
        <w:rPr>
          <w:vertAlign w:val="superscript"/>
        </w:rPr>
        <w:t>th</w:t>
      </w:r>
      <w:r>
        <w:t xml:space="preserve"> January 2020) </w:t>
      </w:r>
    </w:p>
    <w:p w14:paraId="49481FC6" w14:textId="77777777" w:rsidR="002E59A0" w:rsidRPr="00E95330" w:rsidRDefault="002E59A0" w:rsidP="00EA6E38">
      <w:pPr>
        <w:pStyle w:val="AssignBody"/>
      </w:pPr>
    </w:p>
    <w:p w14:paraId="5A76D229" w14:textId="7A1FD218" w:rsidR="00B66F83" w:rsidRDefault="00B66F83" w:rsidP="00EA6E38">
      <w:pPr>
        <w:pStyle w:val="AssignBody"/>
      </w:pPr>
      <w:r w:rsidRPr="00E95330">
        <w:t xml:space="preserve">Estyn (2014) </w:t>
      </w:r>
      <w:r w:rsidRPr="00A31BF5">
        <w:rPr>
          <w:i/>
        </w:rPr>
        <w:t>Estyn Inspection Report [of School X].</w:t>
      </w:r>
      <w:r w:rsidRPr="00E95330">
        <w:t xml:space="preserve"> Available at: https://www.estyn.gov.wales/provider/6703309 (Accessed: 13th January 2020)  </w:t>
      </w:r>
    </w:p>
    <w:p w14:paraId="421F4E6F" w14:textId="77777777" w:rsidR="002D7C04" w:rsidRDefault="002D7C04" w:rsidP="00EA6E38">
      <w:pPr>
        <w:pStyle w:val="AssignBody"/>
      </w:pPr>
    </w:p>
    <w:p w14:paraId="4610C37A" w14:textId="3812CAA6" w:rsidR="002D7C04" w:rsidRDefault="002D7C04" w:rsidP="00EA6E38">
      <w:pPr>
        <w:pStyle w:val="AssignBody"/>
      </w:pPr>
      <w:r>
        <w:t xml:space="preserve">Fusco, E. (2012) </w:t>
      </w:r>
      <w:r>
        <w:rPr>
          <w:i/>
        </w:rPr>
        <w:t>Effective Questioning Strategies in the Classroom: A step-by-step Approach to Engaged Thinking and Learning, K-8.</w:t>
      </w:r>
      <w:r>
        <w:t xml:space="preserve"> New York: Teachers College Press </w:t>
      </w:r>
    </w:p>
    <w:p w14:paraId="073734AD" w14:textId="77777777" w:rsidR="00FE1DF2" w:rsidRDefault="00FE1DF2" w:rsidP="00EA6E38">
      <w:pPr>
        <w:pStyle w:val="AssignBody"/>
      </w:pPr>
    </w:p>
    <w:p w14:paraId="6BEC74BC" w14:textId="2687CDED" w:rsidR="00FE1DF2" w:rsidRPr="00FE1DF2" w:rsidRDefault="00FE1DF2" w:rsidP="00EA6E38">
      <w:pPr>
        <w:pStyle w:val="AssignBody"/>
      </w:pPr>
      <w:r>
        <w:t xml:space="preserve">Gibbs, G. (1988) </w:t>
      </w:r>
      <w:r>
        <w:rPr>
          <w:i/>
        </w:rPr>
        <w:t>Learning by Doing: A Guide to Teaching and Learning Methods</w:t>
      </w:r>
      <w:r>
        <w:t xml:space="preserve">. Oxford: Oxford Polytechnic </w:t>
      </w:r>
    </w:p>
    <w:p w14:paraId="1B694AFC" w14:textId="77777777" w:rsidR="00B66F83" w:rsidRDefault="00B66F83" w:rsidP="00EA6E38">
      <w:pPr>
        <w:pStyle w:val="AssignBody"/>
      </w:pPr>
    </w:p>
    <w:p w14:paraId="2F6B73EF" w14:textId="3ABC75E3" w:rsidR="00BF2704" w:rsidRDefault="00BF2704" w:rsidP="00EA6E38">
      <w:pPr>
        <w:pStyle w:val="AssignBody"/>
      </w:pPr>
      <w:r>
        <w:t xml:space="preserve">Gimbutas, E.C. (2019) </w:t>
      </w:r>
      <w:r>
        <w:rPr>
          <w:i/>
        </w:rPr>
        <w:t>The Effects of Using Mini Whiteboards on the Academic Performance and Engagement of Students in a Tenth Grade Resource English/Language Arts Classroom</w:t>
      </w:r>
      <w:r>
        <w:t xml:space="preserve">. Unpublished PhD Thesis. Rowan University. </w:t>
      </w:r>
    </w:p>
    <w:p w14:paraId="1D23C34E" w14:textId="77777777" w:rsidR="00086F93" w:rsidRDefault="00086F93" w:rsidP="00EA6E38">
      <w:pPr>
        <w:pStyle w:val="AssignBody"/>
      </w:pPr>
    </w:p>
    <w:p w14:paraId="000850FF" w14:textId="2F1D915C" w:rsidR="00086F93" w:rsidRPr="00086F93" w:rsidRDefault="00086F93" w:rsidP="00EA6E38">
      <w:pPr>
        <w:pStyle w:val="AssignBody"/>
      </w:pPr>
      <w:proofErr w:type="spellStart"/>
      <w:r>
        <w:lastRenderedPageBreak/>
        <w:t>Gmitrova</w:t>
      </w:r>
      <w:proofErr w:type="spellEnd"/>
      <w:r>
        <w:t xml:space="preserve">, V. and </w:t>
      </w:r>
      <w:proofErr w:type="spellStart"/>
      <w:r>
        <w:t>Gmitrov</w:t>
      </w:r>
      <w:proofErr w:type="spellEnd"/>
      <w:r>
        <w:t xml:space="preserve">, J. (2003) ‘The Impact of Teacher-Directed and Child-Directed Pretend Play on Cognitive Competence in Kindergarten Children’, </w:t>
      </w:r>
      <w:r>
        <w:rPr>
          <w:i/>
        </w:rPr>
        <w:t>Early Childhood Educational Journal</w:t>
      </w:r>
      <w:r>
        <w:t>, 30, pp. 241-246</w:t>
      </w:r>
    </w:p>
    <w:p w14:paraId="0F42B0F2" w14:textId="77777777" w:rsidR="006A3416" w:rsidRDefault="006A3416" w:rsidP="00EA6E38">
      <w:pPr>
        <w:pStyle w:val="AssignBody"/>
      </w:pPr>
    </w:p>
    <w:p w14:paraId="0C8AEF43" w14:textId="624DABEC" w:rsidR="006A3416" w:rsidRDefault="006A3416" w:rsidP="00EA6E38">
      <w:pPr>
        <w:pStyle w:val="AssignBody"/>
      </w:pPr>
      <w:r>
        <w:t xml:space="preserve">Hayes, D. (2009) </w:t>
      </w:r>
      <w:r>
        <w:rPr>
          <w:i/>
        </w:rPr>
        <w:t>Learning</w:t>
      </w:r>
      <w:r w:rsidR="0062444A">
        <w:rPr>
          <w:i/>
        </w:rPr>
        <w:t xml:space="preserve"> and Teaching in Primary School.</w:t>
      </w:r>
      <w:r w:rsidR="0062444A">
        <w:t xml:space="preserve"> Exeter: SAGE. </w:t>
      </w:r>
      <w:r>
        <w:t xml:space="preserve"> </w:t>
      </w:r>
    </w:p>
    <w:p w14:paraId="51A558FC" w14:textId="77777777" w:rsidR="0015520A" w:rsidRDefault="0015520A" w:rsidP="00EA6E38">
      <w:pPr>
        <w:pStyle w:val="AssignBody"/>
      </w:pPr>
    </w:p>
    <w:p w14:paraId="1E55603E" w14:textId="63A3DF63" w:rsidR="0075155D" w:rsidRDefault="0015520A" w:rsidP="00EA6E38">
      <w:pPr>
        <w:pStyle w:val="AssignBody"/>
      </w:pPr>
      <w:r>
        <w:t xml:space="preserve">Heritage, M. (2018) ‘Assessment for Learning as Support for Student Self-Regulation’, </w:t>
      </w:r>
      <w:r>
        <w:rPr>
          <w:i/>
        </w:rPr>
        <w:t>Australian Educational Researcher</w:t>
      </w:r>
      <w:r>
        <w:t xml:space="preserve">, 45(1), pp. 51-63 </w:t>
      </w:r>
    </w:p>
    <w:p w14:paraId="20BDC1CB" w14:textId="2AC040A5" w:rsidR="0075155D" w:rsidRDefault="0075155D" w:rsidP="00EA6E38">
      <w:pPr>
        <w:pStyle w:val="AssignBody"/>
      </w:pPr>
    </w:p>
    <w:p w14:paraId="2C7CC0C0" w14:textId="4A51E5E1" w:rsidR="0075155D" w:rsidRPr="0075155D" w:rsidRDefault="0075155D" w:rsidP="00EA6E38">
      <w:pPr>
        <w:pStyle w:val="AssignBody"/>
      </w:pPr>
      <w:proofErr w:type="spellStart"/>
      <w:r>
        <w:t>Holmqvist</w:t>
      </w:r>
      <w:proofErr w:type="spellEnd"/>
      <w:r>
        <w:t xml:space="preserve">, M. (2011) ‘Teachers’ Learning in a Learning Study’, </w:t>
      </w:r>
      <w:r>
        <w:rPr>
          <w:i/>
        </w:rPr>
        <w:t>instructional Science</w:t>
      </w:r>
      <w:r>
        <w:t xml:space="preserve">, 39(4), pp. 497-511 </w:t>
      </w:r>
    </w:p>
    <w:p w14:paraId="086894D2" w14:textId="77777777" w:rsidR="00CF14E2" w:rsidRDefault="00CF14E2" w:rsidP="00EA6E38">
      <w:pPr>
        <w:pStyle w:val="AssignBody"/>
      </w:pPr>
    </w:p>
    <w:p w14:paraId="2F21EF2B" w14:textId="537D1B0A" w:rsidR="00CF14E2" w:rsidRDefault="00CF14E2" w:rsidP="00EA6E38">
      <w:pPr>
        <w:pStyle w:val="AssignBody"/>
      </w:pPr>
      <w:proofErr w:type="spellStart"/>
      <w:r>
        <w:t>Laevers</w:t>
      </w:r>
      <w:proofErr w:type="spellEnd"/>
      <w:r>
        <w:t xml:space="preserve">, F. (2005) </w:t>
      </w:r>
      <w:r>
        <w:rPr>
          <w:i/>
        </w:rPr>
        <w:t>Well-being and Involvement in Care Settings. A Process-oriented Self-evaluation Instrument.</w:t>
      </w:r>
      <w:r>
        <w:t xml:space="preserve"> Available at: </w:t>
      </w:r>
      <w:r w:rsidRPr="00CF14E2">
        <w:t>https://www.kindengezin.be/img/sics-ziko-manual.pdf</w:t>
      </w:r>
      <w:r>
        <w:t xml:space="preserve"> (Accessed: 19</w:t>
      </w:r>
      <w:r w:rsidRPr="00CF14E2">
        <w:rPr>
          <w:vertAlign w:val="superscript"/>
        </w:rPr>
        <w:t>th</w:t>
      </w:r>
      <w:r>
        <w:t xml:space="preserve"> January 2020) </w:t>
      </w:r>
    </w:p>
    <w:p w14:paraId="01833956" w14:textId="223B3E88" w:rsidR="00992342" w:rsidRDefault="00992342" w:rsidP="00EA6E38">
      <w:pPr>
        <w:pStyle w:val="AssignBody"/>
      </w:pPr>
    </w:p>
    <w:p w14:paraId="2028F357" w14:textId="5E0C2114" w:rsidR="009728F5" w:rsidRPr="00992342" w:rsidRDefault="00992342" w:rsidP="00EA6E38">
      <w:pPr>
        <w:pStyle w:val="AssignBody"/>
      </w:pPr>
      <w:r w:rsidRPr="009E6990">
        <w:rPr>
          <w:lang w:val="de-DE"/>
        </w:rPr>
        <w:t xml:space="preserve">Mahar, M. T. et al. </w:t>
      </w:r>
      <w:r>
        <w:t xml:space="preserve">(2006) ‘Effects of a Classroom-Based Program on Physical Activity and On-Task Behaviour’, </w:t>
      </w:r>
      <w:r>
        <w:rPr>
          <w:i/>
        </w:rPr>
        <w:t>Medicine and Science in Sports and Exercise</w:t>
      </w:r>
      <w:r>
        <w:t>, 38(12), pp. 2086-2094</w:t>
      </w:r>
    </w:p>
    <w:p w14:paraId="22F656E1" w14:textId="77777777" w:rsidR="00323B6F" w:rsidRDefault="00323B6F" w:rsidP="00EA6E38">
      <w:pPr>
        <w:pStyle w:val="AssignBody"/>
      </w:pPr>
    </w:p>
    <w:p w14:paraId="5F6FC409" w14:textId="125DD941" w:rsidR="00323B6F" w:rsidRDefault="00323B6F" w:rsidP="00EA6E38">
      <w:pPr>
        <w:pStyle w:val="AssignBody"/>
      </w:pPr>
      <w:proofErr w:type="spellStart"/>
      <w:r>
        <w:t>Maheady</w:t>
      </w:r>
      <w:proofErr w:type="spellEnd"/>
      <w:r>
        <w:t>, L.</w:t>
      </w:r>
      <w:r w:rsidR="001A1D3B">
        <w:t xml:space="preserve"> et al. </w:t>
      </w:r>
      <w:r>
        <w:t xml:space="preserve">(2002) ‘A Collaborative Research Project to Improve the Academic Performance of a Diverse Sixth Grade Science Class’, </w:t>
      </w:r>
      <w:r>
        <w:rPr>
          <w:i/>
        </w:rPr>
        <w:t>Teacher Education and Special Education</w:t>
      </w:r>
      <w:r>
        <w:t>, 25(1), pp. 55-70</w:t>
      </w:r>
    </w:p>
    <w:p w14:paraId="11EC404D" w14:textId="77777777" w:rsidR="00BF2704" w:rsidRDefault="00BF2704" w:rsidP="00EA6E38">
      <w:pPr>
        <w:pStyle w:val="AssignBody"/>
      </w:pPr>
    </w:p>
    <w:p w14:paraId="52D6D29E" w14:textId="22221E2C" w:rsidR="008A7C02" w:rsidRDefault="008A7C02" w:rsidP="00EA6E38">
      <w:pPr>
        <w:pStyle w:val="AssignBody"/>
      </w:pPr>
      <w:r>
        <w:t xml:space="preserve">Moore, K. (2007) </w:t>
      </w:r>
      <w:r>
        <w:rPr>
          <w:i/>
        </w:rPr>
        <w:t>Classroom Teaching Skills</w:t>
      </w:r>
      <w:r>
        <w:t xml:space="preserve">. New York: The McGraw-Hill Companies, Inc. </w:t>
      </w:r>
    </w:p>
    <w:p w14:paraId="3B07B0B7" w14:textId="77777777" w:rsidR="004D5381" w:rsidRDefault="004D5381" w:rsidP="00EA6E38">
      <w:pPr>
        <w:pStyle w:val="AssignBody"/>
      </w:pPr>
    </w:p>
    <w:p w14:paraId="311336FF" w14:textId="72E42FF8" w:rsidR="004D5381" w:rsidRDefault="004D5381" w:rsidP="00EA6E38">
      <w:pPr>
        <w:pStyle w:val="AssignBody"/>
      </w:pPr>
      <w:proofErr w:type="spellStart"/>
      <w:r>
        <w:t>Musti</w:t>
      </w:r>
      <w:proofErr w:type="spellEnd"/>
      <w:r>
        <w:t xml:space="preserve">-Rao, S., </w:t>
      </w:r>
      <w:proofErr w:type="spellStart"/>
      <w:r>
        <w:t>Kroeger</w:t>
      </w:r>
      <w:proofErr w:type="spellEnd"/>
      <w:r>
        <w:t xml:space="preserve">, S. D., and Schumacher-Dyke, K. (2008) </w:t>
      </w:r>
      <w:r w:rsidR="00E23AB6">
        <w:t xml:space="preserve">‘Using Guided Notes and Response Cards at the Postsecondary Level’, </w:t>
      </w:r>
      <w:r w:rsidR="00267E95">
        <w:rPr>
          <w:i/>
        </w:rPr>
        <w:t>Teacher Education and</w:t>
      </w:r>
      <w:r w:rsidR="00E23AB6">
        <w:rPr>
          <w:i/>
        </w:rPr>
        <w:t xml:space="preserve"> Special Education</w:t>
      </w:r>
      <w:r w:rsidR="00E23AB6">
        <w:t xml:space="preserve">, 31(3), pp. 149-163 </w:t>
      </w:r>
    </w:p>
    <w:p w14:paraId="1C5E421A" w14:textId="77777777" w:rsidR="00086F93" w:rsidRDefault="00086F93" w:rsidP="00EA6E38">
      <w:pPr>
        <w:pStyle w:val="AssignBody"/>
      </w:pPr>
    </w:p>
    <w:p w14:paraId="671AA474" w14:textId="54E9B901" w:rsidR="00086F93" w:rsidRPr="00086F93" w:rsidRDefault="00086F93" w:rsidP="00EA6E38">
      <w:pPr>
        <w:pStyle w:val="AssignBody"/>
      </w:pPr>
      <w:proofErr w:type="spellStart"/>
      <w:r>
        <w:t>Nutbrown</w:t>
      </w:r>
      <w:proofErr w:type="spellEnd"/>
      <w:r>
        <w:t xml:space="preserve">, C. (2011) </w:t>
      </w:r>
      <w:r>
        <w:rPr>
          <w:i/>
        </w:rPr>
        <w:t xml:space="preserve">Threads of Thinking Schemas and Young Children’s </w:t>
      </w:r>
      <w:proofErr w:type="gramStart"/>
      <w:r>
        <w:rPr>
          <w:i/>
        </w:rPr>
        <w:t>Learning</w:t>
      </w:r>
      <w:proofErr w:type="gramEnd"/>
      <w:r>
        <w:t>. 4</w:t>
      </w:r>
      <w:r w:rsidRPr="00086F93">
        <w:rPr>
          <w:vertAlign w:val="superscript"/>
        </w:rPr>
        <w:t>th</w:t>
      </w:r>
      <w:r>
        <w:t xml:space="preserve"> Ed. London: SAGE</w:t>
      </w:r>
    </w:p>
    <w:p w14:paraId="371136DA" w14:textId="2A72297B" w:rsidR="0099391D" w:rsidRDefault="0099391D" w:rsidP="00EA6E38">
      <w:pPr>
        <w:pStyle w:val="AssignBody"/>
      </w:pPr>
    </w:p>
    <w:p w14:paraId="78AE16D1" w14:textId="6816748E" w:rsidR="0099391D" w:rsidRDefault="0099391D" w:rsidP="00EA6E38">
      <w:pPr>
        <w:pStyle w:val="AssignBody"/>
      </w:pPr>
      <w:r>
        <w:t xml:space="preserve">Oswald, D., </w:t>
      </w:r>
      <w:proofErr w:type="spellStart"/>
      <w:r>
        <w:t>Sherratt</w:t>
      </w:r>
      <w:proofErr w:type="spellEnd"/>
      <w:r>
        <w:t xml:space="preserve">, F., and Smith, S. (2014) ‘Handling the Hawthorne Effect: The Challenges Surrounding a Participant Observer’, </w:t>
      </w:r>
      <w:r>
        <w:rPr>
          <w:i/>
        </w:rPr>
        <w:t>Review of Social Studies</w:t>
      </w:r>
      <w:r>
        <w:t xml:space="preserve">, 1(1), pp. 53-73 </w:t>
      </w:r>
    </w:p>
    <w:p w14:paraId="40826468" w14:textId="6552D2D4" w:rsidR="00404E5C" w:rsidRDefault="00404E5C" w:rsidP="00EA6E38">
      <w:pPr>
        <w:pStyle w:val="AssignBody"/>
      </w:pPr>
    </w:p>
    <w:p w14:paraId="356F022E" w14:textId="27740AB7" w:rsidR="00404E5C" w:rsidRPr="00F50615" w:rsidRDefault="00404E5C" w:rsidP="00EA6E38">
      <w:pPr>
        <w:pStyle w:val="AssignBody"/>
      </w:pPr>
      <w:r>
        <w:t xml:space="preserve">Sampson, H. (2004) </w:t>
      </w:r>
      <w:r w:rsidR="00F50615">
        <w:t xml:space="preserve">‘Navigating the Waves: The Usefulness of a Pilot in Qualitative Research’, </w:t>
      </w:r>
      <w:r w:rsidR="00F50615">
        <w:rPr>
          <w:i/>
        </w:rPr>
        <w:t>Qualitative Research</w:t>
      </w:r>
      <w:r w:rsidR="00F50615">
        <w:t xml:space="preserve">, 4(3), pp. 383-402 </w:t>
      </w:r>
    </w:p>
    <w:p w14:paraId="12F85F7A" w14:textId="77777777" w:rsidR="00E642E3" w:rsidRDefault="00E642E3" w:rsidP="00EA6E38">
      <w:pPr>
        <w:pStyle w:val="AssignBody"/>
      </w:pPr>
    </w:p>
    <w:p w14:paraId="5D737787" w14:textId="2FF49DCC" w:rsidR="00E642E3" w:rsidRDefault="00E642E3" w:rsidP="00EA6E38">
      <w:pPr>
        <w:pStyle w:val="AssignBody"/>
      </w:pPr>
      <w:proofErr w:type="spellStart"/>
      <w:r>
        <w:t>Schlechty</w:t>
      </w:r>
      <w:proofErr w:type="spellEnd"/>
      <w:r>
        <w:t xml:space="preserve">, P. (2002) </w:t>
      </w:r>
      <w:r>
        <w:rPr>
          <w:i/>
        </w:rPr>
        <w:t>Working on the Work</w:t>
      </w:r>
      <w:r>
        <w:t xml:space="preserve">. </w:t>
      </w:r>
      <w:r w:rsidR="0062444A">
        <w:t>S</w:t>
      </w:r>
      <w:r>
        <w:t>an Francisco</w:t>
      </w:r>
      <w:r w:rsidR="0062444A">
        <w:t xml:space="preserve">: </w:t>
      </w:r>
      <w:proofErr w:type="spellStart"/>
      <w:r w:rsidR="0062444A">
        <w:t>Jossey</w:t>
      </w:r>
      <w:proofErr w:type="spellEnd"/>
      <w:r w:rsidR="0062444A">
        <w:t>-Bass</w:t>
      </w:r>
      <w:r>
        <w:t xml:space="preserve">. </w:t>
      </w:r>
    </w:p>
    <w:p w14:paraId="565661C4" w14:textId="4AF1810E" w:rsidR="003E1CC3" w:rsidRDefault="003E1CC3" w:rsidP="00EA6E38">
      <w:pPr>
        <w:pStyle w:val="AssignBody"/>
      </w:pPr>
    </w:p>
    <w:p w14:paraId="2DF0E2A9" w14:textId="0DDED966" w:rsidR="003E1CC3" w:rsidRPr="003E1CC3" w:rsidRDefault="003E1CC3" w:rsidP="00EA6E38">
      <w:pPr>
        <w:pStyle w:val="AssignBody"/>
      </w:pPr>
      <w:proofErr w:type="spellStart"/>
      <w:r>
        <w:t>Shephard</w:t>
      </w:r>
      <w:proofErr w:type="spellEnd"/>
      <w:r>
        <w:t xml:space="preserve">, R. J. (1997) ‘Curricular Physical Activity and Academic Performance’, </w:t>
      </w:r>
      <w:proofErr w:type="spellStart"/>
      <w:r>
        <w:rPr>
          <w:i/>
        </w:rPr>
        <w:t>Pediatric</w:t>
      </w:r>
      <w:proofErr w:type="spellEnd"/>
      <w:r>
        <w:rPr>
          <w:i/>
        </w:rPr>
        <w:t xml:space="preserve"> Exercise Science</w:t>
      </w:r>
      <w:r>
        <w:t xml:space="preserve">, 9, pp. 113-126 </w:t>
      </w:r>
    </w:p>
    <w:p w14:paraId="165AC720" w14:textId="77777777" w:rsidR="008A7C02" w:rsidRDefault="008A7C02" w:rsidP="00EA6E38">
      <w:pPr>
        <w:pStyle w:val="AssignBody"/>
      </w:pPr>
    </w:p>
    <w:p w14:paraId="459245B4" w14:textId="69149A2C" w:rsidR="000632D8" w:rsidRDefault="000632D8" w:rsidP="00EA6E38">
      <w:pPr>
        <w:pStyle w:val="AssignBody"/>
      </w:pPr>
      <w:proofErr w:type="spellStart"/>
      <w:r>
        <w:t>Ulleberg</w:t>
      </w:r>
      <w:proofErr w:type="spellEnd"/>
      <w:r>
        <w:t xml:space="preserve">, I. and </w:t>
      </w:r>
      <w:proofErr w:type="spellStart"/>
      <w:r>
        <w:t>Solem</w:t>
      </w:r>
      <w:proofErr w:type="spellEnd"/>
      <w:r>
        <w:t xml:space="preserve">, I. H. (2018) ‘Which Questions Should Be Asked in Classroom Talk in Mathematics? Presentation and Discussion of a Questioning Model’, </w:t>
      </w:r>
      <w:proofErr w:type="spellStart"/>
      <w:r w:rsidR="00260E8E">
        <w:rPr>
          <w:i/>
        </w:rPr>
        <w:t>Acta</w:t>
      </w:r>
      <w:proofErr w:type="spellEnd"/>
      <w:r w:rsidR="00260E8E">
        <w:rPr>
          <w:i/>
        </w:rPr>
        <w:t xml:space="preserve"> </w:t>
      </w:r>
      <w:proofErr w:type="spellStart"/>
      <w:r w:rsidR="00260E8E">
        <w:rPr>
          <w:i/>
        </w:rPr>
        <w:t>Didactica</w:t>
      </w:r>
      <w:proofErr w:type="spellEnd"/>
      <w:r w:rsidR="00260E8E">
        <w:rPr>
          <w:i/>
        </w:rPr>
        <w:t xml:space="preserve"> </w:t>
      </w:r>
      <w:proofErr w:type="spellStart"/>
      <w:r w:rsidR="00260E8E">
        <w:rPr>
          <w:i/>
        </w:rPr>
        <w:t>Norge</w:t>
      </w:r>
      <w:proofErr w:type="spellEnd"/>
      <w:r w:rsidR="007A4E13">
        <w:t>, 12(1), 3</w:t>
      </w:r>
    </w:p>
    <w:p w14:paraId="72234D29" w14:textId="77777777" w:rsidR="00194071" w:rsidRDefault="00194071" w:rsidP="00EA6E38">
      <w:pPr>
        <w:pStyle w:val="AssignBody"/>
      </w:pPr>
    </w:p>
    <w:p w14:paraId="4F54073E" w14:textId="7640D229" w:rsidR="00194071" w:rsidRDefault="002107F5" w:rsidP="00EA6E38">
      <w:pPr>
        <w:pStyle w:val="AssignBody"/>
      </w:pPr>
      <w:r>
        <w:t>UWTSD [</w:t>
      </w:r>
      <w:r w:rsidR="00194071">
        <w:t xml:space="preserve">University of Wales Trinity St. </w:t>
      </w:r>
      <w:r>
        <w:t>David]</w:t>
      </w:r>
      <w:r w:rsidR="00194071">
        <w:t xml:space="preserve"> (2017) </w:t>
      </w:r>
      <w:r w:rsidR="00194071">
        <w:rPr>
          <w:i/>
        </w:rPr>
        <w:t>Research Ethics &amp; Integrity Code of Practice, 2017-2020</w:t>
      </w:r>
      <w:r w:rsidR="00194071">
        <w:t xml:space="preserve">. Available at: </w:t>
      </w:r>
      <w:r w:rsidR="00194071" w:rsidRPr="00194071">
        <w:t>https://www.uwtsd.ac.uk/media/uwtsd-website/content-assets/documents/research/research-ethics-integrity-code-practice.pdf</w:t>
      </w:r>
      <w:r w:rsidR="00194071">
        <w:t xml:space="preserve"> (Accessed: 16</w:t>
      </w:r>
      <w:r w:rsidR="00194071" w:rsidRPr="00194071">
        <w:rPr>
          <w:vertAlign w:val="superscript"/>
        </w:rPr>
        <w:t>th</w:t>
      </w:r>
      <w:r w:rsidR="00194071">
        <w:t xml:space="preserve"> January 2020) </w:t>
      </w:r>
    </w:p>
    <w:p w14:paraId="1E62DC8F" w14:textId="77777777" w:rsidR="00070B54" w:rsidRDefault="00070B54" w:rsidP="00EA6E38">
      <w:pPr>
        <w:pStyle w:val="AssignBody"/>
      </w:pPr>
    </w:p>
    <w:p w14:paraId="51B4294C" w14:textId="514E54E3" w:rsidR="00070B54" w:rsidRDefault="002107F5" w:rsidP="00EA6E38">
      <w:pPr>
        <w:pStyle w:val="AssignBody"/>
      </w:pPr>
      <w:r>
        <w:t>UWTSD [</w:t>
      </w:r>
      <w:r w:rsidR="00070B54">
        <w:t xml:space="preserve">University of Wales Trinity St. </w:t>
      </w:r>
      <w:r>
        <w:t>David</w:t>
      </w:r>
      <w:r w:rsidR="00070B54">
        <w:t xml:space="preserve">] (2018) </w:t>
      </w:r>
      <w:r w:rsidR="00070B54">
        <w:rPr>
          <w:i/>
        </w:rPr>
        <w:t>Data Protection Policy</w:t>
      </w:r>
      <w:r w:rsidR="00070B54">
        <w:t xml:space="preserve">. Available at: </w:t>
      </w:r>
      <w:r w:rsidR="00070B54" w:rsidRPr="00070B54">
        <w:t>https://www.uwtsd.ac.uk/media/uwtsd-website/content-assets/documents/strategies-policies/2.0-Data-Protection-Policy.pdf</w:t>
      </w:r>
      <w:r w:rsidR="00070B54">
        <w:t xml:space="preserve"> (Accessed: 16</w:t>
      </w:r>
      <w:r w:rsidR="00070B54" w:rsidRPr="00070B54">
        <w:rPr>
          <w:vertAlign w:val="superscript"/>
        </w:rPr>
        <w:t>th</w:t>
      </w:r>
      <w:r w:rsidR="00070B54">
        <w:t xml:space="preserve"> January 2020) </w:t>
      </w:r>
    </w:p>
    <w:p w14:paraId="1788F2D8" w14:textId="77777777" w:rsidR="000632D8" w:rsidRPr="00E95330" w:rsidRDefault="000632D8" w:rsidP="00EA6E38">
      <w:pPr>
        <w:pStyle w:val="AssignBody"/>
      </w:pPr>
    </w:p>
    <w:p w14:paraId="296DA334" w14:textId="19A1423D" w:rsidR="004763EA" w:rsidRDefault="00B66F83" w:rsidP="00EA6E38">
      <w:pPr>
        <w:pStyle w:val="AssignBody"/>
      </w:pPr>
      <w:r w:rsidRPr="00E95330">
        <w:t xml:space="preserve">Welsh Government (2019) </w:t>
      </w:r>
      <w:r w:rsidRPr="00A31BF5">
        <w:rPr>
          <w:i/>
        </w:rPr>
        <w:t>My Local School [for School X].</w:t>
      </w:r>
      <w:r w:rsidRPr="00E95330">
        <w:t xml:space="preserve"> Available at: http://mylocalschool.gov.wales/School/6703309?lang=en (Accessed: 13th January 2020)  </w:t>
      </w:r>
    </w:p>
    <w:p w14:paraId="0FD020B3" w14:textId="77777777" w:rsidR="008F3676" w:rsidRDefault="008F3676" w:rsidP="00EA6E38">
      <w:pPr>
        <w:pStyle w:val="AssignBody"/>
      </w:pPr>
    </w:p>
    <w:p w14:paraId="3E832D66" w14:textId="4B8F0441" w:rsidR="008F3676" w:rsidRPr="008F3676" w:rsidRDefault="008F3676" w:rsidP="00EA6E38">
      <w:pPr>
        <w:pStyle w:val="AssignBody"/>
      </w:pPr>
      <w:r>
        <w:t xml:space="preserve">Wiliam, D. (2014) ‘The Right Questions, </w:t>
      </w:r>
      <w:proofErr w:type="gramStart"/>
      <w:r>
        <w:t>The</w:t>
      </w:r>
      <w:proofErr w:type="gramEnd"/>
      <w:r>
        <w:t xml:space="preserve"> Right Way’, </w:t>
      </w:r>
      <w:r>
        <w:rPr>
          <w:i/>
        </w:rPr>
        <w:t>Educational Leadership,</w:t>
      </w:r>
      <w:r>
        <w:t xml:space="preserve"> 71(6), pp. 16-19 </w:t>
      </w:r>
    </w:p>
    <w:sectPr w:rsidR="008F3676" w:rsidRPr="008F3676">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638283" w14:textId="77777777" w:rsidR="00355509" w:rsidRDefault="00355509" w:rsidP="00E611D9">
      <w:pPr>
        <w:spacing w:after="0" w:line="240" w:lineRule="auto"/>
      </w:pPr>
      <w:r>
        <w:separator/>
      </w:r>
    </w:p>
  </w:endnote>
  <w:endnote w:type="continuationSeparator" w:id="0">
    <w:p w14:paraId="122F361F" w14:textId="77777777" w:rsidR="00355509" w:rsidRDefault="0035550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E34BC1" w14:textId="77777777" w:rsidR="00992342" w:rsidRDefault="009923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1959A" w14:textId="3C22588D" w:rsidR="007556DF" w:rsidRPr="00BB0A18" w:rsidRDefault="007556DF">
    <w:pPr>
      <w:pStyle w:val="Footer"/>
      <w:jc w:val="center"/>
      <w:rPr>
        <w:rFonts w:ascii="Arial" w:hAnsi="Arial" w:cs="Arial"/>
        <w:i/>
        <w:sz w:val="20"/>
      </w:rPr>
    </w:pPr>
    <w:r w:rsidRPr="00BB0A18">
      <w:rPr>
        <w:rFonts w:ascii="Arial" w:hAnsi="Arial" w:cs="Arial"/>
        <w:i/>
        <w:sz w:val="18"/>
      </w:rPr>
      <w:t xml:space="preserve">Page </w:t>
    </w:r>
    <w:sdt>
      <w:sdtPr>
        <w:rPr>
          <w:rFonts w:ascii="Arial" w:hAnsi="Arial" w:cs="Arial"/>
          <w:i/>
          <w:sz w:val="18"/>
        </w:rPr>
        <w:id w:val="-2047361867"/>
        <w:docPartObj>
          <w:docPartGallery w:val="Page Numbers (Bottom of Page)"/>
          <w:docPartUnique/>
        </w:docPartObj>
      </w:sdtPr>
      <w:sdtEndPr>
        <w:rPr>
          <w:noProof/>
        </w:rPr>
      </w:sdtEndPr>
      <w:sdtContent>
        <w:r w:rsidRPr="00BB0A18">
          <w:rPr>
            <w:rFonts w:ascii="Arial" w:hAnsi="Arial" w:cs="Arial"/>
            <w:i/>
            <w:sz w:val="18"/>
          </w:rPr>
          <w:fldChar w:fldCharType="begin"/>
        </w:r>
        <w:r w:rsidRPr="00BB0A18">
          <w:rPr>
            <w:rFonts w:ascii="Arial" w:hAnsi="Arial" w:cs="Arial"/>
            <w:i/>
            <w:sz w:val="18"/>
          </w:rPr>
          <w:instrText xml:space="preserve"> PAGE   \* MERGEFORMAT </w:instrText>
        </w:r>
        <w:r w:rsidRPr="00BB0A18">
          <w:rPr>
            <w:rFonts w:ascii="Arial" w:hAnsi="Arial" w:cs="Arial"/>
            <w:i/>
            <w:sz w:val="18"/>
          </w:rPr>
          <w:fldChar w:fldCharType="separate"/>
        </w:r>
        <w:r w:rsidR="007D1D8E">
          <w:rPr>
            <w:rFonts w:ascii="Arial" w:hAnsi="Arial" w:cs="Arial"/>
            <w:i/>
            <w:noProof/>
            <w:sz w:val="18"/>
          </w:rPr>
          <w:t>17</w:t>
        </w:r>
        <w:r w:rsidRPr="00BB0A18">
          <w:rPr>
            <w:rFonts w:ascii="Arial" w:hAnsi="Arial" w:cs="Arial"/>
            <w:i/>
            <w:noProof/>
            <w:sz w:val="18"/>
          </w:rPr>
          <w:fldChar w:fldCharType="end"/>
        </w:r>
      </w:sdtContent>
    </w:sdt>
  </w:p>
  <w:p w14:paraId="00F27DC1" w14:textId="77777777" w:rsidR="007556DF" w:rsidRDefault="007556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4E024" w14:textId="77777777" w:rsidR="00992342" w:rsidRDefault="009923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F8C273" w14:textId="77777777" w:rsidR="00355509" w:rsidRDefault="00355509" w:rsidP="00E611D9">
      <w:pPr>
        <w:spacing w:after="0" w:line="240" w:lineRule="auto"/>
      </w:pPr>
      <w:r>
        <w:separator/>
      </w:r>
    </w:p>
  </w:footnote>
  <w:footnote w:type="continuationSeparator" w:id="0">
    <w:p w14:paraId="57C97F76" w14:textId="77777777" w:rsidR="00355509" w:rsidRDefault="00355509" w:rsidP="00E611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2D0E46" w14:textId="77777777" w:rsidR="00992342" w:rsidRDefault="009923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556DF" w:rsidRPr="00E611D9" w14:paraId="746C0110" w14:textId="77777777" w:rsidTr="00E611D9">
      <w:tc>
        <w:tcPr>
          <w:tcW w:w="4508" w:type="dxa"/>
        </w:tcPr>
        <w:p w14:paraId="739FBAFA" w14:textId="764D3F1B" w:rsidR="007556DF" w:rsidRPr="00E611D9" w:rsidRDefault="007556DF">
          <w:pPr>
            <w:pStyle w:val="Header"/>
            <w:rPr>
              <w:rFonts w:ascii="Arial" w:hAnsi="Arial" w:cs="Arial"/>
            </w:rPr>
          </w:pPr>
          <w:r w:rsidRPr="00E611D9">
            <w:rPr>
              <w:rFonts w:ascii="Arial" w:hAnsi="Arial" w:cs="Arial"/>
            </w:rPr>
            <w:t>E</w:t>
          </w:r>
          <w:r w:rsidR="009149FC">
            <w:rPr>
              <w:rFonts w:ascii="Arial" w:hAnsi="Arial" w:cs="Arial"/>
            </w:rPr>
            <w:t>CAD7004</w:t>
          </w:r>
        </w:p>
      </w:tc>
      <w:tc>
        <w:tcPr>
          <w:tcW w:w="4508" w:type="dxa"/>
        </w:tcPr>
        <w:p w14:paraId="51D506A0" w14:textId="461D237A" w:rsidR="007556DF" w:rsidRPr="00E611D9" w:rsidRDefault="007556DF" w:rsidP="00E611D9">
          <w:pPr>
            <w:pStyle w:val="Header"/>
            <w:jc w:val="right"/>
            <w:rPr>
              <w:rFonts w:ascii="Arial" w:hAnsi="Arial" w:cs="Arial"/>
            </w:rPr>
          </w:pPr>
          <w:r>
            <w:rPr>
              <w:rFonts w:ascii="Arial" w:hAnsi="Arial" w:cs="Arial"/>
            </w:rPr>
            <w:t xml:space="preserve"> Student Number: 1903170 </w:t>
          </w:r>
        </w:p>
      </w:tc>
    </w:tr>
  </w:tbl>
  <w:p w14:paraId="31028CA5" w14:textId="60CD5227" w:rsidR="007556DF" w:rsidRDefault="007556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AA499" w14:textId="77777777" w:rsidR="00992342" w:rsidRDefault="009923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113E1F"/>
    <w:multiLevelType w:val="hybridMultilevel"/>
    <w:tmpl w:val="A2A4F5FC"/>
    <w:lvl w:ilvl="0" w:tplc="082008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7CA6F05"/>
    <w:multiLevelType w:val="hybridMultilevel"/>
    <w:tmpl w:val="7492A4B0"/>
    <w:lvl w:ilvl="0" w:tplc="1F042A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7BC1B61"/>
    <w:multiLevelType w:val="hybridMultilevel"/>
    <w:tmpl w:val="339E8536"/>
    <w:lvl w:ilvl="0" w:tplc="A5F2AD2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99C35A1"/>
    <w:multiLevelType w:val="multilevel"/>
    <w:tmpl w:val="220C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AFB4799"/>
    <w:multiLevelType w:val="hybridMultilevel"/>
    <w:tmpl w:val="E3305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240"/>
    <w:rsid w:val="0000550A"/>
    <w:rsid w:val="00023B41"/>
    <w:rsid w:val="00024106"/>
    <w:rsid w:val="000428F9"/>
    <w:rsid w:val="000475A3"/>
    <w:rsid w:val="0005450B"/>
    <w:rsid w:val="00060208"/>
    <w:rsid w:val="000632D8"/>
    <w:rsid w:val="000707FA"/>
    <w:rsid w:val="00070B54"/>
    <w:rsid w:val="0007103C"/>
    <w:rsid w:val="00080790"/>
    <w:rsid w:val="00086F93"/>
    <w:rsid w:val="000902A0"/>
    <w:rsid w:val="000967D6"/>
    <w:rsid w:val="00097438"/>
    <w:rsid w:val="00097D57"/>
    <w:rsid w:val="000A0514"/>
    <w:rsid w:val="000A7EEB"/>
    <w:rsid w:val="000C35E1"/>
    <w:rsid w:val="000D5BB2"/>
    <w:rsid w:val="000E060C"/>
    <w:rsid w:val="000E1DFC"/>
    <w:rsid w:val="000E5E29"/>
    <w:rsid w:val="000F263A"/>
    <w:rsid w:val="0010589E"/>
    <w:rsid w:val="001069DE"/>
    <w:rsid w:val="00113A04"/>
    <w:rsid w:val="00114ADC"/>
    <w:rsid w:val="00117CC1"/>
    <w:rsid w:val="0012098B"/>
    <w:rsid w:val="001246F5"/>
    <w:rsid w:val="0013119A"/>
    <w:rsid w:val="001322E9"/>
    <w:rsid w:val="0013763A"/>
    <w:rsid w:val="0014008E"/>
    <w:rsid w:val="00146A03"/>
    <w:rsid w:val="00147147"/>
    <w:rsid w:val="00153D0E"/>
    <w:rsid w:val="0015520A"/>
    <w:rsid w:val="00164A54"/>
    <w:rsid w:val="00166B31"/>
    <w:rsid w:val="00167DD2"/>
    <w:rsid w:val="001762F2"/>
    <w:rsid w:val="001778A0"/>
    <w:rsid w:val="00185BD1"/>
    <w:rsid w:val="00185DDD"/>
    <w:rsid w:val="00187051"/>
    <w:rsid w:val="00194071"/>
    <w:rsid w:val="001A1D3B"/>
    <w:rsid w:val="001A2912"/>
    <w:rsid w:val="001A720A"/>
    <w:rsid w:val="001B6463"/>
    <w:rsid w:val="001B7DB2"/>
    <w:rsid w:val="001C445C"/>
    <w:rsid w:val="001C5709"/>
    <w:rsid w:val="001D16CD"/>
    <w:rsid w:val="001D1B0D"/>
    <w:rsid w:val="001D65EA"/>
    <w:rsid w:val="001E58D5"/>
    <w:rsid w:val="001E7A35"/>
    <w:rsid w:val="001F0887"/>
    <w:rsid w:val="001F1BAD"/>
    <w:rsid w:val="001F3594"/>
    <w:rsid w:val="001F56C8"/>
    <w:rsid w:val="001F66E9"/>
    <w:rsid w:val="002043BB"/>
    <w:rsid w:val="00207A64"/>
    <w:rsid w:val="002107F5"/>
    <w:rsid w:val="00211830"/>
    <w:rsid w:val="00211EFB"/>
    <w:rsid w:val="00212F7E"/>
    <w:rsid w:val="00217F66"/>
    <w:rsid w:val="0022285F"/>
    <w:rsid w:val="002229F0"/>
    <w:rsid w:val="002250B0"/>
    <w:rsid w:val="00240461"/>
    <w:rsid w:val="00242A74"/>
    <w:rsid w:val="002522E8"/>
    <w:rsid w:val="00260E8E"/>
    <w:rsid w:val="00267E95"/>
    <w:rsid w:val="00267F94"/>
    <w:rsid w:val="00274DEF"/>
    <w:rsid w:val="00276446"/>
    <w:rsid w:val="00282DE7"/>
    <w:rsid w:val="00293E1B"/>
    <w:rsid w:val="002A4622"/>
    <w:rsid w:val="002A4B0C"/>
    <w:rsid w:val="002B3A12"/>
    <w:rsid w:val="002B3C98"/>
    <w:rsid w:val="002C1D31"/>
    <w:rsid w:val="002C5CED"/>
    <w:rsid w:val="002D7C04"/>
    <w:rsid w:val="002E10DB"/>
    <w:rsid w:val="002E5444"/>
    <w:rsid w:val="002E5965"/>
    <w:rsid w:val="002E59A0"/>
    <w:rsid w:val="002F0B1E"/>
    <w:rsid w:val="00302F5F"/>
    <w:rsid w:val="00305C51"/>
    <w:rsid w:val="003065EA"/>
    <w:rsid w:val="0030739F"/>
    <w:rsid w:val="003112FE"/>
    <w:rsid w:val="003129EF"/>
    <w:rsid w:val="0032270E"/>
    <w:rsid w:val="00323B6F"/>
    <w:rsid w:val="003344C7"/>
    <w:rsid w:val="00343396"/>
    <w:rsid w:val="003440DC"/>
    <w:rsid w:val="003474A6"/>
    <w:rsid w:val="00351069"/>
    <w:rsid w:val="0035107F"/>
    <w:rsid w:val="0035114F"/>
    <w:rsid w:val="00351CA9"/>
    <w:rsid w:val="00354FCA"/>
    <w:rsid w:val="00355509"/>
    <w:rsid w:val="00355EA8"/>
    <w:rsid w:val="00357B7A"/>
    <w:rsid w:val="003644EF"/>
    <w:rsid w:val="00365391"/>
    <w:rsid w:val="003812A7"/>
    <w:rsid w:val="003850B5"/>
    <w:rsid w:val="0039077A"/>
    <w:rsid w:val="003A7240"/>
    <w:rsid w:val="003B22C8"/>
    <w:rsid w:val="003B25D9"/>
    <w:rsid w:val="003B36A1"/>
    <w:rsid w:val="003B4288"/>
    <w:rsid w:val="003C113E"/>
    <w:rsid w:val="003C2EC2"/>
    <w:rsid w:val="003C3A8C"/>
    <w:rsid w:val="003C5DCB"/>
    <w:rsid w:val="003E1CC3"/>
    <w:rsid w:val="003E7EE5"/>
    <w:rsid w:val="003F3D3E"/>
    <w:rsid w:val="003F63CA"/>
    <w:rsid w:val="00401CAA"/>
    <w:rsid w:val="00404E5C"/>
    <w:rsid w:val="00405BCF"/>
    <w:rsid w:val="0040616C"/>
    <w:rsid w:val="004074D5"/>
    <w:rsid w:val="00416FC8"/>
    <w:rsid w:val="0041766C"/>
    <w:rsid w:val="00427F9C"/>
    <w:rsid w:val="00430304"/>
    <w:rsid w:val="00435254"/>
    <w:rsid w:val="00440410"/>
    <w:rsid w:val="004441F8"/>
    <w:rsid w:val="00446395"/>
    <w:rsid w:val="00451E00"/>
    <w:rsid w:val="004577FA"/>
    <w:rsid w:val="00464DA9"/>
    <w:rsid w:val="004763EA"/>
    <w:rsid w:val="00492858"/>
    <w:rsid w:val="00495EC0"/>
    <w:rsid w:val="004968E8"/>
    <w:rsid w:val="00496C9F"/>
    <w:rsid w:val="004A357C"/>
    <w:rsid w:val="004A35D4"/>
    <w:rsid w:val="004A5748"/>
    <w:rsid w:val="004B0217"/>
    <w:rsid w:val="004C24D7"/>
    <w:rsid w:val="004C30C4"/>
    <w:rsid w:val="004C4CA6"/>
    <w:rsid w:val="004D4A67"/>
    <w:rsid w:val="004D5381"/>
    <w:rsid w:val="004E1E0A"/>
    <w:rsid w:val="004E733F"/>
    <w:rsid w:val="004F03B4"/>
    <w:rsid w:val="004F2059"/>
    <w:rsid w:val="00500556"/>
    <w:rsid w:val="00504226"/>
    <w:rsid w:val="005048AE"/>
    <w:rsid w:val="00505A25"/>
    <w:rsid w:val="00505DB1"/>
    <w:rsid w:val="00511DFC"/>
    <w:rsid w:val="00522275"/>
    <w:rsid w:val="00522E47"/>
    <w:rsid w:val="0052430A"/>
    <w:rsid w:val="00524A8F"/>
    <w:rsid w:val="00525B0F"/>
    <w:rsid w:val="005263D9"/>
    <w:rsid w:val="005271B7"/>
    <w:rsid w:val="00532335"/>
    <w:rsid w:val="00540801"/>
    <w:rsid w:val="00541F54"/>
    <w:rsid w:val="00542D46"/>
    <w:rsid w:val="00544E8B"/>
    <w:rsid w:val="00550167"/>
    <w:rsid w:val="00554971"/>
    <w:rsid w:val="00556992"/>
    <w:rsid w:val="00560624"/>
    <w:rsid w:val="005638A9"/>
    <w:rsid w:val="0056775C"/>
    <w:rsid w:val="005710B1"/>
    <w:rsid w:val="00575DA1"/>
    <w:rsid w:val="00576E1C"/>
    <w:rsid w:val="00583AC1"/>
    <w:rsid w:val="00585F0B"/>
    <w:rsid w:val="00586487"/>
    <w:rsid w:val="00592FF2"/>
    <w:rsid w:val="00593851"/>
    <w:rsid w:val="00595557"/>
    <w:rsid w:val="005A111F"/>
    <w:rsid w:val="005A150A"/>
    <w:rsid w:val="005A2C5D"/>
    <w:rsid w:val="005A464A"/>
    <w:rsid w:val="005A73AE"/>
    <w:rsid w:val="005B0E9E"/>
    <w:rsid w:val="005B171F"/>
    <w:rsid w:val="005B2D97"/>
    <w:rsid w:val="005C0BAE"/>
    <w:rsid w:val="005C4C15"/>
    <w:rsid w:val="005D0852"/>
    <w:rsid w:val="005D2EB0"/>
    <w:rsid w:val="005E234F"/>
    <w:rsid w:val="005E4B20"/>
    <w:rsid w:val="005F4AB1"/>
    <w:rsid w:val="00601BAB"/>
    <w:rsid w:val="006038D1"/>
    <w:rsid w:val="006124B6"/>
    <w:rsid w:val="00613A47"/>
    <w:rsid w:val="00616349"/>
    <w:rsid w:val="006230C3"/>
    <w:rsid w:val="0062369C"/>
    <w:rsid w:val="0062444A"/>
    <w:rsid w:val="006246A3"/>
    <w:rsid w:val="0062527F"/>
    <w:rsid w:val="00625327"/>
    <w:rsid w:val="00632FB3"/>
    <w:rsid w:val="0063561C"/>
    <w:rsid w:val="006360C7"/>
    <w:rsid w:val="0064092C"/>
    <w:rsid w:val="006419C3"/>
    <w:rsid w:val="00642318"/>
    <w:rsid w:val="00642A8E"/>
    <w:rsid w:val="00655967"/>
    <w:rsid w:val="00655EB9"/>
    <w:rsid w:val="00663C0D"/>
    <w:rsid w:val="00665AAC"/>
    <w:rsid w:val="006663FD"/>
    <w:rsid w:val="00670DDD"/>
    <w:rsid w:val="00686AAD"/>
    <w:rsid w:val="0069445E"/>
    <w:rsid w:val="0069447C"/>
    <w:rsid w:val="00696E48"/>
    <w:rsid w:val="00697D2C"/>
    <w:rsid w:val="006A0B57"/>
    <w:rsid w:val="006A3416"/>
    <w:rsid w:val="006B1DA7"/>
    <w:rsid w:val="006B295F"/>
    <w:rsid w:val="006B5861"/>
    <w:rsid w:val="006B64E2"/>
    <w:rsid w:val="006C5851"/>
    <w:rsid w:val="006C7113"/>
    <w:rsid w:val="006D0330"/>
    <w:rsid w:val="006D2C04"/>
    <w:rsid w:val="006D403C"/>
    <w:rsid w:val="006E4148"/>
    <w:rsid w:val="006F2FDA"/>
    <w:rsid w:val="006F343A"/>
    <w:rsid w:val="006F3708"/>
    <w:rsid w:val="00704656"/>
    <w:rsid w:val="00705645"/>
    <w:rsid w:val="00712CD5"/>
    <w:rsid w:val="00715361"/>
    <w:rsid w:val="0072660D"/>
    <w:rsid w:val="00736708"/>
    <w:rsid w:val="00744EED"/>
    <w:rsid w:val="0075069D"/>
    <w:rsid w:val="007509DC"/>
    <w:rsid w:val="0075155D"/>
    <w:rsid w:val="0075477F"/>
    <w:rsid w:val="007556DF"/>
    <w:rsid w:val="007619C9"/>
    <w:rsid w:val="0077443A"/>
    <w:rsid w:val="00780965"/>
    <w:rsid w:val="00783DBB"/>
    <w:rsid w:val="00785BA8"/>
    <w:rsid w:val="00786476"/>
    <w:rsid w:val="00791A57"/>
    <w:rsid w:val="00794B3D"/>
    <w:rsid w:val="00794B65"/>
    <w:rsid w:val="007A1781"/>
    <w:rsid w:val="007A3FA3"/>
    <w:rsid w:val="007A4A91"/>
    <w:rsid w:val="007A4E13"/>
    <w:rsid w:val="007A5EA0"/>
    <w:rsid w:val="007B1C76"/>
    <w:rsid w:val="007B26C1"/>
    <w:rsid w:val="007B2D58"/>
    <w:rsid w:val="007B4BA4"/>
    <w:rsid w:val="007D0123"/>
    <w:rsid w:val="007D1D8E"/>
    <w:rsid w:val="007D3DB9"/>
    <w:rsid w:val="007E1CAE"/>
    <w:rsid w:val="007E2575"/>
    <w:rsid w:val="007E26FA"/>
    <w:rsid w:val="007E397D"/>
    <w:rsid w:val="007E5BD9"/>
    <w:rsid w:val="007E7DB8"/>
    <w:rsid w:val="007F5FB1"/>
    <w:rsid w:val="007F6578"/>
    <w:rsid w:val="00810B73"/>
    <w:rsid w:val="008132B6"/>
    <w:rsid w:val="00814495"/>
    <w:rsid w:val="00817F7A"/>
    <w:rsid w:val="00825C25"/>
    <w:rsid w:val="008261F9"/>
    <w:rsid w:val="008270A3"/>
    <w:rsid w:val="00843B81"/>
    <w:rsid w:val="00846D10"/>
    <w:rsid w:val="00852CCC"/>
    <w:rsid w:val="00856DAF"/>
    <w:rsid w:val="0086288F"/>
    <w:rsid w:val="00863BDA"/>
    <w:rsid w:val="008656FD"/>
    <w:rsid w:val="0086799F"/>
    <w:rsid w:val="00875130"/>
    <w:rsid w:val="00877212"/>
    <w:rsid w:val="00887F3B"/>
    <w:rsid w:val="008945FC"/>
    <w:rsid w:val="008949FC"/>
    <w:rsid w:val="008A031B"/>
    <w:rsid w:val="008A7847"/>
    <w:rsid w:val="008A7C02"/>
    <w:rsid w:val="008B6BDB"/>
    <w:rsid w:val="008C00CC"/>
    <w:rsid w:val="008D0D0C"/>
    <w:rsid w:val="008D1CC7"/>
    <w:rsid w:val="008D7D28"/>
    <w:rsid w:val="008E0984"/>
    <w:rsid w:val="008E3F86"/>
    <w:rsid w:val="008E4004"/>
    <w:rsid w:val="008E5385"/>
    <w:rsid w:val="008F220E"/>
    <w:rsid w:val="008F3676"/>
    <w:rsid w:val="008F609A"/>
    <w:rsid w:val="008F6D4D"/>
    <w:rsid w:val="009020B5"/>
    <w:rsid w:val="00902548"/>
    <w:rsid w:val="00902B95"/>
    <w:rsid w:val="0090439C"/>
    <w:rsid w:val="00905D2E"/>
    <w:rsid w:val="00911BE3"/>
    <w:rsid w:val="009141F5"/>
    <w:rsid w:val="009143FA"/>
    <w:rsid w:val="00914892"/>
    <w:rsid w:val="009149FC"/>
    <w:rsid w:val="00914A04"/>
    <w:rsid w:val="00934261"/>
    <w:rsid w:val="00934C66"/>
    <w:rsid w:val="00940111"/>
    <w:rsid w:val="00946A27"/>
    <w:rsid w:val="009507A3"/>
    <w:rsid w:val="009538C9"/>
    <w:rsid w:val="0096131B"/>
    <w:rsid w:val="00966267"/>
    <w:rsid w:val="009664A6"/>
    <w:rsid w:val="009728F5"/>
    <w:rsid w:val="00982AA9"/>
    <w:rsid w:val="00983D6F"/>
    <w:rsid w:val="0098438A"/>
    <w:rsid w:val="009846AD"/>
    <w:rsid w:val="00987757"/>
    <w:rsid w:val="00991B6B"/>
    <w:rsid w:val="00992342"/>
    <w:rsid w:val="00992C30"/>
    <w:rsid w:val="0099391D"/>
    <w:rsid w:val="00994FB5"/>
    <w:rsid w:val="00997C89"/>
    <w:rsid w:val="009A0F41"/>
    <w:rsid w:val="009A38C6"/>
    <w:rsid w:val="009A6D86"/>
    <w:rsid w:val="009A7C5B"/>
    <w:rsid w:val="009B0BA3"/>
    <w:rsid w:val="009B4CE4"/>
    <w:rsid w:val="009B6403"/>
    <w:rsid w:val="009C016E"/>
    <w:rsid w:val="009C0C7A"/>
    <w:rsid w:val="009C42C4"/>
    <w:rsid w:val="009C5605"/>
    <w:rsid w:val="009C6632"/>
    <w:rsid w:val="009C76AF"/>
    <w:rsid w:val="009D6346"/>
    <w:rsid w:val="009E0466"/>
    <w:rsid w:val="009E0CD7"/>
    <w:rsid w:val="009E4804"/>
    <w:rsid w:val="009E6990"/>
    <w:rsid w:val="009F175A"/>
    <w:rsid w:val="00A00483"/>
    <w:rsid w:val="00A31BF5"/>
    <w:rsid w:val="00A31DF8"/>
    <w:rsid w:val="00A31FD1"/>
    <w:rsid w:val="00A377B9"/>
    <w:rsid w:val="00A37DE4"/>
    <w:rsid w:val="00A40CC3"/>
    <w:rsid w:val="00A46165"/>
    <w:rsid w:val="00A52285"/>
    <w:rsid w:val="00A524D5"/>
    <w:rsid w:val="00A60E2E"/>
    <w:rsid w:val="00A61E24"/>
    <w:rsid w:val="00A66B7B"/>
    <w:rsid w:val="00A67D3E"/>
    <w:rsid w:val="00A70F95"/>
    <w:rsid w:val="00A83E90"/>
    <w:rsid w:val="00A84B7F"/>
    <w:rsid w:val="00A91986"/>
    <w:rsid w:val="00A92ABD"/>
    <w:rsid w:val="00A95113"/>
    <w:rsid w:val="00A95608"/>
    <w:rsid w:val="00A95EB2"/>
    <w:rsid w:val="00AA4982"/>
    <w:rsid w:val="00AA6076"/>
    <w:rsid w:val="00AA736F"/>
    <w:rsid w:val="00AB001F"/>
    <w:rsid w:val="00AB4E07"/>
    <w:rsid w:val="00AB6288"/>
    <w:rsid w:val="00AC16DB"/>
    <w:rsid w:val="00AD171D"/>
    <w:rsid w:val="00AD5CBA"/>
    <w:rsid w:val="00AD7113"/>
    <w:rsid w:val="00AE346F"/>
    <w:rsid w:val="00AE65E7"/>
    <w:rsid w:val="00AF56ED"/>
    <w:rsid w:val="00AF570A"/>
    <w:rsid w:val="00AF73F1"/>
    <w:rsid w:val="00B030B7"/>
    <w:rsid w:val="00B24AB1"/>
    <w:rsid w:val="00B25877"/>
    <w:rsid w:val="00B33A96"/>
    <w:rsid w:val="00B4014F"/>
    <w:rsid w:val="00B4345A"/>
    <w:rsid w:val="00B4399D"/>
    <w:rsid w:val="00B50BFF"/>
    <w:rsid w:val="00B5744A"/>
    <w:rsid w:val="00B6043C"/>
    <w:rsid w:val="00B66F83"/>
    <w:rsid w:val="00B7041A"/>
    <w:rsid w:val="00B77A77"/>
    <w:rsid w:val="00B83749"/>
    <w:rsid w:val="00B9200A"/>
    <w:rsid w:val="00B935E8"/>
    <w:rsid w:val="00B96C28"/>
    <w:rsid w:val="00B9711E"/>
    <w:rsid w:val="00BA7D26"/>
    <w:rsid w:val="00BB0A18"/>
    <w:rsid w:val="00BB0E74"/>
    <w:rsid w:val="00BB340A"/>
    <w:rsid w:val="00BC651E"/>
    <w:rsid w:val="00BD0A45"/>
    <w:rsid w:val="00BD1837"/>
    <w:rsid w:val="00BE276E"/>
    <w:rsid w:val="00BF041C"/>
    <w:rsid w:val="00BF2704"/>
    <w:rsid w:val="00BF2A41"/>
    <w:rsid w:val="00BF576F"/>
    <w:rsid w:val="00C00B69"/>
    <w:rsid w:val="00C04750"/>
    <w:rsid w:val="00C06DDF"/>
    <w:rsid w:val="00C2290E"/>
    <w:rsid w:val="00C26D0C"/>
    <w:rsid w:val="00C26DF5"/>
    <w:rsid w:val="00C3037C"/>
    <w:rsid w:val="00C3392C"/>
    <w:rsid w:val="00C34ACD"/>
    <w:rsid w:val="00C43C3C"/>
    <w:rsid w:val="00C440F2"/>
    <w:rsid w:val="00C52D54"/>
    <w:rsid w:val="00C55F45"/>
    <w:rsid w:val="00C57E3B"/>
    <w:rsid w:val="00C60368"/>
    <w:rsid w:val="00C76DEA"/>
    <w:rsid w:val="00C815E7"/>
    <w:rsid w:val="00C90522"/>
    <w:rsid w:val="00C90FAA"/>
    <w:rsid w:val="00C94279"/>
    <w:rsid w:val="00CA1AEC"/>
    <w:rsid w:val="00CA2BA5"/>
    <w:rsid w:val="00CA374F"/>
    <w:rsid w:val="00CA3758"/>
    <w:rsid w:val="00CB29DD"/>
    <w:rsid w:val="00CC3D39"/>
    <w:rsid w:val="00CC480E"/>
    <w:rsid w:val="00CD0BD7"/>
    <w:rsid w:val="00CD1240"/>
    <w:rsid w:val="00CD2297"/>
    <w:rsid w:val="00CD38AE"/>
    <w:rsid w:val="00CD41FE"/>
    <w:rsid w:val="00CD774A"/>
    <w:rsid w:val="00CD7D36"/>
    <w:rsid w:val="00CE7246"/>
    <w:rsid w:val="00CF14E2"/>
    <w:rsid w:val="00CF7E25"/>
    <w:rsid w:val="00D00C67"/>
    <w:rsid w:val="00D01300"/>
    <w:rsid w:val="00D023B9"/>
    <w:rsid w:val="00D02D7D"/>
    <w:rsid w:val="00D03854"/>
    <w:rsid w:val="00D05057"/>
    <w:rsid w:val="00D070EE"/>
    <w:rsid w:val="00D16683"/>
    <w:rsid w:val="00D20F20"/>
    <w:rsid w:val="00D21576"/>
    <w:rsid w:val="00D215EC"/>
    <w:rsid w:val="00D216FE"/>
    <w:rsid w:val="00D26673"/>
    <w:rsid w:val="00D30D1D"/>
    <w:rsid w:val="00D31C64"/>
    <w:rsid w:val="00D33E07"/>
    <w:rsid w:val="00D40F42"/>
    <w:rsid w:val="00D41285"/>
    <w:rsid w:val="00D44194"/>
    <w:rsid w:val="00D4559F"/>
    <w:rsid w:val="00D46857"/>
    <w:rsid w:val="00D5447E"/>
    <w:rsid w:val="00D60DC1"/>
    <w:rsid w:val="00D64715"/>
    <w:rsid w:val="00D728FD"/>
    <w:rsid w:val="00D73514"/>
    <w:rsid w:val="00D73A51"/>
    <w:rsid w:val="00D75249"/>
    <w:rsid w:val="00D76D2D"/>
    <w:rsid w:val="00D810C0"/>
    <w:rsid w:val="00D81203"/>
    <w:rsid w:val="00D8352A"/>
    <w:rsid w:val="00D83A40"/>
    <w:rsid w:val="00D86A80"/>
    <w:rsid w:val="00D93DBD"/>
    <w:rsid w:val="00D9472E"/>
    <w:rsid w:val="00D94E07"/>
    <w:rsid w:val="00D96C1C"/>
    <w:rsid w:val="00DA3BFE"/>
    <w:rsid w:val="00DB39FE"/>
    <w:rsid w:val="00DB5628"/>
    <w:rsid w:val="00DC0B95"/>
    <w:rsid w:val="00DC2B6B"/>
    <w:rsid w:val="00DC5C52"/>
    <w:rsid w:val="00DD058D"/>
    <w:rsid w:val="00DD1451"/>
    <w:rsid w:val="00DD1AA3"/>
    <w:rsid w:val="00DD2EBE"/>
    <w:rsid w:val="00DE1C7D"/>
    <w:rsid w:val="00DE6AEE"/>
    <w:rsid w:val="00DF2C29"/>
    <w:rsid w:val="00DF3E1B"/>
    <w:rsid w:val="00E0044B"/>
    <w:rsid w:val="00E111EE"/>
    <w:rsid w:val="00E21298"/>
    <w:rsid w:val="00E23AB6"/>
    <w:rsid w:val="00E24BC1"/>
    <w:rsid w:val="00E43A2A"/>
    <w:rsid w:val="00E440ED"/>
    <w:rsid w:val="00E4597E"/>
    <w:rsid w:val="00E45BD5"/>
    <w:rsid w:val="00E47568"/>
    <w:rsid w:val="00E611D9"/>
    <w:rsid w:val="00E625DA"/>
    <w:rsid w:val="00E642E3"/>
    <w:rsid w:val="00E65B49"/>
    <w:rsid w:val="00E751F9"/>
    <w:rsid w:val="00E75B31"/>
    <w:rsid w:val="00E778EF"/>
    <w:rsid w:val="00E8158A"/>
    <w:rsid w:val="00E816DD"/>
    <w:rsid w:val="00E92D21"/>
    <w:rsid w:val="00E95330"/>
    <w:rsid w:val="00E959F3"/>
    <w:rsid w:val="00EA5E50"/>
    <w:rsid w:val="00EA6E38"/>
    <w:rsid w:val="00EB447A"/>
    <w:rsid w:val="00EB52C6"/>
    <w:rsid w:val="00EB7A83"/>
    <w:rsid w:val="00EC052F"/>
    <w:rsid w:val="00EC1FC9"/>
    <w:rsid w:val="00EC231C"/>
    <w:rsid w:val="00EC5100"/>
    <w:rsid w:val="00ED090F"/>
    <w:rsid w:val="00ED2333"/>
    <w:rsid w:val="00ED36D3"/>
    <w:rsid w:val="00ED74B5"/>
    <w:rsid w:val="00EE110A"/>
    <w:rsid w:val="00EE1333"/>
    <w:rsid w:val="00EE27CA"/>
    <w:rsid w:val="00EE4634"/>
    <w:rsid w:val="00EE52A4"/>
    <w:rsid w:val="00EF3E55"/>
    <w:rsid w:val="00EF64FD"/>
    <w:rsid w:val="00EF6B1A"/>
    <w:rsid w:val="00EF779B"/>
    <w:rsid w:val="00EF7F9B"/>
    <w:rsid w:val="00F006D7"/>
    <w:rsid w:val="00F0341D"/>
    <w:rsid w:val="00F07E48"/>
    <w:rsid w:val="00F3095E"/>
    <w:rsid w:val="00F328D6"/>
    <w:rsid w:val="00F34F1D"/>
    <w:rsid w:val="00F412AD"/>
    <w:rsid w:val="00F41B0A"/>
    <w:rsid w:val="00F50615"/>
    <w:rsid w:val="00F5072F"/>
    <w:rsid w:val="00F51557"/>
    <w:rsid w:val="00F5206A"/>
    <w:rsid w:val="00F54B79"/>
    <w:rsid w:val="00F56EB8"/>
    <w:rsid w:val="00F65583"/>
    <w:rsid w:val="00F76905"/>
    <w:rsid w:val="00F9019F"/>
    <w:rsid w:val="00F96DAA"/>
    <w:rsid w:val="00FA0780"/>
    <w:rsid w:val="00FA2D14"/>
    <w:rsid w:val="00FA4CAA"/>
    <w:rsid w:val="00FB7000"/>
    <w:rsid w:val="00FC2BF3"/>
    <w:rsid w:val="00FC5D81"/>
    <w:rsid w:val="00FC758F"/>
    <w:rsid w:val="00FD1EF6"/>
    <w:rsid w:val="00FE1DF2"/>
    <w:rsid w:val="00FE3616"/>
    <w:rsid w:val="00FE45F3"/>
    <w:rsid w:val="00FF4241"/>
    <w:rsid w:val="00FF62F9"/>
    <w:rsid w:val="00FF7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6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05D2E"/>
    <w:rPr>
      <w:color w:val="0563C1" w:themeColor="hyperlink"/>
      <w:u w:val="single"/>
    </w:rPr>
  </w:style>
  <w:style w:type="paragraph" w:styleId="Title">
    <w:name w:val="Title"/>
    <w:basedOn w:val="Normal"/>
    <w:next w:val="Normal"/>
    <w:link w:val="TitleChar"/>
    <w:uiPriority w:val="10"/>
    <w:qFormat/>
    <w:rsid w:val="00AC16D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C16DB"/>
    <w:rPr>
      <w:rFonts w:asciiTheme="majorHAnsi" w:eastAsiaTheme="majorEastAsia" w:hAnsiTheme="majorHAnsi" w:cstheme="majorBidi"/>
      <w:color w:val="323E4F" w:themeColor="text2" w:themeShade="BF"/>
      <w:spacing w:val="5"/>
      <w:kern w:val="28"/>
      <w:sz w:val="52"/>
      <w:szCs w:val="52"/>
    </w:rPr>
  </w:style>
  <w:style w:type="paragraph" w:customStyle="1" w:styleId="paragraph">
    <w:name w:val="paragraph"/>
    <w:basedOn w:val="Normal"/>
    <w:rsid w:val="00B66F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66F83"/>
  </w:style>
  <w:style w:type="character" w:customStyle="1" w:styleId="eop">
    <w:name w:val="eop"/>
    <w:basedOn w:val="DefaultParagraphFont"/>
    <w:rsid w:val="00B66F83"/>
  </w:style>
  <w:style w:type="paragraph" w:styleId="NormalWeb">
    <w:name w:val="Normal (Web)"/>
    <w:basedOn w:val="Normal"/>
    <w:uiPriority w:val="99"/>
    <w:unhideWhenUsed/>
    <w:rsid w:val="00E778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6D0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533606">
      <w:bodyDiv w:val="1"/>
      <w:marLeft w:val="0"/>
      <w:marRight w:val="0"/>
      <w:marTop w:val="0"/>
      <w:marBottom w:val="0"/>
      <w:divBdr>
        <w:top w:val="none" w:sz="0" w:space="0" w:color="auto"/>
        <w:left w:val="none" w:sz="0" w:space="0" w:color="auto"/>
        <w:bottom w:val="none" w:sz="0" w:space="0" w:color="auto"/>
        <w:right w:val="none" w:sz="0" w:space="0" w:color="auto"/>
      </w:divBdr>
    </w:div>
    <w:div w:id="899946082">
      <w:bodyDiv w:val="1"/>
      <w:marLeft w:val="0"/>
      <w:marRight w:val="0"/>
      <w:marTop w:val="0"/>
      <w:marBottom w:val="0"/>
      <w:divBdr>
        <w:top w:val="none" w:sz="0" w:space="0" w:color="auto"/>
        <w:left w:val="none" w:sz="0" w:space="0" w:color="auto"/>
        <w:bottom w:val="none" w:sz="0" w:space="0" w:color="auto"/>
        <w:right w:val="none" w:sz="0" w:space="0" w:color="auto"/>
      </w:divBdr>
      <w:divsChild>
        <w:div w:id="1609652578">
          <w:marLeft w:val="0"/>
          <w:marRight w:val="0"/>
          <w:marTop w:val="0"/>
          <w:marBottom w:val="0"/>
          <w:divBdr>
            <w:top w:val="none" w:sz="0" w:space="0" w:color="auto"/>
            <w:left w:val="none" w:sz="0" w:space="0" w:color="auto"/>
            <w:bottom w:val="none" w:sz="0" w:space="0" w:color="auto"/>
            <w:right w:val="none" w:sz="0" w:space="0" w:color="auto"/>
          </w:divBdr>
        </w:div>
      </w:divsChild>
    </w:div>
    <w:div w:id="1151219399">
      <w:bodyDiv w:val="1"/>
      <w:marLeft w:val="0"/>
      <w:marRight w:val="0"/>
      <w:marTop w:val="0"/>
      <w:marBottom w:val="0"/>
      <w:divBdr>
        <w:top w:val="none" w:sz="0" w:space="0" w:color="auto"/>
        <w:left w:val="none" w:sz="0" w:space="0" w:color="auto"/>
        <w:bottom w:val="none" w:sz="0" w:space="0" w:color="auto"/>
        <w:right w:val="none" w:sz="0" w:space="0" w:color="auto"/>
      </w:divBdr>
    </w:div>
    <w:div w:id="1633168555">
      <w:bodyDiv w:val="1"/>
      <w:marLeft w:val="0"/>
      <w:marRight w:val="0"/>
      <w:marTop w:val="0"/>
      <w:marBottom w:val="0"/>
      <w:divBdr>
        <w:top w:val="none" w:sz="0" w:space="0" w:color="auto"/>
        <w:left w:val="none" w:sz="0" w:space="0" w:color="auto"/>
        <w:bottom w:val="none" w:sz="0" w:space="0" w:color="auto"/>
        <w:right w:val="none" w:sz="0" w:space="0" w:color="auto"/>
      </w:divBdr>
      <w:divsChild>
        <w:div w:id="1668511264">
          <w:marLeft w:val="0"/>
          <w:marRight w:val="0"/>
          <w:marTop w:val="0"/>
          <w:marBottom w:val="0"/>
          <w:divBdr>
            <w:top w:val="none" w:sz="0" w:space="0" w:color="auto"/>
            <w:left w:val="none" w:sz="0" w:space="0" w:color="auto"/>
            <w:bottom w:val="none" w:sz="0" w:space="0" w:color="auto"/>
            <w:right w:val="none" w:sz="0" w:space="0" w:color="auto"/>
          </w:divBdr>
        </w:div>
      </w:divsChild>
    </w:div>
    <w:div w:id="184917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B28B7B4-C71E-4BED-AA60-D83539D40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Pages>
  <Words>6031</Words>
  <Characters>34380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Bradshaw (1903170)</dc:creator>
  <cp:keywords/>
  <dc:description/>
  <cp:lastModifiedBy>Ryan Bradshaw</cp:lastModifiedBy>
  <cp:revision>13</cp:revision>
  <dcterms:created xsi:type="dcterms:W3CDTF">2020-02-20T17:33:00Z</dcterms:created>
  <dcterms:modified xsi:type="dcterms:W3CDTF">2020-02-23T20:46:00Z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