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59969" w14:textId="77777777" w:rsidR="0067536B" w:rsidRPr="00EE5BC3" w:rsidRDefault="0067536B" w:rsidP="0067536B">
      <w:pPr>
        <w:jc w:val="center"/>
        <w:rPr>
          <w:b/>
          <w:sz w:val="28"/>
          <w:szCs w:val="28"/>
        </w:rPr>
      </w:pPr>
      <w:r w:rsidRPr="00EE5BC3">
        <w:rPr>
          <w:b/>
          <w:sz w:val="28"/>
          <w:szCs w:val="28"/>
        </w:rPr>
        <w:t>Task 4</w:t>
      </w:r>
    </w:p>
    <w:p w14:paraId="3F3B38D8" w14:textId="77777777" w:rsidR="0067536B" w:rsidRPr="00EE5BC3" w:rsidRDefault="0067536B" w:rsidP="0067536B">
      <w:pPr>
        <w:jc w:val="center"/>
        <w:rPr>
          <w:b/>
          <w:sz w:val="28"/>
          <w:szCs w:val="28"/>
        </w:rPr>
      </w:pPr>
    </w:p>
    <w:p w14:paraId="5E009F4B" w14:textId="77777777" w:rsidR="0067536B" w:rsidRPr="00EE5BC3" w:rsidRDefault="0067536B" w:rsidP="0067536B">
      <w:pPr>
        <w:jc w:val="center"/>
        <w:rPr>
          <w:b/>
          <w:sz w:val="28"/>
          <w:szCs w:val="28"/>
        </w:rPr>
      </w:pPr>
      <w:r w:rsidRPr="00EE5BC3">
        <w:rPr>
          <w:b/>
          <w:sz w:val="28"/>
          <w:szCs w:val="28"/>
        </w:rPr>
        <w:t>Safeguarding</w:t>
      </w:r>
      <w:r>
        <w:rPr>
          <w:b/>
          <w:sz w:val="28"/>
          <w:szCs w:val="28"/>
        </w:rPr>
        <w:t xml:space="preserve"> in an area which is not your main area of work</w:t>
      </w:r>
    </w:p>
    <w:p w14:paraId="58EBDE81" w14:textId="77777777" w:rsidR="0067536B" w:rsidRPr="008B28E7" w:rsidRDefault="0067536B" w:rsidP="0067536B">
      <w:pPr>
        <w:jc w:val="both"/>
        <w:rPr>
          <w:b/>
          <w:sz w:val="24"/>
          <w:szCs w:val="24"/>
        </w:rPr>
      </w:pPr>
    </w:p>
    <w:p w14:paraId="6BC3E808" w14:textId="77777777" w:rsidR="0067536B" w:rsidRPr="00EE5BC3" w:rsidRDefault="0067536B" w:rsidP="0067536B">
      <w:pPr>
        <w:ind w:left="-90"/>
        <w:jc w:val="both"/>
        <w:rPr>
          <w:b/>
          <w:i/>
          <w:sz w:val="24"/>
          <w:szCs w:val="24"/>
        </w:rPr>
      </w:pPr>
      <w:r w:rsidRPr="00EE5BC3">
        <w:rPr>
          <w:b/>
          <w:i/>
          <w:sz w:val="24"/>
          <w:szCs w:val="24"/>
        </w:rPr>
        <w:t xml:space="preserve">Guidance: </w:t>
      </w:r>
    </w:p>
    <w:p w14:paraId="55A96DB2" w14:textId="77777777" w:rsidR="0067536B" w:rsidRPr="00706BB5" w:rsidRDefault="0067536B" w:rsidP="0067536B">
      <w:pPr>
        <w:ind w:left="-90"/>
        <w:jc w:val="both"/>
        <w:rPr>
          <w:i/>
          <w:iCs/>
          <w:sz w:val="24"/>
          <w:szCs w:val="24"/>
        </w:rPr>
      </w:pPr>
      <w:r w:rsidRPr="00F15354">
        <w:rPr>
          <w:i/>
          <w:iCs/>
          <w:sz w:val="24"/>
          <w:szCs w:val="24"/>
        </w:rPr>
        <w:t>Social Care Wales</w:t>
      </w:r>
      <w:r w:rsidRPr="006179BB">
        <w:rPr>
          <w:i/>
          <w:iCs/>
          <w:sz w:val="24"/>
          <w:szCs w:val="24"/>
        </w:rPr>
        <w:t xml:space="preserve"> require newly qualified social workers to provide evidence of </w:t>
      </w:r>
      <w:r w:rsidRPr="00A5656A">
        <w:rPr>
          <w:i/>
          <w:iCs/>
          <w:sz w:val="24"/>
          <w:szCs w:val="24"/>
        </w:rPr>
        <w:t>their understanding of safeguarding work with adults and children</w:t>
      </w:r>
      <w:r w:rsidRPr="009C7342">
        <w:rPr>
          <w:i/>
          <w:iCs/>
          <w:sz w:val="24"/>
          <w:szCs w:val="24"/>
        </w:rPr>
        <w:t xml:space="preserve">. </w:t>
      </w:r>
      <w:r w:rsidRPr="00706BB5">
        <w:rPr>
          <w:i/>
          <w:iCs/>
          <w:sz w:val="24"/>
          <w:szCs w:val="24"/>
        </w:rPr>
        <w:t xml:space="preserve">The assignment below will enable you to demonstrate this. </w:t>
      </w:r>
      <w:r w:rsidRPr="00706BB5">
        <w:rPr>
          <w:b/>
          <w:bCs/>
          <w:i/>
          <w:iCs/>
          <w:sz w:val="24"/>
          <w:szCs w:val="24"/>
        </w:rPr>
        <w:t>N.B</w:t>
      </w:r>
      <w:r w:rsidRPr="00706BB5">
        <w:rPr>
          <w:i/>
          <w:iCs/>
          <w:sz w:val="24"/>
          <w:szCs w:val="24"/>
        </w:rPr>
        <w:t xml:space="preserve">. if your usual area of work is with children please write about adult safeguarding. If you usually work with adults, then write about child safeguarding.  Ensure you meet the learning out comes for this task (see appendix </w:t>
      </w:r>
      <w:r>
        <w:rPr>
          <w:i/>
          <w:iCs/>
          <w:sz w:val="24"/>
          <w:szCs w:val="24"/>
        </w:rPr>
        <w:t>5</w:t>
      </w:r>
      <w:r w:rsidRPr="00706BB5">
        <w:rPr>
          <w:i/>
          <w:iCs/>
          <w:sz w:val="24"/>
          <w:szCs w:val="24"/>
        </w:rPr>
        <w:t xml:space="preserve"> </w:t>
      </w:r>
      <w:r w:rsidRPr="00F15354">
        <w:rPr>
          <w:i/>
          <w:iCs/>
          <w:sz w:val="24"/>
          <w:szCs w:val="24"/>
        </w:rPr>
        <w:t>of the</w:t>
      </w:r>
      <w:r w:rsidRPr="4EC15626">
        <w:rPr>
          <w:i/>
          <w:iCs/>
          <w:sz w:val="24"/>
          <w:szCs w:val="24"/>
        </w:rPr>
        <w:t xml:space="preserve"> h</w:t>
      </w:r>
      <w:r w:rsidRPr="00F15354">
        <w:rPr>
          <w:i/>
          <w:iCs/>
          <w:sz w:val="24"/>
          <w:szCs w:val="24"/>
        </w:rPr>
        <w:t>andbook</w:t>
      </w:r>
      <w:r w:rsidRPr="006179BB">
        <w:rPr>
          <w:i/>
          <w:iCs/>
          <w:sz w:val="24"/>
          <w:szCs w:val="24"/>
        </w:rPr>
        <w:t>).</w:t>
      </w:r>
    </w:p>
    <w:p w14:paraId="5FE229FE" w14:textId="77777777" w:rsidR="0067536B" w:rsidRPr="008B28E7" w:rsidRDefault="0067536B" w:rsidP="0067536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536B" w:rsidRPr="008B28E7" w14:paraId="6BB1DC99" w14:textId="77777777" w:rsidTr="00F973FA">
        <w:tc>
          <w:tcPr>
            <w:tcW w:w="10188" w:type="dxa"/>
            <w:shd w:val="clear" w:color="auto" w:fill="auto"/>
          </w:tcPr>
          <w:p w14:paraId="0271D76F" w14:textId="77777777" w:rsidR="0067536B" w:rsidRPr="00EB695F" w:rsidRDefault="0067536B" w:rsidP="00F973FA">
            <w:pPr>
              <w:jc w:val="both"/>
              <w:rPr>
                <w:b/>
                <w:sz w:val="24"/>
                <w:szCs w:val="24"/>
              </w:rPr>
            </w:pPr>
            <w:r w:rsidRPr="00EB695F">
              <w:rPr>
                <w:b/>
                <w:sz w:val="24"/>
                <w:szCs w:val="24"/>
              </w:rPr>
              <w:t>Question</w:t>
            </w:r>
            <w:r>
              <w:rPr>
                <w:b/>
                <w:sz w:val="24"/>
                <w:szCs w:val="24"/>
              </w:rPr>
              <w:t xml:space="preserve"> a:</w:t>
            </w:r>
          </w:p>
          <w:p w14:paraId="64626EDA" w14:textId="77777777" w:rsidR="0067536B" w:rsidRDefault="0067536B" w:rsidP="00F973FA">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explain </w:t>
            </w:r>
            <w:r w:rsidRPr="006108C9">
              <w:rPr>
                <w:sz w:val="24"/>
                <w:szCs w:val="24"/>
              </w:rPr>
              <w:t xml:space="preserve">the relevant </w:t>
            </w:r>
            <w:r>
              <w:rPr>
                <w:sz w:val="24"/>
                <w:szCs w:val="24"/>
              </w:rPr>
              <w:t xml:space="preserve">legislation, and the </w:t>
            </w:r>
            <w:r w:rsidRPr="006108C9">
              <w:rPr>
                <w:sz w:val="24"/>
                <w:szCs w:val="24"/>
              </w:rPr>
              <w:t>national, local and organisational policies and procedures</w:t>
            </w:r>
            <w:r>
              <w:rPr>
                <w:sz w:val="24"/>
                <w:szCs w:val="24"/>
              </w:rPr>
              <w:t xml:space="preserve"> for safeguarding. </w:t>
            </w:r>
          </w:p>
          <w:p w14:paraId="6FFBF4C2" w14:textId="77777777" w:rsidR="008778B9" w:rsidRDefault="008778B9" w:rsidP="00F973FA">
            <w:pPr>
              <w:jc w:val="both"/>
              <w:rPr>
                <w:sz w:val="24"/>
                <w:szCs w:val="24"/>
              </w:rPr>
            </w:pPr>
          </w:p>
          <w:p w14:paraId="39A03717" w14:textId="5691F8C8" w:rsidR="005A2D06" w:rsidRPr="005A2D06" w:rsidRDefault="005A2D06" w:rsidP="005A2D06">
            <w:pPr>
              <w:jc w:val="both"/>
              <w:rPr>
                <w:sz w:val="24"/>
                <w:szCs w:val="24"/>
              </w:rPr>
            </w:pPr>
            <w:r w:rsidRPr="005A2D06">
              <w:rPr>
                <w:sz w:val="24"/>
                <w:szCs w:val="24"/>
              </w:rPr>
              <w:t>The main legislations that underpin social work in Wales are the Social Services Well-being (Wales) Act 2014 (SSWBA) and the Wales Safeguarding Procedures. This replaced the safeguarding responsibilities outlined in the Children Act 1989 and 2004. The SSWBA revoked most of the Children Act 1989 and 2004 aside from sections 17 and 47, which relate to child protection. The Welsh Government also recognises the United Nations Convention on the Rights of the Child (UNCRC) 1989 which serves as a foundation for their work with children and families. In addition, the UNCRC emulates the Human Rights Act 1998.</w:t>
            </w:r>
          </w:p>
          <w:p w14:paraId="526E3A3B" w14:textId="77777777" w:rsidR="005A2D06" w:rsidRPr="005A2D06" w:rsidRDefault="005A2D06" w:rsidP="005A2D06">
            <w:pPr>
              <w:jc w:val="both"/>
              <w:rPr>
                <w:sz w:val="24"/>
                <w:szCs w:val="24"/>
              </w:rPr>
            </w:pPr>
            <w:r w:rsidRPr="005A2D06">
              <w:rPr>
                <w:sz w:val="24"/>
                <w:szCs w:val="24"/>
              </w:rPr>
              <w:t xml:space="preserve"> </w:t>
            </w:r>
          </w:p>
          <w:p w14:paraId="69BCD135" w14:textId="65BB34A5" w:rsidR="005A2D06" w:rsidRPr="005A2D06" w:rsidRDefault="005A2D06" w:rsidP="005A2D06">
            <w:pPr>
              <w:jc w:val="both"/>
              <w:rPr>
                <w:sz w:val="24"/>
                <w:szCs w:val="24"/>
              </w:rPr>
            </w:pPr>
            <w:r w:rsidRPr="005A2D06">
              <w:rPr>
                <w:sz w:val="24"/>
                <w:szCs w:val="24"/>
              </w:rPr>
              <w:t xml:space="preserve">The Local Authority (LA) has a duty to prevent and provide early help for reported safeguarding concerns. If there are safeguarding concerns within children services, the LA has a duty to investigate under Section 47 of the </w:t>
            </w:r>
            <w:r w:rsidR="00366AFF">
              <w:rPr>
                <w:sz w:val="24"/>
                <w:szCs w:val="24"/>
              </w:rPr>
              <w:t>Children Act</w:t>
            </w:r>
            <w:r w:rsidRPr="005A2D06">
              <w:rPr>
                <w:sz w:val="24"/>
                <w:szCs w:val="24"/>
              </w:rPr>
              <w:t xml:space="preserve"> 1989, but also consider the context of the concern. The consent should be gained from the parents; if not, the Social worker (SW) would need to have an initial strategy discussion with the police to determine if the consent would be overridden. If it is overridden, then the SW would investigate. If evidence of abuse is found to indicate that a child is at risk, then Section 47 of the C</w:t>
            </w:r>
            <w:r w:rsidR="00366AFF">
              <w:rPr>
                <w:sz w:val="24"/>
                <w:szCs w:val="24"/>
              </w:rPr>
              <w:t xml:space="preserve">hildren Act </w:t>
            </w:r>
            <w:r w:rsidRPr="005A2D06">
              <w:rPr>
                <w:sz w:val="24"/>
                <w:szCs w:val="24"/>
              </w:rPr>
              <w:t>1989 would be initiated for further exploration. That may include a medical assessment of the child, speaking with the child, and all relevant professionals involved. A second strategy meeting will explore the risks and how they could be managed or minimised. This will also highlight the concerns that would be explored via a single-agency approach or a multi-agency approach. For example, if the police carry out further investigation.</w:t>
            </w:r>
          </w:p>
          <w:p w14:paraId="0BB2CE0D" w14:textId="77777777" w:rsidR="005A2D06" w:rsidRPr="005A2D06" w:rsidRDefault="005A2D06" w:rsidP="005A2D06">
            <w:pPr>
              <w:jc w:val="both"/>
              <w:rPr>
                <w:sz w:val="24"/>
                <w:szCs w:val="24"/>
              </w:rPr>
            </w:pPr>
            <w:r w:rsidRPr="005A2D06">
              <w:rPr>
                <w:sz w:val="24"/>
                <w:szCs w:val="24"/>
              </w:rPr>
              <w:t xml:space="preserve"> </w:t>
            </w:r>
          </w:p>
          <w:p w14:paraId="65977C7F" w14:textId="77777777" w:rsidR="005A2D06" w:rsidRPr="005A2D06" w:rsidRDefault="005A2D06" w:rsidP="005A2D06">
            <w:pPr>
              <w:jc w:val="both"/>
              <w:rPr>
                <w:sz w:val="24"/>
                <w:szCs w:val="24"/>
              </w:rPr>
            </w:pPr>
            <w:r w:rsidRPr="005A2D06">
              <w:rPr>
                <w:sz w:val="24"/>
                <w:szCs w:val="24"/>
              </w:rPr>
              <w:t>Some of the identifiers relating to child abuse and neglect are unexplained bruises, attachment difficulties, challenging behaviours, poverty, and poor health. Some of the factors that could affect the identifiers include undiagnosed conditions such as ADHD or autism (Trodd, 2016). For example, an unexplained bruise could mean that the child is clumsy or hyperactive due to his undiagnosed behaviour condition. This would then require the importance of multi-agency working, where professional judgements are required and further assessments from appropriate health and education colleagues are needed to determine early intervention.</w:t>
            </w:r>
          </w:p>
          <w:p w14:paraId="7F9001AE" w14:textId="77777777" w:rsidR="005A2D06" w:rsidRPr="005A2D06" w:rsidRDefault="005A2D06" w:rsidP="005A2D06">
            <w:pPr>
              <w:jc w:val="both"/>
              <w:rPr>
                <w:sz w:val="24"/>
                <w:szCs w:val="24"/>
              </w:rPr>
            </w:pPr>
            <w:r w:rsidRPr="005A2D06">
              <w:rPr>
                <w:sz w:val="24"/>
                <w:szCs w:val="24"/>
              </w:rPr>
              <w:t xml:space="preserve"> </w:t>
            </w:r>
          </w:p>
          <w:p w14:paraId="76E2EAA0" w14:textId="529D5F7B" w:rsidR="0067536B" w:rsidRDefault="005A2D06" w:rsidP="005A2D06">
            <w:pPr>
              <w:jc w:val="both"/>
              <w:rPr>
                <w:sz w:val="24"/>
                <w:szCs w:val="24"/>
              </w:rPr>
            </w:pPr>
            <w:r w:rsidRPr="005A2D06">
              <w:rPr>
                <w:sz w:val="24"/>
                <w:szCs w:val="24"/>
              </w:rPr>
              <w:lastRenderedPageBreak/>
              <w:t>It is necessary that the favourable outcome of the safeguarding relate to the child and their families or carers. The child has the right to be involved in their care plan and have a voice in how to meet their outcomes. Equally, the child has the right to be protected under the laws to ensure that they are meeting their well-being outcomes stipulated within the SSWBA and the UNCRC. However, it is equally important that they remain protected via a safety plan to enable them to live in a home where their support needs are best met (Davies and Duckett, 2016). Furthermore, additional support from early help agencies or third-sector agencies that support the parents or carers in ensuring they have support and resources to meet their child’s well-being needs in a safe environment.</w:t>
            </w:r>
          </w:p>
          <w:p w14:paraId="1EA2580B" w14:textId="77777777" w:rsidR="00337C14" w:rsidRDefault="00337C14" w:rsidP="00F973FA">
            <w:pPr>
              <w:jc w:val="both"/>
              <w:rPr>
                <w:sz w:val="24"/>
                <w:szCs w:val="24"/>
              </w:rPr>
            </w:pPr>
          </w:p>
          <w:p w14:paraId="21817A8E" w14:textId="77777777" w:rsidR="00337C14" w:rsidRDefault="00337C14" w:rsidP="00F973FA">
            <w:pPr>
              <w:jc w:val="both"/>
              <w:rPr>
                <w:sz w:val="24"/>
                <w:szCs w:val="24"/>
              </w:rPr>
            </w:pPr>
          </w:p>
          <w:p w14:paraId="6D0B147E" w14:textId="77777777" w:rsidR="00337C14" w:rsidRDefault="00337C14" w:rsidP="00F973FA">
            <w:pPr>
              <w:jc w:val="both"/>
              <w:rPr>
                <w:sz w:val="24"/>
                <w:szCs w:val="24"/>
              </w:rPr>
            </w:pPr>
          </w:p>
          <w:p w14:paraId="65755608" w14:textId="6E89F3BD" w:rsidR="008C62AD" w:rsidRDefault="005A2D06" w:rsidP="00F973FA">
            <w:pPr>
              <w:jc w:val="both"/>
              <w:rPr>
                <w:sz w:val="24"/>
                <w:szCs w:val="24"/>
              </w:rPr>
            </w:pPr>
            <w:r>
              <w:rPr>
                <w:sz w:val="24"/>
                <w:szCs w:val="24"/>
              </w:rPr>
              <w:t>49</w:t>
            </w:r>
            <w:r w:rsidR="00366AFF">
              <w:rPr>
                <w:sz w:val="24"/>
                <w:szCs w:val="24"/>
              </w:rPr>
              <w:t>9</w:t>
            </w:r>
            <w:r w:rsidR="008C62AD">
              <w:rPr>
                <w:sz w:val="24"/>
                <w:szCs w:val="24"/>
              </w:rPr>
              <w:t xml:space="preserve"> words</w:t>
            </w:r>
          </w:p>
          <w:p w14:paraId="7A4FFDE6" w14:textId="77777777" w:rsidR="0067536B" w:rsidRDefault="0067536B" w:rsidP="00F973FA">
            <w:pPr>
              <w:jc w:val="both"/>
              <w:rPr>
                <w:sz w:val="24"/>
                <w:szCs w:val="24"/>
              </w:rPr>
            </w:pPr>
          </w:p>
          <w:p w14:paraId="381F2FEB" w14:textId="77777777" w:rsidR="0067536B" w:rsidRDefault="0067536B" w:rsidP="00F973FA">
            <w:pPr>
              <w:jc w:val="both"/>
              <w:rPr>
                <w:sz w:val="24"/>
                <w:szCs w:val="24"/>
              </w:rPr>
            </w:pPr>
          </w:p>
          <w:p w14:paraId="1F7E0C03" w14:textId="77777777" w:rsidR="0067536B" w:rsidRDefault="0067536B" w:rsidP="00F973FA">
            <w:pPr>
              <w:jc w:val="both"/>
              <w:rPr>
                <w:sz w:val="24"/>
                <w:szCs w:val="24"/>
              </w:rPr>
            </w:pPr>
          </w:p>
          <w:p w14:paraId="419F8710" w14:textId="77777777" w:rsidR="0067536B" w:rsidRPr="006108C9" w:rsidRDefault="0067536B" w:rsidP="00F973FA">
            <w:pPr>
              <w:jc w:val="both"/>
              <w:rPr>
                <w:sz w:val="24"/>
                <w:szCs w:val="24"/>
              </w:rPr>
            </w:pPr>
          </w:p>
          <w:p w14:paraId="200D3E97" w14:textId="77777777" w:rsidR="0067536B" w:rsidRDefault="0067536B" w:rsidP="00F973FA">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3726EF2A" w14:textId="77777777" w:rsidR="0067536B" w:rsidRPr="008B28E7" w:rsidRDefault="0067536B" w:rsidP="00F973FA">
            <w:pPr>
              <w:jc w:val="both"/>
              <w:rPr>
                <w:b/>
                <w:sz w:val="24"/>
                <w:szCs w:val="24"/>
              </w:rPr>
            </w:pPr>
          </w:p>
        </w:tc>
      </w:tr>
    </w:tbl>
    <w:p w14:paraId="2168B838" w14:textId="77777777" w:rsidR="0067536B" w:rsidRPr="008B28E7" w:rsidRDefault="0067536B" w:rsidP="0067536B">
      <w:pPr>
        <w:jc w:val="both"/>
        <w:rPr>
          <w:sz w:val="24"/>
          <w:szCs w:val="24"/>
        </w:rPr>
      </w:pPr>
    </w:p>
    <w:p w14:paraId="496FFFB4" w14:textId="77777777" w:rsidR="0067536B" w:rsidRPr="008B28E7" w:rsidRDefault="0067536B" w:rsidP="0067536B">
      <w:pPr>
        <w:jc w:val="both"/>
        <w:rPr>
          <w:sz w:val="24"/>
          <w:szCs w:val="24"/>
        </w:rPr>
      </w:pPr>
    </w:p>
    <w:p w14:paraId="68B1818B" w14:textId="77777777" w:rsidR="0067536B" w:rsidRDefault="0067536B" w:rsidP="0067536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536B" w:rsidRPr="008B28E7" w14:paraId="52AC5BCB" w14:textId="77777777" w:rsidTr="00F973FA">
        <w:tc>
          <w:tcPr>
            <w:tcW w:w="10278" w:type="dxa"/>
            <w:shd w:val="clear" w:color="auto" w:fill="auto"/>
          </w:tcPr>
          <w:p w14:paraId="7CC39393" w14:textId="77777777" w:rsidR="0067536B" w:rsidRPr="00EB695F" w:rsidRDefault="0067536B" w:rsidP="00F973FA">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760165AF" w14:textId="77777777" w:rsidR="0067536B" w:rsidRDefault="0067536B" w:rsidP="00F973FA">
            <w:pPr>
              <w:jc w:val="both"/>
              <w:rPr>
                <w:sz w:val="24"/>
                <w:szCs w:val="24"/>
              </w:rPr>
            </w:pPr>
            <w:r w:rsidRPr="006108C9">
              <w:rPr>
                <w:sz w:val="24"/>
                <w:szCs w:val="24"/>
              </w:rPr>
              <w:t>Reflect on the difference between safeguarding in adul</w:t>
            </w:r>
            <w:r w:rsidRPr="00EC3A85">
              <w:rPr>
                <w:sz w:val="24"/>
                <w:szCs w:val="24"/>
              </w:rPr>
              <w:t>ts’</w:t>
            </w:r>
            <w:r w:rsidRPr="006108C9">
              <w:rPr>
                <w:sz w:val="24"/>
                <w:szCs w:val="24"/>
              </w:rPr>
              <w:t xml:space="preserve"> and children</w:t>
            </w:r>
            <w:r>
              <w:rPr>
                <w:sz w:val="24"/>
                <w:szCs w:val="24"/>
              </w:rPr>
              <w:t>’s</w:t>
            </w:r>
            <w:r w:rsidRPr="006108C9">
              <w:rPr>
                <w:sz w:val="24"/>
                <w:szCs w:val="24"/>
              </w:rPr>
              <w:t xml:space="preserve"> work</w:t>
            </w:r>
          </w:p>
          <w:p w14:paraId="41A1B259" w14:textId="77777777" w:rsidR="00B12440" w:rsidRDefault="00B12440" w:rsidP="00F973FA">
            <w:pPr>
              <w:jc w:val="both"/>
              <w:rPr>
                <w:sz w:val="24"/>
                <w:szCs w:val="24"/>
              </w:rPr>
            </w:pPr>
          </w:p>
          <w:p w14:paraId="0FD97B7A" w14:textId="77777777" w:rsidR="001D3E61" w:rsidRPr="001D3E61" w:rsidRDefault="001D3E61" w:rsidP="001D3E61">
            <w:pPr>
              <w:jc w:val="both"/>
              <w:rPr>
                <w:sz w:val="24"/>
                <w:szCs w:val="24"/>
              </w:rPr>
            </w:pPr>
            <w:r w:rsidRPr="001D3E61">
              <w:rPr>
                <w:sz w:val="24"/>
                <w:szCs w:val="24"/>
              </w:rPr>
              <w:t>There are three outstanding differences between children and adults relating to safeguarding. Firstly, capacity. The Mental Capacity Act 2005 has five principles. The first three are presumption of capacity, support to decide, and ability to make unwise decisions (Brown et al., 2015). If the first three principles are not met, the individual is determined to be incapacitated, and a best interests meeting would be carried out to decide in the least restrictive way. In contrast, a child under the age of 16 is deemed incapacitated under the law; however, Gillick competence states that anyone between the ages of 16 and 18 where there could be ambiguity is deemed to lack understanding in making decisions.</w:t>
            </w:r>
          </w:p>
          <w:p w14:paraId="2562AB79" w14:textId="77777777" w:rsidR="001D3E61" w:rsidRPr="001D3E61" w:rsidRDefault="001D3E61" w:rsidP="001D3E61">
            <w:pPr>
              <w:jc w:val="both"/>
              <w:rPr>
                <w:sz w:val="24"/>
                <w:szCs w:val="24"/>
              </w:rPr>
            </w:pPr>
          </w:p>
          <w:p w14:paraId="5559049E" w14:textId="77777777" w:rsidR="001D3E61" w:rsidRPr="001D3E61" w:rsidRDefault="001D3E61" w:rsidP="001D3E61">
            <w:pPr>
              <w:jc w:val="both"/>
              <w:rPr>
                <w:sz w:val="24"/>
                <w:szCs w:val="24"/>
              </w:rPr>
            </w:pPr>
            <w:r w:rsidRPr="001D3E61">
              <w:rPr>
                <w:sz w:val="24"/>
                <w:szCs w:val="24"/>
              </w:rPr>
              <w:t>Secondly, consent. Section 130 of the SSWBA defines ‘child at risk’ as a child who is experiencing abuse, neglect, or other harm and has needs for care and support. Within this context, there is a duty to report, investigate, and mediate where needed. This applies to all children, irrespective of their care needs and level of risk. The legislation states that there is no need to obtain consent as the child cannot keep themselves safe and meet their outcomes around protection from abuse and neglect.</w:t>
            </w:r>
          </w:p>
          <w:p w14:paraId="5312FC10" w14:textId="77777777" w:rsidR="001D3E61" w:rsidRPr="001D3E61" w:rsidRDefault="001D3E61" w:rsidP="001D3E61">
            <w:pPr>
              <w:jc w:val="both"/>
              <w:rPr>
                <w:sz w:val="24"/>
                <w:szCs w:val="24"/>
              </w:rPr>
            </w:pPr>
          </w:p>
          <w:p w14:paraId="1A5CC369" w14:textId="77777777" w:rsidR="001D3E61" w:rsidRPr="001D3E61" w:rsidRDefault="001D3E61" w:rsidP="001D3E61">
            <w:pPr>
              <w:jc w:val="both"/>
              <w:rPr>
                <w:sz w:val="24"/>
                <w:szCs w:val="24"/>
              </w:rPr>
            </w:pPr>
            <w:r w:rsidRPr="001D3E61">
              <w:rPr>
                <w:sz w:val="24"/>
                <w:szCs w:val="24"/>
              </w:rPr>
              <w:t xml:space="preserve">In contrast, Section 126 of the SSWBA defines an adult at risk as an adult who is experiencing or is at risk of abuse or neglect, has care and support needs, and because of those needs, is unable to protect themselves from abuse or neglect or the risk of it. The latter part acknowledges the adult’s choice not to consent to the safeguarding process; however, Part 2 of the SSWBA states that information, advice, and assistance can be offered to support them in safeguarding themselves </w:t>
            </w:r>
            <w:r w:rsidRPr="001D3E61">
              <w:rPr>
                <w:sz w:val="24"/>
                <w:szCs w:val="24"/>
              </w:rPr>
              <w:lastRenderedPageBreak/>
              <w:t>if they choose to. This excludes those who cannot safeguard themselves, for example, adults who lack capacity. If the adult lacks capacity, an advocate, their family, and relevant professionals will decide in his best interests how to keep them safe, protect them from abuse, and the risks associated with it.</w:t>
            </w:r>
          </w:p>
          <w:p w14:paraId="73C16590" w14:textId="77777777" w:rsidR="001D3E61" w:rsidRPr="001D3E61" w:rsidRDefault="001D3E61" w:rsidP="001D3E61">
            <w:pPr>
              <w:jc w:val="both"/>
              <w:rPr>
                <w:sz w:val="24"/>
                <w:szCs w:val="24"/>
              </w:rPr>
            </w:pPr>
          </w:p>
          <w:p w14:paraId="2EA6F15F" w14:textId="5D623E05" w:rsidR="0067536B" w:rsidRDefault="001D3E61" w:rsidP="001D3E61">
            <w:pPr>
              <w:jc w:val="both"/>
              <w:rPr>
                <w:sz w:val="24"/>
                <w:szCs w:val="24"/>
              </w:rPr>
            </w:pPr>
            <w:r w:rsidRPr="001D3E61">
              <w:rPr>
                <w:sz w:val="24"/>
                <w:szCs w:val="24"/>
              </w:rPr>
              <w:t>Lastly, neglect. Britten and Whitby (2018) define self-neglect as the failure to manage their basic needs, which is seen in adult services but not in child services. The Wales Safeguarding Procedures (2019) state that a child is seen to be unable to meet their care needs independently, and therefore they cannot neglect themselves. In contrast, the adult can choose to meet their care needs, can decide to allow themselves to be neglected, and equally, if they have the capacity, can choose to remain neglected. In this context, the social worker can advise and try to minimise the risk but has no power to impose anything.</w:t>
            </w:r>
          </w:p>
          <w:p w14:paraId="267F5AC5" w14:textId="77777777" w:rsidR="001D3E61" w:rsidRDefault="001D3E61" w:rsidP="001D3E61">
            <w:pPr>
              <w:jc w:val="both"/>
              <w:rPr>
                <w:sz w:val="24"/>
                <w:szCs w:val="24"/>
              </w:rPr>
            </w:pPr>
          </w:p>
          <w:p w14:paraId="0E0664D7" w14:textId="6CF46EFC" w:rsidR="0067536B" w:rsidRDefault="002F1F23" w:rsidP="00F973FA">
            <w:pPr>
              <w:jc w:val="both"/>
              <w:rPr>
                <w:sz w:val="24"/>
                <w:szCs w:val="24"/>
              </w:rPr>
            </w:pPr>
            <w:r>
              <w:rPr>
                <w:sz w:val="24"/>
                <w:szCs w:val="24"/>
              </w:rPr>
              <w:t>439 words</w:t>
            </w:r>
          </w:p>
          <w:p w14:paraId="26574A5F" w14:textId="77777777" w:rsidR="0067536B" w:rsidRDefault="0067536B" w:rsidP="00F973FA">
            <w:pPr>
              <w:jc w:val="both"/>
              <w:rPr>
                <w:sz w:val="24"/>
                <w:szCs w:val="24"/>
              </w:rPr>
            </w:pPr>
          </w:p>
          <w:p w14:paraId="7DCCF62D" w14:textId="77777777" w:rsidR="0067536B" w:rsidRDefault="0067536B" w:rsidP="00F973FA">
            <w:pPr>
              <w:jc w:val="both"/>
              <w:rPr>
                <w:sz w:val="24"/>
                <w:szCs w:val="24"/>
              </w:rPr>
            </w:pPr>
          </w:p>
          <w:p w14:paraId="3B0D0A1E" w14:textId="77777777" w:rsidR="0067536B" w:rsidRDefault="0067536B" w:rsidP="00F973FA">
            <w:pPr>
              <w:jc w:val="both"/>
              <w:rPr>
                <w:sz w:val="24"/>
                <w:szCs w:val="24"/>
              </w:rPr>
            </w:pPr>
          </w:p>
          <w:p w14:paraId="7E49FEC8" w14:textId="77777777" w:rsidR="0067536B" w:rsidRDefault="0067536B" w:rsidP="00F973FA">
            <w:pPr>
              <w:jc w:val="both"/>
              <w:rPr>
                <w:sz w:val="24"/>
                <w:szCs w:val="24"/>
              </w:rPr>
            </w:pPr>
          </w:p>
          <w:p w14:paraId="77C02F58" w14:textId="77777777" w:rsidR="0067536B" w:rsidRPr="006108C9" w:rsidRDefault="0067536B" w:rsidP="00F973FA">
            <w:pPr>
              <w:jc w:val="both"/>
              <w:rPr>
                <w:sz w:val="24"/>
                <w:szCs w:val="24"/>
              </w:rPr>
            </w:pPr>
          </w:p>
          <w:p w14:paraId="22E54A5E" w14:textId="77777777" w:rsidR="0067536B" w:rsidRDefault="0067536B" w:rsidP="00F973FA">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5162B451" w14:textId="77777777" w:rsidR="0067536B" w:rsidRPr="006108C9" w:rsidRDefault="0067536B" w:rsidP="00F973FA">
            <w:pPr>
              <w:jc w:val="both"/>
              <w:rPr>
                <w:sz w:val="24"/>
                <w:szCs w:val="24"/>
              </w:rPr>
            </w:pPr>
          </w:p>
        </w:tc>
      </w:tr>
    </w:tbl>
    <w:p w14:paraId="394A68D1" w14:textId="77777777" w:rsidR="0067536B" w:rsidRDefault="0067536B" w:rsidP="0067536B">
      <w:pPr>
        <w:jc w:val="both"/>
        <w:rPr>
          <w:sz w:val="24"/>
          <w:szCs w:val="24"/>
        </w:rPr>
      </w:pPr>
    </w:p>
    <w:p w14:paraId="76A3ED3E" w14:textId="77777777" w:rsidR="0067536B" w:rsidRDefault="0067536B" w:rsidP="0067536B">
      <w:pPr>
        <w:jc w:val="both"/>
        <w:rPr>
          <w:sz w:val="24"/>
          <w:szCs w:val="24"/>
        </w:rPr>
      </w:pPr>
    </w:p>
    <w:p w14:paraId="09D16321" w14:textId="77777777" w:rsidR="0067536B" w:rsidRDefault="0067536B" w:rsidP="0067536B">
      <w:pPr>
        <w:rPr>
          <w:sz w:val="24"/>
          <w:szCs w:val="24"/>
        </w:rPr>
      </w:pPr>
    </w:p>
    <w:p w14:paraId="40D4A95A" w14:textId="77777777" w:rsidR="0067536B" w:rsidRDefault="0067536B" w:rsidP="0067536B"/>
    <w:p w14:paraId="662ADBE7" w14:textId="77777777" w:rsidR="00FB221C" w:rsidRDefault="00FB221C"/>
    <w:sectPr w:rsidR="00FB2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36B"/>
    <w:rsid w:val="000270DF"/>
    <w:rsid w:val="000315C7"/>
    <w:rsid w:val="00052CA4"/>
    <w:rsid w:val="00056CB9"/>
    <w:rsid w:val="00072E15"/>
    <w:rsid w:val="00075ABA"/>
    <w:rsid w:val="00090C05"/>
    <w:rsid w:val="00091A7C"/>
    <w:rsid w:val="0009284D"/>
    <w:rsid w:val="000930CC"/>
    <w:rsid w:val="000960BB"/>
    <w:rsid w:val="000C1D32"/>
    <w:rsid w:val="000C2124"/>
    <w:rsid w:val="000D03CB"/>
    <w:rsid w:val="000E7B4B"/>
    <w:rsid w:val="00105765"/>
    <w:rsid w:val="00116709"/>
    <w:rsid w:val="001272F2"/>
    <w:rsid w:val="00130F83"/>
    <w:rsid w:val="00136DD6"/>
    <w:rsid w:val="00151DD4"/>
    <w:rsid w:val="00174FCC"/>
    <w:rsid w:val="001827DD"/>
    <w:rsid w:val="001829E0"/>
    <w:rsid w:val="00183619"/>
    <w:rsid w:val="001870FE"/>
    <w:rsid w:val="00192ED8"/>
    <w:rsid w:val="001A65D5"/>
    <w:rsid w:val="001B2D60"/>
    <w:rsid w:val="001C0865"/>
    <w:rsid w:val="001C0983"/>
    <w:rsid w:val="001C38AD"/>
    <w:rsid w:val="001C626B"/>
    <w:rsid w:val="001D3E61"/>
    <w:rsid w:val="001F10C2"/>
    <w:rsid w:val="001F3773"/>
    <w:rsid w:val="001F440C"/>
    <w:rsid w:val="00200BCF"/>
    <w:rsid w:val="0020358F"/>
    <w:rsid w:val="002059BF"/>
    <w:rsid w:val="00205C91"/>
    <w:rsid w:val="0021295D"/>
    <w:rsid w:val="00222CCC"/>
    <w:rsid w:val="002572E6"/>
    <w:rsid w:val="00274D32"/>
    <w:rsid w:val="00283367"/>
    <w:rsid w:val="00295E32"/>
    <w:rsid w:val="00297529"/>
    <w:rsid w:val="002C33B6"/>
    <w:rsid w:val="002D0DD0"/>
    <w:rsid w:val="002D4750"/>
    <w:rsid w:val="002E5F93"/>
    <w:rsid w:val="002E7428"/>
    <w:rsid w:val="002F1F23"/>
    <w:rsid w:val="002F3B2A"/>
    <w:rsid w:val="00303269"/>
    <w:rsid w:val="00314FC1"/>
    <w:rsid w:val="0031740D"/>
    <w:rsid w:val="003300F5"/>
    <w:rsid w:val="00332929"/>
    <w:rsid w:val="00337C14"/>
    <w:rsid w:val="003426D7"/>
    <w:rsid w:val="00352D72"/>
    <w:rsid w:val="00361DBF"/>
    <w:rsid w:val="00366AFF"/>
    <w:rsid w:val="00366D92"/>
    <w:rsid w:val="003715DD"/>
    <w:rsid w:val="00383891"/>
    <w:rsid w:val="003C2D9A"/>
    <w:rsid w:val="003C448F"/>
    <w:rsid w:val="003C732B"/>
    <w:rsid w:val="004150EC"/>
    <w:rsid w:val="00417489"/>
    <w:rsid w:val="004265DA"/>
    <w:rsid w:val="00431FB0"/>
    <w:rsid w:val="00453D10"/>
    <w:rsid w:val="004554E7"/>
    <w:rsid w:val="004720CD"/>
    <w:rsid w:val="004922F2"/>
    <w:rsid w:val="004B39AE"/>
    <w:rsid w:val="004B6E5A"/>
    <w:rsid w:val="004D075D"/>
    <w:rsid w:val="0050054D"/>
    <w:rsid w:val="00513749"/>
    <w:rsid w:val="00543893"/>
    <w:rsid w:val="00555096"/>
    <w:rsid w:val="00560539"/>
    <w:rsid w:val="00560DD7"/>
    <w:rsid w:val="00575395"/>
    <w:rsid w:val="005760CD"/>
    <w:rsid w:val="005840FA"/>
    <w:rsid w:val="005A2D06"/>
    <w:rsid w:val="005C3022"/>
    <w:rsid w:val="005D7813"/>
    <w:rsid w:val="005E3B89"/>
    <w:rsid w:val="005F392F"/>
    <w:rsid w:val="005F5FFC"/>
    <w:rsid w:val="00616B6B"/>
    <w:rsid w:val="00634B9D"/>
    <w:rsid w:val="0063576A"/>
    <w:rsid w:val="0067536B"/>
    <w:rsid w:val="006809A1"/>
    <w:rsid w:val="00684A5F"/>
    <w:rsid w:val="00687C40"/>
    <w:rsid w:val="006B6F29"/>
    <w:rsid w:val="006D3009"/>
    <w:rsid w:val="006D53DD"/>
    <w:rsid w:val="006E1284"/>
    <w:rsid w:val="006E6473"/>
    <w:rsid w:val="006F262A"/>
    <w:rsid w:val="00707138"/>
    <w:rsid w:val="00750002"/>
    <w:rsid w:val="00761DF1"/>
    <w:rsid w:val="00772C99"/>
    <w:rsid w:val="007E3F07"/>
    <w:rsid w:val="007F3CA0"/>
    <w:rsid w:val="00801213"/>
    <w:rsid w:val="0081002A"/>
    <w:rsid w:val="00812CC0"/>
    <w:rsid w:val="008143CE"/>
    <w:rsid w:val="008351D7"/>
    <w:rsid w:val="00842F8C"/>
    <w:rsid w:val="008434C8"/>
    <w:rsid w:val="008525C8"/>
    <w:rsid w:val="0086066F"/>
    <w:rsid w:val="008767BA"/>
    <w:rsid w:val="008778B9"/>
    <w:rsid w:val="00887684"/>
    <w:rsid w:val="00894FEF"/>
    <w:rsid w:val="008A069C"/>
    <w:rsid w:val="008C62AD"/>
    <w:rsid w:val="008D4F65"/>
    <w:rsid w:val="008E0CF6"/>
    <w:rsid w:val="008F0069"/>
    <w:rsid w:val="008F1E09"/>
    <w:rsid w:val="008F6724"/>
    <w:rsid w:val="0090015B"/>
    <w:rsid w:val="0090113A"/>
    <w:rsid w:val="00920CBC"/>
    <w:rsid w:val="00924955"/>
    <w:rsid w:val="00931BE3"/>
    <w:rsid w:val="009360F2"/>
    <w:rsid w:val="009417FE"/>
    <w:rsid w:val="00943BA3"/>
    <w:rsid w:val="0095755C"/>
    <w:rsid w:val="00960726"/>
    <w:rsid w:val="00970F9C"/>
    <w:rsid w:val="009817FF"/>
    <w:rsid w:val="009A1932"/>
    <w:rsid w:val="009A34E3"/>
    <w:rsid w:val="009B0F57"/>
    <w:rsid w:val="009B4305"/>
    <w:rsid w:val="009B734D"/>
    <w:rsid w:val="009C5F22"/>
    <w:rsid w:val="009D0EF2"/>
    <w:rsid w:val="009D6403"/>
    <w:rsid w:val="009E0616"/>
    <w:rsid w:val="009F44E7"/>
    <w:rsid w:val="009F6B85"/>
    <w:rsid w:val="00A029C3"/>
    <w:rsid w:val="00A03A7B"/>
    <w:rsid w:val="00A372A9"/>
    <w:rsid w:val="00A4486F"/>
    <w:rsid w:val="00A46987"/>
    <w:rsid w:val="00A64B57"/>
    <w:rsid w:val="00A64CC6"/>
    <w:rsid w:val="00A72B5B"/>
    <w:rsid w:val="00A750C2"/>
    <w:rsid w:val="00A91046"/>
    <w:rsid w:val="00A929DC"/>
    <w:rsid w:val="00A94875"/>
    <w:rsid w:val="00AA3733"/>
    <w:rsid w:val="00AB6DD0"/>
    <w:rsid w:val="00B12440"/>
    <w:rsid w:val="00B36515"/>
    <w:rsid w:val="00B50081"/>
    <w:rsid w:val="00B55303"/>
    <w:rsid w:val="00B61073"/>
    <w:rsid w:val="00B80E80"/>
    <w:rsid w:val="00BD62CD"/>
    <w:rsid w:val="00BE5B99"/>
    <w:rsid w:val="00BF36F3"/>
    <w:rsid w:val="00BF3773"/>
    <w:rsid w:val="00C141F5"/>
    <w:rsid w:val="00C173C5"/>
    <w:rsid w:val="00C25AD2"/>
    <w:rsid w:val="00C476D1"/>
    <w:rsid w:val="00C526D8"/>
    <w:rsid w:val="00C53ABC"/>
    <w:rsid w:val="00C73B26"/>
    <w:rsid w:val="00C77BF7"/>
    <w:rsid w:val="00C84836"/>
    <w:rsid w:val="00C86B7A"/>
    <w:rsid w:val="00C92128"/>
    <w:rsid w:val="00C95D81"/>
    <w:rsid w:val="00CB139B"/>
    <w:rsid w:val="00CB4018"/>
    <w:rsid w:val="00CF1E78"/>
    <w:rsid w:val="00D02B47"/>
    <w:rsid w:val="00D40EB1"/>
    <w:rsid w:val="00D45DBC"/>
    <w:rsid w:val="00D50871"/>
    <w:rsid w:val="00D61E49"/>
    <w:rsid w:val="00D62966"/>
    <w:rsid w:val="00D644E4"/>
    <w:rsid w:val="00D64A28"/>
    <w:rsid w:val="00D67A64"/>
    <w:rsid w:val="00D7191E"/>
    <w:rsid w:val="00D76B46"/>
    <w:rsid w:val="00D81727"/>
    <w:rsid w:val="00D90D16"/>
    <w:rsid w:val="00D9276F"/>
    <w:rsid w:val="00DB1EF9"/>
    <w:rsid w:val="00DB7334"/>
    <w:rsid w:val="00DC3BC1"/>
    <w:rsid w:val="00DC3D51"/>
    <w:rsid w:val="00DC58F6"/>
    <w:rsid w:val="00DD46F7"/>
    <w:rsid w:val="00DF1BE0"/>
    <w:rsid w:val="00E0763A"/>
    <w:rsid w:val="00E15158"/>
    <w:rsid w:val="00E23511"/>
    <w:rsid w:val="00E445F4"/>
    <w:rsid w:val="00E46216"/>
    <w:rsid w:val="00E5213C"/>
    <w:rsid w:val="00E60171"/>
    <w:rsid w:val="00E7388E"/>
    <w:rsid w:val="00E7519C"/>
    <w:rsid w:val="00E86097"/>
    <w:rsid w:val="00E87AEB"/>
    <w:rsid w:val="00EA40B2"/>
    <w:rsid w:val="00EB1ECD"/>
    <w:rsid w:val="00EB3592"/>
    <w:rsid w:val="00EC1371"/>
    <w:rsid w:val="00EC3BA6"/>
    <w:rsid w:val="00ED4100"/>
    <w:rsid w:val="00EE1031"/>
    <w:rsid w:val="00EE2041"/>
    <w:rsid w:val="00EE7C1E"/>
    <w:rsid w:val="00F029C1"/>
    <w:rsid w:val="00F0748E"/>
    <w:rsid w:val="00F21629"/>
    <w:rsid w:val="00F236E3"/>
    <w:rsid w:val="00F3104C"/>
    <w:rsid w:val="00F625C8"/>
    <w:rsid w:val="00FB124F"/>
    <w:rsid w:val="00FB221C"/>
    <w:rsid w:val="00FB3A1C"/>
    <w:rsid w:val="00FC658E"/>
    <w:rsid w:val="00FC667D"/>
    <w:rsid w:val="00FF3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E155D"/>
  <w15:chartTrackingRefBased/>
  <w15:docId w15:val="{3210AB33-384B-4C4C-B85B-A2A3BBA8A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536B"/>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778B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8778B9"/>
  </w:style>
  <w:style w:type="character" w:customStyle="1" w:styleId="eop">
    <w:name w:val="eop"/>
    <w:basedOn w:val="DefaultParagraphFont"/>
    <w:rsid w:val="00877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919339">
      <w:bodyDiv w:val="1"/>
      <w:marLeft w:val="0"/>
      <w:marRight w:val="0"/>
      <w:marTop w:val="0"/>
      <w:marBottom w:val="0"/>
      <w:divBdr>
        <w:top w:val="none" w:sz="0" w:space="0" w:color="auto"/>
        <w:left w:val="none" w:sz="0" w:space="0" w:color="auto"/>
        <w:bottom w:val="none" w:sz="0" w:space="0" w:color="auto"/>
        <w:right w:val="none" w:sz="0" w:space="0" w:color="auto"/>
      </w:divBdr>
      <w:divsChild>
        <w:div w:id="105005151">
          <w:marLeft w:val="0"/>
          <w:marRight w:val="0"/>
          <w:marTop w:val="0"/>
          <w:marBottom w:val="0"/>
          <w:divBdr>
            <w:top w:val="none" w:sz="0" w:space="0" w:color="auto"/>
            <w:left w:val="none" w:sz="0" w:space="0" w:color="auto"/>
            <w:bottom w:val="none" w:sz="0" w:space="0" w:color="auto"/>
            <w:right w:val="none" w:sz="0" w:space="0" w:color="auto"/>
          </w:divBdr>
        </w:div>
        <w:div w:id="702096140">
          <w:marLeft w:val="0"/>
          <w:marRight w:val="0"/>
          <w:marTop w:val="0"/>
          <w:marBottom w:val="0"/>
          <w:divBdr>
            <w:top w:val="none" w:sz="0" w:space="0" w:color="auto"/>
            <w:left w:val="none" w:sz="0" w:space="0" w:color="auto"/>
            <w:bottom w:val="none" w:sz="0" w:space="0" w:color="auto"/>
            <w:right w:val="none" w:sz="0" w:space="0" w:color="auto"/>
          </w:divBdr>
        </w:div>
        <w:div w:id="588469956">
          <w:marLeft w:val="0"/>
          <w:marRight w:val="0"/>
          <w:marTop w:val="0"/>
          <w:marBottom w:val="0"/>
          <w:divBdr>
            <w:top w:val="none" w:sz="0" w:space="0" w:color="auto"/>
            <w:left w:val="none" w:sz="0" w:space="0" w:color="auto"/>
            <w:bottom w:val="none" w:sz="0" w:space="0" w:color="auto"/>
            <w:right w:val="none" w:sz="0" w:space="0" w:color="auto"/>
          </w:divBdr>
        </w:div>
        <w:div w:id="817187335">
          <w:marLeft w:val="0"/>
          <w:marRight w:val="0"/>
          <w:marTop w:val="0"/>
          <w:marBottom w:val="0"/>
          <w:divBdr>
            <w:top w:val="none" w:sz="0" w:space="0" w:color="auto"/>
            <w:left w:val="none" w:sz="0" w:space="0" w:color="auto"/>
            <w:bottom w:val="none" w:sz="0" w:space="0" w:color="auto"/>
            <w:right w:val="none" w:sz="0" w:space="0" w:color="auto"/>
          </w:divBdr>
        </w:div>
        <w:div w:id="2038776980">
          <w:marLeft w:val="0"/>
          <w:marRight w:val="0"/>
          <w:marTop w:val="0"/>
          <w:marBottom w:val="0"/>
          <w:divBdr>
            <w:top w:val="none" w:sz="0" w:space="0" w:color="auto"/>
            <w:left w:val="none" w:sz="0" w:space="0" w:color="auto"/>
            <w:bottom w:val="none" w:sz="0" w:space="0" w:color="auto"/>
            <w:right w:val="none" w:sz="0" w:space="0" w:color="auto"/>
          </w:divBdr>
        </w:div>
        <w:div w:id="219874536">
          <w:marLeft w:val="0"/>
          <w:marRight w:val="0"/>
          <w:marTop w:val="0"/>
          <w:marBottom w:val="0"/>
          <w:divBdr>
            <w:top w:val="none" w:sz="0" w:space="0" w:color="auto"/>
            <w:left w:val="none" w:sz="0" w:space="0" w:color="auto"/>
            <w:bottom w:val="none" w:sz="0" w:space="0" w:color="auto"/>
            <w:right w:val="none" w:sz="0" w:space="0" w:color="auto"/>
          </w:divBdr>
        </w:div>
        <w:div w:id="1105686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3</Pages>
  <Words>1011</Words>
  <Characters>5769</Characters>
  <Application>Microsoft Office Word</Application>
  <DocSecurity>0</DocSecurity>
  <Lines>48</Lines>
  <Paragraphs>13</Paragraphs>
  <ScaleCrop>false</ScaleCrop>
  <Company/>
  <LinksUpToDate>false</LinksUpToDate>
  <CharactersWithSpaces>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Arbelyn Davis</dc:creator>
  <cp:keywords/>
  <dc:description/>
  <cp:lastModifiedBy>Arbelyn Davis</cp:lastModifiedBy>
  <cp:revision>250</cp:revision>
  <dcterms:created xsi:type="dcterms:W3CDTF">2023-06-27T12:44:00Z</dcterms:created>
  <dcterms:modified xsi:type="dcterms:W3CDTF">2023-10-20T10:37:00Z</dcterms:modified>
</cp:coreProperties>
</file>