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F58202F" w:rsidR="00986B43" w:rsidRPr="001B4DA7"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1B4DA7">
              <w:rPr>
                <w:rFonts w:ascii="Times New Roman" w:hAnsi="Times New Roman" w:cs="Times New Roman"/>
                <w:b/>
                <w:color w:val="auto"/>
                <w:sz w:val="44"/>
                <w:szCs w:val="44"/>
              </w:rPr>
              <w:t>Learner’s name:</w:t>
            </w:r>
            <w:r w:rsidR="00247265" w:rsidRPr="001B4DA7">
              <w:rPr>
                <w:rFonts w:ascii="Times New Roman" w:hAnsi="Times New Roman" w:cs="Times New Roman"/>
                <w:b/>
                <w:color w:val="auto"/>
                <w:sz w:val="44"/>
                <w:szCs w:val="44"/>
              </w:rPr>
              <w:t xml:space="preserve"> </w:t>
            </w:r>
            <w:r w:rsidR="001B4DA7" w:rsidRPr="001B4DA7">
              <w:rPr>
                <w:rFonts w:ascii="Times New Roman" w:hAnsi="Times New Roman" w:cs="Times New Roman"/>
                <w:b/>
                <w:color w:val="auto"/>
                <w:sz w:val="44"/>
                <w:szCs w:val="44"/>
              </w:rPr>
              <w:t>Louise Norman</w:t>
            </w:r>
          </w:p>
          <w:p w14:paraId="0B6CD0DB" w14:textId="689515B5" w:rsidR="009C337F" w:rsidRPr="001B4DA7"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5042A554" w:rsidR="009C337F" w:rsidRPr="001B4DA7"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1B4DA7">
              <w:rPr>
                <w:rFonts w:ascii="Times New Roman" w:hAnsi="Times New Roman" w:cs="Times New Roman"/>
                <w:b/>
                <w:color w:val="auto"/>
                <w:sz w:val="44"/>
                <w:szCs w:val="44"/>
              </w:rPr>
              <w:t xml:space="preserve">Email </w:t>
            </w:r>
            <w:r w:rsidR="001B4DA7" w:rsidRPr="001B4DA7">
              <w:rPr>
                <w:rFonts w:ascii="Times New Roman" w:hAnsi="Times New Roman" w:cs="Times New Roman"/>
                <w:b/>
                <w:color w:val="auto"/>
                <w:sz w:val="44"/>
                <w:szCs w:val="44"/>
              </w:rPr>
              <w:t>address: Louise.norman87@hotmail.co.uk</w:t>
            </w:r>
          </w:p>
          <w:p w14:paraId="22E38809" w14:textId="77777777" w:rsidR="00986B43" w:rsidRPr="001B4DA7"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39224E0E" w:rsidR="00F927A1" w:rsidRPr="001B4DA7"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1B4DA7">
              <w:rPr>
                <w:rFonts w:ascii="Times New Roman" w:hAnsi="Times New Roman" w:cs="Times New Roman"/>
                <w:b/>
                <w:color w:val="auto"/>
                <w:sz w:val="44"/>
                <w:szCs w:val="44"/>
              </w:rPr>
              <w:t>Learner’s University Registration</w:t>
            </w:r>
            <w:r w:rsidR="00F927A1" w:rsidRPr="001B4DA7">
              <w:rPr>
                <w:rFonts w:ascii="Times New Roman" w:hAnsi="Times New Roman" w:cs="Times New Roman"/>
                <w:b/>
                <w:color w:val="auto"/>
                <w:sz w:val="44"/>
                <w:szCs w:val="44"/>
              </w:rPr>
              <w:t xml:space="preserve"> Number:</w:t>
            </w:r>
            <w:r w:rsidR="001B4DA7" w:rsidRPr="001B4DA7">
              <w:rPr>
                <w:rFonts w:ascii="Times New Roman" w:hAnsi="Times New Roman" w:cs="Times New Roman"/>
                <w:b/>
                <w:color w:val="auto"/>
                <w:sz w:val="44"/>
                <w:szCs w:val="44"/>
              </w:rPr>
              <w:t>2319568</w:t>
            </w:r>
          </w:p>
          <w:p w14:paraId="622FD17A" w14:textId="77777777" w:rsidR="0085230E" w:rsidRPr="001B4DA7"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1B4DA7">
              <w:rPr>
                <w:rFonts w:ascii="Times New Roman" w:hAnsi="Times New Roman" w:cs="Times New Roman"/>
                <w:b/>
                <w:color w:val="auto"/>
                <w:sz w:val="44"/>
                <w:szCs w:val="44"/>
              </w:rPr>
              <w:t xml:space="preserve">Cohort: </w:t>
            </w:r>
            <w:r w:rsidR="0049374F" w:rsidRPr="001B4DA7">
              <w:rPr>
                <w:rFonts w:ascii="Times New Roman" w:hAnsi="Times New Roman" w:cs="Times New Roman"/>
                <w:b/>
                <w:color w:val="auto"/>
                <w:sz w:val="44"/>
                <w:szCs w:val="44"/>
              </w:rPr>
              <w:t>21</w:t>
            </w:r>
            <w:r w:rsidR="00AE6231" w:rsidRPr="001B4DA7">
              <w:rPr>
                <w:rFonts w:ascii="Times New Roman" w:hAnsi="Times New Roman" w:cs="Times New Roman"/>
                <w:b/>
                <w:color w:val="auto"/>
                <w:sz w:val="44"/>
                <w:szCs w:val="44"/>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5D44ECD" w14:textId="0A1DF1B2" w:rsidR="00AB0B2F" w:rsidRPr="00EC0D51" w:rsidRDefault="00AB0B2F" w:rsidP="00AB0B2F">
            <w:pPr>
              <w:spacing w:line="360" w:lineRule="auto"/>
              <w:jc w:val="both"/>
              <w:rPr>
                <w:sz w:val="24"/>
                <w:szCs w:val="24"/>
              </w:rPr>
            </w:pPr>
            <w:r w:rsidRPr="00EC0D51">
              <w:rPr>
                <w:sz w:val="24"/>
                <w:szCs w:val="24"/>
              </w:rPr>
              <w:t>In Wales, adult safeguarding law is primarily governed by the Social Services and Well-being Wales Act 2014, which defines an 'adult at risk' as individual who are currently experiencing or are at risk of experiencing abuse and are unable to protect themselves from such abuse.   This definition is outlined in Part 7 of the law, which identifies various forms of abuse including physical, sexual, psychological, emotional, and financial abuse.</w:t>
            </w:r>
            <w:r>
              <w:rPr>
                <w:sz w:val="24"/>
                <w:szCs w:val="24"/>
              </w:rPr>
              <w:t xml:space="preserve"> </w:t>
            </w:r>
            <w:r w:rsidRPr="00EC0D51">
              <w:rPr>
                <w:sz w:val="24"/>
                <w:szCs w:val="24"/>
              </w:rPr>
              <w:t>The legislation emphasizes that abuse can occur in any setting and places a legal obligation on professionals to report any concerns regarding an adult at risk of abuse or harm (Clayton 2014)</w:t>
            </w:r>
            <w:r>
              <w:rPr>
                <w:sz w:val="24"/>
                <w:szCs w:val="24"/>
              </w:rPr>
              <w:t>.</w:t>
            </w:r>
          </w:p>
          <w:p w14:paraId="1CDFE8EA" w14:textId="77777777" w:rsidR="00AB0B2F" w:rsidRPr="00EC0D51" w:rsidRDefault="00AB0B2F" w:rsidP="00AB0B2F">
            <w:pPr>
              <w:spacing w:line="360" w:lineRule="auto"/>
              <w:jc w:val="both"/>
              <w:rPr>
                <w:sz w:val="24"/>
                <w:szCs w:val="24"/>
              </w:rPr>
            </w:pPr>
          </w:p>
          <w:p w14:paraId="54F715B3" w14:textId="2A01476B" w:rsidR="00AB0B2F" w:rsidRDefault="00AB0B2F" w:rsidP="00AB0B2F">
            <w:pPr>
              <w:spacing w:line="360" w:lineRule="auto"/>
              <w:jc w:val="both"/>
              <w:rPr>
                <w:sz w:val="24"/>
                <w:szCs w:val="24"/>
              </w:rPr>
            </w:pPr>
            <w:r w:rsidRPr="00EC0D51">
              <w:rPr>
                <w:sz w:val="24"/>
                <w:szCs w:val="24"/>
              </w:rPr>
              <w:t xml:space="preserve">A safeguarding board is mandated by law and statutory guidance to </w:t>
            </w:r>
            <w:r w:rsidRPr="00EC0D51">
              <w:rPr>
                <w:sz w:val="24"/>
                <w:szCs w:val="24"/>
              </w:rPr>
              <w:t>fulfil</w:t>
            </w:r>
            <w:r w:rsidRPr="00EC0D51">
              <w:rPr>
                <w:sz w:val="24"/>
                <w:szCs w:val="24"/>
              </w:rPr>
              <w:t xml:space="preserve"> its responsibility to prevent and protect. (Clayton, 2014). The responsibility for protecting adults and children falls on various safeguarding boards. When contemplating additional laws and policies about adult safeguarding in Wales, social workers should consider the Wales Safeguarding Procedures (2019). Working Together to Safeguard People and the SSWBA 2014 are principles that the procedures are designed to support social workers and other professionals in implementing good practices. Working Together to Safeguard People is a set of guidelines to assist practitioners with the safeguarding law, but it is not a law (GOV. Wales (2011).</w:t>
            </w:r>
          </w:p>
          <w:p w14:paraId="7ADE86E3" w14:textId="77777777" w:rsidR="00AB0B2F" w:rsidRPr="00EC0D51" w:rsidRDefault="00AB0B2F" w:rsidP="00AB0B2F">
            <w:pPr>
              <w:spacing w:line="360" w:lineRule="auto"/>
              <w:jc w:val="both"/>
              <w:rPr>
                <w:sz w:val="24"/>
                <w:szCs w:val="24"/>
              </w:rPr>
            </w:pPr>
          </w:p>
          <w:p w14:paraId="7EF7235E" w14:textId="66B5BC36" w:rsidR="00AB0B2F" w:rsidRDefault="00AB0B2F" w:rsidP="00AB0B2F">
            <w:pPr>
              <w:spacing w:line="360" w:lineRule="auto"/>
              <w:jc w:val="both"/>
              <w:rPr>
                <w:sz w:val="24"/>
                <w:szCs w:val="24"/>
              </w:rPr>
            </w:pPr>
            <w:r w:rsidRPr="00EC0D51">
              <w:rPr>
                <w:sz w:val="24"/>
                <w:szCs w:val="24"/>
              </w:rPr>
              <w:lastRenderedPageBreak/>
              <w:t>Although all social workers in Wales are subject to the same laws, some are granted particular authority that sets them apart from "general" social workers. According to the Mental Health Act of 2007, social workers who are also Approved Mental Health Professionals (AMHPs) can conduct the necessary assessments and detain people who pose an immediate risk to themselves or the community (Devon Partnership Trust, 2017). Additionally, in accordance with The Data Protection Act of 2018, social workers, including AMHPs, are required to keep and document an individual's data (Government Digital Service, 2015).</w:t>
            </w:r>
          </w:p>
          <w:p w14:paraId="3A1F9291" w14:textId="77777777" w:rsidR="00AB0B2F" w:rsidRPr="00EC0D51" w:rsidRDefault="00AB0B2F" w:rsidP="00AB0B2F">
            <w:pPr>
              <w:spacing w:line="360" w:lineRule="auto"/>
              <w:jc w:val="both"/>
              <w:rPr>
                <w:sz w:val="24"/>
                <w:szCs w:val="24"/>
              </w:rPr>
            </w:pPr>
          </w:p>
          <w:p w14:paraId="285DC6C9" w14:textId="77777777" w:rsidR="00AB0B2F" w:rsidRDefault="00AB0B2F" w:rsidP="00AB0B2F">
            <w:pPr>
              <w:spacing w:line="360" w:lineRule="auto"/>
              <w:jc w:val="both"/>
              <w:rPr>
                <w:sz w:val="24"/>
                <w:szCs w:val="24"/>
              </w:rPr>
            </w:pPr>
            <w:r w:rsidRPr="00EC0D51">
              <w:rPr>
                <w:sz w:val="24"/>
                <w:szCs w:val="24"/>
              </w:rPr>
              <w:t>The Mental Capacity Act (MCA) 2005, which mandates that you presume someone has capacity until proven otherwise, also requires professionals to respect human rights (Care Inspectorate Wales, 2024). If it is found that a person lacks capacity, decisions must be made with their best interests in mind (MIND, 2023). The MCA can enable DoLS, or deprivation of liberty safeguards, to prevent harm (Social Care Wales, 2023).</w:t>
            </w:r>
          </w:p>
          <w:p w14:paraId="68D156E5" w14:textId="77777777" w:rsidR="00AB0B2F" w:rsidRPr="00EC0D51" w:rsidRDefault="00AB0B2F" w:rsidP="00AB0B2F">
            <w:pPr>
              <w:spacing w:line="360" w:lineRule="auto"/>
              <w:jc w:val="both"/>
              <w:rPr>
                <w:sz w:val="24"/>
                <w:szCs w:val="24"/>
              </w:rPr>
            </w:pPr>
          </w:p>
          <w:p w14:paraId="309FE2F7" w14:textId="77777777" w:rsidR="00AB0B2F" w:rsidRDefault="00AB0B2F" w:rsidP="00AB0B2F">
            <w:pPr>
              <w:spacing w:line="360" w:lineRule="auto"/>
              <w:jc w:val="both"/>
              <w:rPr>
                <w:sz w:val="24"/>
                <w:szCs w:val="24"/>
              </w:rPr>
            </w:pPr>
            <w:r w:rsidRPr="00EC0D51">
              <w:rPr>
                <w:sz w:val="24"/>
                <w:szCs w:val="24"/>
              </w:rPr>
              <w:t>Regarding people's rights, the Equality Act 2010 states that you cannot treat someone unfairly because of their age, sex, race, disability, or any other characteristic (Social Care Wales, 2024). The Human Rights Act of 1998 is another law that protects fundamental rights in the United Kingdom. According to the SSWBA 2014's well-being principle, the law, for instance, protects the rights to life, privacy, and basic necessities, all of which are important in adult safeguarding and social work law (BASW 2019). The Human Rights Act of 1998 guarantees the implementation of the rights outlined in the European Convention on Human Rights (MIND, 2020).</w:t>
            </w:r>
          </w:p>
          <w:p w14:paraId="0E91E45D" w14:textId="77777777" w:rsidR="00AB0B2F" w:rsidRPr="00EC0D51" w:rsidRDefault="00AB0B2F" w:rsidP="00AB0B2F">
            <w:pPr>
              <w:spacing w:line="360" w:lineRule="auto"/>
              <w:jc w:val="both"/>
              <w:rPr>
                <w:sz w:val="24"/>
                <w:szCs w:val="24"/>
              </w:rPr>
            </w:pPr>
          </w:p>
          <w:p w14:paraId="00D2DE53" w14:textId="77777777" w:rsidR="00AB0B2F" w:rsidRPr="00EC0D51" w:rsidRDefault="00AB0B2F" w:rsidP="00AB0B2F">
            <w:pPr>
              <w:spacing w:line="360" w:lineRule="auto"/>
              <w:jc w:val="both"/>
              <w:rPr>
                <w:sz w:val="24"/>
                <w:szCs w:val="24"/>
              </w:rPr>
            </w:pPr>
            <w:r w:rsidRPr="00EC0D51">
              <w:rPr>
                <w:sz w:val="24"/>
                <w:szCs w:val="24"/>
              </w:rPr>
              <w:t>Furthermore, the UN Convention on the Rights of Persons with Disabilities promotes the human rights of people with disabilities (Social Care Wales, 2024). In addition, the UN Principles for Older Persons, created in 1991, highlight key values such as Dignity, Self-Fulfilment, Care, Independence, and Participation (Older Peoples Commissioner for Wales, 2024).</w:t>
            </w:r>
          </w:p>
          <w:p w14:paraId="774095BD" w14:textId="77777777" w:rsidR="00FC0334" w:rsidRDefault="00FC0334" w:rsidP="00FF7EBB">
            <w:pPr>
              <w:jc w:val="both"/>
              <w:rPr>
                <w:sz w:val="24"/>
                <w:szCs w:val="24"/>
              </w:rPr>
            </w:pPr>
          </w:p>
          <w:p w14:paraId="24D2EB44" w14:textId="27079447" w:rsidR="00AB0B2F" w:rsidRPr="00AB0B2F" w:rsidRDefault="00AB0B2F" w:rsidP="00FF7EBB">
            <w:pPr>
              <w:jc w:val="both"/>
              <w:rPr>
                <w:b/>
                <w:bCs/>
                <w:sz w:val="24"/>
                <w:szCs w:val="24"/>
              </w:rPr>
            </w:pPr>
            <w:r w:rsidRPr="00AB0B2F">
              <w:rPr>
                <w:b/>
                <w:bCs/>
                <w:sz w:val="24"/>
                <w:szCs w:val="24"/>
              </w:rPr>
              <w:t>Word count - 517</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E3E2C67" w14:textId="77777777" w:rsidR="00972F38" w:rsidRPr="003902CE" w:rsidRDefault="00972F38" w:rsidP="00972F38">
            <w:pPr>
              <w:spacing w:line="360" w:lineRule="auto"/>
              <w:jc w:val="both"/>
              <w:rPr>
                <w:sz w:val="24"/>
                <w:szCs w:val="24"/>
              </w:rPr>
            </w:pPr>
            <w:r w:rsidRPr="003902CE">
              <w:rPr>
                <w:sz w:val="24"/>
                <w:szCs w:val="24"/>
              </w:rPr>
              <w:t>The Social Services and Well-being (Wales) Act 2014 (SSWBA,2014) forms the core legal framework for adult safeguarding in Wales. A comparison of the safeguarding procedures for children and adults reveals certain similarities, including the overarching principles of the SSWBA 2014, such as voice and control, prevention and early intervention, well-being, coproduction and multi-agency working (Welsh Government, 2014). However, a significant distinction emerges when comparing the safeguarding procedures for adults and children.</w:t>
            </w:r>
          </w:p>
          <w:p w14:paraId="323A688D" w14:textId="77777777" w:rsidR="00972F38" w:rsidRPr="003902CE" w:rsidRDefault="00972F38" w:rsidP="00972F38">
            <w:pPr>
              <w:spacing w:line="360" w:lineRule="auto"/>
              <w:jc w:val="both"/>
              <w:rPr>
                <w:sz w:val="24"/>
                <w:szCs w:val="24"/>
              </w:rPr>
            </w:pPr>
          </w:p>
          <w:p w14:paraId="05C9A9E4" w14:textId="77777777" w:rsidR="00972F38" w:rsidRDefault="00972F38" w:rsidP="00972F38">
            <w:pPr>
              <w:spacing w:line="360" w:lineRule="auto"/>
              <w:jc w:val="both"/>
              <w:rPr>
                <w:sz w:val="24"/>
                <w:szCs w:val="24"/>
              </w:rPr>
            </w:pPr>
            <w:r w:rsidRPr="003902CE">
              <w:rPr>
                <w:sz w:val="24"/>
                <w:szCs w:val="24"/>
              </w:rPr>
              <w:t>The primary differences between adult and child safeguarding in Wales lie in legal frameworks, autonomy, and the focus of protection. Child safeguarding is more interventionist, assuming children cannot fully protect themselves. Laws like the Children Act 1989 prioritize children's welfare, involving parents or social services to ensure safety due to their developmental stage.</w:t>
            </w:r>
          </w:p>
          <w:p w14:paraId="248739F1" w14:textId="77777777" w:rsidR="00972F38" w:rsidRPr="003902CE" w:rsidRDefault="00972F38" w:rsidP="00972F38">
            <w:pPr>
              <w:spacing w:line="360" w:lineRule="auto"/>
              <w:jc w:val="both"/>
              <w:rPr>
                <w:sz w:val="24"/>
                <w:szCs w:val="24"/>
              </w:rPr>
            </w:pPr>
          </w:p>
          <w:p w14:paraId="08DEA362" w14:textId="77777777" w:rsidR="00370AB8" w:rsidRDefault="00370AB8" w:rsidP="00370AB8">
            <w:pPr>
              <w:spacing w:line="360" w:lineRule="auto"/>
              <w:jc w:val="both"/>
              <w:rPr>
                <w:sz w:val="24"/>
                <w:szCs w:val="24"/>
              </w:rPr>
            </w:pPr>
            <w:r w:rsidRPr="003902CE">
              <w:rPr>
                <w:sz w:val="24"/>
                <w:szCs w:val="24"/>
              </w:rPr>
              <w:t>The Human Rights Act of 1998 recognizes that adults have the right to make their own choices. Generally, adults are considered capable of making decisions unless stated otherwise (Mental Capacity Act, 2005). These circumstances can impose restrictions on an adult's autonomy, yet they retain the right to make their own decisions, irrespective of the opinions of others. Being capable means having the mental ability to understand a choice, remember important information about it, appreciate its consequences, and communicate that choice. The Capacity Act of 2005 gives social workers guidelines to help them evaluate a person's ability to make decisions, especially when someone is facing issues that might affect their decision-making skills. However, this right may be subject to limitations in cases where an adult lacks capacity or is under the provisions of the Mental Health Act 1983 amended 2007.</w:t>
            </w:r>
          </w:p>
          <w:p w14:paraId="458946C8" w14:textId="77777777" w:rsidR="00972F38" w:rsidRPr="003902CE" w:rsidRDefault="00972F38" w:rsidP="00972F38">
            <w:pPr>
              <w:spacing w:line="360" w:lineRule="auto"/>
              <w:jc w:val="both"/>
              <w:rPr>
                <w:sz w:val="24"/>
                <w:szCs w:val="24"/>
              </w:rPr>
            </w:pPr>
          </w:p>
          <w:p w14:paraId="3E6D52C7" w14:textId="7E232E75" w:rsidR="00972F38" w:rsidRDefault="00972F38" w:rsidP="00972F38">
            <w:pPr>
              <w:spacing w:line="360" w:lineRule="auto"/>
              <w:jc w:val="both"/>
              <w:rPr>
                <w:sz w:val="24"/>
                <w:szCs w:val="24"/>
              </w:rPr>
            </w:pPr>
            <w:r w:rsidRPr="003902CE">
              <w:rPr>
                <w:sz w:val="24"/>
                <w:szCs w:val="24"/>
              </w:rPr>
              <w:t xml:space="preserve">In contrast, a child's ability to make informed decisions about risk is not always guaranteed (Smith, 2020). For instance, a young child is unable to ensure their own safety and is therefore reliant on parents or caregivers (Brown, 2019). However, </w:t>
            </w:r>
            <w:r w:rsidR="002F18DC" w:rsidRPr="003902CE">
              <w:rPr>
                <w:sz w:val="24"/>
                <w:szCs w:val="24"/>
              </w:rPr>
              <w:t>in</w:t>
            </w:r>
            <w:r w:rsidRPr="003902CE">
              <w:rPr>
                <w:sz w:val="24"/>
                <w:szCs w:val="24"/>
              </w:rPr>
              <w:t xml:space="preserve"> certain cases, professionals may assess children using the Gillick Competency Evaluation, a process informed by the child's </w:t>
            </w:r>
            <w:r w:rsidRPr="003902CE">
              <w:rPr>
                <w:sz w:val="24"/>
                <w:szCs w:val="24"/>
              </w:rPr>
              <w:lastRenderedPageBreak/>
              <w:t>maturity, age, and capacity (NSPCC,2022</w:t>
            </w:r>
            <w:r w:rsidR="002F18DC" w:rsidRPr="003902CE">
              <w:rPr>
                <w:sz w:val="24"/>
                <w:szCs w:val="24"/>
              </w:rPr>
              <w:t>). While</w:t>
            </w:r>
            <w:r w:rsidRPr="003902CE">
              <w:rPr>
                <w:sz w:val="24"/>
                <w:szCs w:val="24"/>
              </w:rPr>
              <w:t xml:space="preserve"> the SSWBA 2014 obliges social workers to ascertain the child's wishes and feelings under the voice and control principle, these must be overridden when the child is old enough to articulate their wishes (NSPCC, 2024). </w:t>
            </w:r>
          </w:p>
          <w:p w14:paraId="79D9F61F" w14:textId="77777777" w:rsidR="00433C40" w:rsidRPr="003902CE" w:rsidRDefault="00433C40" w:rsidP="00972F38">
            <w:pPr>
              <w:spacing w:line="360" w:lineRule="auto"/>
              <w:jc w:val="both"/>
              <w:rPr>
                <w:sz w:val="24"/>
                <w:szCs w:val="24"/>
              </w:rPr>
            </w:pPr>
          </w:p>
          <w:p w14:paraId="2A1C278F" w14:textId="09E54EE3" w:rsidR="00972F38" w:rsidRDefault="00972F38" w:rsidP="00972F38">
            <w:pPr>
              <w:spacing w:line="360" w:lineRule="auto"/>
              <w:jc w:val="both"/>
              <w:rPr>
                <w:sz w:val="24"/>
                <w:szCs w:val="24"/>
              </w:rPr>
            </w:pPr>
            <w:r w:rsidRPr="003902CE">
              <w:rPr>
                <w:sz w:val="24"/>
                <w:szCs w:val="24"/>
              </w:rPr>
              <w:t>Additionally, while child safeguarding focuses on physical, emotional, and developmental concerns</w:t>
            </w:r>
            <w:r w:rsidR="007A00A6">
              <w:rPr>
                <w:sz w:val="24"/>
                <w:szCs w:val="24"/>
              </w:rPr>
              <w:t xml:space="preserve"> (SSWBA,2014)</w:t>
            </w:r>
            <w:r w:rsidRPr="003902CE">
              <w:rPr>
                <w:sz w:val="24"/>
                <w:szCs w:val="24"/>
              </w:rPr>
              <w:t>, adult safeguarding addresses more complex issues, such as financial exploitation, care neglect, and abuse linked to mental health or cognitive impairments</w:t>
            </w:r>
            <w:sdt>
              <w:sdtPr>
                <w:rPr>
                  <w:sz w:val="24"/>
                  <w:szCs w:val="24"/>
                </w:rPr>
                <w:id w:val="-750579097"/>
                <w:citation/>
              </w:sdtPr>
              <w:sdtContent>
                <w:r w:rsidR="006949D1">
                  <w:rPr>
                    <w:sz w:val="24"/>
                    <w:szCs w:val="24"/>
                  </w:rPr>
                  <w:fldChar w:fldCharType="begin"/>
                </w:r>
                <w:r w:rsidR="006949D1">
                  <w:rPr>
                    <w:sz w:val="24"/>
                    <w:szCs w:val="24"/>
                  </w:rPr>
                  <w:instrText xml:space="preserve"> CITATION Soc20 \l 2057 </w:instrText>
                </w:r>
                <w:r w:rsidR="006949D1">
                  <w:rPr>
                    <w:sz w:val="24"/>
                    <w:szCs w:val="24"/>
                  </w:rPr>
                  <w:fldChar w:fldCharType="separate"/>
                </w:r>
                <w:r w:rsidR="006949D1">
                  <w:rPr>
                    <w:noProof/>
                    <w:sz w:val="24"/>
                    <w:szCs w:val="24"/>
                  </w:rPr>
                  <w:t xml:space="preserve"> </w:t>
                </w:r>
                <w:r w:rsidR="006949D1" w:rsidRPr="006949D1">
                  <w:rPr>
                    <w:noProof/>
                    <w:sz w:val="24"/>
                    <w:szCs w:val="24"/>
                  </w:rPr>
                  <w:t>(Social Care institute of care , 2020)</w:t>
                </w:r>
                <w:r w:rsidR="006949D1">
                  <w:rPr>
                    <w:sz w:val="24"/>
                    <w:szCs w:val="24"/>
                  </w:rPr>
                  <w:fldChar w:fldCharType="end"/>
                </w:r>
              </w:sdtContent>
            </w:sdt>
            <w:r w:rsidRPr="003902CE">
              <w:rPr>
                <w:sz w:val="24"/>
                <w:szCs w:val="24"/>
              </w:rPr>
              <w:t>. The Mental Health Act 1983 provides further protection for adults with mental health conditions.</w:t>
            </w:r>
          </w:p>
          <w:p w14:paraId="15266C6C" w14:textId="77777777" w:rsidR="00972F38" w:rsidRPr="003902CE" w:rsidRDefault="00972F38" w:rsidP="00972F38">
            <w:pPr>
              <w:spacing w:line="360" w:lineRule="auto"/>
              <w:jc w:val="both"/>
              <w:rPr>
                <w:sz w:val="24"/>
                <w:szCs w:val="24"/>
              </w:rPr>
            </w:pPr>
          </w:p>
          <w:p w14:paraId="7E1A2C0B" w14:textId="77777777" w:rsidR="00972F38" w:rsidRPr="003902CE" w:rsidRDefault="00972F38" w:rsidP="00972F38">
            <w:pPr>
              <w:spacing w:line="360" w:lineRule="auto"/>
              <w:jc w:val="both"/>
              <w:rPr>
                <w:sz w:val="24"/>
                <w:szCs w:val="24"/>
              </w:rPr>
            </w:pPr>
            <w:r w:rsidRPr="003902CE">
              <w:rPr>
                <w:sz w:val="24"/>
                <w:szCs w:val="24"/>
              </w:rPr>
              <w:t>Safeguarding in Wales for both adults and children shares a core aim of protecting individuals but differs in approach due to varying levels of autonomy, legal frameworks, and the nature of risks. Adults are afforded greater autonomy, with safeguarding focusing on support, while children require more intervention to ensure protection. Legislation such as the Equality Act 2010, Mental Health Act 1983, and Mental Capacity Act 2005 ensures that both groups are protected while respecting their rights and well-being.</w:t>
            </w:r>
          </w:p>
          <w:p w14:paraId="1AA3081F" w14:textId="52B0F429" w:rsidR="00FC0334" w:rsidRDefault="00FC0334" w:rsidP="002F18DC">
            <w:pPr>
              <w:tabs>
                <w:tab w:val="left" w:pos="6340"/>
              </w:tabs>
              <w:jc w:val="both"/>
              <w:rPr>
                <w:sz w:val="24"/>
                <w:szCs w:val="24"/>
              </w:rPr>
            </w:pPr>
          </w:p>
          <w:p w14:paraId="7B7B4827" w14:textId="77777777" w:rsidR="00FC0334" w:rsidRPr="002F18DC" w:rsidRDefault="00FC0334" w:rsidP="00FC0334">
            <w:pPr>
              <w:jc w:val="both"/>
              <w:rPr>
                <w:b/>
                <w:bCs/>
                <w:sz w:val="24"/>
                <w:szCs w:val="24"/>
              </w:rPr>
            </w:pPr>
          </w:p>
          <w:p w14:paraId="438BF787" w14:textId="5B7C1424" w:rsidR="00FC0334" w:rsidRPr="002F18DC" w:rsidRDefault="002F18DC" w:rsidP="00FC0334">
            <w:pPr>
              <w:jc w:val="both"/>
              <w:rPr>
                <w:b/>
                <w:bCs/>
                <w:sz w:val="24"/>
                <w:szCs w:val="24"/>
              </w:rPr>
            </w:pPr>
            <w:r w:rsidRPr="002F18DC">
              <w:rPr>
                <w:b/>
                <w:bCs/>
                <w:sz w:val="24"/>
                <w:szCs w:val="24"/>
              </w:rPr>
              <w:t>Word Count 486</w:t>
            </w: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DA567" w14:textId="77777777" w:rsidR="005E6A03" w:rsidRDefault="005E6A03">
      <w:r>
        <w:separator/>
      </w:r>
    </w:p>
  </w:endnote>
  <w:endnote w:type="continuationSeparator" w:id="0">
    <w:p w14:paraId="2790F95E" w14:textId="77777777" w:rsidR="005E6A03" w:rsidRDefault="005E6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CDC10" w14:textId="77777777" w:rsidR="005E6A03" w:rsidRDefault="005E6A03">
      <w:r>
        <w:separator/>
      </w:r>
    </w:p>
  </w:footnote>
  <w:footnote w:type="continuationSeparator" w:id="0">
    <w:p w14:paraId="28AEFE1F" w14:textId="77777777" w:rsidR="005E6A03" w:rsidRDefault="005E6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DA7"/>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8D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0AB8"/>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C40"/>
    <w:rsid w:val="004348AE"/>
    <w:rsid w:val="004376C0"/>
    <w:rsid w:val="0044223A"/>
    <w:rsid w:val="00450B67"/>
    <w:rsid w:val="00450F49"/>
    <w:rsid w:val="00451851"/>
    <w:rsid w:val="0045189A"/>
    <w:rsid w:val="00453343"/>
    <w:rsid w:val="00453869"/>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6A03"/>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49D1"/>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00A6"/>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2F38"/>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0B2F"/>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9EE"/>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519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Soc20</b:Tag>
    <b:SourceType>Book</b:SourceType>
    <b:Guid>{A497AF4E-6545-4DE5-A156-12D6B624B3CA}</b:Guid>
    <b:Author>
      <b:Author>
        <b:Corporate>Social Care institute of care </b:Corporate>
      </b:Author>
    </b:Author>
    <b:Title>Types and indicators  of Abuse </b:Title>
    <b:Year>2020</b:Year>
    <b:Publisher>https://www.scie.org.uk/safeguarding/adults/introduction/types-and-indicators-of-abuse/</b:Publisher>
    <b:RefOrder>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313D-E822-4426-9622-25F2ED48ECD3}">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15</TotalTime>
  <Pages>5</Pages>
  <Words>1220</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Norman</cp:lastModifiedBy>
  <cp:revision>10</cp:revision>
  <cp:lastPrinted>2020-02-11T19:20:00Z</cp:lastPrinted>
  <dcterms:created xsi:type="dcterms:W3CDTF">2025-02-18T23:04:00Z</dcterms:created>
  <dcterms:modified xsi:type="dcterms:W3CDTF">2025-02-19T00:33:00Z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