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4A71573" w:rsidR="00986B43" w:rsidRPr="000755C9" w:rsidRDefault="00986B43" w:rsidP="005D3F07">
            <w:pPr>
              <w:overflowPunct/>
              <w:autoSpaceDE/>
              <w:autoSpaceDN/>
              <w:adjustRightInd/>
              <w:ind w:right="-957"/>
              <w:textAlignment w:val="auto"/>
              <w:rPr>
                <w:rFonts w:ascii="Times New Roman" w:hAnsi="Times New Roman" w:cs="Times New Roman"/>
                <w:b/>
                <w:color w:val="auto"/>
                <w:sz w:val="36"/>
                <w:szCs w:val="36"/>
              </w:rPr>
            </w:pPr>
            <w:r w:rsidRPr="000755C9">
              <w:rPr>
                <w:rFonts w:ascii="Times New Roman" w:hAnsi="Times New Roman" w:cs="Times New Roman"/>
                <w:b/>
                <w:color w:val="auto"/>
                <w:sz w:val="36"/>
                <w:szCs w:val="36"/>
              </w:rPr>
              <w:t>Learner’s name:</w:t>
            </w:r>
            <w:r w:rsidR="00247265" w:rsidRPr="000755C9">
              <w:rPr>
                <w:rFonts w:ascii="Times New Roman" w:hAnsi="Times New Roman" w:cs="Times New Roman"/>
                <w:b/>
                <w:color w:val="auto"/>
                <w:sz w:val="36"/>
                <w:szCs w:val="36"/>
              </w:rPr>
              <w:t xml:space="preserve"> </w:t>
            </w:r>
            <w:r w:rsidR="00F03F3C" w:rsidRPr="000755C9">
              <w:rPr>
                <w:rFonts w:ascii="Times New Roman" w:hAnsi="Times New Roman" w:cs="Times New Roman"/>
                <w:b/>
                <w:color w:val="auto"/>
                <w:sz w:val="36"/>
                <w:szCs w:val="36"/>
              </w:rPr>
              <w:t>Eleanor Barc</w:t>
            </w:r>
            <w:r w:rsidR="00D4427A" w:rsidRPr="000755C9">
              <w:rPr>
                <w:rFonts w:ascii="Times New Roman" w:hAnsi="Times New Roman" w:cs="Times New Roman"/>
                <w:b/>
                <w:color w:val="auto"/>
                <w:sz w:val="36"/>
                <w:szCs w:val="36"/>
              </w:rPr>
              <w:t>lay</w:t>
            </w:r>
          </w:p>
          <w:p w14:paraId="0B6CD0DB" w14:textId="689515B5" w:rsidR="009C337F" w:rsidRPr="000755C9" w:rsidRDefault="009C337F" w:rsidP="005D3F07">
            <w:pPr>
              <w:overflowPunct/>
              <w:autoSpaceDE/>
              <w:autoSpaceDN/>
              <w:adjustRightInd/>
              <w:ind w:right="-957"/>
              <w:textAlignment w:val="auto"/>
              <w:rPr>
                <w:rFonts w:ascii="Times New Roman" w:hAnsi="Times New Roman" w:cs="Times New Roman"/>
                <w:b/>
                <w:color w:val="auto"/>
                <w:sz w:val="36"/>
                <w:szCs w:val="36"/>
              </w:rPr>
            </w:pPr>
          </w:p>
          <w:p w14:paraId="3A6EAAC7" w14:textId="76BCEA2C" w:rsidR="009C337F" w:rsidRPr="007C30FB" w:rsidRDefault="009C337F" w:rsidP="007C30FB">
            <w:pPr>
              <w:ind w:right="-957"/>
              <w:rPr>
                <w:rFonts w:ascii="Times New Roman" w:hAnsi="Times New Roman" w:cs="Times New Roman"/>
                <w:b/>
                <w:sz w:val="36"/>
                <w:szCs w:val="36"/>
              </w:rPr>
            </w:pPr>
            <w:r w:rsidRPr="000755C9">
              <w:rPr>
                <w:rFonts w:ascii="Times New Roman" w:hAnsi="Times New Roman" w:cs="Times New Roman"/>
                <w:b/>
                <w:color w:val="auto"/>
                <w:sz w:val="36"/>
                <w:szCs w:val="36"/>
              </w:rPr>
              <w:t>Email address:</w:t>
            </w:r>
            <w:r w:rsidR="007C30FB">
              <w:rPr>
                <w:rFonts w:ascii="Times New Roman" w:hAnsi="Times New Roman" w:cs="Times New Roman"/>
                <w:b/>
                <w:color w:val="auto"/>
                <w:sz w:val="36"/>
                <w:szCs w:val="36"/>
              </w:rPr>
              <w:t xml:space="preserve"> </w:t>
            </w:r>
            <w:hyperlink r:id="rId12" w:history="1">
              <w:r w:rsidR="007C30FB" w:rsidRPr="00910D1D">
                <w:rPr>
                  <w:rStyle w:val="Hyperlink"/>
                  <w:rFonts w:ascii="Times New Roman" w:hAnsi="Times New Roman" w:cs="Times New Roman"/>
                  <w:b/>
                  <w:color w:val="0D0D0D" w:themeColor="text1" w:themeTint="F2"/>
                  <w:sz w:val="36"/>
                  <w:szCs w:val="36"/>
                </w:rPr>
                <w:t>2419617@student.uwtsd.ac.uk</w:t>
              </w:r>
            </w:hyperlink>
            <w:r w:rsidR="007C30FB" w:rsidRPr="00910D1D">
              <w:rPr>
                <w:rFonts w:ascii="Times New Roman" w:hAnsi="Times New Roman" w:cs="Times New Roman"/>
                <w:b/>
                <w:color w:val="0D0D0D" w:themeColor="text1" w:themeTint="F2"/>
                <w:sz w:val="36"/>
                <w:szCs w:val="36"/>
              </w:rPr>
              <w:t> </w:t>
            </w:r>
          </w:p>
          <w:p w14:paraId="22E38809" w14:textId="77777777" w:rsidR="00986B43" w:rsidRPr="000755C9" w:rsidRDefault="00986B43" w:rsidP="005D3F07">
            <w:pPr>
              <w:overflowPunct/>
              <w:autoSpaceDE/>
              <w:autoSpaceDN/>
              <w:adjustRightInd/>
              <w:ind w:right="-957"/>
              <w:textAlignment w:val="auto"/>
              <w:rPr>
                <w:rFonts w:ascii="Times New Roman" w:hAnsi="Times New Roman" w:cs="Times New Roman"/>
                <w:b/>
                <w:color w:val="auto"/>
                <w:sz w:val="36"/>
                <w:szCs w:val="36"/>
              </w:rPr>
            </w:pPr>
          </w:p>
          <w:p w14:paraId="0DE696B2" w14:textId="3324137D" w:rsidR="00F927A1" w:rsidRPr="000755C9" w:rsidRDefault="0085230E" w:rsidP="005D3F07">
            <w:pPr>
              <w:overflowPunct/>
              <w:autoSpaceDE/>
              <w:autoSpaceDN/>
              <w:adjustRightInd/>
              <w:ind w:right="-957"/>
              <w:textAlignment w:val="auto"/>
              <w:rPr>
                <w:rFonts w:ascii="Times New Roman" w:hAnsi="Times New Roman" w:cs="Times New Roman"/>
                <w:b/>
                <w:color w:val="auto"/>
                <w:sz w:val="36"/>
                <w:szCs w:val="36"/>
              </w:rPr>
            </w:pPr>
            <w:r w:rsidRPr="000755C9">
              <w:rPr>
                <w:rFonts w:ascii="Times New Roman" w:hAnsi="Times New Roman" w:cs="Times New Roman"/>
                <w:b/>
                <w:color w:val="auto"/>
                <w:sz w:val="36"/>
                <w:szCs w:val="36"/>
              </w:rPr>
              <w:t>Learner’s University Registration</w:t>
            </w:r>
            <w:r w:rsidR="00F927A1" w:rsidRPr="000755C9">
              <w:rPr>
                <w:rFonts w:ascii="Times New Roman" w:hAnsi="Times New Roman" w:cs="Times New Roman"/>
                <w:b/>
                <w:color w:val="auto"/>
                <w:sz w:val="36"/>
                <w:szCs w:val="36"/>
              </w:rPr>
              <w:t xml:space="preserve"> Number:</w:t>
            </w:r>
            <w:r w:rsidR="007C30FB">
              <w:rPr>
                <w:rFonts w:ascii="Times New Roman" w:hAnsi="Times New Roman" w:cs="Times New Roman"/>
                <w:b/>
                <w:color w:val="auto"/>
                <w:sz w:val="36"/>
                <w:szCs w:val="36"/>
              </w:rPr>
              <w:t xml:space="preserve"> 2419617</w:t>
            </w:r>
          </w:p>
          <w:p w14:paraId="622FD17A" w14:textId="77777777" w:rsidR="0085230E" w:rsidRPr="000755C9" w:rsidRDefault="0085230E" w:rsidP="005D3F07">
            <w:pPr>
              <w:overflowPunct/>
              <w:autoSpaceDE/>
              <w:autoSpaceDN/>
              <w:adjustRightInd/>
              <w:ind w:right="-957"/>
              <w:textAlignment w:val="auto"/>
              <w:rPr>
                <w:rFonts w:ascii="Times New Roman" w:hAnsi="Times New Roman" w:cs="Times New Roman"/>
                <w:b/>
                <w:color w:val="auto"/>
                <w:sz w:val="36"/>
                <w:szCs w:val="36"/>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0755C9">
              <w:rPr>
                <w:rFonts w:ascii="Times New Roman" w:hAnsi="Times New Roman" w:cs="Times New Roman"/>
                <w:b/>
                <w:color w:val="auto"/>
                <w:sz w:val="36"/>
                <w:szCs w:val="36"/>
              </w:rPr>
              <w:t xml:space="preserve">Cohort: </w:t>
            </w:r>
            <w:r w:rsidR="00B037B0" w:rsidRPr="000755C9">
              <w:rPr>
                <w:rFonts w:ascii="Times New Roman" w:hAnsi="Times New Roman" w:cs="Times New Roman"/>
                <w:b/>
                <w:color w:val="auto"/>
                <w:sz w:val="36"/>
                <w:szCs w:val="36"/>
              </w:rPr>
              <w:t>21</w:t>
            </w:r>
            <w:r w:rsidR="00AE6231" w:rsidRPr="000755C9">
              <w:rPr>
                <w:rFonts w:ascii="Times New Roman" w:hAnsi="Times New Roman" w:cs="Times New Roman"/>
                <w:b/>
                <w:color w:val="auto"/>
                <w:sz w:val="36"/>
                <w:szCs w:val="3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w:t>
            </w:r>
            <w:r w:rsidR="00354B6D" w:rsidRPr="00D11BD9">
              <w:rPr>
                <w:sz w:val="24"/>
                <w:szCs w:val="24"/>
              </w:rPr>
              <w:t>erstanding of</w:t>
            </w:r>
            <w:r w:rsidR="00F34C86" w:rsidRPr="00D11BD9">
              <w:rPr>
                <w:sz w:val="24"/>
                <w:szCs w:val="24"/>
              </w:rPr>
              <w:t xml:space="preserve"> </w:t>
            </w:r>
            <w:r w:rsidR="00411EF7" w:rsidRPr="00D11BD9">
              <w:rPr>
                <w:sz w:val="24"/>
                <w:szCs w:val="24"/>
              </w:rPr>
              <w:t xml:space="preserve">the </w:t>
            </w:r>
            <w:r w:rsidR="00216563" w:rsidRPr="00D11BD9">
              <w:rPr>
                <w:sz w:val="24"/>
                <w:szCs w:val="24"/>
              </w:rPr>
              <w:t xml:space="preserve">integration of </w:t>
            </w:r>
            <w:r w:rsidR="6A854C79" w:rsidRPr="00D11BD9">
              <w:rPr>
                <w:sz w:val="24"/>
                <w:szCs w:val="24"/>
              </w:rPr>
              <w:t>analysis in asses</w:t>
            </w:r>
            <w:r w:rsidR="0F77E214" w:rsidRPr="00D11BD9">
              <w:rPr>
                <w:sz w:val="24"/>
                <w:szCs w:val="24"/>
              </w:rPr>
              <w:t>sment, collabo</w:t>
            </w:r>
            <w:r w:rsidR="6A854C79" w:rsidRPr="00D11BD9">
              <w:rPr>
                <w:sz w:val="24"/>
                <w:szCs w:val="24"/>
              </w:rPr>
              <w:t>rative work</w:t>
            </w:r>
            <w:r w:rsidR="0F77E214" w:rsidRPr="00D11BD9">
              <w:rPr>
                <w:sz w:val="24"/>
                <w:szCs w:val="24"/>
              </w:rPr>
              <w:t>ing</w:t>
            </w:r>
            <w:r w:rsidR="6A854C79" w:rsidRPr="00D11BD9">
              <w:rPr>
                <w:sz w:val="24"/>
                <w:szCs w:val="24"/>
              </w:rPr>
              <w:t xml:space="preserve"> a</w:t>
            </w:r>
            <w:r w:rsidR="0F77E214" w:rsidRPr="00D11BD9">
              <w:rPr>
                <w:sz w:val="24"/>
                <w:szCs w:val="24"/>
              </w:rPr>
              <w:t xml:space="preserve">nd </w:t>
            </w:r>
            <w:r w:rsidR="6A854C79" w:rsidRPr="00D11BD9">
              <w:rPr>
                <w:sz w:val="24"/>
                <w:szCs w:val="24"/>
              </w:rPr>
              <w:t>professional</w:t>
            </w:r>
            <w:r w:rsidR="00F34C86" w:rsidRPr="00D11BD9">
              <w:rPr>
                <w:sz w:val="24"/>
                <w:szCs w:val="24"/>
              </w:rPr>
              <w:t xml:space="preserve"> </w:t>
            </w:r>
            <w:r w:rsidR="00216563" w:rsidRPr="00D11BD9">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7CBF307" w14:textId="77777777" w:rsidR="00873D43" w:rsidRDefault="00873D43" w:rsidP="00FF7EBB">
            <w:pPr>
              <w:jc w:val="both"/>
              <w:rPr>
                <w:i/>
                <w:sz w:val="24"/>
                <w:szCs w:val="24"/>
              </w:rPr>
            </w:pPr>
          </w:p>
          <w:p w14:paraId="77E43EAF" w14:textId="77777777" w:rsidR="00873D43" w:rsidRDefault="00873D43" w:rsidP="00FF7EBB">
            <w:pPr>
              <w:jc w:val="both"/>
              <w:rPr>
                <w:i/>
                <w:sz w:val="24"/>
                <w:szCs w:val="24"/>
              </w:rPr>
            </w:pPr>
          </w:p>
          <w:p w14:paraId="2FC9F341" w14:textId="77777777" w:rsidR="00873D43" w:rsidRPr="00203127" w:rsidRDefault="00873D43" w:rsidP="00FF7EBB">
            <w:pPr>
              <w:jc w:val="both"/>
              <w:rPr>
                <w:i/>
                <w:sz w:val="24"/>
                <w:szCs w:val="24"/>
              </w:rPr>
            </w:pPr>
          </w:p>
          <w:p w14:paraId="4593B2EE" w14:textId="24624910" w:rsidR="009868DC" w:rsidRPr="009868DC" w:rsidRDefault="009868DC" w:rsidP="009868DC">
            <w:pPr>
              <w:spacing w:after="160" w:line="360" w:lineRule="auto"/>
              <w:rPr>
                <w:sz w:val="24"/>
                <w:szCs w:val="24"/>
              </w:rPr>
            </w:pPr>
            <w:r w:rsidRPr="009868DC">
              <w:rPr>
                <w:sz w:val="24"/>
                <w:szCs w:val="24"/>
              </w:rPr>
              <w:t>Within this essay I will critically reflect upon a safeguarding assessment I undertook within my role as a social worker in a statutory Child and Family Local Authority service in Wales. The case involved five children who were registered on the Child Protection Register under the categories of neglect and physical harm. To maintain confidentiality, I have anonymised the children and family and will refer to the children as Persons 1, 2, 3, 4 and 5, their mother as Person 6 and their father as Person 7. Maintaining confidentiality is an important professional responsibility and reflects the Social Care Wales Code of Professional Practice (Social Care Wales, 2026), Section2.3 regarding respecting confidential information and only accessing and using it to carry out my professional role.</w:t>
            </w:r>
          </w:p>
          <w:p w14:paraId="4E4425C2" w14:textId="3DCDF87C" w:rsidR="009868DC" w:rsidRPr="009868DC" w:rsidRDefault="009868DC" w:rsidP="009868DC">
            <w:pPr>
              <w:spacing w:after="160" w:line="360" w:lineRule="auto"/>
              <w:rPr>
                <w:sz w:val="24"/>
                <w:szCs w:val="24"/>
              </w:rPr>
            </w:pPr>
            <w:r w:rsidRPr="009868DC">
              <w:rPr>
                <w:sz w:val="24"/>
                <w:szCs w:val="24"/>
              </w:rPr>
              <w:t xml:space="preserve">Critical reflection requires me to move beyond describing what happened and consider why I made particular decisions. Reflecting on this case, I recognise that an important area of my professional development has been moving from gathering and describing information towards analysing information, considering competing hypotheses and making defensible </w:t>
            </w:r>
            <w:r w:rsidRPr="009868DC">
              <w:rPr>
                <w:sz w:val="24"/>
                <w:szCs w:val="24"/>
              </w:rPr>
              <w:lastRenderedPageBreak/>
              <w:t>professional judgement</w:t>
            </w:r>
            <w:r w:rsidR="00CC0337">
              <w:rPr>
                <w:sz w:val="24"/>
                <w:szCs w:val="24"/>
              </w:rPr>
              <w:t>s</w:t>
            </w:r>
            <w:r w:rsidRPr="009868DC">
              <w:rPr>
                <w:sz w:val="24"/>
                <w:szCs w:val="24"/>
              </w:rPr>
              <w:t>. This case demonstrates the integration of the three learning areas of analysis in assessment, collaborative working and professional judgement in increasingly complex situations.</w:t>
            </w:r>
          </w:p>
          <w:p w14:paraId="27696064" w14:textId="07F0C038" w:rsidR="009868DC" w:rsidRPr="009868DC" w:rsidRDefault="009868DC" w:rsidP="009868DC">
            <w:pPr>
              <w:spacing w:after="160" w:line="360" w:lineRule="auto"/>
              <w:rPr>
                <w:sz w:val="24"/>
                <w:szCs w:val="24"/>
              </w:rPr>
            </w:pPr>
            <w:r w:rsidRPr="009868DC">
              <w:rPr>
                <w:sz w:val="24"/>
                <w:szCs w:val="24"/>
              </w:rPr>
              <w:t>My practice was underpinned by the legislative and policy context of Wales, including the Social Services and</w:t>
            </w:r>
            <w:r w:rsidR="00CC0337">
              <w:rPr>
                <w:sz w:val="24"/>
                <w:szCs w:val="24"/>
              </w:rPr>
              <w:t xml:space="preserve"> </w:t>
            </w:r>
            <w:r w:rsidRPr="009868DC">
              <w:rPr>
                <w:sz w:val="24"/>
                <w:szCs w:val="24"/>
              </w:rPr>
              <w:t>Well-being (Wales) Act 2014 (SSWBA), Wales Safeguarding</w:t>
            </w:r>
            <w:r>
              <w:rPr>
                <w:sz w:val="24"/>
                <w:szCs w:val="24"/>
              </w:rPr>
              <w:t xml:space="preserve"> </w:t>
            </w:r>
            <w:r w:rsidRPr="009868DC">
              <w:rPr>
                <w:sz w:val="24"/>
                <w:szCs w:val="24"/>
              </w:rPr>
              <w:t>Procedures (2019), Working Together to Safeguard</w:t>
            </w:r>
            <w:r>
              <w:rPr>
                <w:sz w:val="24"/>
                <w:szCs w:val="24"/>
              </w:rPr>
              <w:t xml:space="preserve"> </w:t>
            </w:r>
            <w:r w:rsidRPr="009868DC">
              <w:rPr>
                <w:sz w:val="24"/>
                <w:szCs w:val="24"/>
              </w:rPr>
              <w:t>People, the Children Act 1989, Human Rights Act 1998 and the United Nations Convention on the Rights of the</w:t>
            </w:r>
            <w:r>
              <w:rPr>
                <w:sz w:val="24"/>
                <w:szCs w:val="24"/>
              </w:rPr>
              <w:t xml:space="preserve"> </w:t>
            </w:r>
            <w:r w:rsidRPr="009868DC">
              <w:rPr>
                <w:sz w:val="24"/>
                <w:szCs w:val="24"/>
              </w:rPr>
              <w:t>Child (UNCRC</w:t>
            </w:r>
            <w:r w:rsidR="00CC0337">
              <w:rPr>
                <w:sz w:val="24"/>
                <w:szCs w:val="24"/>
              </w:rPr>
              <w:t>, 1989</w:t>
            </w:r>
            <w:r w:rsidRPr="009868DC">
              <w:rPr>
                <w:sz w:val="24"/>
                <w:szCs w:val="24"/>
              </w:rPr>
              <w:t>). I will consider how the Welsh principles of well-being, voice and control, prevention, early intervention and co-production influenced my practice whilst balancing these with my statutory safeguarding responsibilities. I will further draw upon Signs of Safety (Turnell and Edwards, 1999), relational social work theory</w:t>
            </w:r>
            <w:r>
              <w:rPr>
                <w:sz w:val="24"/>
                <w:szCs w:val="24"/>
              </w:rPr>
              <w:t xml:space="preserve"> </w:t>
            </w:r>
            <w:r w:rsidRPr="009868DC">
              <w:rPr>
                <w:sz w:val="24"/>
                <w:szCs w:val="24"/>
              </w:rPr>
              <w:t>(Ruch, Turney and Ward, 2010), strengths-based (Saleebey, 2013) and systemic approaches (Walker and Beckett, 2011),</w:t>
            </w:r>
            <w:r w:rsidRPr="009868DC">
              <w:rPr>
                <w:sz w:val="24"/>
                <w:szCs w:val="24"/>
              </w:rPr>
              <w:br/>
              <w:t>Bronfenbrenner’s ecological systems theory (Bronfenbrenner, 1979), Winnicott’s concept of ‘good enough’ parenting (Winnicott, 1953), anti-oppressive practice (Dominelli, 2002) and research concerning child-centred safeguarding (Munro, 2011). I will also critically reflect upon how supervision supported my decision-making and professional development.</w:t>
            </w:r>
          </w:p>
          <w:p w14:paraId="10A398CC" w14:textId="57AABE8D" w:rsidR="009868DC" w:rsidRPr="009868DC" w:rsidRDefault="009868DC" w:rsidP="009868DC">
            <w:pPr>
              <w:spacing w:after="160" w:line="360" w:lineRule="auto"/>
              <w:rPr>
                <w:sz w:val="24"/>
                <w:szCs w:val="24"/>
              </w:rPr>
            </w:pPr>
            <w:r w:rsidRPr="009868DC">
              <w:rPr>
                <w:sz w:val="24"/>
                <w:szCs w:val="24"/>
              </w:rPr>
              <w:t>Persons 1–5 lived with Persons 6 and 7 within a rural area of Wales. Persons 1, 2 and 3 received Welsh-medium education and Person 7 was a first-language Welsh speaker, whereas Person 6 was a first-language English speaker. This was important when considering the Welsh context of my practice. In accordance with ‘More than just words’ (2022–2027), I considered the Active Offer and ensured Welsh-language provision was proactively offered rather than requiring the family to request this. The family decided that they wanted services delivered in</w:t>
            </w:r>
            <w:r>
              <w:rPr>
                <w:sz w:val="24"/>
                <w:szCs w:val="24"/>
              </w:rPr>
              <w:t xml:space="preserve"> </w:t>
            </w:r>
            <w:r w:rsidRPr="009868DC">
              <w:rPr>
                <w:sz w:val="24"/>
                <w:szCs w:val="24"/>
              </w:rPr>
              <w:t xml:space="preserve">English as this was the language understood by both parents. Reflecting on this, I recognise that language should not simply be considered an </w:t>
            </w:r>
            <w:r w:rsidR="008A514C">
              <w:rPr>
                <w:sz w:val="24"/>
                <w:szCs w:val="24"/>
              </w:rPr>
              <w:t>‘</w:t>
            </w:r>
            <w:r w:rsidRPr="009868DC">
              <w:rPr>
                <w:sz w:val="24"/>
                <w:szCs w:val="24"/>
              </w:rPr>
              <w:t>administrative preference</w:t>
            </w:r>
            <w:r w:rsidR="008A514C">
              <w:rPr>
                <w:sz w:val="24"/>
                <w:szCs w:val="24"/>
              </w:rPr>
              <w:t>’ as t</w:t>
            </w:r>
            <w:r w:rsidRPr="009868DC">
              <w:rPr>
                <w:sz w:val="24"/>
                <w:szCs w:val="24"/>
              </w:rPr>
              <w:t>he </w:t>
            </w:r>
            <w:r w:rsidRPr="009868DC">
              <w:rPr>
                <w:i/>
                <w:iCs/>
                <w:sz w:val="24"/>
                <w:szCs w:val="24"/>
              </w:rPr>
              <w:t>More than just words</w:t>
            </w:r>
            <w:r w:rsidRPr="009868DC">
              <w:rPr>
                <w:sz w:val="24"/>
                <w:szCs w:val="24"/>
              </w:rPr>
              <w:t xml:space="preserve"> plan emphasises that receiving care through Welsh can make a significant difference to people’s experience, well-being and ability to access appropriate services, and that Welsh-language services should be offered without people having to ask for them (Welsh Government, 2022). This reflects the Social Care Wales Code of Professional Practice (Social Care Wales, 2026) 1.1, which requires </w:t>
            </w:r>
            <w:r w:rsidRPr="009868DC">
              <w:rPr>
                <w:sz w:val="24"/>
                <w:szCs w:val="24"/>
              </w:rPr>
              <w:lastRenderedPageBreak/>
              <w:t>person-centred practice that respects culture, and 1.4, supporting individuals and carers to communicate their views and choices.</w:t>
            </w:r>
          </w:p>
          <w:p w14:paraId="291F2E7F" w14:textId="3BF61ADF" w:rsidR="009868DC" w:rsidRPr="009868DC" w:rsidRDefault="009868DC" w:rsidP="009868DC">
            <w:pPr>
              <w:spacing w:after="160" w:line="360" w:lineRule="auto"/>
              <w:rPr>
                <w:sz w:val="24"/>
                <w:szCs w:val="24"/>
              </w:rPr>
            </w:pPr>
            <w:r w:rsidRPr="009868DC">
              <w:rPr>
                <w:sz w:val="24"/>
                <w:szCs w:val="24"/>
              </w:rPr>
              <w:t>When the case was allocated to me, an Assessment for Care and Support (SSWB Act, 2014) and Section 47 enquiries under the Children Act (1989) had already been completed. A strategy discussion and Initial Child</w:t>
            </w:r>
            <w:r w:rsidR="007602E7">
              <w:rPr>
                <w:sz w:val="24"/>
                <w:szCs w:val="24"/>
              </w:rPr>
              <w:t xml:space="preserve"> </w:t>
            </w:r>
            <w:r w:rsidRPr="009868DC">
              <w:rPr>
                <w:sz w:val="24"/>
                <w:szCs w:val="24"/>
              </w:rPr>
              <w:t>Protection Conference resulted in Persons 1–5 being registered due to concerns regarding neglect and physical</w:t>
            </w:r>
            <w:r>
              <w:rPr>
                <w:sz w:val="24"/>
                <w:szCs w:val="24"/>
              </w:rPr>
              <w:t xml:space="preserve"> </w:t>
            </w:r>
            <w:r w:rsidRPr="009868DC">
              <w:rPr>
                <w:sz w:val="24"/>
                <w:szCs w:val="24"/>
              </w:rPr>
              <w:t>harm. I undertook a case handover with the assessing social worker and familiarised myself with the assessment, chronology, previous case records, Child Protection Conference report and Care and Support Protection Plan.</w:t>
            </w:r>
            <w:r>
              <w:rPr>
                <w:sz w:val="24"/>
                <w:szCs w:val="24"/>
              </w:rPr>
              <w:t xml:space="preserve"> </w:t>
            </w:r>
            <w:r w:rsidR="007602E7">
              <w:rPr>
                <w:sz w:val="24"/>
                <w:szCs w:val="24"/>
              </w:rPr>
              <w:t xml:space="preserve">I </w:t>
            </w:r>
            <w:r w:rsidRPr="009868DC">
              <w:rPr>
                <w:sz w:val="24"/>
                <w:szCs w:val="24"/>
              </w:rPr>
              <w:t>consider this as gathering background information. However, I now recognise the chronology as an analytical safeguarding tool. Individual incidents can appear less significant when viewed separately, particularly with neglect, whereas considering patterns over time enable</w:t>
            </w:r>
            <w:r w:rsidR="003F030D">
              <w:rPr>
                <w:sz w:val="24"/>
                <w:szCs w:val="24"/>
              </w:rPr>
              <w:t>d</w:t>
            </w:r>
            <w:r w:rsidRPr="009868DC">
              <w:rPr>
                <w:sz w:val="24"/>
                <w:szCs w:val="24"/>
              </w:rPr>
              <w:t xml:space="preserve"> me to assess cumulative harm and whether concerns are escalating or reducing.</w:t>
            </w:r>
          </w:p>
          <w:p w14:paraId="37684EC2" w14:textId="77777777" w:rsidR="00DB517D" w:rsidRDefault="009868DC" w:rsidP="009868DC">
            <w:pPr>
              <w:spacing w:after="160" w:line="360" w:lineRule="auto"/>
              <w:rPr>
                <w:sz w:val="24"/>
                <w:szCs w:val="24"/>
              </w:rPr>
            </w:pPr>
            <w:r w:rsidRPr="009868DC">
              <w:rPr>
                <w:sz w:val="24"/>
                <w:szCs w:val="24"/>
              </w:rPr>
              <w:t>The Social Services and Well-being (Wales) Act 2014 provides the central legislative framework for social services in Wales and places well-being, voice and control, prevention, early intervention and co-production at the centre of practice (Social Services and Well-being (Wales) Act 2014; Welsh Government, 2015). Section 47 of the Children Act</w:t>
            </w:r>
            <w:r w:rsidRPr="009868DC">
              <w:rPr>
                <w:sz w:val="24"/>
                <w:szCs w:val="24"/>
              </w:rPr>
              <w:br/>
              <w:t>1989 places a duty upon the Local Authority to make enquiries where there is reasonable cause to suspect that a child is suffering or likely to suffer significant harm. In Wales where the Local Authority is made aware that a child is at risk of, or is experiencing, harm from either neglect, physical, emotional/psychological, sexual, or financial abuse the Local Authority has a duty to investigate the worry of risk of harm to a child under Section 47 of the</w:t>
            </w:r>
            <w:r>
              <w:rPr>
                <w:sz w:val="24"/>
                <w:szCs w:val="24"/>
              </w:rPr>
              <w:t xml:space="preserve"> </w:t>
            </w:r>
            <w:r w:rsidRPr="009868DC">
              <w:rPr>
                <w:sz w:val="24"/>
                <w:szCs w:val="24"/>
              </w:rPr>
              <w:t xml:space="preserve">Children Act (1989) (Wales Safeguarding Procedures, 2019; Section 130, SSWB Act, 2014). A strategy discussion had taken place and an Initial Child Protection Conference had been undertaken, prior to being allocated to me, where 1, 2, 3, 4 and 5 were registered on the child protection register as being at risk of or suffering the harms of neglect and physical abuse. </w:t>
            </w:r>
          </w:p>
          <w:p w14:paraId="2C479308" w14:textId="773EEA2B" w:rsidR="009868DC" w:rsidRPr="009868DC" w:rsidRDefault="00C81C15" w:rsidP="009868DC">
            <w:pPr>
              <w:spacing w:after="160" w:line="360" w:lineRule="auto"/>
              <w:rPr>
                <w:sz w:val="24"/>
                <w:szCs w:val="24"/>
              </w:rPr>
            </w:pPr>
            <w:r>
              <w:rPr>
                <w:sz w:val="24"/>
                <w:szCs w:val="24"/>
              </w:rPr>
              <w:t xml:space="preserve">In supervision I have been able to reflect on the </w:t>
            </w:r>
            <w:r w:rsidR="009868DC" w:rsidRPr="009868DC">
              <w:rPr>
                <w:sz w:val="24"/>
                <w:szCs w:val="24"/>
              </w:rPr>
              <w:t xml:space="preserve">tension </w:t>
            </w:r>
            <w:r>
              <w:rPr>
                <w:sz w:val="24"/>
                <w:szCs w:val="24"/>
              </w:rPr>
              <w:t>between c</w:t>
            </w:r>
            <w:r w:rsidR="009868DC" w:rsidRPr="009868DC">
              <w:rPr>
                <w:sz w:val="24"/>
                <w:szCs w:val="24"/>
              </w:rPr>
              <w:t xml:space="preserve">o-production </w:t>
            </w:r>
            <w:r w:rsidR="00861ED8">
              <w:rPr>
                <w:sz w:val="24"/>
                <w:szCs w:val="24"/>
              </w:rPr>
              <w:t>and</w:t>
            </w:r>
            <w:r w:rsidR="009868DC" w:rsidRPr="009868DC">
              <w:rPr>
                <w:sz w:val="24"/>
                <w:szCs w:val="24"/>
              </w:rPr>
              <w:t xml:space="preserve"> not placing responsibility for </w:t>
            </w:r>
            <w:r w:rsidR="00181757">
              <w:rPr>
                <w:sz w:val="24"/>
                <w:szCs w:val="24"/>
              </w:rPr>
              <w:t>safeguarding</w:t>
            </w:r>
            <w:r w:rsidR="009868DC" w:rsidRPr="009868DC">
              <w:rPr>
                <w:sz w:val="24"/>
                <w:szCs w:val="24"/>
              </w:rPr>
              <w:t xml:space="preserve"> with the parents</w:t>
            </w:r>
            <w:r w:rsidR="00181757">
              <w:rPr>
                <w:sz w:val="24"/>
                <w:szCs w:val="24"/>
              </w:rPr>
              <w:t xml:space="preserve"> and</w:t>
            </w:r>
            <w:r w:rsidR="009868DC">
              <w:rPr>
                <w:sz w:val="24"/>
                <w:szCs w:val="24"/>
              </w:rPr>
              <w:t xml:space="preserve"> </w:t>
            </w:r>
            <w:r w:rsidR="00181757">
              <w:rPr>
                <w:sz w:val="24"/>
                <w:szCs w:val="24"/>
              </w:rPr>
              <w:t>the role of</w:t>
            </w:r>
            <w:r w:rsidR="009868DC" w:rsidRPr="009868DC">
              <w:rPr>
                <w:sz w:val="24"/>
                <w:szCs w:val="24"/>
              </w:rPr>
              <w:t xml:space="preserve"> statutory authority</w:t>
            </w:r>
            <w:r w:rsidR="00181757">
              <w:rPr>
                <w:sz w:val="24"/>
                <w:szCs w:val="24"/>
              </w:rPr>
              <w:t xml:space="preserve"> of </w:t>
            </w:r>
            <w:r w:rsidR="005F685B">
              <w:rPr>
                <w:sz w:val="24"/>
                <w:szCs w:val="24"/>
              </w:rPr>
              <w:t xml:space="preserve">my </w:t>
            </w:r>
            <w:r w:rsidR="00181757">
              <w:rPr>
                <w:sz w:val="24"/>
                <w:szCs w:val="24"/>
              </w:rPr>
              <w:t>safeguarding</w:t>
            </w:r>
            <w:r w:rsidR="009868DC" w:rsidRPr="009868DC">
              <w:rPr>
                <w:sz w:val="24"/>
                <w:szCs w:val="24"/>
              </w:rPr>
              <w:t xml:space="preserve"> </w:t>
            </w:r>
            <w:r w:rsidR="005F685B">
              <w:rPr>
                <w:sz w:val="24"/>
                <w:szCs w:val="24"/>
              </w:rPr>
              <w:t xml:space="preserve">role </w:t>
            </w:r>
            <w:r w:rsidR="009868DC" w:rsidRPr="009868DC">
              <w:rPr>
                <w:sz w:val="24"/>
                <w:szCs w:val="24"/>
              </w:rPr>
              <w:t>not mea</w:t>
            </w:r>
            <w:r w:rsidR="00DB517D">
              <w:rPr>
                <w:sz w:val="24"/>
                <w:szCs w:val="24"/>
              </w:rPr>
              <w:t>ning</w:t>
            </w:r>
            <w:r w:rsidR="009868DC" w:rsidRPr="009868DC">
              <w:rPr>
                <w:sz w:val="24"/>
                <w:szCs w:val="24"/>
              </w:rPr>
              <w:t xml:space="preserve"> that I should make decisions without </w:t>
            </w:r>
            <w:r w:rsidR="00DB517D">
              <w:rPr>
                <w:sz w:val="24"/>
                <w:szCs w:val="24"/>
              </w:rPr>
              <w:t xml:space="preserve">parents </w:t>
            </w:r>
            <w:r w:rsidR="009868DC" w:rsidRPr="009868DC">
              <w:rPr>
                <w:sz w:val="24"/>
                <w:szCs w:val="24"/>
              </w:rPr>
              <w:lastRenderedPageBreak/>
              <w:t>involvement. My role requires me to hold both positions: I have a statutory responsibility to safeguard the children while Persons 6 and</w:t>
            </w:r>
            <w:r w:rsidR="00DB517D">
              <w:rPr>
                <w:sz w:val="24"/>
                <w:szCs w:val="24"/>
              </w:rPr>
              <w:t xml:space="preserve"> </w:t>
            </w:r>
            <w:r w:rsidR="009868DC" w:rsidRPr="009868DC">
              <w:rPr>
                <w:sz w:val="24"/>
                <w:szCs w:val="24"/>
              </w:rPr>
              <w:t>7 remained central to understanding what was happening within their family and creating sustainable change. The</w:t>
            </w:r>
            <w:r w:rsidR="009868DC">
              <w:rPr>
                <w:sz w:val="24"/>
                <w:szCs w:val="24"/>
              </w:rPr>
              <w:t xml:space="preserve"> </w:t>
            </w:r>
            <w:r w:rsidR="009868DC" w:rsidRPr="009868DC">
              <w:rPr>
                <w:sz w:val="24"/>
                <w:szCs w:val="24"/>
              </w:rPr>
              <w:t xml:space="preserve">Human Rights Act 1998 </w:t>
            </w:r>
            <w:r w:rsidR="005F685B">
              <w:rPr>
                <w:sz w:val="24"/>
                <w:szCs w:val="24"/>
              </w:rPr>
              <w:t>is</w:t>
            </w:r>
            <w:r w:rsidR="009868DC" w:rsidRPr="009868DC">
              <w:rPr>
                <w:sz w:val="24"/>
                <w:szCs w:val="24"/>
              </w:rPr>
              <w:t xml:space="preserve"> relevant</w:t>
            </w:r>
            <w:r w:rsidR="005F685B">
              <w:rPr>
                <w:sz w:val="24"/>
                <w:szCs w:val="24"/>
              </w:rPr>
              <w:t xml:space="preserve"> as</w:t>
            </w:r>
            <w:r w:rsidR="009868DC" w:rsidRPr="009868DC">
              <w:rPr>
                <w:sz w:val="24"/>
                <w:szCs w:val="24"/>
              </w:rPr>
              <w:t xml:space="preserve"> Article 8 protects the right to respect for private and family life.</w:t>
            </w:r>
            <w:r w:rsidR="00336905">
              <w:rPr>
                <w:sz w:val="24"/>
                <w:szCs w:val="24"/>
              </w:rPr>
              <w:t xml:space="preserve"> </w:t>
            </w:r>
            <w:r w:rsidR="009868DC" w:rsidRPr="009868DC">
              <w:rPr>
                <w:sz w:val="24"/>
                <w:szCs w:val="24"/>
              </w:rPr>
              <w:t>Statutory intervention, including unannounced visits and enquiries into parenting, represented significant intrusion into the family’s private life. I therefore had to ensure intervention was lawful, necessary and proportionate. At the same time, Article 19 of the UNCRC (1989) establishes children’s rights to protection from abuse and neglect. This helped me understand that parental rights and children’s rights should not automatically be viewed as competing.</w:t>
            </w:r>
            <w:r w:rsidR="00336905">
              <w:rPr>
                <w:sz w:val="24"/>
                <w:szCs w:val="24"/>
              </w:rPr>
              <w:t xml:space="preserve"> </w:t>
            </w:r>
            <w:r w:rsidR="009868DC" w:rsidRPr="009868DC">
              <w:rPr>
                <w:sz w:val="24"/>
                <w:szCs w:val="24"/>
              </w:rPr>
              <w:t>Supporting children to remain safely within their family can respect both, providing that concerns are not minimised. I feel through my practice I have developed an understanding of legislation, legislation provid</w:t>
            </w:r>
            <w:r w:rsidR="00451A6A">
              <w:rPr>
                <w:sz w:val="24"/>
                <w:szCs w:val="24"/>
              </w:rPr>
              <w:t>ing</w:t>
            </w:r>
            <w:r w:rsidR="009868DC" w:rsidRPr="009868DC">
              <w:rPr>
                <w:sz w:val="24"/>
                <w:szCs w:val="24"/>
              </w:rPr>
              <w:t xml:space="preserve"> the legal and ethical framework within which I have to exercise professional judgement.</w:t>
            </w:r>
          </w:p>
          <w:p w14:paraId="68102E23" w14:textId="77777777" w:rsidR="00336905" w:rsidRDefault="009868DC" w:rsidP="009868DC">
            <w:pPr>
              <w:spacing w:after="160" w:line="360" w:lineRule="auto"/>
              <w:rPr>
                <w:sz w:val="24"/>
                <w:szCs w:val="24"/>
              </w:rPr>
            </w:pPr>
            <w:r w:rsidRPr="009868DC">
              <w:rPr>
                <w:sz w:val="24"/>
                <w:szCs w:val="24"/>
              </w:rPr>
              <w:t>An important element of this case was developing collaborative relationships with Persons 6 and 7. They initially expressed anxiety and hostility towards Social Services. They described feeling stigma regarding their children’s</w:t>
            </w:r>
            <w:r w:rsidR="00336905">
              <w:rPr>
                <w:sz w:val="24"/>
                <w:szCs w:val="24"/>
              </w:rPr>
              <w:t xml:space="preserve"> </w:t>
            </w:r>
            <w:r w:rsidRPr="009868DC">
              <w:rPr>
                <w:sz w:val="24"/>
                <w:szCs w:val="24"/>
              </w:rPr>
              <w:t>Child Protection registration and feared that Social Services would remove their children. I could have interpreted their reluctance to engage as resistance. Through reflection, however, I recognised that it could also represent fear of statutory authority. As the allocated social worker, I held significant professional power. I entered their home, assessed their parenting, recorded personal information, coordinated their children’s Child Protection Plans and provided reports influencing multi-agency decisions. Anti-oppressive practice knowledge (Dominelli, 2002) required me to recognise this power imbalance rather than assume that describing our work as a “partnership” removed it.</w:t>
            </w:r>
            <w:r w:rsidR="00336905">
              <w:rPr>
                <w:sz w:val="24"/>
                <w:szCs w:val="24"/>
              </w:rPr>
              <w:t xml:space="preserve"> </w:t>
            </w:r>
            <w:r w:rsidRPr="009868DC">
              <w:rPr>
                <w:sz w:val="24"/>
                <w:szCs w:val="24"/>
              </w:rPr>
              <w:t>Relational social work supported my understanding that the relationship between myself and the family was central to effective safeguarding. Ruch, Turney and Ward (2010) identify relationships as fundamental to social-work practice because they provide a context in which difficult information can be explored. I found that as trust developed, Persons 6 and 7 became more able to discuss the difficulties they were experiencing.</w:t>
            </w:r>
          </w:p>
          <w:p w14:paraId="3295D284" w14:textId="77777777" w:rsidR="00336905" w:rsidRDefault="009868DC" w:rsidP="009868DC">
            <w:pPr>
              <w:spacing w:after="160" w:line="360" w:lineRule="auto"/>
              <w:rPr>
                <w:sz w:val="24"/>
                <w:szCs w:val="24"/>
              </w:rPr>
            </w:pPr>
            <w:r w:rsidRPr="009868DC">
              <w:rPr>
                <w:sz w:val="24"/>
                <w:szCs w:val="24"/>
              </w:rPr>
              <w:lastRenderedPageBreak/>
              <w:br/>
              <w:t>I used Signs of Safety Framework (Turnell and Edwards, 1999) to support open conversations about ‘what we were worried about’, ‘what was working well’ and ‘what needed to happen’. Rather than presenting the Child</w:t>
            </w:r>
            <w:r w:rsidR="00336905">
              <w:rPr>
                <w:sz w:val="24"/>
                <w:szCs w:val="24"/>
              </w:rPr>
              <w:t xml:space="preserve"> </w:t>
            </w:r>
            <w:r w:rsidRPr="009868DC">
              <w:rPr>
                <w:sz w:val="24"/>
                <w:szCs w:val="24"/>
              </w:rPr>
              <w:t>Protection Plan as something being done to the family, I aimed to explain the concerns and asked Persons 6 and 7 to contribute to identifying existing strengths and possible solutions. This reflected the Social Care Wales Code of Professional Practice (Social Care Wales, 2026) 2.1 and 2.2 regarding honesty and open, clear and meaningful communication.</w:t>
            </w:r>
          </w:p>
          <w:p w14:paraId="340BEF5B" w14:textId="7A52F831" w:rsidR="00875A7D" w:rsidRDefault="009868DC" w:rsidP="009868DC">
            <w:pPr>
              <w:spacing w:after="160" w:line="360" w:lineRule="auto"/>
              <w:rPr>
                <w:sz w:val="24"/>
                <w:szCs w:val="24"/>
              </w:rPr>
            </w:pPr>
            <w:r w:rsidRPr="009868DC">
              <w:rPr>
                <w:sz w:val="24"/>
                <w:szCs w:val="24"/>
              </w:rPr>
              <w:t>A significant point occurred during an unannounced statutory visit. Person 6 was initially reluctant to allow me into the family home. I explained why I needed to see the children and my statutory responsibilities. Because I had</w:t>
            </w:r>
            <w:r w:rsidR="00336905">
              <w:rPr>
                <w:sz w:val="24"/>
                <w:szCs w:val="24"/>
              </w:rPr>
              <w:t xml:space="preserve"> </w:t>
            </w:r>
            <w:r w:rsidRPr="009868DC">
              <w:rPr>
                <w:sz w:val="24"/>
                <w:szCs w:val="24"/>
              </w:rPr>
              <w:t>already developed a more open relationship with her, she allowed me access. On entering the home, I observed significantly</w:t>
            </w:r>
            <w:r w:rsidR="00451A6A">
              <w:rPr>
                <w:sz w:val="24"/>
                <w:szCs w:val="24"/>
              </w:rPr>
              <w:t xml:space="preserve"> </w:t>
            </w:r>
            <w:r w:rsidRPr="009868DC">
              <w:rPr>
                <w:sz w:val="24"/>
                <w:szCs w:val="24"/>
              </w:rPr>
              <w:t>deteriorated conditions. The children appeared unclean and dishevelled. The upstairs bedrooms smelled of urine, and there were soiled nappies, rotting food and clutter within the property. Person 6 also appeared overwhelmed. When I spoke with her, she explained that she was experiencing low mood and physical pain and was struggling to meet the needs of five children during the school holidays. This created a complex professional decision. I was concerned about the children’s immediate living conditions, but I needed to avoid allowing my emotional response to what I observed to replace analysis. I was able to seek advice from my</w:t>
            </w:r>
            <w:r w:rsidR="00336905">
              <w:rPr>
                <w:sz w:val="24"/>
                <w:szCs w:val="24"/>
              </w:rPr>
              <w:t xml:space="preserve"> </w:t>
            </w:r>
            <w:r w:rsidRPr="009868DC">
              <w:rPr>
                <w:sz w:val="24"/>
                <w:szCs w:val="24"/>
              </w:rPr>
              <w:t>Assistant Team Manager who encouraged me to consider: What was the actual and potential harm to the children? How long had the conditions existed? What was causing the deterioration? What protective factors were present? Did the parents recognise the concerns? Could immediate safety be created within the family network or was further statutory escalation required?</w:t>
            </w:r>
            <w:r w:rsidR="00875A7D">
              <w:rPr>
                <w:sz w:val="24"/>
                <w:szCs w:val="24"/>
              </w:rPr>
              <w:t xml:space="preserve"> </w:t>
            </w:r>
            <w:r w:rsidRPr="009868DC">
              <w:rPr>
                <w:sz w:val="24"/>
                <w:szCs w:val="24"/>
              </w:rPr>
              <w:t>In reflective supervision from my Assistant Team Manager I now recognise that seeking management support was not an inability to make a professional decision independently. The Code of Professional Practice (Social Care</w:t>
            </w:r>
            <w:r w:rsidRPr="009868DC">
              <w:rPr>
                <w:sz w:val="24"/>
                <w:szCs w:val="24"/>
              </w:rPr>
              <w:br/>
              <w:t>Wales, 2026) emphasises professional accountability and the importance of supervision and seeking support where required. Supervision allowed me to test my analysis rather than react only to the immediate situation.</w:t>
            </w:r>
            <w:r w:rsidR="00875A7D">
              <w:rPr>
                <w:sz w:val="24"/>
                <w:szCs w:val="24"/>
              </w:rPr>
              <w:t xml:space="preserve"> </w:t>
            </w:r>
            <w:r w:rsidRPr="009868DC">
              <w:rPr>
                <w:sz w:val="24"/>
                <w:szCs w:val="24"/>
              </w:rPr>
              <w:t xml:space="preserve">A risk-averse response may have led me to escalate immediately without considering whether safety could be created within the family. </w:t>
            </w:r>
            <w:r w:rsidRPr="009868DC">
              <w:rPr>
                <w:sz w:val="24"/>
                <w:szCs w:val="24"/>
              </w:rPr>
              <w:lastRenderedPageBreak/>
              <w:t>Alternatively, focusing too strongly on Person 6’s difficulties could have resulted in minimising the children’s experiences. Neither approach would have represented balanced professional judgement.</w:t>
            </w:r>
          </w:p>
          <w:p w14:paraId="43AFD61A" w14:textId="01462D3C" w:rsidR="009868DC" w:rsidRPr="009868DC" w:rsidRDefault="009868DC" w:rsidP="009868DC">
            <w:pPr>
              <w:spacing w:after="160" w:line="360" w:lineRule="auto"/>
              <w:rPr>
                <w:sz w:val="24"/>
                <w:szCs w:val="24"/>
              </w:rPr>
            </w:pPr>
            <w:r w:rsidRPr="009868DC">
              <w:rPr>
                <w:sz w:val="24"/>
                <w:szCs w:val="24"/>
              </w:rPr>
              <w:t>Using the Signs of Safety Framework (Turnell and Edwards, 1999), I explored the family’s existing safety network.</w:t>
            </w:r>
            <w:r w:rsidR="00875A7D">
              <w:rPr>
                <w:sz w:val="24"/>
                <w:szCs w:val="24"/>
              </w:rPr>
              <w:t xml:space="preserve"> </w:t>
            </w:r>
            <w:r w:rsidRPr="009868DC">
              <w:rPr>
                <w:sz w:val="24"/>
                <w:szCs w:val="24"/>
              </w:rPr>
              <w:t>With Person 6’s agreement, Person 7 and supportive family members attended the property and assisted with cleaning and caring for the children. When I returned, the home conditions had significantly improved, and the children’s immediate physical-care needs were being met. This did not mean that my concerns about neglect had disappeared. Instead, it established new assessment information. The parents had demonstrated that, when concerns were clearly communicated and appropriate support was available, they had some capacity to make changes. My analysis therefore moved beyond simply identifying “poor home conditions” towards considering why parenting capacity deteriorated, what helped improve it and whether those improvements could be sustained.</w:t>
            </w:r>
            <w:r w:rsidR="00875A7D">
              <w:rPr>
                <w:sz w:val="24"/>
                <w:szCs w:val="24"/>
              </w:rPr>
              <w:t xml:space="preserve"> </w:t>
            </w:r>
            <w:r w:rsidRPr="009868DC">
              <w:rPr>
                <w:sz w:val="24"/>
                <w:szCs w:val="24"/>
              </w:rPr>
              <w:t>Winnicott’s (1953) concept of “good enough” parenting was useful because assessment should not expect parental perfection. However, I also recognised the danger of applying this concept uncritically. “Good enough” could not become a justification for repeated neglect. My question was therefore not whether the home could be cleaned on one occasion, but whether Persons 6 and 7 could consistently provide care that was sufficiently safe, responsive and developmentally appropriate. This situation significantly developed my professional judgement. I began to recognise that effective child protection involves balancing both authority with support.</w:t>
            </w:r>
          </w:p>
          <w:p w14:paraId="4BB57172" w14:textId="5707FEE2" w:rsidR="009868DC" w:rsidRPr="009868DC" w:rsidRDefault="009868DC" w:rsidP="009868DC">
            <w:pPr>
              <w:spacing w:after="160" w:line="360" w:lineRule="auto"/>
              <w:rPr>
                <w:sz w:val="24"/>
                <w:szCs w:val="24"/>
              </w:rPr>
            </w:pPr>
            <w:r w:rsidRPr="009868DC">
              <w:rPr>
                <w:sz w:val="24"/>
                <w:szCs w:val="24"/>
              </w:rPr>
              <w:t>My ongoing assessment was informed by the Framework for the Assessment of Children in Need and their</w:t>
            </w:r>
            <w:r w:rsidR="00875A7D">
              <w:rPr>
                <w:sz w:val="24"/>
                <w:szCs w:val="24"/>
              </w:rPr>
              <w:t xml:space="preserve"> </w:t>
            </w:r>
            <w:r w:rsidRPr="009868DC">
              <w:rPr>
                <w:sz w:val="24"/>
                <w:szCs w:val="24"/>
              </w:rPr>
              <w:t>Families (Department of Health, 2000) and the Assessment Framework in the Social Services and Well-being</w:t>
            </w:r>
            <w:r w:rsidR="00875A7D">
              <w:rPr>
                <w:sz w:val="24"/>
                <w:szCs w:val="24"/>
              </w:rPr>
              <w:t xml:space="preserve"> </w:t>
            </w:r>
            <w:r w:rsidRPr="009868DC">
              <w:rPr>
                <w:sz w:val="24"/>
                <w:szCs w:val="24"/>
              </w:rPr>
              <w:t>(Wales) Act 2014, Code of Practice on Part 3 of the Act.</w:t>
            </w:r>
            <w:r w:rsidRPr="009868DC">
              <w:rPr>
                <w:sz w:val="24"/>
                <w:szCs w:val="24"/>
              </w:rPr>
              <w:br/>
              <w:t xml:space="preserve">Utilising the Framework’s domains of considering children’s developmental needs, parenting capacity and family and environmental factors. This supported me to avoid assessing concerns in isolation and instead consider how different aspects of the children’s lives interacted. Bronfenbrenner’s (1979) ecological systems theory further supported my analysis because children’s development is influenced by interconnected systems around them. In this family, parenting capacity was affected by parental health, the demands of </w:t>
            </w:r>
            <w:r w:rsidRPr="009868DC">
              <w:rPr>
                <w:sz w:val="24"/>
                <w:szCs w:val="24"/>
              </w:rPr>
              <w:lastRenderedPageBreak/>
              <w:t>caring for five children, income, housing, the rural community, extended-family support and access to education, health and Social Services. This was particularly relevant when considering poverty and neglect. Poverty should not itself be interpreted as neglect. Evidence from Wales demonstrates a strong association between area-level deprivation and children entering care proceedings, reinforcing the importance of considering structural disadvantage within assessment rather than treating poverty itself as evidence of parental neglect (Doebler et al., 2021). However, structural disadvantage also could not prevent me from identifying situations where children’s needs were not being met. Anti-oppressive practice required me to recognise the wider social context while keeping the lived experience of each child central (Dominelli, 2002).</w:t>
            </w:r>
          </w:p>
          <w:p w14:paraId="1BD47578" w14:textId="0BE3027E" w:rsidR="009868DC" w:rsidRPr="009868DC" w:rsidRDefault="009868DC" w:rsidP="009868DC">
            <w:pPr>
              <w:spacing w:after="160" w:line="360" w:lineRule="auto"/>
              <w:rPr>
                <w:sz w:val="24"/>
                <w:szCs w:val="24"/>
              </w:rPr>
            </w:pPr>
            <w:r w:rsidRPr="009868DC">
              <w:rPr>
                <w:sz w:val="24"/>
                <w:szCs w:val="24"/>
              </w:rPr>
              <w:t>I used statutory visits, direct work, school and health information, Core Group meetings, chronology and discussions with the parents to continuously update my assessment. This strengthened my understanding that assessment is an ongoing process rather than an event completed at one point in time (Walker and Beckett,</w:t>
            </w:r>
            <w:r w:rsidR="00875A7D">
              <w:rPr>
                <w:sz w:val="24"/>
                <w:szCs w:val="24"/>
              </w:rPr>
              <w:t xml:space="preserve"> </w:t>
            </w:r>
            <w:r w:rsidRPr="009868DC">
              <w:rPr>
                <w:sz w:val="24"/>
                <w:szCs w:val="24"/>
              </w:rPr>
              <w:t>2011). A significant area of learning was recognising the difference between description and analysis. Recording</w:t>
            </w:r>
            <w:r w:rsidR="00875A7D">
              <w:rPr>
                <w:sz w:val="24"/>
                <w:szCs w:val="24"/>
              </w:rPr>
              <w:t xml:space="preserve"> </w:t>
            </w:r>
            <w:r w:rsidRPr="009868DC">
              <w:rPr>
                <w:sz w:val="24"/>
                <w:szCs w:val="24"/>
              </w:rPr>
              <w:t>that I observed urine smells, soiled nappies, rotting food and unclean children was descriptive information.</w:t>
            </w:r>
            <w:r w:rsidRPr="009868DC">
              <w:rPr>
                <w:sz w:val="24"/>
                <w:szCs w:val="24"/>
              </w:rPr>
              <w:br/>
              <w:t>Analysis required me to consider what these observations meant for each child’s health and development, how frequently they experienced these conditions, why the conditions had developed, whether parental insight was present and what evidence existed of the parents’ capacity to achieve sustainable change.</w:t>
            </w:r>
          </w:p>
          <w:p w14:paraId="40AB35FD" w14:textId="59482BFB" w:rsidR="009868DC" w:rsidRPr="009868DC" w:rsidRDefault="009868DC" w:rsidP="009868DC">
            <w:pPr>
              <w:spacing w:after="160" w:line="360" w:lineRule="auto"/>
              <w:rPr>
                <w:sz w:val="24"/>
                <w:szCs w:val="24"/>
              </w:rPr>
            </w:pPr>
            <w:r w:rsidRPr="009868DC">
              <w:rPr>
                <w:sz w:val="24"/>
                <w:szCs w:val="24"/>
              </w:rPr>
              <w:t xml:space="preserve">Munro (2011) warns against child-protection systems becoming overly procedural, where social workers focus on completing processes rather than understanding children’s experiences. This caused me to reflect upon my own practice. Completing a statutory visit within the required timescale could not demonstrate that I had safeguarded the children. The purpose of visiting was to understand their lived experiences and whether their circumstances were improving. To ensure this process I undertook direct work with Persons 1, 2 and 3 using age-appropriate tools including “All About Me”, Three Houses and feelings cards. Training in direct work and child development supported me to consider their developmental communication needs. Persons 4 and 5 were very young, so observation of their presentation, interactions and care environment was particularly important. The older </w:t>
            </w:r>
            <w:r w:rsidRPr="009868DC">
              <w:rPr>
                <w:sz w:val="24"/>
                <w:szCs w:val="24"/>
              </w:rPr>
              <w:lastRenderedPageBreak/>
              <w:t>children described positive relationships with their parents, emotional warmth and close relationships within the sibling group. Initially this could appear inconsistent with concerns about neglect. However, reflection in supervision helped me understand that both could exist simultaneously. Parents may love their children and demonstrate emotional warmth while struggling to consistently meet their physical or developmental needs. This challenged binary thinking about families being either “good” or “bad”, or children being simply “safe” or “unsafe”. My professional judgement needed to consider both strengths and worries and how these affected each child</w:t>
            </w:r>
            <w:r w:rsidR="00875A7D">
              <w:rPr>
                <w:sz w:val="24"/>
                <w:szCs w:val="24"/>
              </w:rPr>
              <w:t xml:space="preserve"> </w:t>
            </w:r>
            <w:r w:rsidRPr="009868DC">
              <w:rPr>
                <w:sz w:val="24"/>
                <w:szCs w:val="24"/>
              </w:rPr>
              <w:t>(Saleebey, 2013).</w:t>
            </w:r>
          </w:p>
          <w:p w14:paraId="72FC8FC1" w14:textId="77777777" w:rsidR="00875A7D" w:rsidRDefault="009868DC" w:rsidP="009868DC">
            <w:pPr>
              <w:spacing w:after="160" w:line="360" w:lineRule="auto"/>
              <w:rPr>
                <w:sz w:val="24"/>
                <w:szCs w:val="24"/>
              </w:rPr>
            </w:pPr>
            <w:r w:rsidRPr="009868DC">
              <w:rPr>
                <w:sz w:val="24"/>
                <w:szCs w:val="24"/>
              </w:rPr>
              <w:t>Attachment and child-development theories (Bowlby, 1988) helped me consider children’s need for stable, responsive relationships and the potential impact of inconsistent care. However, I became increasingly aware that theory should not be used to make assumptions about a particular family. An important example of child-centred practice occurred when Person 2 identified an adult male as one of her favourite people and somebody who cared for her. Rather than viewing this simply as evidence of a supportive adult relationship, I remained professionally curious about his caring role. I discussed this information with Persons 6 and 7 and in supervision, and appropriate safeguarding checks were undertaken with consent.</w:t>
            </w:r>
          </w:p>
          <w:p w14:paraId="03430A00" w14:textId="3B963EAE" w:rsidR="009868DC" w:rsidRPr="009868DC" w:rsidRDefault="009868DC" w:rsidP="009868DC">
            <w:pPr>
              <w:spacing w:after="160" w:line="360" w:lineRule="auto"/>
              <w:rPr>
                <w:sz w:val="24"/>
                <w:szCs w:val="24"/>
              </w:rPr>
            </w:pPr>
            <w:r w:rsidRPr="009868DC">
              <w:rPr>
                <w:sz w:val="24"/>
                <w:szCs w:val="24"/>
              </w:rPr>
              <w:br/>
              <w:t>Information subsequently emerged regarding an allegation of a sexual offence when the adult was 17. This required careful professional judgement. The information did not automatically establish that he currently posed a risk, and it would have been inappropriate to treat an allegation as proof. However, because he had been providing care to children already considered vulnerable, it would also have been inappropriate to ignore it.</w:t>
            </w:r>
            <w:r w:rsidRPr="009868DC">
              <w:rPr>
                <w:sz w:val="24"/>
                <w:szCs w:val="24"/>
              </w:rPr>
              <w:br/>
              <w:t xml:space="preserve">Following supervision, an interim safety plan was developed that the adult would not undertake unsupervised care while further information was established. Persons 6 and 7 agreed with this plan and Person 6 sought further disclosure through the Child Sex Offender Disclosure Scheme. This demonstrated to me how listening to a child’s voice can directly affect safeguarding assessment. A seemingly simple piece of direct work enabled me to gather information that required further enquiry and changed the safety plan. It also taught me about professional judgement in complex situations. Social workers frequently make </w:t>
            </w:r>
            <w:r w:rsidRPr="009868DC">
              <w:rPr>
                <w:sz w:val="24"/>
                <w:szCs w:val="24"/>
              </w:rPr>
              <w:lastRenderedPageBreak/>
              <w:t>decisions without complete information.</w:t>
            </w:r>
            <w:r w:rsidR="00875A7D">
              <w:rPr>
                <w:sz w:val="24"/>
                <w:szCs w:val="24"/>
              </w:rPr>
              <w:t xml:space="preserve"> </w:t>
            </w:r>
            <w:r w:rsidRPr="009868DC">
              <w:rPr>
                <w:sz w:val="24"/>
                <w:szCs w:val="24"/>
              </w:rPr>
              <w:t>Professional judgement therefore does not necessarily mean achieving certainty. It means being able to explain why a decision was reasonable and proportionate based upon the available evidence, what alternative explanations were considered and how potential harm was balanced against individuals’ rights. This reflected the</w:t>
            </w:r>
            <w:r w:rsidR="00875A7D">
              <w:rPr>
                <w:sz w:val="24"/>
                <w:szCs w:val="24"/>
              </w:rPr>
              <w:t xml:space="preserve"> </w:t>
            </w:r>
            <w:r w:rsidRPr="009868DC">
              <w:rPr>
                <w:sz w:val="24"/>
                <w:szCs w:val="24"/>
              </w:rPr>
              <w:t>Code of Professional Practice. Section 4 (2026), in the requirement to support people’s rights and interests whilst taking appropriate action to prevent or reduce harm.</w:t>
            </w:r>
          </w:p>
          <w:p w14:paraId="5275FBF9" w14:textId="03751CC0" w:rsidR="009868DC" w:rsidRPr="009868DC" w:rsidRDefault="009868DC" w:rsidP="009868DC">
            <w:pPr>
              <w:spacing w:after="160" w:line="360" w:lineRule="auto"/>
              <w:rPr>
                <w:sz w:val="24"/>
                <w:szCs w:val="24"/>
              </w:rPr>
            </w:pPr>
            <w:r w:rsidRPr="009868DC">
              <w:rPr>
                <w:sz w:val="24"/>
                <w:szCs w:val="24"/>
              </w:rPr>
              <w:t>Following the concerns regarding the home conditions, I organised and chaired a Core Group meeting involving</w:t>
            </w:r>
            <w:r w:rsidR="00875A7D">
              <w:rPr>
                <w:sz w:val="24"/>
                <w:szCs w:val="24"/>
              </w:rPr>
              <w:t xml:space="preserve"> </w:t>
            </w:r>
            <w:r w:rsidRPr="009868DC">
              <w:rPr>
                <w:sz w:val="24"/>
                <w:szCs w:val="24"/>
              </w:rPr>
              <w:t>Persons 6 and 7, members of their support network and professionals from Social Services, education and health.</w:t>
            </w:r>
            <w:r w:rsidR="00875A7D">
              <w:rPr>
                <w:sz w:val="24"/>
                <w:szCs w:val="24"/>
              </w:rPr>
              <w:t xml:space="preserve"> </w:t>
            </w:r>
            <w:r w:rsidRPr="009868DC">
              <w:rPr>
                <w:sz w:val="24"/>
                <w:szCs w:val="24"/>
              </w:rPr>
              <w:t>Core Group Review Meetings are a statutory requirement in the child protection process and stipulated in the</w:t>
            </w:r>
            <w:r w:rsidR="00875A7D">
              <w:rPr>
                <w:sz w:val="24"/>
                <w:szCs w:val="24"/>
              </w:rPr>
              <w:t xml:space="preserve"> </w:t>
            </w:r>
            <w:r w:rsidRPr="009868DC">
              <w:rPr>
                <w:sz w:val="24"/>
                <w:szCs w:val="24"/>
              </w:rPr>
              <w:t>Wales Safeguarding Procedures (2019), requiring a multi-agency group of professionals, who support the child, and the family to meet at 6-week intervals to share information on the child’s lived experience. This enables needs and safety planning to be addressed and ensure up to date information on the child’s lived experience is shared to ensure the child’s welfare and wellbeing needs are being met. The Core Group developed a twelve-week trajectory plan. Family Practitioner support was provided around parenting, routines, boundaries and home conditions. Health services addressed bedwetting concerns; education provided emotional-literacy support; one of</w:t>
            </w:r>
            <w:r w:rsidR="00875A7D">
              <w:rPr>
                <w:sz w:val="24"/>
                <w:szCs w:val="24"/>
              </w:rPr>
              <w:t xml:space="preserve"> </w:t>
            </w:r>
            <w:r w:rsidRPr="009868DC">
              <w:rPr>
                <w:sz w:val="24"/>
                <w:szCs w:val="24"/>
              </w:rPr>
              <w:t>the younger children accessed nursery through Flying Start; and members of the family network assisted with childcare and school runs. Person 6 was also supported to access healthcare regarding her physical and emotional difficulties. Systems theory ((Bronfenbrenner, 1979) helped me understand why a coordinated response was necessary. The concerns did not have one simple cause. The home conditions were connected to</w:t>
            </w:r>
            <w:r w:rsidR="00875A7D">
              <w:rPr>
                <w:sz w:val="24"/>
                <w:szCs w:val="24"/>
              </w:rPr>
              <w:t xml:space="preserve"> </w:t>
            </w:r>
            <w:r w:rsidRPr="009868DC">
              <w:rPr>
                <w:sz w:val="24"/>
                <w:szCs w:val="24"/>
              </w:rPr>
              <w:t>Person 6’s health, parenting stress, the needs of five children, available support and environmental factors.</w:t>
            </w:r>
            <w:r w:rsidR="00875A7D">
              <w:rPr>
                <w:sz w:val="24"/>
                <w:szCs w:val="24"/>
              </w:rPr>
              <w:t xml:space="preserve"> </w:t>
            </w:r>
            <w:r w:rsidRPr="009868DC">
              <w:rPr>
                <w:sz w:val="24"/>
                <w:szCs w:val="24"/>
              </w:rPr>
              <w:t>Interventions across different parts of the family system therefore had greater potential to create sustainable change.</w:t>
            </w:r>
          </w:p>
          <w:p w14:paraId="0C61CB94" w14:textId="72AD7928" w:rsidR="009868DC" w:rsidRPr="009868DC" w:rsidRDefault="009868DC" w:rsidP="009868DC">
            <w:pPr>
              <w:spacing w:after="160" w:line="360" w:lineRule="auto"/>
              <w:rPr>
                <w:sz w:val="24"/>
                <w:szCs w:val="24"/>
              </w:rPr>
            </w:pPr>
            <w:r w:rsidRPr="009868DC">
              <w:rPr>
                <w:sz w:val="24"/>
                <w:szCs w:val="24"/>
              </w:rPr>
              <w:t xml:space="preserve">Critically reflecting upon collaborative working also made me aware that multi-agency working can result in fragmented responsibility or professionals assuming another agency is monitoring risk. As the allocated social worker and case manager, I therefore had responsibility for maintaining an overview of whether interventions were improving the </w:t>
            </w:r>
            <w:r w:rsidRPr="009868DC">
              <w:rPr>
                <w:sz w:val="24"/>
                <w:szCs w:val="24"/>
              </w:rPr>
              <w:lastRenderedPageBreak/>
              <w:t>children’s lived experiences. This reflected my requirements around working collaboratively with colleagues and other professionals and sharing relevant information appropriately (CoPP Section 3, 4, 6; Social</w:t>
            </w:r>
            <w:r w:rsidR="00875A7D">
              <w:rPr>
                <w:sz w:val="24"/>
                <w:szCs w:val="24"/>
              </w:rPr>
              <w:t xml:space="preserve"> </w:t>
            </w:r>
            <w:r w:rsidRPr="009868DC">
              <w:rPr>
                <w:sz w:val="24"/>
                <w:szCs w:val="24"/>
              </w:rPr>
              <w:t>Care Wales, 2026). This helped change the questions I asked at Core Groups. Rather than simply asking whether a referral had been completed or whether a family had attended an appointment, I increasingly asked: What difference has this intervention made to the child?</w:t>
            </w:r>
            <w:r w:rsidR="00875A7D">
              <w:rPr>
                <w:sz w:val="24"/>
                <w:szCs w:val="24"/>
              </w:rPr>
              <w:t xml:space="preserve"> </w:t>
            </w:r>
            <w:r w:rsidRPr="009868DC">
              <w:rPr>
                <w:sz w:val="24"/>
                <w:szCs w:val="24"/>
              </w:rPr>
              <w:t>Ryan and Deci’s (2000) self-determination theory was useful when reflecting upon parental motivation. If Persons</w:t>
            </w:r>
            <w:r w:rsidR="00875A7D">
              <w:rPr>
                <w:sz w:val="24"/>
                <w:szCs w:val="24"/>
              </w:rPr>
              <w:t xml:space="preserve"> </w:t>
            </w:r>
            <w:r w:rsidRPr="009868DC">
              <w:rPr>
                <w:sz w:val="24"/>
                <w:szCs w:val="24"/>
              </w:rPr>
              <w:t>6 and 7 changed the home conditions only because they feared statutory intervention, changes might not continue once Social Services involvement reduced. Involving them in identifying their own safety goals and support network, through the Signs of Safety Framework, provided greater opportunity for internal motivation and ownership (Turnell and Edwards, 1999). Nevertheless, I recognise the limitation of describing child-protection planning as entirely “co-produced”. Persons 6 and 7 had not voluntarily chosen statutory intervention. There remained a clear power imbalance and consequences if sufficient change was not achieved. My responsibility was therefore to maximise participation, voice and transparency within the statutory process rather than imply that professional power did not exist.</w:t>
            </w:r>
          </w:p>
          <w:p w14:paraId="1ECBA2A4" w14:textId="4B6E6164" w:rsidR="009868DC" w:rsidRPr="009868DC" w:rsidRDefault="009868DC" w:rsidP="009868DC">
            <w:pPr>
              <w:spacing w:after="160" w:line="360" w:lineRule="auto"/>
              <w:rPr>
                <w:sz w:val="24"/>
                <w:szCs w:val="24"/>
              </w:rPr>
            </w:pPr>
            <w:r w:rsidRPr="009868DC">
              <w:rPr>
                <w:sz w:val="24"/>
                <w:szCs w:val="24"/>
              </w:rPr>
              <w:t>As the Review Child Protection Conference approached, I drew together evidence from statutory visits, direct work, Core Groups, professional information, parental engagement and observations of the home to write the social worker's assessment in the Review Child Protection Conference Report. Review Child Protection</w:t>
            </w:r>
            <w:r w:rsidR="00875A7D">
              <w:rPr>
                <w:sz w:val="24"/>
                <w:szCs w:val="24"/>
              </w:rPr>
              <w:t xml:space="preserve"> </w:t>
            </w:r>
            <w:r w:rsidRPr="009868DC">
              <w:rPr>
                <w:sz w:val="24"/>
                <w:szCs w:val="24"/>
              </w:rPr>
              <w:t>Conferences are a statutory requirement (Wales Safeguarding Procedures, 2019) and after an Initial Child</w:t>
            </w:r>
            <w:r w:rsidR="00875A7D">
              <w:rPr>
                <w:sz w:val="24"/>
                <w:szCs w:val="24"/>
              </w:rPr>
              <w:t xml:space="preserve"> </w:t>
            </w:r>
            <w:r w:rsidRPr="009868DC">
              <w:rPr>
                <w:sz w:val="24"/>
                <w:szCs w:val="24"/>
              </w:rPr>
              <w:t>Protection Conference where a child is registered on the child protection register a review conference is held within 3 months of the initial conference and if there is continued registration on a 6 monthly basis for the entirety that the child remains on the child protection register (Wales Safeguarding Procedures, 2019). I utilised the</w:t>
            </w:r>
            <w:r w:rsidR="00875A7D">
              <w:rPr>
                <w:sz w:val="24"/>
                <w:szCs w:val="24"/>
              </w:rPr>
              <w:t xml:space="preserve"> </w:t>
            </w:r>
            <w:r w:rsidRPr="009868DC">
              <w:rPr>
                <w:sz w:val="24"/>
                <w:szCs w:val="24"/>
              </w:rPr>
              <w:t>Assessment Framework in the Social Services and Well-being (Wales) Act 2014, Code of Practice on Part 3 of the</w:t>
            </w:r>
            <w:r w:rsidR="00875A7D">
              <w:rPr>
                <w:sz w:val="24"/>
                <w:szCs w:val="24"/>
              </w:rPr>
              <w:t xml:space="preserve"> </w:t>
            </w:r>
            <w:r w:rsidRPr="009868DC">
              <w:rPr>
                <w:sz w:val="24"/>
                <w:szCs w:val="24"/>
              </w:rPr>
              <w:t xml:space="preserve">Act for the report and assessed each child’s developmental needs, parenting capacity and family/environmental factors rather than viewing all five children as one group. My assessment analysis concluded that concerns regarding physical harm had reduced sufficiently that continued registration under physical harm was no longer supported by the </w:t>
            </w:r>
            <w:r w:rsidRPr="009868DC">
              <w:rPr>
                <w:sz w:val="24"/>
                <w:szCs w:val="24"/>
              </w:rPr>
              <w:lastRenderedPageBreak/>
              <w:t xml:space="preserve">available evidence. However, concerns regarding neglect remained because improvements in home conditions were relatively recent and required ongoing support. The multi-agency group of professionals within the Review Child Protection Conference agreed that Persons 1–5 should therefore remain registered under neglect and continue to receive a Care and Support Protection Plan. This required balanced professional judgement. Evidence of improvement needed to be recognised, otherwise assessment could become unfairly fixed upon historical concerns. However, I felt that removing safeguarding measures too quickly could confuse </w:t>
            </w:r>
            <w:r w:rsidR="00C67F96" w:rsidRPr="009868DC">
              <w:rPr>
                <w:sz w:val="24"/>
                <w:szCs w:val="24"/>
              </w:rPr>
              <w:t>short-term</w:t>
            </w:r>
            <w:r w:rsidRPr="009868DC">
              <w:rPr>
                <w:sz w:val="24"/>
                <w:szCs w:val="24"/>
              </w:rPr>
              <w:t xml:space="preserve"> improvement with sustained change. I therefore needed to distinguish between historical harm, current harm and future risk as advised by Walker and Beckett (2011). This represents an area where I feel my analytical skills developed significantly. Rather than thinking in terms of whether the family was safe or unsafe, I felt that I was more able to articulate the nature and level of risk, protective factors, uncertainty and what evidence would demonstrate sustained change.</w:t>
            </w:r>
          </w:p>
          <w:p w14:paraId="6612600E" w14:textId="2EC971D6" w:rsidR="009868DC" w:rsidRPr="009868DC" w:rsidRDefault="009868DC" w:rsidP="009868DC">
            <w:pPr>
              <w:spacing w:after="160" w:line="360" w:lineRule="auto"/>
              <w:rPr>
                <w:sz w:val="24"/>
                <w:szCs w:val="24"/>
              </w:rPr>
            </w:pPr>
            <w:r w:rsidRPr="009868DC">
              <w:rPr>
                <w:sz w:val="24"/>
                <w:szCs w:val="24"/>
              </w:rPr>
              <w:t>Reflecting on this case I now understand that an assessment can be lengthy but remain descriptive. Walker and</w:t>
            </w:r>
            <w:r w:rsidR="00875A7D">
              <w:rPr>
                <w:sz w:val="24"/>
                <w:szCs w:val="24"/>
              </w:rPr>
              <w:t xml:space="preserve"> </w:t>
            </w:r>
            <w:r w:rsidRPr="009868DC">
              <w:rPr>
                <w:sz w:val="24"/>
                <w:szCs w:val="24"/>
              </w:rPr>
              <w:t>Beckett (2011) provide that analysis requires you to make connections between information, research, theory and context and clearly explain how the evidence leads to your professional conclusion.</w:t>
            </w:r>
            <w:r w:rsidR="00C67F96">
              <w:rPr>
                <w:sz w:val="24"/>
                <w:szCs w:val="24"/>
              </w:rPr>
              <w:t xml:space="preserve"> </w:t>
            </w:r>
            <w:r w:rsidRPr="009868DC">
              <w:rPr>
                <w:sz w:val="24"/>
                <w:szCs w:val="24"/>
              </w:rPr>
              <w:t>My understanding of strengths-based practice (Saleebey, 2013) has also developed. Identifying strengths is important, particularly within statutory child protection where families can feel that professionals see only their difficulties, however, strengths-based practice must not become optimism bias (Payne, 2021). The children’s emotional warmth towards their parents, the parents’ willingness to accept support and the presence of a family network were protective factors, but these did not remove the evidence of neglect. Equally, the neglect concerns did not mean the family’s strengths should be disregarded.</w:t>
            </w:r>
          </w:p>
          <w:p w14:paraId="69FBD34C" w14:textId="77777777" w:rsidR="009868DC" w:rsidRPr="009868DC" w:rsidRDefault="009868DC" w:rsidP="009868DC">
            <w:pPr>
              <w:spacing w:after="160" w:line="360" w:lineRule="auto"/>
              <w:rPr>
                <w:sz w:val="24"/>
                <w:szCs w:val="24"/>
              </w:rPr>
            </w:pPr>
            <w:r w:rsidRPr="009868DC">
              <w:rPr>
                <w:sz w:val="24"/>
                <w:szCs w:val="24"/>
              </w:rPr>
              <w:t xml:space="preserve">The Welsh context has also become more meaningful to my practice through this case. The overarching legislation of the Social Services and Wellbeing Wales Act 2014 provides that my practice is underpinned by the principles of voice and control, co-production, well-being and prevention and these principles influence how I undertake assessments with parents, children and family network to identify solutions to meet their needs, while maintaining </w:t>
            </w:r>
            <w:r w:rsidRPr="009868DC">
              <w:rPr>
                <w:sz w:val="24"/>
                <w:szCs w:val="24"/>
              </w:rPr>
              <w:lastRenderedPageBreak/>
              <w:t>statutory safeguarding responsibilities. The Active Offer similarly demonstrated that language and culture are integral to person-centred practice (Welsh Government, 2022).</w:t>
            </w:r>
          </w:p>
          <w:p w14:paraId="7CE5FF1F" w14:textId="7A144F3B" w:rsidR="009868DC" w:rsidRPr="009868DC" w:rsidRDefault="009868DC" w:rsidP="009868DC">
            <w:pPr>
              <w:spacing w:after="160" w:line="360" w:lineRule="auto"/>
              <w:rPr>
                <w:sz w:val="24"/>
                <w:szCs w:val="24"/>
              </w:rPr>
            </w:pPr>
            <w:r w:rsidRPr="009868DC">
              <w:rPr>
                <w:sz w:val="24"/>
                <w:szCs w:val="24"/>
              </w:rPr>
              <w:t>This case has enabled me to critically reflect upon safeguarding practice within the legislative and professional context of Wales and particularly upon my development in analysis in assessment, collaborative working and professional judgement in increasingly complex situations. The case study has demonstrated that assessment cannot be reduced to collecting information or completing statutory procedures. I needed to analyse changing information concerning the children’s home conditions, parental capacity, children’s lived experiences, relationships, environmental factors and wider support network. Direct work was particularly important because listening to the children both strengthened my understanding of their lived experiences and generated new safeguarding information. This reinforced the importance of child-centred practice and professional curiosity (Munro, 2011).</w:t>
            </w:r>
            <w:r w:rsidRPr="009868DC">
              <w:rPr>
                <w:sz w:val="24"/>
                <w:szCs w:val="24"/>
              </w:rPr>
              <w:br/>
              <w:t>Collaborative working with Persons 6 and 7 enabled greater understanding of the factors contributing to the neglect concerns and allowed their natural support network to become part of the safety plan. However, critical reflection has also enabled me to recognise the unequal power inherent within statutory child protection. Working collaboratively therefore required honesty about my authority alongside genuine attempts to promote participation, voice and control. Theory provided different lenses through which I could understand the family’s situation. Signs of Safety (Turnell and Edwards, 1999) supported collaborative assessment of risk and strengths; relational practice (Ruch, Turney, and Ward, 2010) emphasised relationships as a mechanism for change; ecological and systems theory (Bronfenbrenner, 1979) helped me consider wider influences upon parenting; and strengths-based approaches (Saleebey, 2013) prevented the assessment from focusing exclusively upon deficits.</w:t>
            </w:r>
            <w:r w:rsidR="00875A7D">
              <w:rPr>
                <w:sz w:val="24"/>
                <w:szCs w:val="24"/>
              </w:rPr>
              <w:t xml:space="preserve"> </w:t>
            </w:r>
            <w:r w:rsidRPr="009868DC">
              <w:rPr>
                <w:sz w:val="24"/>
                <w:szCs w:val="24"/>
              </w:rPr>
              <w:t>However, I have also learned that theory should support professional reasoning rather than determine my conclusions.</w:t>
            </w:r>
          </w:p>
          <w:p w14:paraId="774F3776" w14:textId="77777777" w:rsidR="00875A7D" w:rsidRDefault="009868DC" w:rsidP="009868DC">
            <w:pPr>
              <w:spacing w:after="160" w:line="360" w:lineRule="auto"/>
              <w:rPr>
                <w:sz w:val="24"/>
                <w:szCs w:val="24"/>
              </w:rPr>
            </w:pPr>
            <w:r w:rsidRPr="009868DC">
              <w:rPr>
                <w:sz w:val="24"/>
                <w:szCs w:val="24"/>
              </w:rPr>
              <w:t>I feel that my professional judgement developed most when I was required to make decisions without complete certainty. The deterioration in home conditions required me to determine whether immediate safety could be achieved through support or whether further escalation was necessary. The information concerning the adult carer required proportionate interim safeguarding while further information was obtained. The Review Child Protection</w:t>
            </w:r>
            <w:r w:rsidRPr="009868DC">
              <w:rPr>
                <w:sz w:val="24"/>
                <w:szCs w:val="24"/>
              </w:rPr>
              <w:br/>
            </w:r>
            <w:r w:rsidRPr="009868DC">
              <w:rPr>
                <w:sz w:val="24"/>
                <w:szCs w:val="24"/>
              </w:rPr>
              <w:lastRenderedPageBreak/>
              <w:t>Conference report required me to undertake analysis within my assessment and this enables me to recognise genuine improvement while also determining that the risk of neglect had not reduced sufficiently to end statutory safeguarding intervention. Supervision was central to these decisions because it allowed me to test my assumptions and ensure my decisions were evidence-informed and proportionate. Most importantly, this case reinforced that the child’s lived experience must remain central. Meetings, assessments, statutory visits and services only have value if they result in meaningful improvements in children’s safety, welfare and well-being.</w:t>
            </w:r>
          </w:p>
          <w:p w14:paraId="1E793369" w14:textId="78307D98" w:rsidR="009868DC" w:rsidRPr="009868DC" w:rsidRDefault="009868DC" w:rsidP="009868DC">
            <w:pPr>
              <w:spacing w:after="160" w:line="360" w:lineRule="auto"/>
              <w:rPr>
                <w:sz w:val="24"/>
                <w:szCs w:val="24"/>
              </w:rPr>
            </w:pPr>
            <w:r w:rsidRPr="009868DC">
              <w:rPr>
                <w:sz w:val="24"/>
                <w:szCs w:val="24"/>
              </w:rPr>
              <w:br/>
              <w:t>Going forward, I want to continue developing my ability to articulate the reasoning behind professional judgements, particularly where information is contradictory and risk is uncertain. I will continue to use supervision, theory, research and multi-agency information to challenge my assumptions. I have learned that becoming a more experienced practitioner has not meant becoming certain about complex safeguarding situation and decision and instead I feel that it has meant becoming able to tolerate uncertainty, remain professionally curious and make proportionate, evidence-informed and supported decisions whilst remaining open to reflection, challenge and new information</w:t>
            </w:r>
          </w:p>
          <w:p w14:paraId="20370495" w14:textId="79B79501" w:rsidR="00D3203C" w:rsidRDefault="00D3203C" w:rsidP="00FF7EBB">
            <w:pPr>
              <w:jc w:val="both"/>
              <w:rPr>
                <w:i/>
                <w:sz w:val="24"/>
                <w:szCs w:val="24"/>
              </w:rPr>
            </w:pPr>
          </w:p>
          <w:p w14:paraId="12DC2F24" w14:textId="2AFF93A0" w:rsidR="00D3203C" w:rsidRPr="00415462" w:rsidRDefault="00DD0681" w:rsidP="00FF7EBB">
            <w:pPr>
              <w:jc w:val="both"/>
              <w:rPr>
                <w:iCs/>
                <w:sz w:val="24"/>
                <w:szCs w:val="24"/>
              </w:rPr>
            </w:pPr>
            <w:r>
              <w:rPr>
                <w:iCs/>
                <w:sz w:val="24"/>
                <w:szCs w:val="24"/>
              </w:rPr>
              <w:t>Word Count 4329</w:t>
            </w:r>
          </w:p>
          <w:p w14:paraId="1225D23D" w14:textId="4FFF3138" w:rsidR="00D3203C" w:rsidRPr="00CE4ED4" w:rsidRDefault="00D3203C" w:rsidP="00FF7EBB">
            <w:pPr>
              <w:jc w:val="both"/>
              <w:rPr>
                <w:iCs/>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7551D" w14:textId="77777777" w:rsidR="00204DED" w:rsidRDefault="00204DED">
      <w:r>
        <w:separator/>
      </w:r>
    </w:p>
  </w:endnote>
  <w:endnote w:type="continuationSeparator" w:id="0">
    <w:p w14:paraId="30FFEAC1" w14:textId="77777777" w:rsidR="00204DED" w:rsidRDefault="00204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078DC" w14:textId="77777777" w:rsidR="00204DED" w:rsidRDefault="00204DED">
      <w:r>
        <w:separator/>
      </w:r>
    </w:p>
  </w:footnote>
  <w:footnote w:type="continuationSeparator" w:id="0">
    <w:p w14:paraId="72C6E4E7" w14:textId="77777777" w:rsidR="00204DED" w:rsidRDefault="00204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C13BE1"/>
    <w:multiLevelType w:val="hybridMultilevel"/>
    <w:tmpl w:val="0792F034"/>
    <w:lvl w:ilvl="0" w:tplc="D778AEF8">
      <w:start w:val="198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131480972">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403"/>
    <w:rsid w:val="00002C7A"/>
    <w:rsid w:val="000045B8"/>
    <w:rsid w:val="00012B16"/>
    <w:rsid w:val="00015957"/>
    <w:rsid w:val="000166CB"/>
    <w:rsid w:val="000207C1"/>
    <w:rsid w:val="00020EEC"/>
    <w:rsid w:val="00023059"/>
    <w:rsid w:val="0002440E"/>
    <w:rsid w:val="0002759A"/>
    <w:rsid w:val="00027B1F"/>
    <w:rsid w:val="0003088B"/>
    <w:rsid w:val="000325D9"/>
    <w:rsid w:val="00033246"/>
    <w:rsid w:val="000346CA"/>
    <w:rsid w:val="000372B2"/>
    <w:rsid w:val="0004079F"/>
    <w:rsid w:val="00043543"/>
    <w:rsid w:val="00045B87"/>
    <w:rsid w:val="00045B98"/>
    <w:rsid w:val="00045C07"/>
    <w:rsid w:val="00045C40"/>
    <w:rsid w:val="00046861"/>
    <w:rsid w:val="00054A07"/>
    <w:rsid w:val="00055D43"/>
    <w:rsid w:val="00056FAC"/>
    <w:rsid w:val="00057751"/>
    <w:rsid w:val="00062E39"/>
    <w:rsid w:val="00063040"/>
    <w:rsid w:val="00064063"/>
    <w:rsid w:val="0006581A"/>
    <w:rsid w:val="00067E05"/>
    <w:rsid w:val="00074461"/>
    <w:rsid w:val="000755C9"/>
    <w:rsid w:val="000766EC"/>
    <w:rsid w:val="00080E58"/>
    <w:rsid w:val="00083D99"/>
    <w:rsid w:val="00084DA6"/>
    <w:rsid w:val="00085699"/>
    <w:rsid w:val="00087913"/>
    <w:rsid w:val="00090160"/>
    <w:rsid w:val="00091584"/>
    <w:rsid w:val="00091F52"/>
    <w:rsid w:val="00092970"/>
    <w:rsid w:val="00093720"/>
    <w:rsid w:val="000938E6"/>
    <w:rsid w:val="00093B3C"/>
    <w:rsid w:val="0009488C"/>
    <w:rsid w:val="00095C1B"/>
    <w:rsid w:val="000969CF"/>
    <w:rsid w:val="00096DEA"/>
    <w:rsid w:val="000971D1"/>
    <w:rsid w:val="000A4240"/>
    <w:rsid w:val="000A469A"/>
    <w:rsid w:val="000A584A"/>
    <w:rsid w:val="000A6458"/>
    <w:rsid w:val="000B1846"/>
    <w:rsid w:val="000C378F"/>
    <w:rsid w:val="000C494B"/>
    <w:rsid w:val="000C6892"/>
    <w:rsid w:val="000C6FFE"/>
    <w:rsid w:val="000D0BB6"/>
    <w:rsid w:val="000D2ED2"/>
    <w:rsid w:val="000D6653"/>
    <w:rsid w:val="000D70B2"/>
    <w:rsid w:val="000E0D51"/>
    <w:rsid w:val="000E26B0"/>
    <w:rsid w:val="000E37C2"/>
    <w:rsid w:val="000E38C3"/>
    <w:rsid w:val="000E6B85"/>
    <w:rsid w:val="000E6E7C"/>
    <w:rsid w:val="000F1599"/>
    <w:rsid w:val="000F1769"/>
    <w:rsid w:val="000F1A97"/>
    <w:rsid w:val="000F42AE"/>
    <w:rsid w:val="000F6196"/>
    <w:rsid w:val="000F6BC3"/>
    <w:rsid w:val="00102ADF"/>
    <w:rsid w:val="0010312C"/>
    <w:rsid w:val="0010337C"/>
    <w:rsid w:val="0010386E"/>
    <w:rsid w:val="00105026"/>
    <w:rsid w:val="0010662B"/>
    <w:rsid w:val="00106DC7"/>
    <w:rsid w:val="00112391"/>
    <w:rsid w:val="00113E6F"/>
    <w:rsid w:val="00114F52"/>
    <w:rsid w:val="0012178A"/>
    <w:rsid w:val="00123E15"/>
    <w:rsid w:val="00130119"/>
    <w:rsid w:val="00132812"/>
    <w:rsid w:val="001347F8"/>
    <w:rsid w:val="001359EE"/>
    <w:rsid w:val="001360BA"/>
    <w:rsid w:val="00137BB5"/>
    <w:rsid w:val="00137E05"/>
    <w:rsid w:val="0014101C"/>
    <w:rsid w:val="001447F6"/>
    <w:rsid w:val="00147DE3"/>
    <w:rsid w:val="00150794"/>
    <w:rsid w:val="00151DA6"/>
    <w:rsid w:val="001608C4"/>
    <w:rsid w:val="00161950"/>
    <w:rsid w:val="00164832"/>
    <w:rsid w:val="00171418"/>
    <w:rsid w:val="00171F99"/>
    <w:rsid w:val="001772BF"/>
    <w:rsid w:val="001772DE"/>
    <w:rsid w:val="00181757"/>
    <w:rsid w:val="0019496C"/>
    <w:rsid w:val="001961CF"/>
    <w:rsid w:val="001961E8"/>
    <w:rsid w:val="001A003B"/>
    <w:rsid w:val="001A59BB"/>
    <w:rsid w:val="001A607E"/>
    <w:rsid w:val="001A6A51"/>
    <w:rsid w:val="001A79C4"/>
    <w:rsid w:val="001B331A"/>
    <w:rsid w:val="001B4D98"/>
    <w:rsid w:val="001B7569"/>
    <w:rsid w:val="001C0237"/>
    <w:rsid w:val="001C0E74"/>
    <w:rsid w:val="001C3E71"/>
    <w:rsid w:val="001C4DB8"/>
    <w:rsid w:val="001C50B8"/>
    <w:rsid w:val="001C730F"/>
    <w:rsid w:val="001D229F"/>
    <w:rsid w:val="001E2EB6"/>
    <w:rsid w:val="001E30B3"/>
    <w:rsid w:val="001E387C"/>
    <w:rsid w:val="001F4552"/>
    <w:rsid w:val="001F6977"/>
    <w:rsid w:val="002019EB"/>
    <w:rsid w:val="00203127"/>
    <w:rsid w:val="00204B58"/>
    <w:rsid w:val="00204DED"/>
    <w:rsid w:val="00205051"/>
    <w:rsid w:val="00207961"/>
    <w:rsid w:val="00207BF0"/>
    <w:rsid w:val="00211F65"/>
    <w:rsid w:val="00212BB4"/>
    <w:rsid w:val="00214047"/>
    <w:rsid w:val="00215D6A"/>
    <w:rsid w:val="00216563"/>
    <w:rsid w:val="0021792F"/>
    <w:rsid w:val="002206E8"/>
    <w:rsid w:val="00220D06"/>
    <w:rsid w:val="002246A0"/>
    <w:rsid w:val="00230439"/>
    <w:rsid w:val="00232A09"/>
    <w:rsid w:val="00235176"/>
    <w:rsid w:val="00235C6C"/>
    <w:rsid w:val="00236061"/>
    <w:rsid w:val="0024100E"/>
    <w:rsid w:val="00241C1B"/>
    <w:rsid w:val="0024288B"/>
    <w:rsid w:val="00243DB0"/>
    <w:rsid w:val="0024531E"/>
    <w:rsid w:val="00247265"/>
    <w:rsid w:val="002518D5"/>
    <w:rsid w:val="00260663"/>
    <w:rsid w:val="0026162C"/>
    <w:rsid w:val="002657E9"/>
    <w:rsid w:val="0026589D"/>
    <w:rsid w:val="0026665E"/>
    <w:rsid w:val="0027033C"/>
    <w:rsid w:val="002707CA"/>
    <w:rsid w:val="0027147E"/>
    <w:rsid w:val="002761F4"/>
    <w:rsid w:val="002775E1"/>
    <w:rsid w:val="00277979"/>
    <w:rsid w:val="00285795"/>
    <w:rsid w:val="00290C3A"/>
    <w:rsid w:val="00291ADD"/>
    <w:rsid w:val="002920DF"/>
    <w:rsid w:val="00292F3D"/>
    <w:rsid w:val="00295CA1"/>
    <w:rsid w:val="0029671A"/>
    <w:rsid w:val="002A0E51"/>
    <w:rsid w:val="002A1A44"/>
    <w:rsid w:val="002A291A"/>
    <w:rsid w:val="002A2BFB"/>
    <w:rsid w:val="002A2C54"/>
    <w:rsid w:val="002A4E2E"/>
    <w:rsid w:val="002A5604"/>
    <w:rsid w:val="002A7F50"/>
    <w:rsid w:val="002B0AAC"/>
    <w:rsid w:val="002B1701"/>
    <w:rsid w:val="002B23C3"/>
    <w:rsid w:val="002B443A"/>
    <w:rsid w:val="002B5B35"/>
    <w:rsid w:val="002B7AEE"/>
    <w:rsid w:val="002C2536"/>
    <w:rsid w:val="002C256A"/>
    <w:rsid w:val="002C3031"/>
    <w:rsid w:val="002C4233"/>
    <w:rsid w:val="002C496D"/>
    <w:rsid w:val="002C4E01"/>
    <w:rsid w:val="002C57D7"/>
    <w:rsid w:val="002D05EB"/>
    <w:rsid w:val="002D11A8"/>
    <w:rsid w:val="002D2F29"/>
    <w:rsid w:val="002D46C0"/>
    <w:rsid w:val="002D5A92"/>
    <w:rsid w:val="002D65D2"/>
    <w:rsid w:val="002D6B31"/>
    <w:rsid w:val="002E29DD"/>
    <w:rsid w:val="002E6D17"/>
    <w:rsid w:val="002E7017"/>
    <w:rsid w:val="002E7F2C"/>
    <w:rsid w:val="002F1FC7"/>
    <w:rsid w:val="002F2185"/>
    <w:rsid w:val="002F3729"/>
    <w:rsid w:val="002F4F6E"/>
    <w:rsid w:val="003015C3"/>
    <w:rsid w:val="003070C9"/>
    <w:rsid w:val="003106DB"/>
    <w:rsid w:val="0031350A"/>
    <w:rsid w:val="00316815"/>
    <w:rsid w:val="003168CA"/>
    <w:rsid w:val="003172F1"/>
    <w:rsid w:val="00321255"/>
    <w:rsid w:val="0032230D"/>
    <w:rsid w:val="00322A0B"/>
    <w:rsid w:val="00326CD5"/>
    <w:rsid w:val="00330881"/>
    <w:rsid w:val="00331CD2"/>
    <w:rsid w:val="00332426"/>
    <w:rsid w:val="00335759"/>
    <w:rsid w:val="00335C41"/>
    <w:rsid w:val="00335FC5"/>
    <w:rsid w:val="00336905"/>
    <w:rsid w:val="0033771E"/>
    <w:rsid w:val="00337FEF"/>
    <w:rsid w:val="00342C8A"/>
    <w:rsid w:val="00345736"/>
    <w:rsid w:val="00354B6D"/>
    <w:rsid w:val="00354FBB"/>
    <w:rsid w:val="00355210"/>
    <w:rsid w:val="00355CFD"/>
    <w:rsid w:val="00355EC2"/>
    <w:rsid w:val="0035687C"/>
    <w:rsid w:val="00360E52"/>
    <w:rsid w:val="00365DF9"/>
    <w:rsid w:val="0037066E"/>
    <w:rsid w:val="00370BA0"/>
    <w:rsid w:val="00371AD4"/>
    <w:rsid w:val="00372DB4"/>
    <w:rsid w:val="00373A36"/>
    <w:rsid w:val="00373C21"/>
    <w:rsid w:val="0037419E"/>
    <w:rsid w:val="00375AF5"/>
    <w:rsid w:val="003761BD"/>
    <w:rsid w:val="00377448"/>
    <w:rsid w:val="00377884"/>
    <w:rsid w:val="0038230B"/>
    <w:rsid w:val="003826BD"/>
    <w:rsid w:val="00384235"/>
    <w:rsid w:val="00385414"/>
    <w:rsid w:val="00386C31"/>
    <w:rsid w:val="00390074"/>
    <w:rsid w:val="00392F73"/>
    <w:rsid w:val="00393600"/>
    <w:rsid w:val="003974FA"/>
    <w:rsid w:val="0039762B"/>
    <w:rsid w:val="003A0C37"/>
    <w:rsid w:val="003A1B6B"/>
    <w:rsid w:val="003A3703"/>
    <w:rsid w:val="003A46C0"/>
    <w:rsid w:val="003A5211"/>
    <w:rsid w:val="003A600E"/>
    <w:rsid w:val="003A6513"/>
    <w:rsid w:val="003B16C7"/>
    <w:rsid w:val="003B1E2D"/>
    <w:rsid w:val="003B29BC"/>
    <w:rsid w:val="003B2BF8"/>
    <w:rsid w:val="003B3115"/>
    <w:rsid w:val="003B5681"/>
    <w:rsid w:val="003C19F1"/>
    <w:rsid w:val="003C1BAA"/>
    <w:rsid w:val="003C3C67"/>
    <w:rsid w:val="003C4186"/>
    <w:rsid w:val="003C6185"/>
    <w:rsid w:val="003C7276"/>
    <w:rsid w:val="003D0D2D"/>
    <w:rsid w:val="003D0F28"/>
    <w:rsid w:val="003D1885"/>
    <w:rsid w:val="003D1BC0"/>
    <w:rsid w:val="003D20F1"/>
    <w:rsid w:val="003D4710"/>
    <w:rsid w:val="003E16D7"/>
    <w:rsid w:val="003E197E"/>
    <w:rsid w:val="003E29EA"/>
    <w:rsid w:val="003E2D70"/>
    <w:rsid w:val="003E4B70"/>
    <w:rsid w:val="003E54CF"/>
    <w:rsid w:val="003E5FBA"/>
    <w:rsid w:val="003F030D"/>
    <w:rsid w:val="003F1233"/>
    <w:rsid w:val="003F6619"/>
    <w:rsid w:val="003F67A4"/>
    <w:rsid w:val="00400786"/>
    <w:rsid w:val="00401FDA"/>
    <w:rsid w:val="00404097"/>
    <w:rsid w:val="004046F0"/>
    <w:rsid w:val="0040668F"/>
    <w:rsid w:val="00407004"/>
    <w:rsid w:val="00410E5B"/>
    <w:rsid w:val="00411EF7"/>
    <w:rsid w:val="00412677"/>
    <w:rsid w:val="00415462"/>
    <w:rsid w:val="004156A6"/>
    <w:rsid w:val="004203F8"/>
    <w:rsid w:val="00425160"/>
    <w:rsid w:val="0042595C"/>
    <w:rsid w:val="00427937"/>
    <w:rsid w:val="00430DE3"/>
    <w:rsid w:val="00433C90"/>
    <w:rsid w:val="004348AE"/>
    <w:rsid w:val="0043666F"/>
    <w:rsid w:val="004376C0"/>
    <w:rsid w:val="0044223A"/>
    <w:rsid w:val="00442DD0"/>
    <w:rsid w:val="00444B80"/>
    <w:rsid w:val="00450B67"/>
    <w:rsid w:val="00451851"/>
    <w:rsid w:val="0045189A"/>
    <w:rsid w:val="00451A6A"/>
    <w:rsid w:val="0045229E"/>
    <w:rsid w:val="00453343"/>
    <w:rsid w:val="004538C3"/>
    <w:rsid w:val="00453C8D"/>
    <w:rsid w:val="00455D9D"/>
    <w:rsid w:val="004608B9"/>
    <w:rsid w:val="00463B55"/>
    <w:rsid w:val="00465947"/>
    <w:rsid w:val="004667B1"/>
    <w:rsid w:val="00467F66"/>
    <w:rsid w:val="00470461"/>
    <w:rsid w:val="00470B23"/>
    <w:rsid w:val="00470BB1"/>
    <w:rsid w:val="00473153"/>
    <w:rsid w:val="00473443"/>
    <w:rsid w:val="0047350F"/>
    <w:rsid w:val="00473C91"/>
    <w:rsid w:val="004743AF"/>
    <w:rsid w:val="00476A0F"/>
    <w:rsid w:val="00480F22"/>
    <w:rsid w:val="00482C17"/>
    <w:rsid w:val="00482DD6"/>
    <w:rsid w:val="00482FBD"/>
    <w:rsid w:val="00484339"/>
    <w:rsid w:val="00484B41"/>
    <w:rsid w:val="00484CE3"/>
    <w:rsid w:val="004905AC"/>
    <w:rsid w:val="004911B4"/>
    <w:rsid w:val="0049196A"/>
    <w:rsid w:val="004923DA"/>
    <w:rsid w:val="00492EEB"/>
    <w:rsid w:val="00493434"/>
    <w:rsid w:val="004937BB"/>
    <w:rsid w:val="00495581"/>
    <w:rsid w:val="004968E2"/>
    <w:rsid w:val="004A21F0"/>
    <w:rsid w:val="004A2A49"/>
    <w:rsid w:val="004A3F64"/>
    <w:rsid w:val="004A5A64"/>
    <w:rsid w:val="004B5553"/>
    <w:rsid w:val="004B600B"/>
    <w:rsid w:val="004B6822"/>
    <w:rsid w:val="004B69F6"/>
    <w:rsid w:val="004C0B5F"/>
    <w:rsid w:val="004C2D3A"/>
    <w:rsid w:val="004C6EA4"/>
    <w:rsid w:val="004C7AC1"/>
    <w:rsid w:val="004D03C4"/>
    <w:rsid w:val="004D0BF1"/>
    <w:rsid w:val="004D0F4E"/>
    <w:rsid w:val="004D3278"/>
    <w:rsid w:val="004D35A4"/>
    <w:rsid w:val="004D445F"/>
    <w:rsid w:val="004D5CB4"/>
    <w:rsid w:val="004E087B"/>
    <w:rsid w:val="004E3E9B"/>
    <w:rsid w:val="004E44A4"/>
    <w:rsid w:val="004E713A"/>
    <w:rsid w:val="004E7B8B"/>
    <w:rsid w:val="004E7BDD"/>
    <w:rsid w:val="004F1966"/>
    <w:rsid w:val="004F1E21"/>
    <w:rsid w:val="004F2542"/>
    <w:rsid w:val="004F36D8"/>
    <w:rsid w:val="004F42B2"/>
    <w:rsid w:val="004F4E33"/>
    <w:rsid w:val="004F50CE"/>
    <w:rsid w:val="004F740D"/>
    <w:rsid w:val="004F7B8F"/>
    <w:rsid w:val="00500748"/>
    <w:rsid w:val="005011D6"/>
    <w:rsid w:val="00502A14"/>
    <w:rsid w:val="005042F1"/>
    <w:rsid w:val="0050481B"/>
    <w:rsid w:val="005113D4"/>
    <w:rsid w:val="0051287D"/>
    <w:rsid w:val="00513C7D"/>
    <w:rsid w:val="00515148"/>
    <w:rsid w:val="00516F36"/>
    <w:rsid w:val="00521123"/>
    <w:rsid w:val="00521221"/>
    <w:rsid w:val="0052250B"/>
    <w:rsid w:val="0052633B"/>
    <w:rsid w:val="00527EB1"/>
    <w:rsid w:val="005305C6"/>
    <w:rsid w:val="00532457"/>
    <w:rsid w:val="00540EEC"/>
    <w:rsid w:val="005414F4"/>
    <w:rsid w:val="00546187"/>
    <w:rsid w:val="00547B11"/>
    <w:rsid w:val="00557D77"/>
    <w:rsid w:val="00562EAA"/>
    <w:rsid w:val="00563B58"/>
    <w:rsid w:val="005640C4"/>
    <w:rsid w:val="005658FC"/>
    <w:rsid w:val="00566418"/>
    <w:rsid w:val="0056684C"/>
    <w:rsid w:val="00572F9D"/>
    <w:rsid w:val="005748D9"/>
    <w:rsid w:val="00574A0C"/>
    <w:rsid w:val="005754AC"/>
    <w:rsid w:val="0057780F"/>
    <w:rsid w:val="00581E0A"/>
    <w:rsid w:val="0058694B"/>
    <w:rsid w:val="00586D89"/>
    <w:rsid w:val="005877C8"/>
    <w:rsid w:val="00587923"/>
    <w:rsid w:val="00594F9F"/>
    <w:rsid w:val="005971B6"/>
    <w:rsid w:val="005A1B4C"/>
    <w:rsid w:val="005A2970"/>
    <w:rsid w:val="005A545C"/>
    <w:rsid w:val="005B0C44"/>
    <w:rsid w:val="005B271A"/>
    <w:rsid w:val="005B31F1"/>
    <w:rsid w:val="005B3A2D"/>
    <w:rsid w:val="005C1567"/>
    <w:rsid w:val="005C1686"/>
    <w:rsid w:val="005C28D3"/>
    <w:rsid w:val="005C6CE5"/>
    <w:rsid w:val="005D3F07"/>
    <w:rsid w:val="005D4A1E"/>
    <w:rsid w:val="005D4F72"/>
    <w:rsid w:val="005E0087"/>
    <w:rsid w:val="005E13EA"/>
    <w:rsid w:val="005E17F1"/>
    <w:rsid w:val="005E1CDA"/>
    <w:rsid w:val="005E5483"/>
    <w:rsid w:val="005F59C3"/>
    <w:rsid w:val="005F64AA"/>
    <w:rsid w:val="005F685B"/>
    <w:rsid w:val="005F7851"/>
    <w:rsid w:val="00605A0F"/>
    <w:rsid w:val="00606E27"/>
    <w:rsid w:val="006108C9"/>
    <w:rsid w:val="00614DF7"/>
    <w:rsid w:val="006179BB"/>
    <w:rsid w:val="0062158D"/>
    <w:rsid w:val="006223FD"/>
    <w:rsid w:val="00622E67"/>
    <w:rsid w:val="00631521"/>
    <w:rsid w:val="006326D1"/>
    <w:rsid w:val="00632E0A"/>
    <w:rsid w:val="00633165"/>
    <w:rsid w:val="00635C4E"/>
    <w:rsid w:val="006447DE"/>
    <w:rsid w:val="00644889"/>
    <w:rsid w:val="00644DBD"/>
    <w:rsid w:val="0065276E"/>
    <w:rsid w:val="00654329"/>
    <w:rsid w:val="00654CEC"/>
    <w:rsid w:val="00655507"/>
    <w:rsid w:val="006579FD"/>
    <w:rsid w:val="006635E3"/>
    <w:rsid w:val="006665FE"/>
    <w:rsid w:val="006669F3"/>
    <w:rsid w:val="00670D9F"/>
    <w:rsid w:val="006712A7"/>
    <w:rsid w:val="00672CED"/>
    <w:rsid w:val="006736EF"/>
    <w:rsid w:val="00674FC2"/>
    <w:rsid w:val="00675DB2"/>
    <w:rsid w:val="00676E35"/>
    <w:rsid w:val="00677E42"/>
    <w:rsid w:val="00682334"/>
    <w:rsid w:val="00684732"/>
    <w:rsid w:val="00684B16"/>
    <w:rsid w:val="00687016"/>
    <w:rsid w:val="006872A0"/>
    <w:rsid w:val="006914E3"/>
    <w:rsid w:val="0069625A"/>
    <w:rsid w:val="00696A88"/>
    <w:rsid w:val="00696F65"/>
    <w:rsid w:val="00697572"/>
    <w:rsid w:val="006A46CC"/>
    <w:rsid w:val="006B4496"/>
    <w:rsid w:val="006B5E67"/>
    <w:rsid w:val="006B6612"/>
    <w:rsid w:val="006B6B1F"/>
    <w:rsid w:val="006C2EB5"/>
    <w:rsid w:val="006C319F"/>
    <w:rsid w:val="006C5A86"/>
    <w:rsid w:val="006D18A3"/>
    <w:rsid w:val="006D5970"/>
    <w:rsid w:val="006E481E"/>
    <w:rsid w:val="006E795F"/>
    <w:rsid w:val="006F0862"/>
    <w:rsid w:val="006F10EA"/>
    <w:rsid w:val="006F1438"/>
    <w:rsid w:val="006F2A9E"/>
    <w:rsid w:val="006F3764"/>
    <w:rsid w:val="006F4888"/>
    <w:rsid w:val="006F5ED3"/>
    <w:rsid w:val="00700249"/>
    <w:rsid w:val="007069CD"/>
    <w:rsid w:val="00706BB5"/>
    <w:rsid w:val="0071231A"/>
    <w:rsid w:val="00712E90"/>
    <w:rsid w:val="00713ADD"/>
    <w:rsid w:val="00713B7E"/>
    <w:rsid w:val="0072678F"/>
    <w:rsid w:val="00726F66"/>
    <w:rsid w:val="007276E5"/>
    <w:rsid w:val="00727C4C"/>
    <w:rsid w:val="007308CC"/>
    <w:rsid w:val="00734809"/>
    <w:rsid w:val="0073714E"/>
    <w:rsid w:val="007374EF"/>
    <w:rsid w:val="007406E1"/>
    <w:rsid w:val="00743E40"/>
    <w:rsid w:val="00745016"/>
    <w:rsid w:val="007454F8"/>
    <w:rsid w:val="0075031F"/>
    <w:rsid w:val="00751263"/>
    <w:rsid w:val="00753BA1"/>
    <w:rsid w:val="007544FC"/>
    <w:rsid w:val="00755098"/>
    <w:rsid w:val="00755427"/>
    <w:rsid w:val="00756548"/>
    <w:rsid w:val="0075673A"/>
    <w:rsid w:val="0075704F"/>
    <w:rsid w:val="007602E7"/>
    <w:rsid w:val="00762BC2"/>
    <w:rsid w:val="00763B2D"/>
    <w:rsid w:val="00764C84"/>
    <w:rsid w:val="007668C2"/>
    <w:rsid w:val="007710AD"/>
    <w:rsid w:val="00772924"/>
    <w:rsid w:val="007735F4"/>
    <w:rsid w:val="00775E25"/>
    <w:rsid w:val="0078112D"/>
    <w:rsid w:val="00781E66"/>
    <w:rsid w:val="007872F2"/>
    <w:rsid w:val="007873F9"/>
    <w:rsid w:val="007908E0"/>
    <w:rsid w:val="00793EB3"/>
    <w:rsid w:val="00794205"/>
    <w:rsid w:val="0079422A"/>
    <w:rsid w:val="007A1F6A"/>
    <w:rsid w:val="007A628F"/>
    <w:rsid w:val="007B0DE3"/>
    <w:rsid w:val="007B1BFD"/>
    <w:rsid w:val="007B257A"/>
    <w:rsid w:val="007B5810"/>
    <w:rsid w:val="007B7191"/>
    <w:rsid w:val="007C1D94"/>
    <w:rsid w:val="007C30FB"/>
    <w:rsid w:val="007C556F"/>
    <w:rsid w:val="007C5ABE"/>
    <w:rsid w:val="007C6A87"/>
    <w:rsid w:val="007D0A07"/>
    <w:rsid w:val="007D0F11"/>
    <w:rsid w:val="007D133D"/>
    <w:rsid w:val="007D3EB4"/>
    <w:rsid w:val="007D3F16"/>
    <w:rsid w:val="007E28EB"/>
    <w:rsid w:val="007F10BD"/>
    <w:rsid w:val="007F312E"/>
    <w:rsid w:val="007F3F7E"/>
    <w:rsid w:val="007F4BA4"/>
    <w:rsid w:val="007F6B93"/>
    <w:rsid w:val="00813CEC"/>
    <w:rsid w:val="0081534C"/>
    <w:rsid w:val="00816CE7"/>
    <w:rsid w:val="008171E4"/>
    <w:rsid w:val="008204C2"/>
    <w:rsid w:val="008208EA"/>
    <w:rsid w:val="00822B44"/>
    <w:rsid w:val="00822BA9"/>
    <w:rsid w:val="00824E67"/>
    <w:rsid w:val="00825A64"/>
    <w:rsid w:val="00826F48"/>
    <w:rsid w:val="00827F2B"/>
    <w:rsid w:val="008308AE"/>
    <w:rsid w:val="00830DD1"/>
    <w:rsid w:val="0083166E"/>
    <w:rsid w:val="00831DC3"/>
    <w:rsid w:val="008322C7"/>
    <w:rsid w:val="00832EFB"/>
    <w:rsid w:val="008340BA"/>
    <w:rsid w:val="00834F1D"/>
    <w:rsid w:val="008360E1"/>
    <w:rsid w:val="00836FEC"/>
    <w:rsid w:val="00841F9D"/>
    <w:rsid w:val="008420E1"/>
    <w:rsid w:val="00844D98"/>
    <w:rsid w:val="00846D84"/>
    <w:rsid w:val="00850233"/>
    <w:rsid w:val="0085230E"/>
    <w:rsid w:val="008550A1"/>
    <w:rsid w:val="00860BDD"/>
    <w:rsid w:val="00861038"/>
    <w:rsid w:val="00861AAD"/>
    <w:rsid w:val="00861ED8"/>
    <w:rsid w:val="00862FD1"/>
    <w:rsid w:val="0086568F"/>
    <w:rsid w:val="00865B58"/>
    <w:rsid w:val="00866B50"/>
    <w:rsid w:val="00867A63"/>
    <w:rsid w:val="00867DB2"/>
    <w:rsid w:val="008708F1"/>
    <w:rsid w:val="00871960"/>
    <w:rsid w:val="0087369F"/>
    <w:rsid w:val="00873D43"/>
    <w:rsid w:val="00875A7D"/>
    <w:rsid w:val="00880539"/>
    <w:rsid w:val="008834D5"/>
    <w:rsid w:val="008859E8"/>
    <w:rsid w:val="0088737B"/>
    <w:rsid w:val="00891078"/>
    <w:rsid w:val="00892716"/>
    <w:rsid w:val="00893067"/>
    <w:rsid w:val="00893238"/>
    <w:rsid w:val="008933DE"/>
    <w:rsid w:val="00893ED6"/>
    <w:rsid w:val="00895FCE"/>
    <w:rsid w:val="00897F3E"/>
    <w:rsid w:val="008A21B4"/>
    <w:rsid w:val="008A514C"/>
    <w:rsid w:val="008B07DE"/>
    <w:rsid w:val="008B0BAA"/>
    <w:rsid w:val="008B1309"/>
    <w:rsid w:val="008B28E7"/>
    <w:rsid w:val="008B49C4"/>
    <w:rsid w:val="008B67F6"/>
    <w:rsid w:val="008B6FF0"/>
    <w:rsid w:val="008C14C7"/>
    <w:rsid w:val="008C2FFB"/>
    <w:rsid w:val="008C378D"/>
    <w:rsid w:val="008C633F"/>
    <w:rsid w:val="008C6EEA"/>
    <w:rsid w:val="008C72BE"/>
    <w:rsid w:val="008C7467"/>
    <w:rsid w:val="008C7770"/>
    <w:rsid w:val="008C79C7"/>
    <w:rsid w:val="008D03B0"/>
    <w:rsid w:val="008D2150"/>
    <w:rsid w:val="008D34A0"/>
    <w:rsid w:val="008D5813"/>
    <w:rsid w:val="008D5999"/>
    <w:rsid w:val="008D634E"/>
    <w:rsid w:val="008D778A"/>
    <w:rsid w:val="008D78C9"/>
    <w:rsid w:val="008E3195"/>
    <w:rsid w:val="008E5A35"/>
    <w:rsid w:val="008E7EB8"/>
    <w:rsid w:val="008F127E"/>
    <w:rsid w:val="008F32D9"/>
    <w:rsid w:val="00902A65"/>
    <w:rsid w:val="00903932"/>
    <w:rsid w:val="009079BD"/>
    <w:rsid w:val="00911F59"/>
    <w:rsid w:val="00912BD9"/>
    <w:rsid w:val="00916FB2"/>
    <w:rsid w:val="00920E5B"/>
    <w:rsid w:val="00921190"/>
    <w:rsid w:val="00924649"/>
    <w:rsid w:val="00924E05"/>
    <w:rsid w:val="00926436"/>
    <w:rsid w:val="00926C53"/>
    <w:rsid w:val="0093018C"/>
    <w:rsid w:val="00933898"/>
    <w:rsid w:val="009365F7"/>
    <w:rsid w:val="0094495F"/>
    <w:rsid w:val="00950629"/>
    <w:rsid w:val="009544C0"/>
    <w:rsid w:val="00954FA4"/>
    <w:rsid w:val="00956AE9"/>
    <w:rsid w:val="00963C71"/>
    <w:rsid w:val="00964702"/>
    <w:rsid w:val="00964CC6"/>
    <w:rsid w:val="009653B1"/>
    <w:rsid w:val="00967BFA"/>
    <w:rsid w:val="00971EA3"/>
    <w:rsid w:val="009733ED"/>
    <w:rsid w:val="00975259"/>
    <w:rsid w:val="0098262C"/>
    <w:rsid w:val="0098427C"/>
    <w:rsid w:val="00984A68"/>
    <w:rsid w:val="00985A08"/>
    <w:rsid w:val="009868DC"/>
    <w:rsid w:val="00986B43"/>
    <w:rsid w:val="00986C0B"/>
    <w:rsid w:val="00986D13"/>
    <w:rsid w:val="00986D46"/>
    <w:rsid w:val="00991FDA"/>
    <w:rsid w:val="00992ACA"/>
    <w:rsid w:val="009A5F3B"/>
    <w:rsid w:val="009A5F79"/>
    <w:rsid w:val="009A6F87"/>
    <w:rsid w:val="009A7F4F"/>
    <w:rsid w:val="009B0B61"/>
    <w:rsid w:val="009B0BD2"/>
    <w:rsid w:val="009B28C0"/>
    <w:rsid w:val="009B3178"/>
    <w:rsid w:val="009B38B1"/>
    <w:rsid w:val="009B3E46"/>
    <w:rsid w:val="009B7136"/>
    <w:rsid w:val="009C337F"/>
    <w:rsid w:val="009C53E7"/>
    <w:rsid w:val="009C6092"/>
    <w:rsid w:val="009C7342"/>
    <w:rsid w:val="009C7766"/>
    <w:rsid w:val="009D4365"/>
    <w:rsid w:val="009D477B"/>
    <w:rsid w:val="009D4E3B"/>
    <w:rsid w:val="009D59C2"/>
    <w:rsid w:val="009D7BC9"/>
    <w:rsid w:val="009E122F"/>
    <w:rsid w:val="009E1982"/>
    <w:rsid w:val="009E2E41"/>
    <w:rsid w:val="009E4D2C"/>
    <w:rsid w:val="009E5F55"/>
    <w:rsid w:val="009F0978"/>
    <w:rsid w:val="009F3AEC"/>
    <w:rsid w:val="009F6801"/>
    <w:rsid w:val="009F72F9"/>
    <w:rsid w:val="00A00081"/>
    <w:rsid w:val="00A06422"/>
    <w:rsid w:val="00A073E1"/>
    <w:rsid w:val="00A10D56"/>
    <w:rsid w:val="00A12AAE"/>
    <w:rsid w:val="00A12F22"/>
    <w:rsid w:val="00A14B8A"/>
    <w:rsid w:val="00A1653F"/>
    <w:rsid w:val="00A16B0E"/>
    <w:rsid w:val="00A16DD1"/>
    <w:rsid w:val="00A22441"/>
    <w:rsid w:val="00A22AC7"/>
    <w:rsid w:val="00A23F3B"/>
    <w:rsid w:val="00A24406"/>
    <w:rsid w:val="00A25F64"/>
    <w:rsid w:val="00A275F6"/>
    <w:rsid w:val="00A303B9"/>
    <w:rsid w:val="00A31050"/>
    <w:rsid w:val="00A322B3"/>
    <w:rsid w:val="00A33913"/>
    <w:rsid w:val="00A37416"/>
    <w:rsid w:val="00A40ED6"/>
    <w:rsid w:val="00A47621"/>
    <w:rsid w:val="00A479CD"/>
    <w:rsid w:val="00A50CFC"/>
    <w:rsid w:val="00A54D67"/>
    <w:rsid w:val="00A55A3F"/>
    <w:rsid w:val="00A5656A"/>
    <w:rsid w:val="00A60103"/>
    <w:rsid w:val="00A652F6"/>
    <w:rsid w:val="00A65861"/>
    <w:rsid w:val="00A6715A"/>
    <w:rsid w:val="00A732EA"/>
    <w:rsid w:val="00A7489E"/>
    <w:rsid w:val="00A77B81"/>
    <w:rsid w:val="00A8015F"/>
    <w:rsid w:val="00A8234B"/>
    <w:rsid w:val="00A85039"/>
    <w:rsid w:val="00A867CC"/>
    <w:rsid w:val="00A906AA"/>
    <w:rsid w:val="00A9212E"/>
    <w:rsid w:val="00A92A83"/>
    <w:rsid w:val="00A94C5E"/>
    <w:rsid w:val="00AA233E"/>
    <w:rsid w:val="00AA252C"/>
    <w:rsid w:val="00AA666E"/>
    <w:rsid w:val="00AA7960"/>
    <w:rsid w:val="00AB470D"/>
    <w:rsid w:val="00AB4DD8"/>
    <w:rsid w:val="00AB5518"/>
    <w:rsid w:val="00AB75D7"/>
    <w:rsid w:val="00AB79A3"/>
    <w:rsid w:val="00AC3A0E"/>
    <w:rsid w:val="00AC4A04"/>
    <w:rsid w:val="00AC5679"/>
    <w:rsid w:val="00AD336F"/>
    <w:rsid w:val="00AD7FF2"/>
    <w:rsid w:val="00AE134C"/>
    <w:rsid w:val="00AE1868"/>
    <w:rsid w:val="00AE2564"/>
    <w:rsid w:val="00AE301F"/>
    <w:rsid w:val="00AE3302"/>
    <w:rsid w:val="00AE5BA6"/>
    <w:rsid w:val="00AE6231"/>
    <w:rsid w:val="00AE7077"/>
    <w:rsid w:val="00AF0623"/>
    <w:rsid w:val="00AF61C2"/>
    <w:rsid w:val="00AF6CC6"/>
    <w:rsid w:val="00AF7F49"/>
    <w:rsid w:val="00B01554"/>
    <w:rsid w:val="00B0296A"/>
    <w:rsid w:val="00B037B0"/>
    <w:rsid w:val="00B07E79"/>
    <w:rsid w:val="00B12295"/>
    <w:rsid w:val="00B127D7"/>
    <w:rsid w:val="00B137BE"/>
    <w:rsid w:val="00B1391E"/>
    <w:rsid w:val="00B156CF"/>
    <w:rsid w:val="00B15998"/>
    <w:rsid w:val="00B17659"/>
    <w:rsid w:val="00B17FA0"/>
    <w:rsid w:val="00B2253E"/>
    <w:rsid w:val="00B22779"/>
    <w:rsid w:val="00B2292C"/>
    <w:rsid w:val="00B22C3C"/>
    <w:rsid w:val="00B24344"/>
    <w:rsid w:val="00B24FD0"/>
    <w:rsid w:val="00B26769"/>
    <w:rsid w:val="00B2754B"/>
    <w:rsid w:val="00B27A58"/>
    <w:rsid w:val="00B31C91"/>
    <w:rsid w:val="00B3747F"/>
    <w:rsid w:val="00B42E76"/>
    <w:rsid w:val="00B42E8C"/>
    <w:rsid w:val="00B43194"/>
    <w:rsid w:val="00B436BF"/>
    <w:rsid w:val="00B47734"/>
    <w:rsid w:val="00B50FBA"/>
    <w:rsid w:val="00B5226A"/>
    <w:rsid w:val="00B558EB"/>
    <w:rsid w:val="00B577D3"/>
    <w:rsid w:val="00B579B8"/>
    <w:rsid w:val="00B60466"/>
    <w:rsid w:val="00B62113"/>
    <w:rsid w:val="00B63539"/>
    <w:rsid w:val="00B6548F"/>
    <w:rsid w:val="00B71A32"/>
    <w:rsid w:val="00B7502A"/>
    <w:rsid w:val="00B75404"/>
    <w:rsid w:val="00B77305"/>
    <w:rsid w:val="00B774BD"/>
    <w:rsid w:val="00B82CC2"/>
    <w:rsid w:val="00B849D2"/>
    <w:rsid w:val="00B84A89"/>
    <w:rsid w:val="00B84E0E"/>
    <w:rsid w:val="00B90856"/>
    <w:rsid w:val="00B9256C"/>
    <w:rsid w:val="00B92BEF"/>
    <w:rsid w:val="00B93A4A"/>
    <w:rsid w:val="00B94443"/>
    <w:rsid w:val="00B9689A"/>
    <w:rsid w:val="00B97056"/>
    <w:rsid w:val="00BA531E"/>
    <w:rsid w:val="00BA728B"/>
    <w:rsid w:val="00BB048B"/>
    <w:rsid w:val="00BB06CB"/>
    <w:rsid w:val="00BB1BCF"/>
    <w:rsid w:val="00BB2055"/>
    <w:rsid w:val="00BB261F"/>
    <w:rsid w:val="00BB2729"/>
    <w:rsid w:val="00BB2887"/>
    <w:rsid w:val="00BB3829"/>
    <w:rsid w:val="00BB3B56"/>
    <w:rsid w:val="00BB5EAA"/>
    <w:rsid w:val="00BB5F11"/>
    <w:rsid w:val="00BB61FB"/>
    <w:rsid w:val="00BB6638"/>
    <w:rsid w:val="00BB7FD2"/>
    <w:rsid w:val="00BC04FA"/>
    <w:rsid w:val="00BC1C22"/>
    <w:rsid w:val="00BC460B"/>
    <w:rsid w:val="00BC4ED3"/>
    <w:rsid w:val="00BC5725"/>
    <w:rsid w:val="00BC63A0"/>
    <w:rsid w:val="00BD276C"/>
    <w:rsid w:val="00BD30B1"/>
    <w:rsid w:val="00BE0F7B"/>
    <w:rsid w:val="00BE10C2"/>
    <w:rsid w:val="00BE1AB6"/>
    <w:rsid w:val="00BF0393"/>
    <w:rsid w:val="00BF0D6C"/>
    <w:rsid w:val="00C01D14"/>
    <w:rsid w:val="00C01D97"/>
    <w:rsid w:val="00C025B4"/>
    <w:rsid w:val="00C029EC"/>
    <w:rsid w:val="00C14FC4"/>
    <w:rsid w:val="00C161FA"/>
    <w:rsid w:val="00C161FD"/>
    <w:rsid w:val="00C17C9F"/>
    <w:rsid w:val="00C21632"/>
    <w:rsid w:val="00C2354C"/>
    <w:rsid w:val="00C23F17"/>
    <w:rsid w:val="00C246F2"/>
    <w:rsid w:val="00C24AD9"/>
    <w:rsid w:val="00C24B99"/>
    <w:rsid w:val="00C25996"/>
    <w:rsid w:val="00C26D0D"/>
    <w:rsid w:val="00C27C95"/>
    <w:rsid w:val="00C300D2"/>
    <w:rsid w:val="00C3270F"/>
    <w:rsid w:val="00C3278B"/>
    <w:rsid w:val="00C33375"/>
    <w:rsid w:val="00C34C23"/>
    <w:rsid w:val="00C368FA"/>
    <w:rsid w:val="00C37586"/>
    <w:rsid w:val="00C42005"/>
    <w:rsid w:val="00C42631"/>
    <w:rsid w:val="00C44E1E"/>
    <w:rsid w:val="00C4664D"/>
    <w:rsid w:val="00C472AA"/>
    <w:rsid w:val="00C50A05"/>
    <w:rsid w:val="00C52A97"/>
    <w:rsid w:val="00C54AED"/>
    <w:rsid w:val="00C555FC"/>
    <w:rsid w:val="00C55E9B"/>
    <w:rsid w:val="00C56D09"/>
    <w:rsid w:val="00C57290"/>
    <w:rsid w:val="00C57D24"/>
    <w:rsid w:val="00C604D6"/>
    <w:rsid w:val="00C63CAB"/>
    <w:rsid w:val="00C63D00"/>
    <w:rsid w:val="00C6441B"/>
    <w:rsid w:val="00C65921"/>
    <w:rsid w:val="00C67F96"/>
    <w:rsid w:val="00C7030C"/>
    <w:rsid w:val="00C7108B"/>
    <w:rsid w:val="00C71CDE"/>
    <w:rsid w:val="00C74AE4"/>
    <w:rsid w:val="00C75883"/>
    <w:rsid w:val="00C77FA5"/>
    <w:rsid w:val="00C8089F"/>
    <w:rsid w:val="00C81C15"/>
    <w:rsid w:val="00C835FE"/>
    <w:rsid w:val="00C836CC"/>
    <w:rsid w:val="00C852D6"/>
    <w:rsid w:val="00C87A74"/>
    <w:rsid w:val="00C92C71"/>
    <w:rsid w:val="00C93F8F"/>
    <w:rsid w:val="00CA0894"/>
    <w:rsid w:val="00CA3593"/>
    <w:rsid w:val="00CA5156"/>
    <w:rsid w:val="00CA5726"/>
    <w:rsid w:val="00CA6DD0"/>
    <w:rsid w:val="00CA7E6A"/>
    <w:rsid w:val="00CB258E"/>
    <w:rsid w:val="00CB3C8F"/>
    <w:rsid w:val="00CC02F1"/>
    <w:rsid w:val="00CC0337"/>
    <w:rsid w:val="00CC1122"/>
    <w:rsid w:val="00CC11A6"/>
    <w:rsid w:val="00CC135E"/>
    <w:rsid w:val="00CC3611"/>
    <w:rsid w:val="00CC7226"/>
    <w:rsid w:val="00CD0735"/>
    <w:rsid w:val="00CD45E3"/>
    <w:rsid w:val="00CD4771"/>
    <w:rsid w:val="00CD5089"/>
    <w:rsid w:val="00CD5D3F"/>
    <w:rsid w:val="00CD7E1F"/>
    <w:rsid w:val="00CE49C7"/>
    <w:rsid w:val="00CE4BC4"/>
    <w:rsid w:val="00CE4ED4"/>
    <w:rsid w:val="00CE7DA2"/>
    <w:rsid w:val="00CF251D"/>
    <w:rsid w:val="00CF2F8A"/>
    <w:rsid w:val="00CF3DB3"/>
    <w:rsid w:val="00D0274B"/>
    <w:rsid w:val="00D0503D"/>
    <w:rsid w:val="00D052BC"/>
    <w:rsid w:val="00D07026"/>
    <w:rsid w:val="00D10429"/>
    <w:rsid w:val="00D11BD9"/>
    <w:rsid w:val="00D146AE"/>
    <w:rsid w:val="00D22C8F"/>
    <w:rsid w:val="00D3203C"/>
    <w:rsid w:val="00D32C55"/>
    <w:rsid w:val="00D33491"/>
    <w:rsid w:val="00D3442D"/>
    <w:rsid w:val="00D34D9A"/>
    <w:rsid w:val="00D36F00"/>
    <w:rsid w:val="00D4427A"/>
    <w:rsid w:val="00D44B67"/>
    <w:rsid w:val="00D44F8E"/>
    <w:rsid w:val="00D4615D"/>
    <w:rsid w:val="00D51FD5"/>
    <w:rsid w:val="00D55DE0"/>
    <w:rsid w:val="00D607EF"/>
    <w:rsid w:val="00D60F88"/>
    <w:rsid w:val="00D6115C"/>
    <w:rsid w:val="00D63E7A"/>
    <w:rsid w:val="00D646BD"/>
    <w:rsid w:val="00D65558"/>
    <w:rsid w:val="00D65B8B"/>
    <w:rsid w:val="00D700D6"/>
    <w:rsid w:val="00D70AFE"/>
    <w:rsid w:val="00D71201"/>
    <w:rsid w:val="00D720C7"/>
    <w:rsid w:val="00D77484"/>
    <w:rsid w:val="00D84841"/>
    <w:rsid w:val="00D876E6"/>
    <w:rsid w:val="00D90958"/>
    <w:rsid w:val="00DA1025"/>
    <w:rsid w:val="00DA22EC"/>
    <w:rsid w:val="00DA5682"/>
    <w:rsid w:val="00DA5860"/>
    <w:rsid w:val="00DA5C0C"/>
    <w:rsid w:val="00DB2767"/>
    <w:rsid w:val="00DB40C7"/>
    <w:rsid w:val="00DB517D"/>
    <w:rsid w:val="00DC1B10"/>
    <w:rsid w:val="00DC2924"/>
    <w:rsid w:val="00DC2EF8"/>
    <w:rsid w:val="00DC4729"/>
    <w:rsid w:val="00DD0681"/>
    <w:rsid w:val="00DD31C5"/>
    <w:rsid w:val="00DD4E49"/>
    <w:rsid w:val="00DD5020"/>
    <w:rsid w:val="00DD63BE"/>
    <w:rsid w:val="00DD6B66"/>
    <w:rsid w:val="00DD73E9"/>
    <w:rsid w:val="00DE3EA1"/>
    <w:rsid w:val="00DE4296"/>
    <w:rsid w:val="00DE5116"/>
    <w:rsid w:val="00DF2469"/>
    <w:rsid w:val="00DF249A"/>
    <w:rsid w:val="00DF5797"/>
    <w:rsid w:val="00DF7899"/>
    <w:rsid w:val="00E0524C"/>
    <w:rsid w:val="00E15751"/>
    <w:rsid w:val="00E17160"/>
    <w:rsid w:val="00E17D41"/>
    <w:rsid w:val="00E231D1"/>
    <w:rsid w:val="00E3185E"/>
    <w:rsid w:val="00E3288D"/>
    <w:rsid w:val="00E35112"/>
    <w:rsid w:val="00E35BEC"/>
    <w:rsid w:val="00E3607C"/>
    <w:rsid w:val="00E41A09"/>
    <w:rsid w:val="00E41A6A"/>
    <w:rsid w:val="00E46D14"/>
    <w:rsid w:val="00E50821"/>
    <w:rsid w:val="00E51F91"/>
    <w:rsid w:val="00E5498A"/>
    <w:rsid w:val="00E559CE"/>
    <w:rsid w:val="00E5738E"/>
    <w:rsid w:val="00E60F42"/>
    <w:rsid w:val="00E60FD4"/>
    <w:rsid w:val="00E63689"/>
    <w:rsid w:val="00E6563A"/>
    <w:rsid w:val="00E6746C"/>
    <w:rsid w:val="00E70507"/>
    <w:rsid w:val="00E7086E"/>
    <w:rsid w:val="00E70AD1"/>
    <w:rsid w:val="00E71248"/>
    <w:rsid w:val="00E73C41"/>
    <w:rsid w:val="00E75911"/>
    <w:rsid w:val="00E7598F"/>
    <w:rsid w:val="00E76F60"/>
    <w:rsid w:val="00E812B5"/>
    <w:rsid w:val="00E83D90"/>
    <w:rsid w:val="00E83F91"/>
    <w:rsid w:val="00E86299"/>
    <w:rsid w:val="00E8688D"/>
    <w:rsid w:val="00E86AD9"/>
    <w:rsid w:val="00E87DD7"/>
    <w:rsid w:val="00E9107A"/>
    <w:rsid w:val="00E91F62"/>
    <w:rsid w:val="00E929FD"/>
    <w:rsid w:val="00E93240"/>
    <w:rsid w:val="00E9479B"/>
    <w:rsid w:val="00E94E22"/>
    <w:rsid w:val="00E950E2"/>
    <w:rsid w:val="00E95F08"/>
    <w:rsid w:val="00E97171"/>
    <w:rsid w:val="00EA143A"/>
    <w:rsid w:val="00EA4D48"/>
    <w:rsid w:val="00EA7ADF"/>
    <w:rsid w:val="00EA7EF2"/>
    <w:rsid w:val="00EB2173"/>
    <w:rsid w:val="00EB21FD"/>
    <w:rsid w:val="00EB62E6"/>
    <w:rsid w:val="00EB695F"/>
    <w:rsid w:val="00EC0D14"/>
    <w:rsid w:val="00EC3A85"/>
    <w:rsid w:val="00EC4B89"/>
    <w:rsid w:val="00EC59A5"/>
    <w:rsid w:val="00EC6E15"/>
    <w:rsid w:val="00EC70B3"/>
    <w:rsid w:val="00EC7487"/>
    <w:rsid w:val="00ED1B30"/>
    <w:rsid w:val="00ED5D03"/>
    <w:rsid w:val="00EE01ED"/>
    <w:rsid w:val="00EE1AC1"/>
    <w:rsid w:val="00EE39D6"/>
    <w:rsid w:val="00EE52AD"/>
    <w:rsid w:val="00EE5BC3"/>
    <w:rsid w:val="00EE610A"/>
    <w:rsid w:val="00EE6FAB"/>
    <w:rsid w:val="00EF1EBE"/>
    <w:rsid w:val="00EF328C"/>
    <w:rsid w:val="00EF42E1"/>
    <w:rsid w:val="00EF68BB"/>
    <w:rsid w:val="00F00D95"/>
    <w:rsid w:val="00F01F92"/>
    <w:rsid w:val="00F030D4"/>
    <w:rsid w:val="00F03F3C"/>
    <w:rsid w:val="00F04053"/>
    <w:rsid w:val="00F06573"/>
    <w:rsid w:val="00F10A08"/>
    <w:rsid w:val="00F15354"/>
    <w:rsid w:val="00F22AC5"/>
    <w:rsid w:val="00F254D1"/>
    <w:rsid w:val="00F26C4E"/>
    <w:rsid w:val="00F271AF"/>
    <w:rsid w:val="00F32B82"/>
    <w:rsid w:val="00F34C86"/>
    <w:rsid w:val="00F4043E"/>
    <w:rsid w:val="00F41795"/>
    <w:rsid w:val="00F41BBC"/>
    <w:rsid w:val="00F444F0"/>
    <w:rsid w:val="00F446FF"/>
    <w:rsid w:val="00F45521"/>
    <w:rsid w:val="00F50847"/>
    <w:rsid w:val="00F53F27"/>
    <w:rsid w:val="00F546D1"/>
    <w:rsid w:val="00F57AD9"/>
    <w:rsid w:val="00F60281"/>
    <w:rsid w:val="00F61DD4"/>
    <w:rsid w:val="00F6438E"/>
    <w:rsid w:val="00F66272"/>
    <w:rsid w:val="00F709C0"/>
    <w:rsid w:val="00F80384"/>
    <w:rsid w:val="00F8102D"/>
    <w:rsid w:val="00F81FEC"/>
    <w:rsid w:val="00F907FE"/>
    <w:rsid w:val="00F927A1"/>
    <w:rsid w:val="00F929F2"/>
    <w:rsid w:val="00F92E4D"/>
    <w:rsid w:val="00F95D08"/>
    <w:rsid w:val="00FA23BD"/>
    <w:rsid w:val="00FA3764"/>
    <w:rsid w:val="00FA41C7"/>
    <w:rsid w:val="00FA4A79"/>
    <w:rsid w:val="00FA56ED"/>
    <w:rsid w:val="00FB002C"/>
    <w:rsid w:val="00FB05DD"/>
    <w:rsid w:val="00FB0F7C"/>
    <w:rsid w:val="00FB24EA"/>
    <w:rsid w:val="00FB446E"/>
    <w:rsid w:val="00FB4928"/>
    <w:rsid w:val="00FB560E"/>
    <w:rsid w:val="00FB5FA6"/>
    <w:rsid w:val="00FC0334"/>
    <w:rsid w:val="00FC1310"/>
    <w:rsid w:val="00FC2FF3"/>
    <w:rsid w:val="00FC3263"/>
    <w:rsid w:val="00FC51F9"/>
    <w:rsid w:val="00FC5B40"/>
    <w:rsid w:val="00FC5FF8"/>
    <w:rsid w:val="00FC6F1B"/>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73D43"/>
    <w:pPr>
      <w:keepNext/>
      <w:keepLines/>
      <w:overflowPunct/>
      <w:autoSpaceDE/>
      <w:autoSpaceDN/>
      <w:adjustRightInd/>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73D43"/>
    <w:pPr>
      <w:keepNext/>
      <w:keepLines/>
      <w:overflowPunct/>
      <w:autoSpaceDE/>
      <w:autoSpaceDN/>
      <w:adjustRightInd/>
      <w:spacing w:before="80" w:after="40" w:line="278" w:lineRule="auto"/>
      <w:textAlignment w:val="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73D43"/>
    <w:pPr>
      <w:keepNext/>
      <w:keepLines/>
      <w:overflowPunct/>
      <w:autoSpaceDE/>
      <w:autoSpaceDN/>
      <w:adjustRightInd/>
      <w:spacing w:before="80" w:after="40" w:line="278" w:lineRule="auto"/>
      <w:textAlignment w:val="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73D43"/>
    <w:pPr>
      <w:keepNext/>
      <w:keepLines/>
      <w:overflowPunct/>
      <w:autoSpaceDE/>
      <w:autoSpaceDN/>
      <w:adjustRightInd/>
      <w:spacing w:before="40" w:line="278" w:lineRule="auto"/>
      <w:textAlignment w:val="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73D43"/>
    <w:pPr>
      <w:keepNext/>
      <w:keepLines/>
      <w:overflowPunct/>
      <w:autoSpaceDE/>
      <w:autoSpaceDN/>
      <w:adjustRightInd/>
      <w:spacing w:before="40" w:line="278" w:lineRule="auto"/>
      <w:textAlignment w:val="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73D43"/>
    <w:pPr>
      <w:keepNext/>
      <w:keepLines/>
      <w:overflowPunct/>
      <w:autoSpaceDE/>
      <w:autoSpaceDN/>
      <w:adjustRightInd/>
      <w:spacing w:line="278" w:lineRule="auto"/>
      <w:textAlignment w:val="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73D43"/>
    <w:pPr>
      <w:keepNext/>
      <w:keepLines/>
      <w:overflowPunct/>
      <w:autoSpaceDE/>
      <w:autoSpaceDN/>
      <w:adjustRightInd/>
      <w:spacing w:line="278" w:lineRule="auto"/>
      <w:textAlignment w:val="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873D43"/>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873D43"/>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sid w:val="00873D43"/>
    <w:rPr>
      <w:rFonts w:asciiTheme="minorHAnsi" w:eastAsiaTheme="majorEastAsia" w:hAnsiTheme="minorHAnsi" w:cstheme="majorBidi"/>
      <w:color w:val="2F5496"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sid w:val="00873D43"/>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sid w:val="00873D43"/>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873D43"/>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873D43"/>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873D43"/>
    <w:rPr>
      <w:rFonts w:ascii="Arial" w:hAnsi="Arial" w:cs="Arial"/>
      <w:b/>
      <w:color w:val="000000"/>
      <w:kern w:val="28"/>
      <w:sz w:val="28"/>
    </w:rPr>
  </w:style>
  <w:style w:type="paragraph" w:styleId="Subtitle">
    <w:name w:val="Subtitle"/>
    <w:basedOn w:val="Normal"/>
    <w:next w:val="Normal"/>
    <w:link w:val="SubtitleChar"/>
    <w:uiPriority w:val="11"/>
    <w:qFormat/>
    <w:rsid w:val="00873D43"/>
    <w:pPr>
      <w:numPr>
        <w:ilvl w:val="1"/>
      </w:numPr>
      <w:overflowPunct/>
      <w:autoSpaceDE/>
      <w:autoSpaceDN/>
      <w:adjustRightInd/>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73D43"/>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873D43"/>
    <w:pPr>
      <w:overflowPunct/>
      <w:autoSpaceDE/>
      <w:autoSpaceDN/>
      <w:adjustRightInd/>
      <w:spacing w:before="160" w:after="160" w:line="278" w:lineRule="auto"/>
      <w:jc w:val="center"/>
      <w:textAlignment w:val="auto"/>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73D43"/>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873D43"/>
    <w:pPr>
      <w:overflowPunct/>
      <w:autoSpaceDE/>
      <w:autoSpaceDN/>
      <w:adjustRightInd/>
      <w:spacing w:after="160" w:line="278" w:lineRule="auto"/>
      <w:ind w:left="720"/>
      <w:contextualSpacing/>
      <w:textAlignment w:val="auto"/>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873D43"/>
    <w:rPr>
      <w:i/>
      <w:iCs/>
      <w:color w:val="2F5496" w:themeColor="accent1" w:themeShade="BF"/>
    </w:rPr>
  </w:style>
  <w:style w:type="paragraph" w:styleId="IntenseQuote">
    <w:name w:val="Intense Quote"/>
    <w:basedOn w:val="Normal"/>
    <w:next w:val="Normal"/>
    <w:link w:val="IntenseQuoteChar"/>
    <w:uiPriority w:val="30"/>
    <w:qFormat/>
    <w:rsid w:val="00873D43"/>
    <w:pPr>
      <w:pBdr>
        <w:top w:val="single" w:sz="4" w:space="10" w:color="2F5496" w:themeColor="accent1" w:themeShade="BF"/>
        <w:bottom w:val="single" w:sz="4" w:space="10" w:color="2F5496" w:themeColor="accent1" w:themeShade="BF"/>
      </w:pBdr>
      <w:overflowPunct/>
      <w:autoSpaceDE/>
      <w:autoSpaceDN/>
      <w:adjustRightInd/>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73D43"/>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873D43"/>
    <w:rPr>
      <w:b/>
      <w:bCs/>
      <w:smallCaps/>
      <w:color w:val="2F5496" w:themeColor="accent1" w:themeShade="BF"/>
      <w:spacing w:val="5"/>
    </w:rPr>
  </w:style>
  <w:style w:type="character" w:styleId="UnresolvedMention">
    <w:name w:val="Unresolved Mention"/>
    <w:basedOn w:val="DefaultParagraphFont"/>
    <w:uiPriority w:val="99"/>
    <w:semiHidden/>
    <w:unhideWhenUsed/>
    <w:rsid w:val="00873D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34%319%361%37@%73t%75de%6e%74%2e%75%77ts%64.%61%63%2e%75%6b"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4D0FEB8D-6F40-4125-913D-B09347E4E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91C2394E-32D3-4050-9A5C-CC270895A8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4719</Words>
  <Characters>26902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Eleanor Barclay</cp:lastModifiedBy>
  <cp:revision>17</cp:revision>
  <cp:lastPrinted>2020-02-11T19:20:00Z</cp:lastPrinted>
  <dcterms:created xsi:type="dcterms:W3CDTF">2026-10-07T00:59:00Z</dcterms:created>
  <dcterms:modified xsi:type="dcterms:W3CDTF">2026-10-07T10:27:00Z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