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D0021" w14:textId="77777777" w:rsidR="00323E32" w:rsidRPr="00323E32" w:rsidRDefault="00323E32" w:rsidP="00323E32">
      <w:pPr>
        <w:jc w:val="center"/>
        <w:rPr>
          <w:rFonts w:ascii="Arial" w:hAnsi="Arial" w:cs="Arial"/>
        </w:rPr>
      </w:pPr>
    </w:p>
    <w:p w14:paraId="794AD5DD" w14:textId="77777777" w:rsidR="00323E32" w:rsidRPr="00323E32" w:rsidRDefault="00323E32" w:rsidP="00323E32">
      <w:pPr>
        <w:jc w:val="center"/>
        <w:rPr>
          <w:rFonts w:ascii="Arial" w:hAnsi="Arial" w:cs="Arial"/>
        </w:rPr>
      </w:pPr>
    </w:p>
    <w:p w14:paraId="46FB845C" w14:textId="77777777" w:rsidR="00323E32" w:rsidRPr="00323E32" w:rsidRDefault="00323E32" w:rsidP="00323E32">
      <w:pPr>
        <w:jc w:val="center"/>
        <w:rPr>
          <w:rFonts w:ascii="Arial" w:hAnsi="Arial" w:cs="Arial"/>
        </w:rPr>
      </w:pPr>
    </w:p>
    <w:p w14:paraId="3A1187AD" w14:textId="77777777" w:rsidR="00323E32" w:rsidRPr="00323E32" w:rsidRDefault="00323E32" w:rsidP="00323E32">
      <w:pPr>
        <w:jc w:val="center"/>
        <w:rPr>
          <w:rFonts w:ascii="Arial" w:hAnsi="Arial" w:cs="Arial"/>
        </w:rPr>
      </w:pPr>
    </w:p>
    <w:p w14:paraId="4D8ED1E9" w14:textId="77777777" w:rsidR="00323E32" w:rsidRPr="00323E32" w:rsidRDefault="00323E32" w:rsidP="00323E32">
      <w:pPr>
        <w:jc w:val="center"/>
        <w:rPr>
          <w:rFonts w:ascii="Arial" w:hAnsi="Arial" w:cs="Arial"/>
        </w:rPr>
      </w:pPr>
    </w:p>
    <w:p w14:paraId="7B17BE38" w14:textId="77777777" w:rsidR="00323E32" w:rsidRPr="00323E32" w:rsidRDefault="00323E32" w:rsidP="00323E32">
      <w:pPr>
        <w:jc w:val="center"/>
        <w:rPr>
          <w:rFonts w:ascii="Arial" w:hAnsi="Arial" w:cs="Arial"/>
        </w:rPr>
      </w:pPr>
    </w:p>
    <w:p w14:paraId="58E95DBB" w14:textId="77777777" w:rsidR="00323E32" w:rsidRPr="00323E32" w:rsidRDefault="00323E32" w:rsidP="00323E32">
      <w:pPr>
        <w:jc w:val="center"/>
        <w:rPr>
          <w:rFonts w:ascii="Arial" w:hAnsi="Arial" w:cs="Arial"/>
        </w:rPr>
      </w:pPr>
    </w:p>
    <w:p w14:paraId="0BBDC4A6" w14:textId="77777777" w:rsidR="00323E32" w:rsidRPr="00323E32" w:rsidRDefault="00323E32" w:rsidP="00323E32">
      <w:pPr>
        <w:jc w:val="center"/>
        <w:rPr>
          <w:rFonts w:ascii="Arial" w:hAnsi="Arial" w:cs="Arial"/>
        </w:rPr>
      </w:pPr>
    </w:p>
    <w:p w14:paraId="0A2DD57F" w14:textId="77777777" w:rsidR="00323E32" w:rsidRPr="00323E32" w:rsidRDefault="00323E32" w:rsidP="00323E32">
      <w:pPr>
        <w:jc w:val="center"/>
        <w:rPr>
          <w:rFonts w:ascii="Arial" w:hAnsi="Arial" w:cs="Arial"/>
        </w:rPr>
      </w:pPr>
    </w:p>
    <w:p w14:paraId="1B641DAA" w14:textId="77777777" w:rsidR="00323E32" w:rsidRPr="00323E32" w:rsidRDefault="00323E32" w:rsidP="00323E32">
      <w:pPr>
        <w:jc w:val="center"/>
        <w:rPr>
          <w:rFonts w:ascii="Arial" w:hAnsi="Arial" w:cs="Arial"/>
        </w:rPr>
      </w:pPr>
    </w:p>
    <w:p w14:paraId="6AD2C2E5" w14:textId="77777777" w:rsidR="00323E32" w:rsidRPr="00323E32" w:rsidRDefault="00323E32" w:rsidP="00323E32">
      <w:pPr>
        <w:jc w:val="center"/>
        <w:rPr>
          <w:rFonts w:ascii="Arial" w:hAnsi="Arial" w:cs="Arial"/>
        </w:rPr>
      </w:pPr>
    </w:p>
    <w:p w14:paraId="328BB79D" w14:textId="77777777" w:rsidR="00323E32" w:rsidRPr="00323E32" w:rsidRDefault="00323E32" w:rsidP="00323E32">
      <w:pPr>
        <w:jc w:val="center"/>
        <w:rPr>
          <w:rFonts w:ascii="Arial" w:hAnsi="Arial" w:cs="Arial"/>
        </w:rPr>
      </w:pPr>
    </w:p>
    <w:p w14:paraId="350FD595" w14:textId="77777777" w:rsidR="00323E32" w:rsidRPr="00323E32" w:rsidRDefault="00323E32" w:rsidP="00323E32">
      <w:pPr>
        <w:jc w:val="center"/>
        <w:rPr>
          <w:rFonts w:ascii="Arial" w:hAnsi="Arial" w:cs="Arial"/>
        </w:rPr>
      </w:pPr>
    </w:p>
    <w:p w14:paraId="3B817CE9" w14:textId="77777777" w:rsidR="00323E32" w:rsidRPr="00323E32" w:rsidRDefault="00323E32" w:rsidP="00323E32">
      <w:pPr>
        <w:jc w:val="center"/>
        <w:rPr>
          <w:rFonts w:ascii="Arial" w:hAnsi="Arial" w:cs="Arial"/>
        </w:rPr>
      </w:pPr>
    </w:p>
    <w:p w14:paraId="71A1D0EE" w14:textId="77777777" w:rsidR="00323E32" w:rsidRPr="00323E32" w:rsidRDefault="00323E32" w:rsidP="00323E32">
      <w:pPr>
        <w:jc w:val="center"/>
        <w:rPr>
          <w:rFonts w:ascii="Arial" w:hAnsi="Arial" w:cs="Arial"/>
        </w:rPr>
      </w:pPr>
    </w:p>
    <w:p w14:paraId="67D935F1" w14:textId="77777777" w:rsidR="00323E32" w:rsidRPr="00323E32" w:rsidRDefault="00323E32" w:rsidP="00323E32">
      <w:pPr>
        <w:jc w:val="center"/>
        <w:rPr>
          <w:rFonts w:ascii="Arial" w:hAnsi="Arial" w:cs="Arial"/>
        </w:rPr>
      </w:pPr>
    </w:p>
    <w:p w14:paraId="12F74595" w14:textId="77777777" w:rsidR="00323E32" w:rsidRPr="00323E32" w:rsidRDefault="00323E32" w:rsidP="00323E32">
      <w:pPr>
        <w:spacing w:line="360" w:lineRule="auto"/>
        <w:jc w:val="center"/>
        <w:rPr>
          <w:rFonts w:ascii="Arial" w:hAnsi="Arial" w:cs="Arial"/>
          <w:color w:val="000000" w:themeColor="text1"/>
        </w:rPr>
      </w:pPr>
    </w:p>
    <w:p w14:paraId="19458389" w14:textId="1CC0BDE9" w:rsidR="00323E32" w:rsidRPr="00323E32" w:rsidRDefault="00323E32" w:rsidP="00323E32">
      <w:pPr>
        <w:spacing w:line="360" w:lineRule="auto"/>
        <w:jc w:val="center"/>
        <w:rPr>
          <w:rFonts w:ascii="Arial" w:eastAsia="Helvetica" w:hAnsi="Arial" w:cs="Arial"/>
          <w:color w:val="000000" w:themeColor="text1"/>
        </w:rPr>
      </w:pPr>
      <w:r w:rsidRPr="00323E32">
        <w:rPr>
          <w:rFonts w:ascii="Arial" w:eastAsia="Helvetica" w:hAnsi="Arial" w:cs="Arial"/>
          <w:color w:val="000000" w:themeColor="text1"/>
        </w:rPr>
        <w:t>Financial and Budgeting Plan</w:t>
      </w:r>
      <w:r w:rsidRPr="00323E32">
        <w:rPr>
          <w:rFonts w:ascii="Arial" w:eastAsia="Helvetica" w:hAnsi="Arial" w:cs="Arial"/>
          <w:color w:val="000000" w:themeColor="text1"/>
        </w:rPr>
        <w:t>.</w:t>
      </w:r>
    </w:p>
    <w:p w14:paraId="07031EAB" w14:textId="7DE699C8" w:rsidR="00323E32" w:rsidRPr="00323E32" w:rsidRDefault="00323E32" w:rsidP="00323E32">
      <w:pPr>
        <w:spacing w:line="360" w:lineRule="auto"/>
        <w:jc w:val="center"/>
        <w:rPr>
          <w:rFonts w:ascii="Arial" w:hAnsi="Arial" w:cs="Arial"/>
          <w:color w:val="000000" w:themeColor="text1"/>
          <w:kern w:val="36"/>
        </w:rPr>
      </w:pPr>
      <w:r w:rsidRPr="00323E32">
        <w:rPr>
          <w:rFonts w:ascii="Arial" w:hAnsi="Arial" w:cs="Arial"/>
          <w:color w:val="000000" w:themeColor="text1"/>
          <w:kern w:val="36"/>
        </w:rPr>
        <w:t xml:space="preserve">Operations Management for Tourism, </w:t>
      </w:r>
      <w:proofErr w:type="gramStart"/>
      <w:r w:rsidRPr="00323E32">
        <w:rPr>
          <w:rFonts w:ascii="Arial" w:hAnsi="Arial" w:cs="Arial"/>
          <w:color w:val="000000" w:themeColor="text1"/>
          <w:kern w:val="36"/>
        </w:rPr>
        <w:t>Leisure</w:t>
      </w:r>
      <w:proofErr w:type="gramEnd"/>
      <w:r w:rsidRPr="00323E32">
        <w:rPr>
          <w:rFonts w:ascii="Arial" w:hAnsi="Arial" w:cs="Arial"/>
          <w:color w:val="000000" w:themeColor="text1"/>
          <w:kern w:val="36"/>
        </w:rPr>
        <w:t xml:space="preserve"> and Events (BMTP5019)</w:t>
      </w:r>
      <w:r w:rsidRPr="00323E32">
        <w:rPr>
          <w:rFonts w:ascii="Arial" w:hAnsi="Arial" w:cs="Arial"/>
          <w:color w:val="000000" w:themeColor="text1"/>
          <w:kern w:val="36"/>
        </w:rPr>
        <w:t>.</w:t>
      </w:r>
    </w:p>
    <w:p w14:paraId="40EDA548" w14:textId="591D41C0" w:rsidR="00323E32" w:rsidRPr="00323E32" w:rsidRDefault="00323E32" w:rsidP="00323E32">
      <w:pPr>
        <w:spacing w:line="360" w:lineRule="auto"/>
        <w:jc w:val="center"/>
        <w:rPr>
          <w:rFonts w:ascii="Arial" w:hAnsi="Arial" w:cs="Arial"/>
          <w:color w:val="000000" w:themeColor="text1"/>
          <w:kern w:val="36"/>
        </w:rPr>
      </w:pPr>
      <w:proofErr w:type="spellStart"/>
      <w:r w:rsidRPr="00323E32">
        <w:rPr>
          <w:rFonts w:ascii="Arial" w:hAnsi="Arial" w:cs="Arial"/>
          <w:color w:val="000000" w:themeColor="text1"/>
          <w:kern w:val="36"/>
        </w:rPr>
        <w:t>Dr.</w:t>
      </w:r>
      <w:proofErr w:type="spellEnd"/>
      <w:r w:rsidRPr="00323E32">
        <w:rPr>
          <w:rFonts w:ascii="Arial" w:hAnsi="Arial" w:cs="Arial"/>
          <w:color w:val="000000" w:themeColor="text1"/>
          <w:kern w:val="36"/>
        </w:rPr>
        <w:t xml:space="preserve"> Ernest </w:t>
      </w:r>
      <w:proofErr w:type="spellStart"/>
      <w:r w:rsidRPr="00323E32">
        <w:rPr>
          <w:rFonts w:ascii="Arial" w:hAnsi="Arial" w:cs="Arial"/>
          <w:color w:val="000000" w:themeColor="text1"/>
          <w:kern w:val="36"/>
        </w:rPr>
        <w:t>Balutie</w:t>
      </w:r>
      <w:proofErr w:type="spellEnd"/>
      <w:r w:rsidRPr="00323E32">
        <w:rPr>
          <w:rFonts w:ascii="Arial" w:hAnsi="Arial" w:cs="Arial"/>
          <w:color w:val="000000" w:themeColor="text1"/>
          <w:kern w:val="36"/>
        </w:rPr>
        <w:t xml:space="preserve"> </w:t>
      </w:r>
      <w:proofErr w:type="spellStart"/>
      <w:r w:rsidRPr="00323E32">
        <w:rPr>
          <w:rFonts w:ascii="Arial" w:hAnsi="Arial" w:cs="Arial"/>
          <w:color w:val="000000" w:themeColor="text1"/>
          <w:kern w:val="36"/>
        </w:rPr>
        <w:t>Wavei</w:t>
      </w:r>
      <w:proofErr w:type="spellEnd"/>
      <w:r w:rsidRPr="00323E32">
        <w:rPr>
          <w:rFonts w:ascii="Arial" w:hAnsi="Arial" w:cs="Arial"/>
          <w:color w:val="000000" w:themeColor="text1"/>
          <w:kern w:val="36"/>
        </w:rPr>
        <w:t>.</w:t>
      </w:r>
    </w:p>
    <w:p w14:paraId="77EA991D" w14:textId="77777777" w:rsidR="00323E32" w:rsidRPr="00323E32" w:rsidRDefault="00323E32" w:rsidP="00323E32">
      <w:pPr>
        <w:spacing w:line="360" w:lineRule="auto"/>
        <w:jc w:val="center"/>
        <w:rPr>
          <w:rFonts w:ascii="Arial" w:hAnsi="Arial" w:cs="Arial"/>
          <w:color w:val="000000" w:themeColor="text1"/>
          <w:kern w:val="36"/>
        </w:rPr>
      </w:pPr>
      <w:r w:rsidRPr="00323E32">
        <w:rPr>
          <w:rFonts w:ascii="Arial" w:hAnsi="Arial" w:cs="Arial"/>
          <w:color w:val="000000" w:themeColor="text1"/>
          <w:kern w:val="36"/>
        </w:rPr>
        <w:t xml:space="preserve">Nia </w:t>
      </w:r>
      <w:proofErr w:type="spellStart"/>
      <w:r w:rsidRPr="00323E32">
        <w:rPr>
          <w:rFonts w:ascii="Arial" w:hAnsi="Arial" w:cs="Arial"/>
          <w:color w:val="000000" w:themeColor="text1"/>
          <w:kern w:val="36"/>
        </w:rPr>
        <w:t>Mugford</w:t>
      </w:r>
      <w:proofErr w:type="spellEnd"/>
      <w:r w:rsidRPr="00323E32">
        <w:rPr>
          <w:rFonts w:ascii="Arial" w:hAnsi="Arial" w:cs="Arial"/>
          <w:color w:val="000000" w:themeColor="text1"/>
          <w:kern w:val="36"/>
        </w:rPr>
        <w:t>.</w:t>
      </w:r>
    </w:p>
    <w:p w14:paraId="7E00E531" w14:textId="77777777" w:rsidR="00323E32" w:rsidRPr="00323E32" w:rsidRDefault="00323E32" w:rsidP="00323E32">
      <w:pPr>
        <w:spacing w:line="360" w:lineRule="auto"/>
        <w:jc w:val="center"/>
        <w:rPr>
          <w:rFonts w:ascii="Arial" w:hAnsi="Arial" w:cs="Arial"/>
          <w:color w:val="000000" w:themeColor="text1"/>
          <w:kern w:val="36"/>
        </w:rPr>
      </w:pPr>
      <w:r w:rsidRPr="00323E32">
        <w:rPr>
          <w:rFonts w:ascii="Arial" w:hAnsi="Arial" w:cs="Arial"/>
          <w:color w:val="000000" w:themeColor="text1"/>
          <w:kern w:val="36"/>
        </w:rPr>
        <w:t>2404769.</w:t>
      </w:r>
    </w:p>
    <w:p w14:paraId="03658C27" w14:textId="413E70E2" w:rsidR="00323E32" w:rsidRPr="00323E32" w:rsidRDefault="00323E32" w:rsidP="00323E32">
      <w:pPr>
        <w:spacing w:line="360" w:lineRule="auto"/>
        <w:jc w:val="center"/>
        <w:rPr>
          <w:rFonts w:ascii="Arial" w:hAnsi="Arial" w:cs="Arial"/>
          <w:color w:val="000000" w:themeColor="text1"/>
          <w:kern w:val="36"/>
        </w:rPr>
      </w:pPr>
      <w:r w:rsidRPr="007470AF">
        <w:rPr>
          <w:rFonts w:ascii="Arial" w:hAnsi="Arial" w:cs="Arial"/>
          <w:b/>
          <w:bCs/>
          <w:color w:val="000000" w:themeColor="text1"/>
          <w:kern w:val="36"/>
        </w:rPr>
        <w:t>Word Count –</w:t>
      </w:r>
      <w:r w:rsidRPr="007470AF">
        <w:rPr>
          <w:rFonts w:ascii="Arial" w:hAnsi="Arial" w:cs="Arial"/>
          <w:b/>
          <w:bCs/>
          <w:color w:val="000000" w:themeColor="text1"/>
          <w:kern w:val="36"/>
        </w:rPr>
        <w:t xml:space="preserve"> </w:t>
      </w:r>
      <w:r w:rsidR="007470AF" w:rsidRPr="007470AF">
        <w:rPr>
          <w:rFonts w:ascii="Arial" w:hAnsi="Arial" w:cs="Arial"/>
          <w:b/>
          <w:bCs/>
          <w:color w:val="000000" w:themeColor="text1"/>
          <w:kern w:val="36"/>
        </w:rPr>
        <w:t>1,</w:t>
      </w:r>
      <w:r w:rsidR="007470AF">
        <w:rPr>
          <w:rFonts w:ascii="Arial" w:hAnsi="Arial" w:cs="Arial"/>
          <w:b/>
          <w:bCs/>
          <w:color w:val="000000" w:themeColor="text1"/>
          <w:kern w:val="36"/>
        </w:rPr>
        <w:t>407</w:t>
      </w:r>
      <w:r w:rsidRPr="00323E32">
        <w:rPr>
          <w:rFonts w:ascii="Arial" w:hAnsi="Arial" w:cs="Arial"/>
          <w:color w:val="000000" w:themeColor="text1"/>
          <w:kern w:val="36"/>
        </w:rPr>
        <w:t>.</w:t>
      </w:r>
    </w:p>
    <w:p w14:paraId="69BE77AD" w14:textId="77777777" w:rsidR="00323E32" w:rsidRDefault="00323E32" w:rsidP="00323E32">
      <w:pPr>
        <w:spacing w:line="360" w:lineRule="auto"/>
        <w:jc w:val="center"/>
        <w:outlineLvl w:val="0"/>
        <w:rPr>
          <w:rFonts w:ascii="Arial" w:hAnsi="Arial" w:cs="Arial"/>
          <w:bCs/>
          <w:color w:val="000000" w:themeColor="text1"/>
          <w:kern w:val="36"/>
        </w:rPr>
      </w:pPr>
    </w:p>
    <w:p w14:paraId="4B021AF0" w14:textId="77777777" w:rsidR="00323E32" w:rsidRDefault="00323E32" w:rsidP="00323E32">
      <w:pPr>
        <w:spacing w:line="360" w:lineRule="auto"/>
        <w:jc w:val="center"/>
        <w:outlineLvl w:val="0"/>
        <w:rPr>
          <w:rFonts w:ascii="Arial" w:hAnsi="Arial" w:cs="Arial"/>
          <w:bCs/>
          <w:color w:val="000000" w:themeColor="text1"/>
          <w:kern w:val="36"/>
        </w:rPr>
      </w:pPr>
    </w:p>
    <w:p w14:paraId="2AD04307" w14:textId="77777777" w:rsidR="00323E32" w:rsidRDefault="00323E32" w:rsidP="00323E32">
      <w:pPr>
        <w:spacing w:line="360" w:lineRule="auto"/>
        <w:jc w:val="center"/>
        <w:outlineLvl w:val="0"/>
        <w:rPr>
          <w:rFonts w:ascii="Arial" w:hAnsi="Arial" w:cs="Arial"/>
          <w:bCs/>
          <w:color w:val="000000" w:themeColor="text1"/>
          <w:kern w:val="36"/>
        </w:rPr>
      </w:pPr>
    </w:p>
    <w:p w14:paraId="12A83538" w14:textId="77777777" w:rsidR="00323E32" w:rsidRDefault="00323E32" w:rsidP="00323E32">
      <w:pPr>
        <w:spacing w:line="360" w:lineRule="auto"/>
        <w:jc w:val="center"/>
        <w:outlineLvl w:val="0"/>
        <w:rPr>
          <w:rFonts w:ascii="Arial" w:hAnsi="Arial" w:cs="Arial"/>
          <w:bCs/>
          <w:color w:val="000000" w:themeColor="text1"/>
          <w:kern w:val="36"/>
        </w:rPr>
      </w:pPr>
    </w:p>
    <w:p w14:paraId="5A0E585E" w14:textId="77777777" w:rsidR="00323E32" w:rsidRDefault="00323E32" w:rsidP="00323E32">
      <w:pPr>
        <w:spacing w:line="360" w:lineRule="auto"/>
        <w:jc w:val="center"/>
        <w:outlineLvl w:val="0"/>
        <w:rPr>
          <w:rFonts w:ascii="Arial" w:hAnsi="Arial" w:cs="Arial"/>
          <w:bCs/>
          <w:color w:val="000000" w:themeColor="text1"/>
          <w:kern w:val="36"/>
        </w:rPr>
      </w:pPr>
    </w:p>
    <w:p w14:paraId="736102BC" w14:textId="77777777" w:rsidR="00323E32" w:rsidRDefault="00323E32" w:rsidP="00323E32">
      <w:pPr>
        <w:spacing w:line="360" w:lineRule="auto"/>
        <w:jc w:val="center"/>
        <w:outlineLvl w:val="0"/>
        <w:rPr>
          <w:rFonts w:ascii="Arial" w:hAnsi="Arial" w:cs="Arial"/>
          <w:bCs/>
          <w:color w:val="000000" w:themeColor="text1"/>
          <w:kern w:val="36"/>
        </w:rPr>
      </w:pPr>
    </w:p>
    <w:p w14:paraId="6BB2D869" w14:textId="77777777" w:rsidR="00323E32" w:rsidRDefault="00323E32" w:rsidP="00323E32">
      <w:pPr>
        <w:spacing w:line="360" w:lineRule="auto"/>
        <w:jc w:val="center"/>
        <w:outlineLvl w:val="0"/>
        <w:rPr>
          <w:rFonts w:ascii="Arial" w:hAnsi="Arial" w:cs="Arial"/>
          <w:bCs/>
          <w:color w:val="000000" w:themeColor="text1"/>
          <w:kern w:val="36"/>
        </w:rPr>
      </w:pPr>
    </w:p>
    <w:p w14:paraId="4725268F" w14:textId="77777777" w:rsidR="00323E32" w:rsidRDefault="00323E32" w:rsidP="00323E32">
      <w:pPr>
        <w:spacing w:line="360" w:lineRule="auto"/>
        <w:jc w:val="center"/>
        <w:outlineLvl w:val="0"/>
        <w:rPr>
          <w:rFonts w:ascii="Arial" w:hAnsi="Arial" w:cs="Arial"/>
          <w:bCs/>
          <w:color w:val="000000" w:themeColor="text1"/>
          <w:kern w:val="36"/>
        </w:rPr>
      </w:pPr>
    </w:p>
    <w:p w14:paraId="774523DF" w14:textId="77777777" w:rsidR="00323E32" w:rsidRDefault="00323E32" w:rsidP="00323E32">
      <w:pPr>
        <w:spacing w:line="360" w:lineRule="auto"/>
        <w:jc w:val="center"/>
        <w:outlineLvl w:val="0"/>
        <w:rPr>
          <w:rFonts w:ascii="Arial" w:hAnsi="Arial" w:cs="Arial"/>
          <w:bCs/>
          <w:color w:val="000000" w:themeColor="text1"/>
          <w:kern w:val="36"/>
        </w:rPr>
      </w:pPr>
    </w:p>
    <w:p w14:paraId="327E1FBE" w14:textId="77777777" w:rsidR="00323E32" w:rsidRDefault="00323E32" w:rsidP="00323E32">
      <w:pPr>
        <w:spacing w:line="360" w:lineRule="auto"/>
        <w:jc w:val="center"/>
        <w:outlineLvl w:val="0"/>
        <w:rPr>
          <w:rFonts w:ascii="Arial" w:hAnsi="Arial" w:cs="Arial"/>
          <w:bCs/>
          <w:color w:val="000000" w:themeColor="text1"/>
          <w:kern w:val="36"/>
        </w:rPr>
      </w:pPr>
    </w:p>
    <w:p w14:paraId="2B948DEC" w14:textId="77777777" w:rsidR="00323E32" w:rsidRDefault="00323E32" w:rsidP="00323E32">
      <w:pPr>
        <w:spacing w:line="360" w:lineRule="auto"/>
        <w:jc w:val="center"/>
        <w:outlineLvl w:val="0"/>
        <w:rPr>
          <w:rFonts w:ascii="Arial" w:hAnsi="Arial" w:cs="Arial"/>
          <w:bCs/>
          <w:color w:val="000000" w:themeColor="text1"/>
          <w:kern w:val="36"/>
        </w:rPr>
      </w:pPr>
    </w:p>
    <w:p w14:paraId="7D155EAA" w14:textId="77777777" w:rsidR="00323E32" w:rsidRDefault="00323E32" w:rsidP="00323E32">
      <w:pPr>
        <w:spacing w:line="360" w:lineRule="auto"/>
        <w:jc w:val="center"/>
        <w:outlineLvl w:val="0"/>
        <w:rPr>
          <w:rFonts w:ascii="Arial" w:hAnsi="Arial" w:cs="Arial"/>
          <w:bCs/>
          <w:color w:val="000000" w:themeColor="text1"/>
          <w:kern w:val="36"/>
        </w:rPr>
      </w:pPr>
    </w:p>
    <w:p w14:paraId="080D4B17" w14:textId="77777777" w:rsidR="00323E32" w:rsidRDefault="00323E32" w:rsidP="00323E32">
      <w:pPr>
        <w:spacing w:line="360" w:lineRule="auto"/>
        <w:jc w:val="center"/>
        <w:outlineLvl w:val="0"/>
        <w:rPr>
          <w:rFonts w:ascii="Arial" w:hAnsi="Arial" w:cs="Arial"/>
          <w:bCs/>
          <w:color w:val="000000" w:themeColor="text1"/>
          <w:kern w:val="36"/>
        </w:rPr>
      </w:pPr>
    </w:p>
    <w:p w14:paraId="6D6B3025" w14:textId="77777777" w:rsidR="00323E32" w:rsidRDefault="00323E32" w:rsidP="00323E32">
      <w:pPr>
        <w:spacing w:line="360" w:lineRule="auto"/>
        <w:jc w:val="center"/>
        <w:outlineLvl w:val="0"/>
        <w:rPr>
          <w:rFonts w:ascii="Arial" w:hAnsi="Arial" w:cs="Arial"/>
          <w:bCs/>
          <w:color w:val="000000" w:themeColor="text1"/>
          <w:kern w:val="36"/>
        </w:rPr>
      </w:pPr>
    </w:p>
    <w:p w14:paraId="37DD87FC" w14:textId="77777777" w:rsidR="00323E32" w:rsidRDefault="00323E32" w:rsidP="00323E32">
      <w:pPr>
        <w:spacing w:line="360" w:lineRule="auto"/>
        <w:jc w:val="center"/>
        <w:outlineLvl w:val="0"/>
        <w:rPr>
          <w:rFonts w:ascii="Arial" w:hAnsi="Arial" w:cs="Arial"/>
          <w:bCs/>
          <w:color w:val="000000" w:themeColor="text1"/>
          <w:kern w:val="36"/>
        </w:rPr>
      </w:pPr>
    </w:p>
    <w:p w14:paraId="48B69B7F" w14:textId="77777777" w:rsidR="00323E32" w:rsidRPr="001A713B" w:rsidRDefault="00323E32" w:rsidP="00323E32">
      <w:pPr>
        <w:spacing w:line="360" w:lineRule="auto"/>
        <w:jc w:val="both"/>
        <w:outlineLvl w:val="0"/>
        <w:rPr>
          <w:rFonts w:ascii="Arial" w:hAnsi="Arial" w:cs="Arial"/>
          <w:bCs/>
          <w:color w:val="000000" w:themeColor="text1"/>
          <w:kern w:val="36"/>
        </w:rPr>
      </w:pPr>
    </w:p>
    <w:p w14:paraId="207845E2" w14:textId="77777777" w:rsidR="00323E32" w:rsidRPr="00FF276E" w:rsidRDefault="00323E32" w:rsidP="007470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u w:val="single"/>
        </w:rPr>
      </w:pPr>
      <w:r w:rsidRPr="00FF276E">
        <w:rPr>
          <w:rFonts w:ascii="Arial" w:hAnsi="Arial" w:cs="Arial"/>
          <w:b/>
          <w:bCs/>
          <w:color w:val="000000"/>
          <w:u w:val="single"/>
        </w:rPr>
        <w:lastRenderedPageBreak/>
        <w:t>AI Declaration.</w:t>
      </w:r>
    </w:p>
    <w:p w14:paraId="411DB469" w14:textId="77777777" w:rsidR="00323E32" w:rsidRDefault="00323E32" w:rsidP="007470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2B9EFAA9" w14:textId="77777777" w:rsidR="00323E32" w:rsidRDefault="00323E32" w:rsidP="007470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sidRPr="00FF276E">
        <w:rPr>
          <w:rFonts w:ascii="Arial" w:hAnsi="Arial" w:cs="Arial"/>
          <w:color w:val="000000"/>
        </w:rPr>
        <w:t>I confirm that I have not used any AI tools in the research and creation of this assignment. I</w:t>
      </w:r>
      <w:r>
        <w:rPr>
          <w:rFonts w:ascii="Arial" w:hAnsi="Arial" w:cs="Arial"/>
          <w:color w:val="000000"/>
        </w:rPr>
        <w:t xml:space="preserve"> </w:t>
      </w:r>
      <w:r w:rsidRPr="00FF276E">
        <w:rPr>
          <w:rFonts w:ascii="Arial" w:hAnsi="Arial" w:cs="Arial"/>
          <w:color w:val="000000"/>
        </w:rPr>
        <w:t>confirm that I have not presented any AI generated materials as my own work. I confirm I</w:t>
      </w:r>
      <w:r>
        <w:rPr>
          <w:rFonts w:ascii="Arial" w:hAnsi="Arial" w:cs="Arial"/>
          <w:color w:val="000000"/>
        </w:rPr>
        <w:t xml:space="preserve"> </w:t>
      </w:r>
      <w:r w:rsidRPr="00FF276E">
        <w:rPr>
          <w:rFonts w:ascii="Arial" w:hAnsi="Arial" w:cs="Arial"/>
          <w:color w:val="000000"/>
        </w:rPr>
        <w:t>have copies of my drafts, notes, and other resources I used, which I may be asked to</w:t>
      </w:r>
      <w:r>
        <w:rPr>
          <w:rFonts w:ascii="Arial" w:hAnsi="Arial" w:cs="Arial"/>
          <w:color w:val="000000"/>
        </w:rPr>
        <w:t xml:space="preserve"> </w:t>
      </w:r>
      <w:r w:rsidRPr="00FF276E">
        <w:rPr>
          <w:rFonts w:ascii="Arial" w:hAnsi="Arial" w:cs="Arial"/>
          <w:color w:val="000000"/>
        </w:rPr>
        <w:t>provide in evidence.</w:t>
      </w:r>
    </w:p>
    <w:p w14:paraId="08B7C15B" w14:textId="77777777" w:rsidR="00DA07E4" w:rsidRPr="00323E32" w:rsidRDefault="00DA07E4" w:rsidP="007470AF">
      <w:pPr>
        <w:jc w:val="both"/>
        <w:rPr>
          <w:rFonts w:ascii="Arial" w:hAnsi="Arial" w:cs="Arial"/>
        </w:rPr>
      </w:pPr>
    </w:p>
    <w:p w14:paraId="07FDBB10" w14:textId="5FBAF1BC" w:rsidR="00323E32" w:rsidRDefault="00323E32" w:rsidP="007470AF">
      <w:pPr>
        <w:jc w:val="both"/>
        <w:rPr>
          <w:rFonts w:ascii="Arial" w:hAnsi="Arial" w:cs="Arial"/>
          <w:b/>
          <w:bCs/>
          <w:u w:val="single"/>
        </w:rPr>
      </w:pPr>
      <w:r w:rsidRPr="00323E32">
        <w:rPr>
          <w:rFonts w:ascii="Arial" w:hAnsi="Arial" w:cs="Arial"/>
          <w:b/>
          <w:bCs/>
          <w:u w:val="single"/>
        </w:rPr>
        <w:t>Executive Summary.</w:t>
      </w:r>
    </w:p>
    <w:p w14:paraId="4A65D89D" w14:textId="77777777" w:rsidR="007470AF" w:rsidRDefault="007470AF" w:rsidP="007470AF">
      <w:pPr>
        <w:jc w:val="both"/>
        <w:rPr>
          <w:rFonts w:ascii="Arial" w:hAnsi="Arial" w:cs="Arial"/>
          <w:b/>
          <w:bCs/>
          <w:u w:val="single"/>
        </w:rPr>
      </w:pPr>
    </w:p>
    <w:p w14:paraId="5D812C9A" w14:textId="77777777" w:rsidR="00E66AFA" w:rsidRDefault="007470AF" w:rsidP="007470AF">
      <w:pPr>
        <w:jc w:val="both"/>
        <w:rPr>
          <w:rFonts w:ascii="Arial" w:hAnsi="Arial" w:cs="Arial"/>
        </w:rPr>
      </w:pPr>
      <w:r w:rsidRPr="007470AF">
        <w:rPr>
          <w:rFonts w:ascii="Arial" w:hAnsi="Arial" w:cs="Arial"/>
        </w:rPr>
        <w:t>This report</w:t>
      </w:r>
      <w:r>
        <w:rPr>
          <w:rFonts w:ascii="Arial" w:hAnsi="Arial" w:cs="Arial"/>
        </w:rPr>
        <w:t xml:space="preserve"> discusses the topic of profit and loss in relation to the upcoming Swansea Aquarium, planned for the developments to Swansea’s civic centre, and the many ways that revenue and profit can be generated through the aquarium’s operations.</w:t>
      </w:r>
    </w:p>
    <w:p w14:paraId="6A363FB4" w14:textId="77777777" w:rsidR="00E66AFA" w:rsidRDefault="00E66AFA" w:rsidP="007470AF">
      <w:pPr>
        <w:jc w:val="both"/>
        <w:rPr>
          <w:rFonts w:ascii="Arial" w:hAnsi="Arial" w:cs="Arial"/>
        </w:rPr>
      </w:pPr>
    </w:p>
    <w:p w14:paraId="4AD9667C" w14:textId="3DC9067D" w:rsidR="00E66AFA" w:rsidRDefault="00E66AFA" w:rsidP="007470AF">
      <w:pPr>
        <w:jc w:val="both"/>
        <w:rPr>
          <w:rFonts w:ascii="Arial" w:hAnsi="Arial" w:cs="Arial"/>
        </w:rPr>
      </w:pPr>
      <w:r>
        <w:rPr>
          <w:rFonts w:ascii="Arial" w:hAnsi="Arial" w:cs="Arial"/>
        </w:rPr>
        <w:t xml:space="preserve">The aquarium is a part of a larger development plan for Swansea, aiming to increase tourism in the area, whilst hoping to reinforce Swansea’s status as a leading waterfront location and destination. Other elements to this development plan include the addition of 140 new apartments to the Swansea waterfront area, a new saltwater lido, 15 new commercial units to home new bars, </w:t>
      </w:r>
      <w:proofErr w:type="gramStart"/>
      <w:r>
        <w:rPr>
          <w:rFonts w:ascii="Arial" w:hAnsi="Arial" w:cs="Arial"/>
        </w:rPr>
        <w:t>café’s</w:t>
      </w:r>
      <w:proofErr w:type="gramEnd"/>
      <w:r>
        <w:rPr>
          <w:rFonts w:ascii="Arial" w:hAnsi="Arial" w:cs="Arial"/>
        </w:rPr>
        <w:t>, and restaurants, and the aquarium, which is said to ‘benefit local people, whilst attracting more visitors to Swansea’, according to the council leader, Rob Stewart.</w:t>
      </w:r>
    </w:p>
    <w:p w14:paraId="00E6CB61" w14:textId="77777777" w:rsidR="00E66AFA" w:rsidRDefault="00E66AFA" w:rsidP="007470AF">
      <w:pPr>
        <w:jc w:val="both"/>
        <w:rPr>
          <w:rFonts w:ascii="Arial" w:hAnsi="Arial" w:cs="Arial"/>
        </w:rPr>
      </w:pPr>
    </w:p>
    <w:p w14:paraId="2169EBA9" w14:textId="0E516AC9" w:rsidR="007470AF" w:rsidRPr="007470AF" w:rsidRDefault="00E66AFA" w:rsidP="007470AF">
      <w:pPr>
        <w:jc w:val="both"/>
        <w:rPr>
          <w:rFonts w:ascii="Arial" w:hAnsi="Arial" w:cs="Arial"/>
        </w:rPr>
      </w:pPr>
      <w:r>
        <w:rPr>
          <w:rFonts w:ascii="Arial" w:hAnsi="Arial" w:cs="Arial"/>
        </w:rPr>
        <w:t>Within the report,</w:t>
      </w:r>
      <w:r w:rsidR="007470AF">
        <w:rPr>
          <w:rFonts w:ascii="Arial" w:hAnsi="Arial" w:cs="Arial"/>
        </w:rPr>
        <w:t xml:space="preserve"> </w:t>
      </w:r>
      <w:r>
        <w:rPr>
          <w:rFonts w:ascii="Arial" w:hAnsi="Arial" w:cs="Arial"/>
        </w:rPr>
        <w:t>t</w:t>
      </w:r>
      <w:r w:rsidR="007470AF">
        <w:rPr>
          <w:rFonts w:ascii="Arial" w:hAnsi="Arial" w:cs="Arial"/>
        </w:rPr>
        <w:t>opics</w:t>
      </w:r>
      <w:r>
        <w:rPr>
          <w:rFonts w:ascii="Arial" w:hAnsi="Arial" w:cs="Arial"/>
        </w:rPr>
        <w:t xml:space="preserve"> and themes</w:t>
      </w:r>
      <w:r w:rsidR="007470AF">
        <w:rPr>
          <w:rFonts w:ascii="Arial" w:hAnsi="Arial" w:cs="Arial"/>
        </w:rPr>
        <w:t xml:space="preserve"> such as the concept of profit and loss, fixed costs and variable costs, and breaking even are discussed and linked back to the viability of the upcoming aquarium’s operation, including recommendations as to how the business could generate income even during off-peak seasons and ways that the business could utilise other secondary offerings, such as merchandising and food and beverage, to contribute to their income.</w:t>
      </w:r>
    </w:p>
    <w:p w14:paraId="0DFBA718" w14:textId="77777777" w:rsidR="00323E32" w:rsidRDefault="00323E32" w:rsidP="00E66AFA">
      <w:pPr>
        <w:jc w:val="both"/>
        <w:rPr>
          <w:rFonts w:ascii="Arial" w:hAnsi="Arial" w:cs="Arial"/>
        </w:rPr>
      </w:pPr>
    </w:p>
    <w:p w14:paraId="45EE27F4" w14:textId="73CC1A87" w:rsidR="00E66AFA" w:rsidRPr="00323E32" w:rsidRDefault="00E66AFA" w:rsidP="00E66AFA">
      <w:pPr>
        <w:jc w:val="both"/>
        <w:rPr>
          <w:rFonts w:ascii="Arial" w:hAnsi="Arial" w:cs="Arial"/>
        </w:rPr>
      </w:pPr>
      <w:r>
        <w:rPr>
          <w:rFonts w:ascii="Arial" w:hAnsi="Arial" w:cs="Arial"/>
        </w:rPr>
        <w:t>The report finds that due to the prime location of the development, it would be easy for the business to turn a profit, however they should be mindful of varying seasonality and should be prepared with additional revenue streams in case of an off season, where generated finances for the business may be lower; these seasons include term-time for schools, and poor weathered seasons such as autumn and winter.</w:t>
      </w:r>
    </w:p>
    <w:sdt>
      <w:sdtPr>
        <w:id w:val="-1420791988"/>
        <w:docPartObj>
          <w:docPartGallery w:val="Table of Contents"/>
          <w:docPartUnique/>
        </w:docPartObj>
      </w:sdtPr>
      <w:sdtEndPr>
        <w:rPr>
          <w:rFonts w:ascii="Times New Roman" w:eastAsia="Times New Roman" w:hAnsi="Times New Roman" w:cs="Times New Roman"/>
          <w:noProof/>
          <w:color w:val="auto"/>
          <w:sz w:val="24"/>
          <w:szCs w:val="24"/>
          <w:lang w:val="en-GB" w:eastAsia="ko-KR"/>
        </w:rPr>
      </w:sdtEndPr>
      <w:sdtContent>
        <w:p w14:paraId="5B91A692" w14:textId="4E075F2D" w:rsidR="00323E32" w:rsidRPr="00E66AFA" w:rsidRDefault="00323E32">
          <w:pPr>
            <w:pStyle w:val="TOCHeading"/>
            <w:rPr>
              <w:rFonts w:ascii="Arial" w:hAnsi="Arial" w:cs="Arial"/>
              <w:color w:val="000000" w:themeColor="text1"/>
              <w:sz w:val="24"/>
              <w:szCs w:val="24"/>
              <w:u w:val="single"/>
            </w:rPr>
          </w:pPr>
          <w:r w:rsidRPr="00E66AFA">
            <w:rPr>
              <w:rFonts w:ascii="Arial" w:hAnsi="Arial" w:cs="Arial"/>
              <w:color w:val="000000" w:themeColor="text1"/>
              <w:sz w:val="24"/>
              <w:szCs w:val="24"/>
              <w:u w:val="single"/>
            </w:rPr>
            <w:t>Table of Contents</w:t>
          </w:r>
        </w:p>
        <w:p w14:paraId="7E30E619" w14:textId="03C04770" w:rsidR="00E66AFA" w:rsidRPr="00E66AFA" w:rsidRDefault="00323E32">
          <w:pPr>
            <w:pStyle w:val="TOC1"/>
            <w:tabs>
              <w:tab w:val="right" w:leader="dot" w:pos="9010"/>
            </w:tabs>
            <w:rPr>
              <w:rFonts w:eastAsiaTheme="minorEastAsia" w:cstheme="minorBidi"/>
              <w:b w:val="0"/>
              <w:bCs w:val="0"/>
              <w:i w:val="0"/>
              <w:iCs w:val="0"/>
              <w:noProof/>
              <w:kern w:val="2"/>
              <w14:ligatures w14:val="standardContextual"/>
            </w:rPr>
          </w:pPr>
          <w:r w:rsidRPr="00E66AFA">
            <w:rPr>
              <w:b w:val="0"/>
              <w:bCs w:val="0"/>
              <w:i w:val="0"/>
              <w:iCs w:val="0"/>
            </w:rPr>
            <w:fldChar w:fldCharType="begin"/>
          </w:r>
          <w:r w:rsidRPr="00E66AFA">
            <w:rPr>
              <w:i w:val="0"/>
              <w:iCs w:val="0"/>
            </w:rPr>
            <w:instrText xml:space="preserve"> TOC \o "1-3" \h \z \u </w:instrText>
          </w:r>
          <w:r w:rsidRPr="00E66AFA">
            <w:rPr>
              <w:b w:val="0"/>
              <w:bCs w:val="0"/>
              <w:i w:val="0"/>
              <w:iCs w:val="0"/>
            </w:rPr>
            <w:fldChar w:fldCharType="separate"/>
          </w:r>
          <w:hyperlink w:anchor="_Toc227962046" w:history="1">
            <w:r w:rsidR="00E66AFA" w:rsidRPr="00E66AFA">
              <w:rPr>
                <w:rStyle w:val="Hyperlink"/>
                <w:rFonts w:ascii="Arial" w:hAnsi="Arial" w:cs="Arial"/>
                <w:i w:val="0"/>
                <w:iCs w:val="0"/>
                <w:noProof/>
              </w:rPr>
              <w:t>Introduct</w:t>
            </w:r>
            <w:r w:rsidR="00E66AFA" w:rsidRPr="00E66AFA">
              <w:rPr>
                <w:rStyle w:val="Hyperlink"/>
                <w:rFonts w:ascii="Arial" w:hAnsi="Arial" w:cs="Arial"/>
                <w:i w:val="0"/>
                <w:iCs w:val="0"/>
                <w:noProof/>
              </w:rPr>
              <w:t>i</w:t>
            </w:r>
            <w:r w:rsidR="00E66AFA" w:rsidRPr="00E66AFA">
              <w:rPr>
                <w:rStyle w:val="Hyperlink"/>
                <w:rFonts w:ascii="Arial" w:hAnsi="Arial" w:cs="Arial"/>
                <w:i w:val="0"/>
                <w:iCs w:val="0"/>
                <w:noProof/>
              </w:rPr>
              <w:t>on</w:t>
            </w:r>
            <w:r w:rsidR="00E66AFA" w:rsidRPr="00E66AFA">
              <w:rPr>
                <w:i w:val="0"/>
                <w:iCs w:val="0"/>
                <w:noProof/>
                <w:webHidden/>
              </w:rPr>
              <w:tab/>
            </w:r>
            <w:r w:rsidR="00E66AFA" w:rsidRPr="00E66AFA">
              <w:rPr>
                <w:i w:val="0"/>
                <w:iCs w:val="0"/>
                <w:noProof/>
                <w:webHidden/>
              </w:rPr>
              <w:fldChar w:fldCharType="begin"/>
            </w:r>
            <w:r w:rsidR="00E66AFA" w:rsidRPr="00E66AFA">
              <w:rPr>
                <w:i w:val="0"/>
                <w:iCs w:val="0"/>
                <w:noProof/>
                <w:webHidden/>
              </w:rPr>
              <w:instrText xml:space="preserve"> PAGEREF _Toc227962046 \h </w:instrText>
            </w:r>
            <w:r w:rsidR="00E66AFA" w:rsidRPr="00E66AFA">
              <w:rPr>
                <w:i w:val="0"/>
                <w:iCs w:val="0"/>
                <w:noProof/>
                <w:webHidden/>
              </w:rPr>
            </w:r>
            <w:r w:rsidR="00E66AFA" w:rsidRPr="00E66AFA">
              <w:rPr>
                <w:i w:val="0"/>
                <w:iCs w:val="0"/>
                <w:noProof/>
                <w:webHidden/>
              </w:rPr>
              <w:fldChar w:fldCharType="separate"/>
            </w:r>
            <w:r w:rsidR="00E66AFA" w:rsidRPr="00E66AFA">
              <w:rPr>
                <w:i w:val="0"/>
                <w:iCs w:val="0"/>
                <w:noProof/>
                <w:webHidden/>
              </w:rPr>
              <w:t>3</w:t>
            </w:r>
            <w:r w:rsidR="00E66AFA" w:rsidRPr="00E66AFA">
              <w:rPr>
                <w:i w:val="0"/>
                <w:iCs w:val="0"/>
                <w:noProof/>
                <w:webHidden/>
              </w:rPr>
              <w:fldChar w:fldCharType="end"/>
            </w:r>
          </w:hyperlink>
        </w:p>
        <w:p w14:paraId="34F8438B" w14:textId="0281509C" w:rsidR="00E66AFA" w:rsidRPr="00E66AFA" w:rsidRDefault="00E66AFA">
          <w:pPr>
            <w:pStyle w:val="TOC1"/>
            <w:tabs>
              <w:tab w:val="right" w:leader="dot" w:pos="9010"/>
            </w:tabs>
            <w:rPr>
              <w:rFonts w:eastAsiaTheme="minorEastAsia" w:cstheme="minorBidi"/>
              <w:b w:val="0"/>
              <w:bCs w:val="0"/>
              <w:i w:val="0"/>
              <w:iCs w:val="0"/>
              <w:noProof/>
              <w:kern w:val="2"/>
              <w14:ligatures w14:val="standardContextual"/>
            </w:rPr>
          </w:pPr>
          <w:hyperlink w:anchor="_Toc227962047" w:history="1">
            <w:r w:rsidRPr="00E66AFA">
              <w:rPr>
                <w:rStyle w:val="Hyperlink"/>
                <w:rFonts w:ascii="Arial" w:hAnsi="Arial" w:cs="Arial"/>
                <w:i w:val="0"/>
                <w:iCs w:val="0"/>
                <w:noProof/>
              </w:rPr>
              <w:t>Main findings</w:t>
            </w:r>
            <w:r w:rsidRPr="00E66AFA">
              <w:rPr>
                <w:i w:val="0"/>
                <w:iCs w:val="0"/>
                <w:noProof/>
                <w:webHidden/>
              </w:rPr>
              <w:tab/>
            </w:r>
            <w:r w:rsidRPr="00E66AFA">
              <w:rPr>
                <w:i w:val="0"/>
                <w:iCs w:val="0"/>
                <w:noProof/>
                <w:webHidden/>
              </w:rPr>
              <w:fldChar w:fldCharType="begin"/>
            </w:r>
            <w:r w:rsidRPr="00E66AFA">
              <w:rPr>
                <w:i w:val="0"/>
                <w:iCs w:val="0"/>
                <w:noProof/>
                <w:webHidden/>
              </w:rPr>
              <w:instrText xml:space="preserve"> PAGEREF _Toc227962047 \h </w:instrText>
            </w:r>
            <w:r w:rsidRPr="00E66AFA">
              <w:rPr>
                <w:i w:val="0"/>
                <w:iCs w:val="0"/>
                <w:noProof/>
                <w:webHidden/>
              </w:rPr>
            </w:r>
            <w:r w:rsidRPr="00E66AFA">
              <w:rPr>
                <w:i w:val="0"/>
                <w:iCs w:val="0"/>
                <w:noProof/>
                <w:webHidden/>
              </w:rPr>
              <w:fldChar w:fldCharType="separate"/>
            </w:r>
            <w:r w:rsidRPr="00E66AFA">
              <w:rPr>
                <w:i w:val="0"/>
                <w:iCs w:val="0"/>
                <w:noProof/>
                <w:webHidden/>
              </w:rPr>
              <w:t>3</w:t>
            </w:r>
            <w:r w:rsidRPr="00E66AFA">
              <w:rPr>
                <w:i w:val="0"/>
                <w:iCs w:val="0"/>
                <w:noProof/>
                <w:webHidden/>
              </w:rPr>
              <w:fldChar w:fldCharType="end"/>
            </w:r>
          </w:hyperlink>
        </w:p>
        <w:p w14:paraId="33440C14" w14:textId="1F6FFC26" w:rsidR="00E66AFA" w:rsidRPr="00E66AFA" w:rsidRDefault="00E66AFA">
          <w:pPr>
            <w:pStyle w:val="TOC1"/>
            <w:tabs>
              <w:tab w:val="right" w:leader="dot" w:pos="9010"/>
            </w:tabs>
            <w:rPr>
              <w:rFonts w:eastAsiaTheme="minorEastAsia" w:cstheme="minorBidi"/>
              <w:b w:val="0"/>
              <w:bCs w:val="0"/>
              <w:i w:val="0"/>
              <w:iCs w:val="0"/>
              <w:noProof/>
              <w:kern w:val="2"/>
              <w14:ligatures w14:val="standardContextual"/>
            </w:rPr>
          </w:pPr>
          <w:hyperlink w:anchor="_Toc227962048" w:history="1">
            <w:r w:rsidRPr="00E66AFA">
              <w:rPr>
                <w:rStyle w:val="Hyperlink"/>
                <w:rFonts w:ascii="Arial" w:hAnsi="Arial" w:cs="Arial"/>
                <w:i w:val="0"/>
                <w:iCs w:val="0"/>
                <w:noProof/>
              </w:rPr>
              <w:t>Recommendations.</w:t>
            </w:r>
            <w:r w:rsidRPr="00E66AFA">
              <w:rPr>
                <w:i w:val="0"/>
                <w:iCs w:val="0"/>
                <w:noProof/>
                <w:webHidden/>
              </w:rPr>
              <w:tab/>
            </w:r>
            <w:r w:rsidRPr="00E66AFA">
              <w:rPr>
                <w:i w:val="0"/>
                <w:iCs w:val="0"/>
                <w:noProof/>
                <w:webHidden/>
              </w:rPr>
              <w:fldChar w:fldCharType="begin"/>
            </w:r>
            <w:r w:rsidRPr="00E66AFA">
              <w:rPr>
                <w:i w:val="0"/>
                <w:iCs w:val="0"/>
                <w:noProof/>
                <w:webHidden/>
              </w:rPr>
              <w:instrText xml:space="preserve"> PAGEREF _Toc227962048 \h </w:instrText>
            </w:r>
            <w:r w:rsidRPr="00E66AFA">
              <w:rPr>
                <w:i w:val="0"/>
                <w:iCs w:val="0"/>
                <w:noProof/>
                <w:webHidden/>
              </w:rPr>
            </w:r>
            <w:r w:rsidRPr="00E66AFA">
              <w:rPr>
                <w:i w:val="0"/>
                <w:iCs w:val="0"/>
                <w:noProof/>
                <w:webHidden/>
              </w:rPr>
              <w:fldChar w:fldCharType="separate"/>
            </w:r>
            <w:r w:rsidRPr="00E66AFA">
              <w:rPr>
                <w:i w:val="0"/>
                <w:iCs w:val="0"/>
                <w:noProof/>
                <w:webHidden/>
              </w:rPr>
              <w:t>5</w:t>
            </w:r>
            <w:r w:rsidRPr="00E66AFA">
              <w:rPr>
                <w:i w:val="0"/>
                <w:iCs w:val="0"/>
                <w:noProof/>
                <w:webHidden/>
              </w:rPr>
              <w:fldChar w:fldCharType="end"/>
            </w:r>
          </w:hyperlink>
        </w:p>
        <w:p w14:paraId="54903A46" w14:textId="611A904B" w:rsidR="00E66AFA" w:rsidRPr="00E66AFA" w:rsidRDefault="00E66AFA">
          <w:pPr>
            <w:pStyle w:val="TOC1"/>
            <w:tabs>
              <w:tab w:val="right" w:leader="dot" w:pos="9010"/>
            </w:tabs>
            <w:rPr>
              <w:rFonts w:eastAsiaTheme="minorEastAsia" w:cstheme="minorBidi"/>
              <w:b w:val="0"/>
              <w:bCs w:val="0"/>
              <w:i w:val="0"/>
              <w:iCs w:val="0"/>
              <w:noProof/>
              <w:kern w:val="2"/>
              <w14:ligatures w14:val="standardContextual"/>
            </w:rPr>
          </w:pPr>
          <w:hyperlink w:anchor="_Toc227962049" w:history="1">
            <w:r w:rsidRPr="00E66AFA">
              <w:rPr>
                <w:rStyle w:val="Hyperlink"/>
                <w:rFonts w:ascii="Arial" w:hAnsi="Arial" w:cs="Arial"/>
                <w:i w:val="0"/>
                <w:iCs w:val="0"/>
                <w:noProof/>
              </w:rPr>
              <w:t>Conclusions.</w:t>
            </w:r>
            <w:r w:rsidRPr="00E66AFA">
              <w:rPr>
                <w:i w:val="0"/>
                <w:iCs w:val="0"/>
                <w:noProof/>
                <w:webHidden/>
              </w:rPr>
              <w:tab/>
            </w:r>
            <w:r w:rsidRPr="00E66AFA">
              <w:rPr>
                <w:i w:val="0"/>
                <w:iCs w:val="0"/>
                <w:noProof/>
                <w:webHidden/>
              </w:rPr>
              <w:fldChar w:fldCharType="begin"/>
            </w:r>
            <w:r w:rsidRPr="00E66AFA">
              <w:rPr>
                <w:i w:val="0"/>
                <w:iCs w:val="0"/>
                <w:noProof/>
                <w:webHidden/>
              </w:rPr>
              <w:instrText xml:space="preserve"> PAGEREF _Toc227962049 \h </w:instrText>
            </w:r>
            <w:r w:rsidRPr="00E66AFA">
              <w:rPr>
                <w:i w:val="0"/>
                <w:iCs w:val="0"/>
                <w:noProof/>
                <w:webHidden/>
              </w:rPr>
            </w:r>
            <w:r w:rsidRPr="00E66AFA">
              <w:rPr>
                <w:i w:val="0"/>
                <w:iCs w:val="0"/>
                <w:noProof/>
                <w:webHidden/>
              </w:rPr>
              <w:fldChar w:fldCharType="separate"/>
            </w:r>
            <w:r w:rsidRPr="00E66AFA">
              <w:rPr>
                <w:i w:val="0"/>
                <w:iCs w:val="0"/>
                <w:noProof/>
                <w:webHidden/>
              </w:rPr>
              <w:t>5</w:t>
            </w:r>
            <w:r w:rsidRPr="00E66AFA">
              <w:rPr>
                <w:i w:val="0"/>
                <w:iCs w:val="0"/>
                <w:noProof/>
                <w:webHidden/>
              </w:rPr>
              <w:fldChar w:fldCharType="end"/>
            </w:r>
          </w:hyperlink>
        </w:p>
        <w:p w14:paraId="3C18758F" w14:textId="51CA7791" w:rsidR="00E66AFA" w:rsidRPr="00E66AFA" w:rsidRDefault="00E66AFA">
          <w:pPr>
            <w:pStyle w:val="TOC1"/>
            <w:tabs>
              <w:tab w:val="right" w:leader="dot" w:pos="9010"/>
            </w:tabs>
            <w:rPr>
              <w:rFonts w:eastAsiaTheme="minorEastAsia" w:cstheme="minorBidi"/>
              <w:b w:val="0"/>
              <w:bCs w:val="0"/>
              <w:i w:val="0"/>
              <w:iCs w:val="0"/>
              <w:noProof/>
              <w:kern w:val="2"/>
              <w14:ligatures w14:val="standardContextual"/>
            </w:rPr>
          </w:pPr>
          <w:hyperlink w:anchor="_Toc227962050" w:history="1">
            <w:r w:rsidRPr="00E66AFA">
              <w:rPr>
                <w:rStyle w:val="Hyperlink"/>
                <w:rFonts w:ascii="Arial" w:hAnsi="Arial" w:cs="Arial"/>
                <w:i w:val="0"/>
                <w:iCs w:val="0"/>
                <w:noProof/>
              </w:rPr>
              <w:t>References.</w:t>
            </w:r>
            <w:r w:rsidRPr="00E66AFA">
              <w:rPr>
                <w:i w:val="0"/>
                <w:iCs w:val="0"/>
                <w:noProof/>
                <w:webHidden/>
              </w:rPr>
              <w:tab/>
            </w:r>
            <w:r w:rsidRPr="00E66AFA">
              <w:rPr>
                <w:i w:val="0"/>
                <w:iCs w:val="0"/>
                <w:noProof/>
                <w:webHidden/>
              </w:rPr>
              <w:fldChar w:fldCharType="begin"/>
            </w:r>
            <w:r w:rsidRPr="00E66AFA">
              <w:rPr>
                <w:i w:val="0"/>
                <w:iCs w:val="0"/>
                <w:noProof/>
                <w:webHidden/>
              </w:rPr>
              <w:instrText xml:space="preserve"> PAGEREF _Toc227962050 \h </w:instrText>
            </w:r>
            <w:r w:rsidRPr="00E66AFA">
              <w:rPr>
                <w:i w:val="0"/>
                <w:iCs w:val="0"/>
                <w:noProof/>
                <w:webHidden/>
              </w:rPr>
            </w:r>
            <w:r w:rsidRPr="00E66AFA">
              <w:rPr>
                <w:i w:val="0"/>
                <w:iCs w:val="0"/>
                <w:noProof/>
                <w:webHidden/>
              </w:rPr>
              <w:fldChar w:fldCharType="separate"/>
            </w:r>
            <w:r w:rsidRPr="00E66AFA">
              <w:rPr>
                <w:i w:val="0"/>
                <w:iCs w:val="0"/>
                <w:noProof/>
                <w:webHidden/>
              </w:rPr>
              <w:t>6</w:t>
            </w:r>
            <w:r w:rsidRPr="00E66AFA">
              <w:rPr>
                <w:i w:val="0"/>
                <w:iCs w:val="0"/>
                <w:noProof/>
                <w:webHidden/>
              </w:rPr>
              <w:fldChar w:fldCharType="end"/>
            </w:r>
          </w:hyperlink>
        </w:p>
        <w:p w14:paraId="26099EDB" w14:textId="1162B888" w:rsidR="00323E32" w:rsidRDefault="00323E32" w:rsidP="00323E32">
          <w:pPr>
            <w:rPr>
              <w:b/>
              <w:bCs/>
              <w:noProof/>
            </w:rPr>
          </w:pPr>
          <w:r w:rsidRPr="00E66AFA">
            <w:rPr>
              <w:b/>
              <w:bCs/>
              <w:noProof/>
            </w:rPr>
            <w:fldChar w:fldCharType="end"/>
          </w:r>
        </w:p>
      </w:sdtContent>
    </w:sdt>
    <w:p w14:paraId="16FB5943" w14:textId="77777777" w:rsidR="00323E32" w:rsidRDefault="00323E32" w:rsidP="00323E32">
      <w:pPr>
        <w:rPr>
          <w:rFonts w:ascii="Arial" w:hAnsi="Arial" w:cs="Arial"/>
          <w:b/>
          <w:bCs/>
          <w:color w:val="000000" w:themeColor="text1"/>
          <w:u w:val="single"/>
        </w:rPr>
      </w:pPr>
    </w:p>
    <w:p w14:paraId="485B7739" w14:textId="77777777" w:rsidR="00323E32" w:rsidRDefault="00323E32" w:rsidP="00323E32">
      <w:pPr>
        <w:rPr>
          <w:rFonts w:ascii="Arial" w:hAnsi="Arial" w:cs="Arial"/>
          <w:b/>
          <w:bCs/>
          <w:color w:val="000000" w:themeColor="text1"/>
          <w:u w:val="single"/>
        </w:rPr>
      </w:pPr>
    </w:p>
    <w:p w14:paraId="3DA9F832" w14:textId="77777777" w:rsidR="00323E32" w:rsidRDefault="00323E32" w:rsidP="00323E32">
      <w:pPr>
        <w:rPr>
          <w:rFonts w:ascii="Arial" w:hAnsi="Arial" w:cs="Arial"/>
          <w:b/>
          <w:bCs/>
          <w:color w:val="000000" w:themeColor="text1"/>
          <w:u w:val="single"/>
        </w:rPr>
      </w:pPr>
    </w:p>
    <w:p w14:paraId="66209B9E" w14:textId="77777777" w:rsidR="00323E32" w:rsidRDefault="00323E32" w:rsidP="00323E32">
      <w:pPr>
        <w:rPr>
          <w:rFonts w:ascii="Arial" w:hAnsi="Arial" w:cs="Arial"/>
          <w:b/>
          <w:bCs/>
          <w:color w:val="000000" w:themeColor="text1"/>
          <w:u w:val="single"/>
        </w:rPr>
      </w:pPr>
    </w:p>
    <w:p w14:paraId="387454CE" w14:textId="601170B5" w:rsidR="00323E32" w:rsidRPr="007470AF" w:rsidRDefault="00323E32" w:rsidP="007470AF">
      <w:pPr>
        <w:pStyle w:val="Heading1"/>
        <w:rPr>
          <w:rFonts w:ascii="Arial" w:hAnsi="Arial" w:cs="Arial"/>
          <w:b/>
          <w:bCs/>
          <w:color w:val="000000" w:themeColor="text1"/>
          <w:sz w:val="24"/>
          <w:szCs w:val="24"/>
          <w:u w:val="single"/>
        </w:rPr>
      </w:pPr>
      <w:bookmarkStart w:id="0" w:name="_Toc227962046"/>
      <w:r w:rsidRPr="007470AF">
        <w:rPr>
          <w:rFonts w:ascii="Arial" w:hAnsi="Arial" w:cs="Arial"/>
          <w:b/>
          <w:bCs/>
          <w:color w:val="000000" w:themeColor="text1"/>
          <w:sz w:val="24"/>
          <w:szCs w:val="24"/>
          <w:u w:val="single"/>
        </w:rPr>
        <w:lastRenderedPageBreak/>
        <w:t>Introduction.</w:t>
      </w:r>
      <w:bookmarkEnd w:id="0"/>
    </w:p>
    <w:p w14:paraId="538F0AC9" w14:textId="600AD82E" w:rsidR="00323E32" w:rsidRDefault="00323E32" w:rsidP="00323E32">
      <w:pPr>
        <w:spacing w:line="276" w:lineRule="auto"/>
        <w:jc w:val="both"/>
        <w:rPr>
          <w:rFonts w:ascii="Arial" w:hAnsi="Arial" w:cs="Arial"/>
        </w:rPr>
      </w:pPr>
      <w:r w:rsidRPr="00323E32">
        <w:rPr>
          <w:rFonts w:ascii="Arial" w:hAnsi="Arial" w:cs="Arial"/>
        </w:rPr>
        <w:t xml:space="preserve">This report </w:t>
      </w:r>
      <w:r>
        <w:rPr>
          <w:rFonts w:ascii="Arial" w:hAnsi="Arial" w:cs="Arial"/>
        </w:rPr>
        <w:t xml:space="preserve">will discuss the upcoming aquarium planned for Swansea City, and the importance and relevance of profit and loss in new, upcoming attractions, such as aquariums. With the upcoming developments to the Swansea City area, a </w:t>
      </w:r>
      <w:proofErr w:type="gramStart"/>
      <w:r>
        <w:rPr>
          <w:rFonts w:ascii="Arial" w:hAnsi="Arial" w:cs="Arial"/>
        </w:rPr>
        <w:t>brand new</w:t>
      </w:r>
      <w:proofErr w:type="gramEnd"/>
      <w:r>
        <w:rPr>
          <w:rFonts w:ascii="Arial" w:hAnsi="Arial" w:cs="Arial"/>
        </w:rPr>
        <w:t xml:space="preserve"> aquarium is planned to open in the city’s civic centre- along with several new stores, café’s, </w:t>
      </w:r>
      <w:r w:rsidRPr="00323E32">
        <w:rPr>
          <w:rFonts w:ascii="Arial" w:hAnsi="Arial" w:cs="Arial"/>
        </w:rPr>
        <w:t xml:space="preserve">and apartments </w:t>
      </w:r>
      <w:r w:rsidRPr="00323E32">
        <w:rPr>
          <w:rFonts w:ascii="Arial" w:hAnsi="Arial" w:cs="Arial"/>
          <w:color w:val="000000"/>
        </w:rPr>
        <w:t>(Editor, 2026)</w:t>
      </w:r>
      <w:r w:rsidRPr="00323E32">
        <w:rPr>
          <w:rFonts w:ascii="Arial" w:hAnsi="Arial" w:cs="Arial"/>
        </w:rPr>
        <w:t>.</w:t>
      </w:r>
      <w:r>
        <w:rPr>
          <w:rFonts w:ascii="Arial" w:hAnsi="Arial" w:cs="Arial"/>
        </w:rPr>
        <w:t xml:space="preserve"> It is believed that this initiative will serve the local community through providing spaces for smaller, independent businesses to flourish, and also serve to draw in more tourists to the area with the addition of facilities and attractions- including Swansea Arena, the upcoming Skyline developments, and the aquarium- subsequently strengthening Swansea’s popularity as a waterfront destination (Editor, 2026). </w:t>
      </w:r>
    </w:p>
    <w:p w14:paraId="566A27C4" w14:textId="580EBCE9" w:rsidR="00323E32" w:rsidRDefault="00323E32" w:rsidP="00323E32">
      <w:pPr>
        <w:spacing w:line="276" w:lineRule="auto"/>
        <w:jc w:val="both"/>
        <w:rPr>
          <w:rFonts w:ascii="Arial" w:hAnsi="Arial" w:cs="Arial"/>
        </w:rPr>
      </w:pPr>
    </w:p>
    <w:p w14:paraId="6E40F56B" w14:textId="77777777" w:rsidR="00323E32" w:rsidRDefault="00323E32" w:rsidP="00323E32">
      <w:pPr>
        <w:spacing w:line="276" w:lineRule="auto"/>
        <w:jc w:val="both"/>
        <w:rPr>
          <w:rFonts w:ascii="Arial" w:hAnsi="Arial" w:cs="Arial"/>
          <w:color w:val="000000"/>
        </w:rPr>
      </w:pPr>
      <w:r>
        <w:rPr>
          <w:rFonts w:ascii="Arial" w:hAnsi="Arial" w:cs="Arial"/>
        </w:rPr>
        <w:t xml:space="preserve">With any new project, the financial aspect is an incredibly significant element to consider throughout every stage of the formation of the project- from the initial planning phases through to the operation of the project, as it serves to highlight the financial viability and sustainability of upcoming, developing projects and </w:t>
      </w:r>
      <w:r w:rsidRPr="00323E32">
        <w:rPr>
          <w:rFonts w:ascii="Arial" w:hAnsi="Arial" w:cs="Arial"/>
        </w:rPr>
        <w:t>initiatives</w:t>
      </w:r>
      <w:r>
        <w:rPr>
          <w:rFonts w:ascii="Arial" w:hAnsi="Arial" w:cs="Arial"/>
        </w:rPr>
        <w:t>; declining profits and continuous losses can often signify subliminal and underlying issues with sectors such as marketing or management, which can subsequently impact the attraction’s ability to entice visitors and, as a result, generate revenue.</w:t>
      </w:r>
      <w:r w:rsidRPr="00323E32">
        <w:rPr>
          <w:rFonts w:ascii="Arial" w:hAnsi="Arial" w:cs="Arial"/>
        </w:rPr>
        <w:t xml:space="preserve"> </w:t>
      </w:r>
      <w:r w:rsidRPr="00323E32">
        <w:rPr>
          <w:rFonts w:ascii="Arial" w:hAnsi="Arial" w:cs="Arial"/>
          <w:color w:val="000000"/>
        </w:rPr>
        <w:t>(</w:t>
      </w:r>
      <w:proofErr w:type="spellStart"/>
      <w:r w:rsidRPr="00323E32">
        <w:rPr>
          <w:rFonts w:ascii="Arial" w:hAnsi="Arial" w:cs="Arial"/>
          <w:color w:val="000000"/>
        </w:rPr>
        <w:t>Ngxongo</w:t>
      </w:r>
      <w:proofErr w:type="spellEnd"/>
      <w:r w:rsidRPr="00323E32">
        <w:rPr>
          <w:rFonts w:ascii="Arial" w:hAnsi="Arial" w:cs="Arial"/>
          <w:color w:val="000000"/>
        </w:rPr>
        <w:t xml:space="preserve"> and Chili, 2018)</w:t>
      </w:r>
      <w:r>
        <w:rPr>
          <w:rFonts w:ascii="Arial" w:hAnsi="Arial" w:cs="Arial"/>
          <w:color w:val="000000"/>
        </w:rPr>
        <w:t xml:space="preserve">. Tourism attractions are often dependent on various marketing strategies, such as dynamic and adaptive marketing, which serves to identify target markets and maintaining relevance amongst pre-existing clients </w:t>
      </w:r>
      <w:r w:rsidRPr="00323E32">
        <w:rPr>
          <w:rFonts w:ascii="Arial" w:hAnsi="Arial" w:cs="Arial"/>
          <w:color w:val="000000"/>
        </w:rPr>
        <w:t>(</w:t>
      </w:r>
      <w:proofErr w:type="spellStart"/>
      <w:r w:rsidRPr="00323E32">
        <w:rPr>
          <w:rFonts w:ascii="Arial" w:hAnsi="Arial" w:cs="Arial"/>
          <w:color w:val="000000"/>
        </w:rPr>
        <w:t>Ngxongo</w:t>
      </w:r>
      <w:proofErr w:type="spellEnd"/>
      <w:r w:rsidRPr="00323E32">
        <w:rPr>
          <w:rFonts w:ascii="Arial" w:hAnsi="Arial" w:cs="Arial"/>
          <w:color w:val="000000"/>
        </w:rPr>
        <w:t xml:space="preserve"> and Chili, 2018)</w:t>
      </w:r>
      <w:r>
        <w:rPr>
          <w:rFonts w:ascii="Arial" w:hAnsi="Arial" w:cs="Arial"/>
          <w:color w:val="000000"/>
        </w:rPr>
        <w:t xml:space="preserve">. A lack of continuous market research can indirectly lead to the loss of shareholders and the </w:t>
      </w:r>
      <w:r w:rsidRPr="00323E32">
        <w:rPr>
          <w:rFonts w:ascii="Arial" w:hAnsi="Arial" w:cs="Arial"/>
          <w:color w:val="000000"/>
        </w:rPr>
        <w:t xml:space="preserve">overall profitability of the attraction. Profit and loss data is crucial for the diagnostic process of the efficiency and impact of marketing and operational efforts, as well as serving as an efficient guide for strategic adjustments. Furthermore, financial outcomes are also associated with infrastructure and service quality- when assessing natural tourism objects, a lack of adequate infrastructure alongside limited accommodation were both identified as barriers when discussing competitiveness, which can, as a result, influence the satisfaction of visitors and, as such, the profitability of an attraction </w:t>
      </w:r>
      <w:r w:rsidRPr="00323E32">
        <w:rPr>
          <w:rFonts w:ascii="Arial" w:hAnsi="Arial" w:cs="Arial"/>
          <w:color w:val="000000"/>
        </w:rPr>
        <w:t>(</w:t>
      </w:r>
      <w:proofErr w:type="spellStart"/>
      <w:r w:rsidRPr="00323E32">
        <w:rPr>
          <w:rFonts w:ascii="Arial" w:hAnsi="Arial" w:cs="Arial"/>
          <w:color w:val="000000"/>
        </w:rPr>
        <w:t>Fadhilla</w:t>
      </w:r>
      <w:proofErr w:type="spellEnd"/>
      <w:r w:rsidRPr="00323E32">
        <w:rPr>
          <w:rFonts w:ascii="Arial" w:hAnsi="Arial" w:cs="Arial"/>
          <w:color w:val="000000"/>
        </w:rPr>
        <w:t xml:space="preserve">, </w:t>
      </w:r>
      <w:proofErr w:type="spellStart"/>
      <w:r w:rsidRPr="00323E32">
        <w:rPr>
          <w:rFonts w:ascii="Arial" w:hAnsi="Arial" w:cs="Arial"/>
          <w:color w:val="000000"/>
        </w:rPr>
        <w:t>Simatupang</w:t>
      </w:r>
      <w:proofErr w:type="spellEnd"/>
      <w:r w:rsidRPr="00323E32">
        <w:rPr>
          <w:rFonts w:ascii="Arial" w:hAnsi="Arial" w:cs="Arial"/>
          <w:color w:val="000000"/>
        </w:rPr>
        <w:t xml:space="preserve"> and Latifah, 2025)</w:t>
      </w:r>
      <w:r w:rsidRPr="00323E32">
        <w:rPr>
          <w:rFonts w:ascii="Arial" w:hAnsi="Arial" w:cs="Arial"/>
          <w:color w:val="000000"/>
        </w:rPr>
        <w:t>.</w:t>
      </w:r>
    </w:p>
    <w:p w14:paraId="111337D9" w14:textId="77777777" w:rsidR="00323E32" w:rsidRDefault="00323E32" w:rsidP="00323E32">
      <w:pPr>
        <w:spacing w:line="276" w:lineRule="auto"/>
        <w:jc w:val="both"/>
        <w:rPr>
          <w:rFonts w:ascii="Arial" w:hAnsi="Arial" w:cs="Arial"/>
          <w:color w:val="000000"/>
        </w:rPr>
      </w:pPr>
    </w:p>
    <w:p w14:paraId="34FED920" w14:textId="2FDC6170" w:rsidR="00323E32" w:rsidRPr="007470AF" w:rsidRDefault="00323E32" w:rsidP="007470AF">
      <w:pPr>
        <w:pStyle w:val="Heading1"/>
        <w:rPr>
          <w:rFonts w:ascii="Arial" w:hAnsi="Arial" w:cs="Arial"/>
          <w:b/>
          <w:bCs/>
          <w:color w:val="000000" w:themeColor="text1"/>
          <w:sz w:val="24"/>
          <w:szCs w:val="24"/>
          <w:u w:val="single"/>
        </w:rPr>
      </w:pPr>
      <w:bookmarkStart w:id="1" w:name="_Toc227962047"/>
      <w:r w:rsidRPr="007470AF">
        <w:rPr>
          <w:rFonts w:ascii="Arial" w:hAnsi="Arial" w:cs="Arial"/>
          <w:b/>
          <w:bCs/>
          <w:color w:val="000000" w:themeColor="text1"/>
          <w:sz w:val="24"/>
          <w:szCs w:val="24"/>
          <w:u w:val="single"/>
        </w:rPr>
        <w:t>Main findings.</w:t>
      </w:r>
      <w:bookmarkEnd w:id="1"/>
    </w:p>
    <w:p w14:paraId="2D6EC937" w14:textId="77777777" w:rsidR="00323E32" w:rsidRDefault="00323E32" w:rsidP="00323E32">
      <w:pPr>
        <w:spacing w:line="276" w:lineRule="auto"/>
        <w:jc w:val="both"/>
        <w:rPr>
          <w:rFonts w:ascii="Arial" w:hAnsi="Arial" w:cs="Arial"/>
          <w:b/>
          <w:bCs/>
          <w:color w:val="000000" w:themeColor="text1"/>
          <w:u w:val="single"/>
        </w:rPr>
      </w:pPr>
    </w:p>
    <w:p w14:paraId="766D20EF" w14:textId="77777777" w:rsidR="00323E32" w:rsidRDefault="00323E32" w:rsidP="00323E32">
      <w:pPr>
        <w:spacing w:line="276" w:lineRule="auto"/>
        <w:jc w:val="both"/>
        <w:rPr>
          <w:rFonts w:ascii="Arial" w:hAnsi="Arial" w:cs="Arial"/>
          <w:color w:val="000000"/>
        </w:rPr>
      </w:pPr>
      <w:r>
        <w:rPr>
          <w:rFonts w:ascii="Arial" w:hAnsi="Arial" w:cs="Arial"/>
          <w:color w:val="000000"/>
          <w:shd w:val="clear" w:color="auto" w:fill="FFFFFF"/>
        </w:rPr>
        <w:t xml:space="preserve">When discussing profit, it is often conceived as a financial gain that comes as a result of a business’ activities- typically what is found when subtracting the costs of running the business from the revenue generated by the </w:t>
      </w:r>
      <w:r w:rsidRPr="00323E32">
        <w:rPr>
          <w:rFonts w:ascii="Arial" w:hAnsi="Arial" w:cs="Arial"/>
          <w:color w:val="000000"/>
          <w:shd w:val="clear" w:color="auto" w:fill="FFFFFF"/>
        </w:rPr>
        <w:t xml:space="preserve">business </w:t>
      </w:r>
      <w:r w:rsidRPr="00323E32">
        <w:rPr>
          <w:rFonts w:ascii="Arial" w:hAnsi="Arial" w:cs="Arial"/>
          <w:color w:val="000000"/>
        </w:rPr>
        <w:t xml:space="preserve">(Mahdi and </w:t>
      </w:r>
      <w:proofErr w:type="spellStart"/>
      <w:r w:rsidRPr="00323E32">
        <w:rPr>
          <w:rFonts w:ascii="Arial" w:hAnsi="Arial" w:cs="Arial"/>
          <w:color w:val="000000"/>
        </w:rPr>
        <w:t>Khaddafi</w:t>
      </w:r>
      <w:proofErr w:type="spellEnd"/>
      <w:r w:rsidRPr="00323E32">
        <w:rPr>
          <w:rFonts w:ascii="Arial" w:hAnsi="Arial" w:cs="Arial"/>
          <w:color w:val="000000"/>
        </w:rPr>
        <w:t>, 2020)</w:t>
      </w:r>
      <w:r w:rsidRPr="00323E32">
        <w:rPr>
          <w:rFonts w:ascii="Arial" w:hAnsi="Arial" w:cs="Arial"/>
          <w:color w:val="000000"/>
          <w:shd w:val="clear" w:color="auto" w:fill="FFFFFF"/>
        </w:rPr>
        <w:t>.</w:t>
      </w:r>
      <w:r>
        <w:rPr>
          <w:rFonts w:ascii="Arial" w:hAnsi="Arial" w:cs="Arial"/>
          <w:color w:val="000000"/>
          <w:shd w:val="clear" w:color="auto" w:fill="FFFFFF"/>
        </w:rPr>
        <w:t xml:space="preserve"> Specific financial ratios, such as net profit margins or operating profit margins, can serve to influence stock prices and the growth of profit throughout various industries </w:t>
      </w:r>
      <w:r w:rsidRPr="00323E32">
        <w:rPr>
          <w:rFonts w:ascii="Arial" w:hAnsi="Arial" w:cs="Arial"/>
          <w:color w:val="000000"/>
        </w:rPr>
        <w:t>(</w:t>
      </w:r>
      <w:proofErr w:type="spellStart"/>
      <w:r w:rsidRPr="00323E32">
        <w:rPr>
          <w:rFonts w:ascii="Arial" w:hAnsi="Arial" w:cs="Arial"/>
          <w:color w:val="000000"/>
        </w:rPr>
        <w:t>Apriliana</w:t>
      </w:r>
      <w:proofErr w:type="spellEnd"/>
      <w:r w:rsidRPr="00323E32">
        <w:rPr>
          <w:rFonts w:ascii="Arial" w:hAnsi="Arial" w:cs="Arial"/>
          <w:color w:val="000000"/>
        </w:rPr>
        <w:t xml:space="preserve"> Putri and Edi </w:t>
      </w:r>
      <w:proofErr w:type="spellStart"/>
      <w:r w:rsidRPr="00323E32">
        <w:rPr>
          <w:rFonts w:ascii="Arial" w:hAnsi="Arial" w:cs="Arial"/>
          <w:color w:val="000000"/>
        </w:rPr>
        <w:t>Purwanto</w:t>
      </w:r>
      <w:proofErr w:type="spellEnd"/>
      <w:r w:rsidRPr="00323E32">
        <w:rPr>
          <w:rFonts w:ascii="Arial" w:hAnsi="Arial" w:cs="Arial"/>
          <w:color w:val="000000"/>
        </w:rPr>
        <w:t>, 2024)</w:t>
      </w:r>
      <w:r>
        <w:rPr>
          <w:rFonts w:ascii="Arial" w:hAnsi="Arial" w:cs="Arial"/>
          <w:color w:val="000000"/>
        </w:rPr>
        <w:t>. These statistics and financial ratios also help when assessing financial performance and growth.</w:t>
      </w:r>
    </w:p>
    <w:p w14:paraId="5B0DA6D4" w14:textId="77777777" w:rsidR="00323E32" w:rsidRDefault="00323E32" w:rsidP="00323E32">
      <w:pPr>
        <w:spacing w:line="276" w:lineRule="auto"/>
        <w:jc w:val="both"/>
        <w:rPr>
          <w:rFonts w:ascii="Arial" w:hAnsi="Arial" w:cs="Arial"/>
          <w:color w:val="000000"/>
        </w:rPr>
      </w:pPr>
    </w:p>
    <w:p w14:paraId="69ED8C53" w14:textId="77777777" w:rsidR="00323E32" w:rsidRDefault="00323E32" w:rsidP="00323E32">
      <w:pPr>
        <w:spacing w:line="276" w:lineRule="auto"/>
        <w:jc w:val="both"/>
        <w:rPr>
          <w:rFonts w:ascii="Arial" w:hAnsi="Arial" w:cs="Arial"/>
          <w:color w:val="000000"/>
        </w:rPr>
      </w:pPr>
      <w:r>
        <w:rPr>
          <w:rFonts w:ascii="Arial" w:hAnsi="Arial" w:cs="Arial"/>
          <w:color w:val="000000"/>
        </w:rPr>
        <w:lastRenderedPageBreak/>
        <w:t xml:space="preserve">Generated revenue for new, upcoming attractions, such as the Swansea Aquarium, can be influenced by several factors- including, but not limited to, marketing strategies, visitor engagement, and operation management </w:t>
      </w:r>
      <w:r>
        <w:rPr>
          <w:rFonts w:ascii="Arial" w:hAnsi="Arial" w:cs="Arial"/>
          <w:color w:val="000000"/>
        </w:rPr>
        <w:t>(Kumar et al., 2015)</w:t>
      </w:r>
      <w:r>
        <w:rPr>
          <w:rFonts w:ascii="Arial" w:hAnsi="Arial" w:cs="Arial"/>
          <w:color w:val="000000"/>
        </w:rPr>
        <w:t xml:space="preserve">. For example, it’s important to ensure the balance of several business objectives, like the increase of attendance whilst keeping ticket prices low, enhancing the satisfaction of visitors, and optimising the investment in media, whilst attracting customers that may be able to maintain a long-term value potential, such as local residents </w:t>
      </w:r>
      <w:r>
        <w:rPr>
          <w:rFonts w:ascii="Arial" w:hAnsi="Arial" w:cs="Arial"/>
          <w:color w:val="000000"/>
        </w:rPr>
        <w:t>(Kumar et al., 2015)</w:t>
      </w:r>
      <w:r>
        <w:rPr>
          <w:rFonts w:ascii="Arial" w:hAnsi="Arial" w:cs="Arial"/>
          <w:color w:val="000000"/>
        </w:rPr>
        <w:t xml:space="preserve">. Whilst the primary income typically comes from ticket sales, the management and operational aspects of aquariums can often exceed just that of primary income; ancillary services such as food and beverage offerings, souvenirs, and parking facilities also contribute to the generation of revenue for such locations, subsequently contributing to the overall financial viability and performance of an organisation (Hi-Scene World Enterprises, 2014). </w:t>
      </w:r>
    </w:p>
    <w:p w14:paraId="371110AD" w14:textId="77777777" w:rsidR="00323E32" w:rsidRDefault="00323E32" w:rsidP="00323E32">
      <w:pPr>
        <w:spacing w:line="276" w:lineRule="auto"/>
        <w:jc w:val="both"/>
        <w:rPr>
          <w:rFonts w:ascii="Arial" w:hAnsi="Arial" w:cs="Arial"/>
          <w:color w:val="000000"/>
        </w:rPr>
      </w:pPr>
    </w:p>
    <w:p w14:paraId="6D489896" w14:textId="1130724D" w:rsidR="00323E32" w:rsidRDefault="00323E32" w:rsidP="00323E32">
      <w:pPr>
        <w:spacing w:line="276" w:lineRule="auto"/>
        <w:jc w:val="both"/>
        <w:rPr>
          <w:rFonts w:ascii="Arial" w:hAnsi="Arial" w:cs="Arial"/>
          <w:color w:val="000000"/>
        </w:rPr>
      </w:pPr>
      <w:r>
        <w:rPr>
          <w:rFonts w:ascii="Arial" w:hAnsi="Arial" w:cs="Arial"/>
          <w:color w:val="000000"/>
        </w:rPr>
        <w:t xml:space="preserve">Before it is possible for a new organisation to start generating a profit, it is necessary for them to break even. Breaking even is caused when a business is generating sufficient sales and revenue to cover both fixed and variable costs, which leads to neither a profit, </w:t>
      </w:r>
      <w:proofErr w:type="gramStart"/>
      <w:r>
        <w:rPr>
          <w:rFonts w:ascii="Arial" w:hAnsi="Arial" w:cs="Arial"/>
          <w:color w:val="000000"/>
        </w:rPr>
        <w:t>or</w:t>
      </w:r>
      <w:proofErr w:type="gramEnd"/>
      <w:r>
        <w:rPr>
          <w:rFonts w:ascii="Arial" w:hAnsi="Arial" w:cs="Arial"/>
          <w:color w:val="000000"/>
        </w:rPr>
        <w:t xml:space="preserve"> a loss </w:t>
      </w:r>
      <w:r>
        <w:rPr>
          <w:rFonts w:ascii="Arial" w:hAnsi="Arial" w:cs="Arial"/>
          <w:color w:val="000000"/>
        </w:rPr>
        <w:t>(</w:t>
      </w:r>
      <w:proofErr w:type="spellStart"/>
      <w:r>
        <w:rPr>
          <w:rFonts w:ascii="Arial" w:hAnsi="Arial" w:cs="Arial"/>
          <w:color w:val="000000"/>
        </w:rPr>
        <w:t>Gaytán</w:t>
      </w:r>
      <w:proofErr w:type="spellEnd"/>
      <w:r>
        <w:rPr>
          <w:rFonts w:ascii="Arial" w:hAnsi="Arial" w:cs="Arial"/>
          <w:color w:val="000000"/>
        </w:rPr>
        <w:t xml:space="preserve"> Cortés, 2023)</w:t>
      </w:r>
      <w:r>
        <w:rPr>
          <w:rFonts w:ascii="Arial" w:hAnsi="Arial" w:cs="Arial"/>
          <w:color w:val="000000"/>
        </w:rPr>
        <w:t xml:space="preserve">. This would mean, in the case of the aquarium, that the </w:t>
      </w:r>
      <w:proofErr w:type="gramStart"/>
      <w:r>
        <w:rPr>
          <w:rFonts w:ascii="Arial" w:hAnsi="Arial" w:cs="Arial"/>
          <w:color w:val="000000"/>
        </w:rPr>
        <w:t>amount</w:t>
      </w:r>
      <w:proofErr w:type="gramEnd"/>
      <w:r>
        <w:rPr>
          <w:rFonts w:ascii="Arial" w:hAnsi="Arial" w:cs="Arial"/>
          <w:color w:val="000000"/>
        </w:rPr>
        <w:t xml:space="preserve"> of sales made on tickets or in additional offerings at the attraction would be enough to recompensate the operation costs and other fluctuating costs, leading to what is known as breaking even </w:t>
      </w:r>
      <w:r>
        <w:rPr>
          <w:rFonts w:ascii="Arial" w:hAnsi="Arial" w:cs="Arial"/>
          <w:color w:val="000000"/>
        </w:rPr>
        <w:t>(</w:t>
      </w:r>
      <w:proofErr w:type="spellStart"/>
      <w:r>
        <w:rPr>
          <w:rFonts w:ascii="Arial" w:hAnsi="Arial" w:cs="Arial"/>
          <w:color w:val="000000"/>
        </w:rPr>
        <w:t>Gaytán</w:t>
      </w:r>
      <w:proofErr w:type="spellEnd"/>
      <w:r>
        <w:rPr>
          <w:rFonts w:ascii="Arial" w:hAnsi="Arial" w:cs="Arial"/>
          <w:color w:val="000000"/>
        </w:rPr>
        <w:t xml:space="preserve"> Cortés, 2023)</w:t>
      </w:r>
      <w:r>
        <w:rPr>
          <w:rFonts w:ascii="Arial" w:hAnsi="Arial" w:cs="Arial"/>
          <w:color w:val="000000"/>
        </w:rPr>
        <w:t xml:space="preserve">. This helps to provide the organisation with the number of minimum </w:t>
      </w:r>
      <w:proofErr w:type="gramStart"/>
      <w:r>
        <w:rPr>
          <w:rFonts w:ascii="Arial" w:hAnsi="Arial" w:cs="Arial"/>
          <w:color w:val="000000"/>
        </w:rPr>
        <w:t>amount</w:t>
      </w:r>
      <w:proofErr w:type="gramEnd"/>
      <w:r>
        <w:rPr>
          <w:rFonts w:ascii="Arial" w:hAnsi="Arial" w:cs="Arial"/>
          <w:color w:val="000000"/>
        </w:rPr>
        <w:t xml:space="preserve"> of tickets that would need to be sold over a certain time period in order to cover all necessary costs, which would enable the business to estimate the amount of revenue that would be necessary to avoid any loss of finances </w:t>
      </w:r>
      <w:r>
        <w:rPr>
          <w:rFonts w:ascii="Arial" w:hAnsi="Arial" w:cs="Arial"/>
          <w:color w:val="000000"/>
        </w:rPr>
        <w:t>(</w:t>
      </w:r>
      <w:proofErr w:type="spellStart"/>
      <w:r>
        <w:rPr>
          <w:rFonts w:ascii="Arial" w:hAnsi="Arial" w:cs="Arial"/>
          <w:color w:val="000000"/>
        </w:rPr>
        <w:t>Kampf</w:t>
      </w:r>
      <w:proofErr w:type="spellEnd"/>
      <w:r>
        <w:rPr>
          <w:rFonts w:ascii="Arial" w:hAnsi="Arial" w:cs="Arial"/>
          <w:color w:val="000000"/>
        </w:rPr>
        <w:t xml:space="preserve">, </w:t>
      </w:r>
      <w:proofErr w:type="spellStart"/>
      <w:r>
        <w:rPr>
          <w:rFonts w:ascii="Arial" w:hAnsi="Arial" w:cs="Arial"/>
          <w:color w:val="000000"/>
        </w:rPr>
        <w:t>Majerčák</w:t>
      </w:r>
      <w:proofErr w:type="spellEnd"/>
      <w:r>
        <w:rPr>
          <w:rFonts w:ascii="Arial" w:hAnsi="Arial" w:cs="Arial"/>
          <w:color w:val="000000"/>
        </w:rPr>
        <w:t xml:space="preserve"> and </w:t>
      </w:r>
      <w:proofErr w:type="spellStart"/>
      <w:r>
        <w:rPr>
          <w:rFonts w:ascii="Arial" w:hAnsi="Arial" w:cs="Arial"/>
          <w:color w:val="000000"/>
        </w:rPr>
        <w:t>Švagr</w:t>
      </w:r>
      <w:proofErr w:type="spellEnd"/>
      <w:r>
        <w:rPr>
          <w:rFonts w:ascii="Arial" w:hAnsi="Arial" w:cs="Arial"/>
          <w:color w:val="000000"/>
        </w:rPr>
        <w:t>, 2016)</w:t>
      </w:r>
      <w:r>
        <w:rPr>
          <w:rFonts w:ascii="Arial" w:hAnsi="Arial" w:cs="Arial"/>
          <w:color w:val="000000"/>
        </w:rPr>
        <w:t>.</w:t>
      </w:r>
    </w:p>
    <w:p w14:paraId="1B8850D9" w14:textId="77777777" w:rsidR="00323E32" w:rsidRDefault="00323E32" w:rsidP="00323E32">
      <w:pPr>
        <w:spacing w:line="276" w:lineRule="auto"/>
        <w:jc w:val="both"/>
        <w:rPr>
          <w:rFonts w:ascii="Arial" w:hAnsi="Arial" w:cs="Arial"/>
          <w:color w:val="000000"/>
        </w:rPr>
      </w:pPr>
    </w:p>
    <w:p w14:paraId="07D12011" w14:textId="2D282E4C" w:rsidR="00323E32" w:rsidRDefault="00323E32" w:rsidP="00323E32">
      <w:pPr>
        <w:spacing w:line="276" w:lineRule="auto"/>
        <w:jc w:val="both"/>
        <w:rPr>
          <w:rFonts w:ascii="Arial" w:hAnsi="Arial" w:cs="Arial"/>
          <w:color w:val="000000"/>
        </w:rPr>
      </w:pPr>
      <w:r>
        <w:rPr>
          <w:rFonts w:ascii="Arial" w:hAnsi="Arial" w:cs="Arial"/>
          <w:color w:val="000000"/>
        </w:rPr>
        <w:t xml:space="preserve">However, it is important to remember that in a location such as Swansea, seasonality may impact the patterns of visitors, such as typically seeing a higher volume of visitors during the warmer seasons such as spring and summer, and less during the colder, wetter months of autumn and winter </w:t>
      </w:r>
      <w:r>
        <w:rPr>
          <w:rFonts w:ascii="Arial" w:hAnsi="Arial" w:cs="Arial"/>
          <w:color w:val="000000"/>
        </w:rPr>
        <w:t>(</w:t>
      </w:r>
      <w:proofErr w:type="spellStart"/>
      <w:r>
        <w:rPr>
          <w:rFonts w:ascii="Arial" w:hAnsi="Arial" w:cs="Arial"/>
          <w:color w:val="000000"/>
        </w:rPr>
        <w:t>Zvaigzne</w:t>
      </w:r>
      <w:proofErr w:type="spellEnd"/>
      <w:r>
        <w:rPr>
          <w:rFonts w:ascii="Arial" w:hAnsi="Arial" w:cs="Arial"/>
          <w:color w:val="000000"/>
        </w:rPr>
        <w:t xml:space="preserve">, </w:t>
      </w:r>
      <w:proofErr w:type="spellStart"/>
      <w:r>
        <w:rPr>
          <w:rFonts w:ascii="Arial" w:hAnsi="Arial" w:cs="Arial"/>
          <w:color w:val="000000"/>
        </w:rPr>
        <w:t>Litavniece</w:t>
      </w:r>
      <w:proofErr w:type="spellEnd"/>
      <w:r>
        <w:rPr>
          <w:rFonts w:ascii="Arial" w:hAnsi="Arial" w:cs="Arial"/>
          <w:color w:val="000000"/>
        </w:rPr>
        <w:t xml:space="preserve"> and </w:t>
      </w:r>
      <w:proofErr w:type="spellStart"/>
      <w:r>
        <w:rPr>
          <w:rFonts w:ascii="Arial" w:hAnsi="Arial" w:cs="Arial"/>
          <w:color w:val="000000"/>
        </w:rPr>
        <w:t>Dembovska</w:t>
      </w:r>
      <w:proofErr w:type="spellEnd"/>
      <w:r>
        <w:rPr>
          <w:rFonts w:ascii="Arial" w:hAnsi="Arial" w:cs="Arial"/>
          <w:color w:val="000000"/>
        </w:rPr>
        <w:t>, 2022)</w:t>
      </w:r>
      <w:r>
        <w:rPr>
          <w:rFonts w:ascii="Arial" w:hAnsi="Arial" w:cs="Arial"/>
          <w:color w:val="000000"/>
        </w:rPr>
        <w:t xml:space="preserve">. Whilst it is important to maintain a high level of visitors to a new project in order to continue to benefit the organisation financially, high concentrations of visitors during more peak seasons can often contribute to </w:t>
      </w:r>
      <w:proofErr w:type="spellStart"/>
      <w:r>
        <w:rPr>
          <w:rFonts w:ascii="Arial" w:hAnsi="Arial" w:cs="Arial"/>
          <w:color w:val="000000"/>
        </w:rPr>
        <w:t>overtourism</w:t>
      </w:r>
      <w:proofErr w:type="spellEnd"/>
      <w:r>
        <w:rPr>
          <w:rFonts w:ascii="Arial" w:hAnsi="Arial" w:cs="Arial"/>
          <w:color w:val="000000"/>
        </w:rPr>
        <w:t xml:space="preserve"> and a growing dependence on tourists, whilst low seasons can also fall victim to </w:t>
      </w:r>
      <w:proofErr w:type="spellStart"/>
      <w:r>
        <w:rPr>
          <w:rFonts w:ascii="Arial" w:hAnsi="Arial" w:cs="Arial"/>
          <w:color w:val="000000"/>
        </w:rPr>
        <w:t>undertourism</w:t>
      </w:r>
      <w:proofErr w:type="spellEnd"/>
      <w:r>
        <w:rPr>
          <w:rFonts w:ascii="Arial" w:hAnsi="Arial" w:cs="Arial"/>
          <w:color w:val="000000"/>
        </w:rPr>
        <w:t xml:space="preserve">- both of which can pose threats and challenges to the sustainability and the viability of the aquarium </w:t>
      </w:r>
      <w:r>
        <w:rPr>
          <w:rFonts w:ascii="Arial" w:hAnsi="Arial" w:cs="Arial"/>
          <w:color w:val="000000"/>
        </w:rPr>
        <w:t xml:space="preserve">(Ruggieri and </w:t>
      </w:r>
      <w:proofErr w:type="spellStart"/>
      <w:r>
        <w:rPr>
          <w:rFonts w:ascii="Arial" w:hAnsi="Arial" w:cs="Arial"/>
          <w:color w:val="000000"/>
        </w:rPr>
        <w:t>Platania</w:t>
      </w:r>
      <w:proofErr w:type="spellEnd"/>
      <w:r>
        <w:rPr>
          <w:rFonts w:ascii="Arial" w:hAnsi="Arial" w:cs="Arial"/>
          <w:color w:val="000000"/>
        </w:rPr>
        <w:t>, 2024)</w:t>
      </w:r>
      <w:r>
        <w:rPr>
          <w:rFonts w:ascii="Arial" w:hAnsi="Arial" w:cs="Arial"/>
          <w:color w:val="000000"/>
        </w:rPr>
        <w:t>.</w:t>
      </w:r>
    </w:p>
    <w:p w14:paraId="138771F4" w14:textId="77777777" w:rsidR="00323E32" w:rsidRDefault="00323E32" w:rsidP="00323E32">
      <w:pPr>
        <w:spacing w:line="276" w:lineRule="auto"/>
        <w:jc w:val="both"/>
        <w:rPr>
          <w:rFonts w:ascii="Arial" w:hAnsi="Arial" w:cs="Arial"/>
          <w:color w:val="000000"/>
        </w:rPr>
      </w:pPr>
    </w:p>
    <w:p w14:paraId="6F2719D1" w14:textId="5E063EBF" w:rsidR="00323E32" w:rsidRDefault="00323E32" w:rsidP="00323E32">
      <w:pPr>
        <w:spacing w:line="276" w:lineRule="auto"/>
        <w:jc w:val="both"/>
        <w:rPr>
          <w:rFonts w:ascii="Arial" w:hAnsi="Arial" w:cs="Arial"/>
          <w:color w:val="000000"/>
        </w:rPr>
      </w:pPr>
      <w:r>
        <w:rPr>
          <w:rFonts w:ascii="Arial" w:hAnsi="Arial" w:cs="Arial"/>
          <w:color w:val="000000"/>
        </w:rPr>
        <w:t xml:space="preserve">Whilst ticket sales would provide a sure revenue for the aquarium, it is important that they have secondary revenue streams alongside this. Relying on ticket sales as a primary revenue source can be incredibly risky for reasons relating to market dynamics, external disruptions, and demand uncertainty; consumer willingness to pay, which can be impacted as a result of the disclosure of sales information and the timing of these sales, is a key variability in the revenue stream- it was found that the longer tickets are on sale, the less likely people are to purchase </w:t>
      </w:r>
      <w:r>
        <w:rPr>
          <w:rFonts w:ascii="Arial" w:hAnsi="Arial" w:cs="Arial"/>
          <w:color w:val="000000"/>
        </w:rPr>
        <w:t>(Chiu, Kung and Sun, 2022)</w:t>
      </w:r>
      <w:r>
        <w:rPr>
          <w:rFonts w:ascii="Arial" w:hAnsi="Arial" w:cs="Arial"/>
          <w:color w:val="000000"/>
        </w:rPr>
        <w:t xml:space="preserve">. </w:t>
      </w:r>
    </w:p>
    <w:p w14:paraId="2C6008B5" w14:textId="77777777" w:rsidR="00323E32" w:rsidRDefault="00323E32" w:rsidP="00323E32">
      <w:pPr>
        <w:spacing w:line="276" w:lineRule="auto"/>
        <w:jc w:val="both"/>
        <w:rPr>
          <w:rFonts w:ascii="Arial" w:hAnsi="Arial" w:cs="Arial"/>
          <w:color w:val="000000"/>
        </w:rPr>
      </w:pPr>
    </w:p>
    <w:p w14:paraId="54FB2B86" w14:textId="42C18859" w:rsidR="00323E32" w:rsidRDefault="00323E32" w:rsidP="00323E32">
      <w:pPr>
        <w:spacing w:line="276" w:lineRule="auto"/>
        <w:jc w:val="both"/>
        <w:rPr>
          <w:rFonts w:ascii="Arial" w:hAnsi="Arial" w:cs="Arial"/>
          <w:color w:val="000000"/>
        </w:rPr>
      </w:pPr>
      <w:r>
        <w:rPr>
          <w:rFonts w:ascii="Arial" w:hAnsi="Arial" w:cs="Arial"/>
          <w:color w:val="000000"/>
        </w:rPr>
        <w:t xml:space="preserve">When discussing profit and loss, it’s vital to consider the variety of costs that may be accrued by a company; primarily, the difference between fixed costs and variable costs. Fixed costs consist of expenses that are set in stone and do not change, meaning that these costs remain consistent regardless of external factors </w:t>
      </w:r>
      <w:r>
        <w:rPr>
          <w:rFonts w:ascii="Arial" w:hAnsi="Arial" w:cs="Arial"/>
          <w:color w:val="000000"/>
        </w:rPr>
        <w:t>(</w:t>
      </w:r>
      <w:proofErr w:type="spellStart"/>
      <w:r>
        <w:rPr>
          <w:rFonts w:ascii="Arial" w:hAnsi="Arial" w:cs="Arial"/>
          <w:color w:val="000000"/>
        </w:rPr>
        <w:t>Novák</w:t>
      </w:r>
      <w:proofErr w:type="spellEnd"/>
      <w:r>
        <w:rPr>
          <w:rFonts w:ascii="Arial" w:hAnsi="Arial" w:cs="Arial"/>
          <w:color w:val="000000"/>
        </w:rPr>
        <w:t xml:space="preserve"> and </w:t>
      </w:r>
      <w:proofErr w:type="spellStart"/>
      <w:r>
        <w:rPr>
          <w:rFonts w:ascii="Arial" w:hAnsi="Arial" w:cs="Arial"/>
          <w:color w:val="000000"/>
        </w:rPr>
        <w:t>Popesko</w:t>
      </w:r>
      <w:proofErr w:type="spellEnd"/>
      <w:r>
        <w:rPr>
          <w:rFonts w:ascii="Arial" w:hAnsi="Arial" w:cs="Arial"/>
          <w:color w:val="000000"/>
        </w:rPr>
        <w:t>, 2014)</w:t>
      </w:r>
      <w:r>
        <w:rPr>
          <w:rFonts w:ascii="Arial" w:hAnsi="Arial" w:cs="Arial"/>
          <w:color w:val="000000"/>
        </w:rPr>
        <w:t xml:space="preserve">; fixed costs include costs such as the process of building the location and aquatic systems such as tanks and filtration systems. Variable costs, on the other hand, can alter and fluctuate when taking external factors into consideration </w:t>
      </w:r>
      <w:r>
        <w:rPr>
          <w:rFonts w:ascii="Arial" w:hAnsi="Arial" w:cs="Arial"/>
          <w:color w:val="000000"/>
        </w:rPr>
        <w:t>(</w:t>
      </w:r>
      <w:proofErr w:type="spellStart"/>
      <w:r>
        <w:rPr>
          <w:rFonts w:ascii="Arial" w:hAnsi="Arial" w:cs="Arial"/>
          <w:color w:val="000000"/>
        </w:rPr>
        <w:t>Novák</w:t>
      </w:r>
      <w:proofErr w:type="spellEnd"/>
      <w:r>
        <w:rPr>
          <w:rFonts w:ascii="Arial" w:hAnsi="Arial" w:cs="Arial"/>
          <w:color w:val="000000"/>
        </w:rPr>
        <w:t xml:space="preserve"> and </w:t>
      </w:r>
      <w:proofErr w:type="spellStart"/>
      <w:r>
        <w:rPr>
          <w:rFonts w:ascii="Arial" w:hAnsi="Arial" w:cs="Arial"/>
          <w:color w:val="000000"/>
        </w:rPr>
        <w:t>Popesko</w:t>
      </w:r>
      <w:proofErr w:type="spellEnd"/>
      <w:r>
        <w:rPr>
          <w:rFonts w:ascii="Arial" w:hAnsi="Arial" w:cs="Arial"/>
          <w:color w:val="000000"/>
        </w:rPr>
        <w:t>, 2014)</w:t>
      </w:r>
      <w:r>
        <w:rPr>
          <w:rFonts w:ascii="Arial" w:hAnsi="Arial" w:cs="Arial"/>
          <w:color w:val="000000"/>
        </w:rPr>
        <w:t xml:space="preserve">; the variable costs of running an aquarium could consist of costs such as staff wages, utilities, costs of caring for the animals, and more. For example, the cost of utilities may increase due to the necessity of controlling the water temperatures for different species of </w:t>
      </w:r>
      <w:proofErr w:type="gramStart"/>
      <w:r>
        <w:rPr>
          <w:rFonts w:ascii="Arial" w:hAnsi="Arial" w:cs="Arial"/>
          <w:color w:val="000000"/>
        </w:rPr>
        <w:t>fish, but</w:t>
      </w:r>
      <w:proofErr w:type="gramEnd"/>
      <w:r>
        <w:rPr>
          <w:rFonts w:ascii="Arial" w:hAnsi="Arial" w:cs="Arial"/>
          <w:color w:val="000000"/>
        </w:rPr>
        <w:t xml:space="preserve"> can vary depending on seasonality and external temperature differences, leading it to be a cost that could vary from month to month.</w:t>
      </w:r>
    </w:p>
    <w:p w14:paraId="4A12DAB8" w14:textId="30A21601" w:rsidR="00323E32" w:rsidRPr="007470AF" w:rsidRDefault="00323E32" w:rsidP="007470AF">
      <w:pPr>
        <w:pStyle w:val="Heading1"/>
        <w:spacing w:line="360" w:lineRule="auto"/>
        <w:jc w:val="both"/>
        <w:rPr>
          <w:rFonts w:ascii="Arial" w:hAnsi="Arial" w:cs="Arial"/>
          <w:b/>
          <w:bCs/>
          <w:color w:val="000000" w:themeColor="text1"/>
          <w:sz w:val="24"/>
          <w:szCs w:val="24"/>
          <w:u w:val="single"/>
        </w:rPr>
      </w:pPr>
      <w:bookmarkStart w:id="2" w:name="_Toc227962048"/>
      <w:r w:rsidRPr="007470AF">
        <w:rPr>
          <w:rFonts w:ascii="Arial" w:hAnsi="Arial" w:cs="Arial"/>
          <w:b/>
          <w:bCs/>
          <w:color w:val="000000" w:themeColor="text1"/>
          <w:sz w:val="24"/>
          <w:szCs w:val="24"/>
          <w:u w:val="single"/>
        </w:rPr>
        <w:t>Recommendations.</w:t>
      </w:r>
      <w:bookmarkEnd w:id="2"/>
    </w:p>
    <w:p w14:paraId="7A11B637" w14:textId="2C3556F5" w:rsidR="007470AF" w:rsidRDefault="007470AF" w:rsidP="007470AF">
      <w:pPr>
        <w:spacing w:line="276" w:lineRule="auto"/>
        <w:jc w:val="both"/>
        <w:rPr>
          <w:rFonts w:ascii="Arial" w:hAnsi="Arial" w:cs="Arial"/>
        </w:rPr>
      </w:pPr>
      <w:r>
        <w:rPr>
          <w:rFonts w:ascii="Arial" w:hAnsi="Arial" w:cs="Arial"/>
        </w:rPr>
        <w:t xml:space="preserve">The aquarium would likely benefit from additional benefits being added to certain ticket types- for example, having a residents ticket at a discounted price to entice guests from the area to visit on more than one occasion, or perhaps affiliating themselves with other businesses in South Wales, such as </w:t>
      </w:r>
      <w:proofErr w:type="spellStart"/>
      <w:r>
        <w:rPr>
          <w:rFonts w:ascii="Arial" w:hAnsi="Arial" w:cs="Arial"/>
        </w:rPr>
        <w:t>Plantasia</w:t>
      </w:r>
      <w:proofErr w:type="spellEnd"/>
      <w:r>
        <w:rPr>
          <w:rFonts w:ascii="Arial" w:hAnsi="Arial" w:cs="Arial"/>
        </w:rPr>
        <w:t xml:space="preserve"> in Swansea or Folly Farm in Pembrokeshire, to create a ticket akin to that of Merlin Attractions, which allows entry into multiple attractions for a slightly higher fee- somewhat like an annual pass of sorts. Offering different ticket types would help to ensure profitability through providing different incentives with each ticket- for example, if there were additional perks for residents of the local SA1 area, locals would be more inclined to make multiple visits to the aquarium as opposed to visiting just once, subsequently increasing the revenue of the aquarium, which can, in turn, increase the profit generated.</w:t>
      </w:r>
    </w:p>
    <w:p w14:paraId="72BC1349" w14:textId="77777777" w:rsidR="007470AF" w:rsidRPr="007470AF" w:rsidRDefault="007470AF" w:rsidP="007470AF">
      <w:pPr>
        <w:spacing w:line="276" w:lineRule="auto"/>
        <w:jc w:val="both"/>
        <w:rPr>
          <w:rFonts w:ascii="Arial" w:hAnsi="Arial" w:cs="Arial"/>
        </w:rPr>
      </w:pPr>
    </w:p>
    <w:p w14:paraId="106AB29D" w14:textId="343CCDFB" w:rsidR="007470AF" w:rsidRPr="007470AF" w:rsidRDefault="007470AF" w:rsidP="007470AF">
      <w:pPr>
        <w:pStyle w:val="Heading1"/>
        <w:rPr>
          <w:rFonts w:ascii="Arial" w:hAnsi="Arial" w:cs="Arial"/>
          <w:b/>
          <w:bCs/>
          <w:color w:val="000000" w:themeColor="text1"/>
          <w:sz w:val="24"/>
          <w:szCs w:val="24"/>
          <w:u w:val="single"/>
        </w:rPr>
      </w:pPr>
      <w:bookmarkStart w:id="3" w:name="_Toc227962049"/>
      <w:r w:rsidRPr="007470AF">
        <w:rPr>
          <w:rFonts w:ascii="Arial" w:hAnsi="Arial" w:cs="Arial"/>
          <w:b/>
          <w:bCs/>
          <w:color w:val="000000" w:themeColor="text1"/>
          <w:sz w:val="24"/>
          <w:szCs w:val="24"/>
          <w:u w:val="single"/>
        </w:rPr>
        <w:t>Conclusions.</w:t>
      </w:r>
      <w:bookmarkEnd w:id="3"/>
    </w:p>
    <w:p w14:paraId="6852E6E8" w14:textId="45C44C7D" w:rsidR="007470AF" w:rsidRPr="007470AF" w:rsidRDefault="007470AF" w:rsidP="007470AF">
      <w:pPr>
        <w:spacing w:line="276" w:lineRule="auto"/>
        <w:jc w:val="both"/>
        <w:rPr>
          <w:rFonts w:ascii="Arial" w:hAnsi="Arial" w:cs="Arial"/>
          <w:color w:val="000000"/>
          <w:shd w:val="clear" w:color="auto" w:fill="FFFFFF"/>
        </w:rPr>
      </w:pPr>
      <w:r w:rsidRPr="007470AF">
        <w:rPr>
          <w:rFonts w:ascii="Arial" w:hAnsi="Arial" w:cs="Arial"/>
          <w:color w:val="000000" w:themeColor="text1"/>
        </w:rPr>
        <w:t>To</w:t>
      </w:r>
      <w:r>
        <w:rPr>
          <w:rFonts w:ascii="Arial" w:hAnsi="Arial" w:cs="Arial"/>
          <w:color w:val="000000" w:themeColor="text1"/>
        </w:rPr>
        <w:t xml:space="preserve"> conclude, it’s vital for the upcoming Swansea aquarium to ensure that they have several streams of income to cover both peak and off-peak seasons regarding tourism, and to avoid developing a sense of overdependence on the tourism sector to help generate a profit. Firstly, they would need to focus on breaking even and making back any expenses paid out in the process of setting up the aquarium, before focusing on generating a healthier revenue in order to cover both fixed and variable costs, whilst also providing enough financial stability to turn a profit.</w:t>
      </w:r>
      <w:r>
        <w:rPr>
          <w:rFonts w:ascii="Arial" w:hAnsi="Arial" w:cs="Arial"/>
          <w:color w:val="000000" w:themeColor="text1"/>
        </w:rPr>
        <w:t xml:space="preserve"> Furthermore, the aquarium would find itself turning a larger profit with the inclusion of ticket varieties, as opposed to offering normal tickets for just adults and children.</w:t>
      </w:r>
    </w:p>
    <w:p w14:paraId="0AB35CA9" w14:textId="77777777" w:rsidR="007470AF" w:rsidRDefault="007470AF" w:rsidP="007470AF">
      <w:pPr>
        <w:spacing w:after="240" w:line="360" w:lineRule="atLeast"/>
        <w:rPr>
          <w:rFonts w:ascii="Arial" w:hAnsi="Arial" w:cs="Arial"/>
          <w:color w:val="000000"/>
        </w:rPr>
      </w:pPr>
    </w:p>
    <w:p w14:paraId="45C3F8AC" w14:textId="77777777" w:rsidR="007470AF" w:rsidRPr="007470AF" w:rsidRDefault="007470AF" w:rsidP="007470AF">
      <w:pPr>
        <w:spacing w:after="240" w:line="360" w:lineRule="atLeast"/>
        <w:rPr>
          <w:rFonts w:ascii="Arial" w:hAnsi="Arial" w:cs="Arial"/>
          <w:color w:val="000000"/>
        </w:rPr>
      </w:pPr>
    </w:p>
    <w:p w14:paraId="31B0281B" w14:textId="34ABDC7B" w:rsidR="007470AF" w:rsidRPr="00E66AFA" w:rsidRDefault="007470AF" w:rsidP="00E66AFA">
      <w:pPr>
        <w:pStyle w:val="Heading1"/>
        <w:rPr>
          <w:rFonts w:ascii="Arial" w:hAnsi="Arial" w:cs="Arial"/>
          <w:b/>
          <w:bCs/>
          <w:color w:val="000000" w:themeColor="text1"/>
          <w:sz w:val="24"/>
          <w:szCs w:val="24"/>
          <w:u w:val="single"/>
        </w:rPr>
      </w:pPr>
      <w:bookmarkStart w:id="4" w:name="_Toc227962050"/>
      <w:r w:rsidRPr="00E66AFA">
        <w:rPr>
          <w:rFonts w:ascii="Arial" w:hAnsi="Arial" w:cs="Arial"/>
          <w:b/>
          <w:bCs/>
          <w:color w:val="000000" w:themeColor="text1"/>
          <w:sz w:val="24"/>
          <w:szCs w:val="24"/>
          <w:u w:val="single"/>
        </w:rPr>
        <w:lastRenderedPageBreak/>
        <w:t>References.</w:t>
      </w:r>
      <w:bookmarkEnd w:id="4"/>
    </w:p>
    <w:p w14:paraId="779F5F29" w14:textId="2095E648" w:rsidR="007470AF" w:rsidRPr="007470AF" w:rsidRDefault="007470AF" w:rsidP="007470AF">
      <w:pPr>
        <w:spacing w:after="240" w:line="360" w:lineRule="atLeast"/>
        <w:rPr>
          <w:rFonts w:ascii="Arial" w:hAnsi="Arial" w:cs="Arial"/>
          <w:color w:val="000000"/>
        </w:rPr>
      </w:pPr>
      <w:r w:rsidRPr="007470AF">
        <w:rPr>
          <w:rFonts w:ascii="Arial" w:hAnsi="Arial" w:cs="Arial"/>
          <w:color w:val="000000"/>
        </w:rPr>
        <w:t xml:space="preserve">Anon, (n.d.). Hi-Scene World Enterprise CO.LTD (2920) - Company Capsule (2014) World Market Intelligence. London: </w:t>
      </w:r>
      <w:proofErr w:type="spellStart"/>
      <w:r w:rsidRPr="007470AF">
        <w:rPr>
          <w:rFonts w:ascii="Arial" w:hAnsi="Arial" w:cs="Arial"/>
          <w:color w:val="000000"/>
        </w:rPr>
        <w:t>GlobalData</w:t>
      </w:r>
      <w:proofErr w:type="spellEnd"/>
      <w:r w:rsidRPr="007470AF">
        <w:rPr>
          <w:rFonts w:ascii="Arial" w:hAnsi="Arial" w:cs="Arial"/>
          <w:color w:val="000000"/>
        </w:rPr>
        <w:t xml:space="preserve"> plc.</w:t>
      </w:r>
    </w:p>
    <w:p w14:paraId="38129C2F"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t>Apriliana</w:t>
      </w:r>
      <w:proofErr w:type="spellEnd"/>
      <w:r w:rsidRPr="007470AF">
        <w:rPr>
          <w:rFonts w:ascii="Arial" w:hAnsi="Arial" w:cs="Arial"/>
          <w:color w:val="000000"/>
        </w:rPr>
        <w:t xml:space="preserve"> Putri and Edi </w:t>
      </w:r>
      <w:proofErr w:type="spellStart"/>
      <w:r w:rsidRPr="007470AF">
        <w:rPr>
          <w:rFonts w:ascii="Arial" w:hAnsi="Arial" w:cs="Arial"/>
          <w:color w:val="000000"/>
        </w:rPr>
        <w:t>Purwanto</w:t>
      </w:r>
      <w:proofErr w:type="spellEnd"/>
      <w:r w:rsidRPr="007470AF">
        <w:rPr>
          <w:rFonts w:ascii="Arial" w:hAnsi="Arial" w:cs="Arial"/>
          <w:color w:val="000000"/>
        </w:rPr>
        <w:t xml:space="preserve"> (2024). The Influence of Current Ratio and Net Profit Margin on Profit Growth in the Automotive Industry: An Empirical Study from 2018 to 2022. </w:t>
      </w:r>
      <w:r w:rsidRPr="007470AF">
        <w:rPr>
          <w:rFonts w:ascii="Arial" w:hAnsi="Arial" w:cs="Arial"/>
          <w:i/>
          <w:iCs/>
          <w:color w:val="000000"/>
        </w:rPr>
        <w:t>Journal of Accounting Finance and Auditing Studies</w:t>
      </w:r>
      <w:r w:rsidRPr="007470AF">
        <w:rPr>
          <w:rFonts w:ascii="Arial" w:hAnsi="Arial" w:cs="Arial"/>
          <w:color w:val="000000"/>
        </w:rPr>
        <w:t xml:space="preserve">, [online] 10(2), pp.88–104. </w:t>
      </w:r>
      <w:proofErr w:type="spellStart"/>
      <w:r w:rsidRPr="007470AF">
        <w:rPr>
          <w:rFonts w:ascii="Arial" w:hAnsi="Arial" w:cs="Arial"/>
          <w:color w:val="000000"/>
        </w:rPr>
        <w:t>doi:https</w:t>
      </w:r>
      <w:proofErr w:type="spellEnd"/>
      <w:r w:rsidRPr="007470AF">
        <w:rPr>
          <w:rFonts w:ascii="Arial" w:hAnsi="Arial" w:cs="Arial"/>
          <w:color w:val="000000"/>
        </w:rPr>
        <w:t>://doi.org/10.56578/jafas100204.</w:t>
      </w:r>
    </w:p>
    <w:p w14:paraId="3CFE8D51" w14:textId="77777777" w:rsidR="007470AF" w:rsidRPr="007470AF" w:rsidRDefault="007470AF" w:rsidP="007470AF">
      <w:pPr>
        <w:spacing w:after="240" w:line="360" w:lineRule="atLeast"/>
        <w:rPr>
          <w:rFonts w:ascii="Arial" w:hAnsi="Arial" w:cs="Arial"/>
          <w:color w:val="000000"/>
        </w:rPr>
      </w:pPr>
      <w:r w:rsidRPr="007470AF">
        <w:rPr>
          <w:rFonts w:ascii="Arial" w:hAnsi="Arial" w:cs="Arial"/>
          <w:color w:val="000000"/>
        </w:rPr>
        <w:t>Chiu, C.-N., Kung, L.-C. and Sun, P.-Y. (2022). Does ticket sales information disclosure affect speed of ticket sales? </w:t>
      </w:r>
      <w:r w:rsidRPr="007470AF">
        <w:rPr>
          <w:rFonts w:ascii="Arial" w:hAnsi="Arial" w:cs="Arial"/>
          <w:i/>
          <w:iCs/>
          <w:color w:val="000000"/>
        </w:rPr>
        <w:t>International Journal of Market Research</w:t>
      </w:r>
      <w:r w:rsidRPr="007470AF">
        <w:rPr>
          <w:rFonts w:ascii="Arial" w:hAnsi="Arial" w:cs="Arial"/>
          <w:color w:val="000000"/>
        </w:rPr>
        <w:t xml:space="preserve">, 65(4), p.147078532211193. </w:t>
      </w:r>
      <w:proofErr w:type="spellStart"/>
      <w:r w:rsidRPr="007470AF">
        <w:rPr>
          <w:rFonts w:ascii="Arial" w:hAnsi="Arial" w:cs="Arial"/>
          <w:color w:val="000000"/>
        </w:rPr>
        <w:t>doi:https</w:t>
      </w:r>
      <w:proofErr w:type="spellEnd"/>
      <w:r w:rsidRPr="007470AF">
        <w:rPr>
          <w:rFonts w:ascii="Arial" w:hAnsi="Arial" w:cs="Arial"/>
          <w:color w:val="000000"/>
        </w:rPr>
        <w:t>://doi.org/10.1177/14707853221119382.</w:t>
      </w:r>
    </w:p>
    <w:p w14:paraId="0C8038E4" w14:textId="335996F5" w:rsidR="007470AF" w:rsidRPr="007470AF" w:rsidRDefault="007470AF" w:rsidP="007470AF">
      <w:pPr>
        <w:spacing w:after="240" w:line="360" w:lineRule="atLeast"/>
        <w:rPr>
          <w:rFonts w:ascii="Arial" w:hAnsi="Arial" w:cs="Arial"/>
          <w:color w:val="000000"/>
        </w:rPr>
      </w:pPr>
      <w:r w:rsidRPr="007470AF">
        <w:rPr>
          <w:rFonts w:ascii="Arial" w:hAnsi="Arial" w:cs="Arial"/>
          <w:color w:val="000000"/>
        </w:rPr>
        <w:t>Editor (2026). </w:t>
      </w:r>
      <w:r w:rsidRPr="007470AF">
        <w:rPr>
          <w:rFonts w:ascii="Arial" w:hAnsi="Arial" w:cs="Arial"/>
          <w:i/>
          <w:iCs/>
          <w:color w:val="000000"/>
        </w:rPr>
        <w:t>Swansea Bay News</w:t>
      </w:r>
      <w:r w:rsidRPr="007470AF">
        <w:rPr>
          <w:rFonts w:ascii="Arial" w:hAnsi="Arial" w:cs="Arial"/>
          <w:color w:val="000000"/>
        </w:rPr>
        <w:t xml:space="preserve">. [online] Swansea Bay News. Available at: https://swanseabaynews.com/flats-aquarium-and-lido-swanseas-civic-centre-plans-move-closer-as-cabinet-gives-green-light/ </w:t>
      </w:r>
      <w:r>
        <w:rPr>
          <w:rFonts w:ascii="Arial" w:hAnsi="Arial" w:cs="Arial"/>
          <w:color w:val="000000"/>
        </w:rPr>
        <w:t>(A</w:t>
      </w:r>
      <w:r w:rsidRPr="007470AF">
        <w:rPr>
          <w:rFonts w:ascii="Arial" w:hAnsi="Arial" w:cs="Arial"/>
          <w:color w:val="000000"/>
        </w:rPr>
        <w:t>ccessed 9 Apr. 2026</w:t>
      </w:r>
      <w:r>
        <w:rPr>
          <w:rFonts w:ascii="Arial" w:hAnsi="Arial" w:cs="Arial"/>
          <w:color w:val="000000"/>
        </w:rPr>
        <w:t>)</w:t>
      </w:r>
      <w:r w:rsidRPr="007470AF">
        <w:rPr>
          <w:rFonts w:ascii="Arial" w:hAnsi="Arial" w:cs="Arial"/>
          <w:color w:val="000000"/>
        </w:rPr>
        <w:t>.</w:t>
      </w:r>
    </w:p>
    <w:p w14:paraId="2E133BDA"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t>Fadhilla</w:t>
      </w:r>
      <w:proofErr w:type="spellEnd"/>
      <w:r w:rsidRPr="007470AF">
        <w:rPr>
          <w:rFonts w:ascii="Arial" w:hAnsi="Arial" w:cs="Arial"/>
          <w:color w:val="000000"/>
        </w:rPr>
        <w:t xml:space="preserve">, S., </w:t>
      </w:r>
      <w:proofErr w:type="spellStart"/>
      <w:r w:rsidRPr="007470AF">
        <w:rPr>
          <w:rFonts w:ascii="Arial" w:hAnsi="Arial" w:cs="Arial"/>
          <w:color w:val="000000"/>
        </w:rPr>
        <w:t>Simatupang</w:t>
      </w:r>
      <w:proofErr w:type="spellEnd"/>
      <w:r w:rsidRPr="007470AF">
        <w:rPr>
          <w:rFonts w:ascii="Arial" w:hAnsi="Arial" w:cs="Arial"/>
          <w:color w:val="000000"/>
        </w:rPr>
        <w:t xml:space="preserve">, G.P. and Latifah, S. (2025). Assessment of natural tourism objects and attractions in </w:t>
      </w:r>
      <w:proofErr w:type="spellStart"/>
      <w:r w:rsidRPr="007470AF">
        <w:rPr>
          <w:rFonts w:ascii="Arial" w:hAnsi="Arial" w:cs="Arial"/>
          <w:color w:val="000000"/>
        </w:rPr>
        <w:t>Telagah</w:t>
      </w:r>
      <w:proofErr w:type="spellEnd"/>
      <w:r w:rsidRPr="007470AF">
        <w:rPr>
          <w:rFonts w:ascii="Arial" w:hAnsi="Arial" w:cs="Arial"/>
          <w:color w:val="000000"/>
        </w:rPr>
        <w:t xml:space="preserve"> Village, </w:t>
      </w:r>
      <w:proofErr w:type="spellStart"/>
      <w:r w:rsidRPr="007470AF">
        <w:rPr>
          <w:rFonts w:ascii="Arial" w:hAnsi="Arial" w:cs="Arial"/>
          <w:color w:val="000000"/>
        </w:rPr>
        <w:t>Langkat</w:t>
      </w:r>
      <w:proofErr w:type="spellEnd"/>
      <w:r w:rsidRPr="007470AF">
        <w:rPr>
          <w:rFonts w:ascii="Arial" w:hAnsi="Arial" w:cs="Arial"/>
          <w:color w:val="000000"/>
        </w:rPr>
        <w:t xml:space="preserve"> Regency. </w:t>
      </w:r>
      <w:r w:rsidRPr="007470AF">
        <w:rPr>
          <w:rFonts w:ascii="Arial" w:hAnsi="Arial" w:cs="Arial"/>
          <w:i/>
          <w:iCs/>
          <w:color w:val="000000"/>
        </w:rPr>
        <w:t>IOP Conference Series: Earth and Environmental Science</w:t>
      </w:r>
      <w:r w:rsidRPr="007470AF">
        <w:rPr>
          <w:rFonts w:ascii="Arial" w:hAnsi="Arial" w:cs="Arial"/>
          <w:color w:val="000000"/>
        </w:rPr>
        <w:t xml:space="preserve">, 1573(1), p.012022. </w:t>
      </w:r>
      <w:proofErr w:type="spellStart"/>
      <w:r w:rsidRPr="007470AF">
        <w:rPr>
          <w:rFonts w:ascii="Arial" w:hAnsi="Arial" w:cs="Arial"/>
          <w:color w:val="000000"/>
        </w:rPr>
        <w:t>doi:https</w:t>
      </w:r>
      <w:proofErr w:type="spellEnd"/>
      <w:r w:rsidRPr="007470AF">
        <w:rPr>
          <w:rFonts w:ascii="Arial" w:hAnsi="Arial" w:cs="Arial"/>
          <w:color w:val="000000"/>
        </w:rPr>
        <w:t>://doi.org/10.1088/1755-1315/1573/1/012022.</w:t>
      </w:r>
    </w:p>
    <w:p w14:paraId="32EBD670"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t>Gaytán</w:t>
      </w:r>
      <w:proofErr w:type="spellEnd"/>
      <w:r w:rsidRPr="007470AF">
        <w:rPr>
          <w:rFonts w:ascii="Arial" w:hAnsi="Arial" w:cs="Arial"/>
          <w:color w:val="000000"/>
        </w:rPr>
        <w:t xml:space="preserve"> Cortés, J. (2023). Break-even point. </w:t>
      </w:r>
      <w:r w:rsidRPr="007470AF">
        <w:rPr>
          <w:rFonts w:ascii="Arial" w:hAnsi="Arial" w:cs="Arial"/>
          <w:i/>
          <w:iCs/>
          <w:color w:val="000000"/>
        </w:rPr>
        <w:t xml:space="preserve">Mercados y </w:t>
      </w:r>
      <w:proofErr w:type="spellStart"/>
      <w:r w:rsidRPr="007470AF">
        <w:rPr>
          <w:rFonts w:ascii="Arial" w:hAnsi="Arial" w:cs="Arial"/>
          <w:i/>
          <w:iCs/>
          <w:color w:val="000000"/>
        </w:rPr>
        <w:t>Negocios</w:t>
      </w:r>
      <w:proofErr w:type="spellEnd"/>
      <w:r w:rsidRPr="007470AF">
        <w:rPr>
          <w:rFonts w:ascii="Arial" w:hAnsi="Arial" w:cs="Arial"/>
          <w:color w:val="000000"/>
        </w:rPr>
        <w:t xml:space="preserve">, 24(48), pp.95–106. </w:t>
      </w:r>
      <w:proofErr w:type="spellStart"/>
      <w:r w:rsidRPr="007470AF">
        <w:rPr>
          <w:rFonts w:ascii="Arial" w:hAnsi="Arial" w:cs="Arial"/>
          <w:color w:val="000000"/>
        </w:rPr>
        <w:t>doi:https</w:t>
      </w:r>
      <w:proofErr w:type="spellEnd"/>
      <w:r w:rsidRPr="007470AF">
        <w:rPr>
          <w:rFonts w:ascii="Arial" w:hAnsi="Arial" w:cs="Arial"/>
          <w:color w:val="000000"/>
        </w:rPr>
        <w:t>://doi.org/10.32870/myn.vi48.7690.</w:t>
      </w:r>
    </w:p>
    <w:p w14:paraId="1C8E6207"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t>Kampf</w:t>
      </w:r>
      <w:proofErr w:type="spellEnd"/>
      <w:r w:rsidRPr="007470AF">
        <w:rPr>
          <w:rFonts w:ascii="Arial" w:hAnsi="Arial" w:cs="Arial"/>
          <w:color w:val="000000"/>
        </w:rPr>
        <w:t xml:space="preserve">, R., </w:t>
      </w:r>
      <w:proofErr w:type="spellStart"/>
      <w:r w:rsidRPr="007470AF">
        <w:rPr>
          <w:rFonts w:ascii="Arial" w:hAnsi="Arial" w:cs="Arial"/>
          <w:color w:val="000000"/>
        </w:rPr>
        <w:t>Majerčák</w:t>
      </w:r>
      <w:proofErr w:type="spellEnd"/>
      <w:r w:rsidRPr="007470AF">
        <w:rPr>
          <w:rFonts w:ascii="Arial" w:hAnsi="Arial" w:cs="Arial"/>
          <w:color w:val="000000"/>
        </w:rPr>
        <w:t xml:space="preserve">, P. and </w:t>
      </w:r>
      <w:proofErr w:type="spellStart"/>
      <w:r w:rsidRPr="007470AF">
        <w:rPr>
          <w:rFonts w:ascii="Arial" w:hAnsi="Arial" w:cs="Arial"/>
          <w:color w:val="000000"/>
        </w:rPr>
        <w:t>Švagr</w:t>
      </w:r>
      <w:proofErr w:type="spellEnd"/>
      <w:r w:rsidRPr="007470AF">
        <w:rPr>
          <w:rFonts w:ascii="Arial" w:hAnsi="Arial" w:cs="Arial"/>
          <w:color w:val="000000"/>
        </w:rPr>
        <w:t xml:space="preserve">, P. (2016). </w:t>
      </w:r>
      <w:proofErr w:type="spellStart"/>
      <w:r w:rsidRPr="007470AF">
        <w:rPr>
          <w:rFonts w:ascii="Arial" w:hAnsi="Arial" w:cs="Arial"/>
          <w:color w:val="000000"/>
        </w:rPr>
        <w:t>Primjena</w:t>
      </w:r>
      <w:proofErr w:type="spellEnd"/>
      <w:r w:rsidRPr="007470AF">
        <w:rPr>
          <w:rFonts w:ascii="Arial" w:hAnsi="Arial" w:cs="Arial"/>
          <w:color w:val="000000"/>
        </w:rPr>
        <w:t xml:space="preserve"> Break-Even Point </w:t>
      </w:r>
      <w:proofErr w:type="spellStart"/>
      <w:r w:rsidRPr="007470AF">
        <w:rPr>
          <w:rFonts w:ascii="Arial" w:hAnsi="Arial" w:cs="Arial"/>
          <w:color w:val="000000"/>
        </w:rPr>
        <w:t>analize</w:t>
      </w:r>
      <w:proofErr w:type="spellEnd"/>
      <w:r w:rsidRPr="007470AF">
        <w:rPr>
          <w:rFonts w:ascii="Arial" w:hAnsi="Arial" w:cs="Arial"/>
          <w:color w:val="000000"/>
        </w:rPr>
        <w:t>. </w:t>
      </w:r>
      <w:proofErr w:type="spellStart"/>
      <w:r w:rsidRPr="007470AF">
        <w:rPr>
          <w:rFonts w:ascii="Arial" w:hAnsi="Arial" w:cs="Arial"/>
          <w:i/>
          <w:iCs/>
          <w:color w:val="000000"/>
        </w:rPr>
        <w:t>Naše</w:t>
      </w:r>
      <w:proofErr w:type="spellEnd"/>
      <w:r w:rsidRPr="007470AF">
        <w:rPr>
          <w:rFonts w:ascii="Arial" w:hAnsi="Arial" w:cs="Arial"/>
          <w:i/>
          <w:iCs/>
          <w:color w:val="000000"/>
        </w:rPr>
        <w:t xml:space="preserve"> more</w:t>
      </w:r>
      <w:r w:rsidRPr="007470AF">
        <w:rPr>
          <w:rFonts w:ascii="Arial" w:hAnsi="Arial" w:cs="Arial"/>
          <w:color w:val="000000"/>
        </w:rPr>
        <w:t xml:space="preserve">, 63(3), pp.126–128. </w:t>
      </w:r>
      <w:proofErr w:type="spellStart"/>
      <w:r w:rsidRPr="007470AF">
        <w:rPr>
          <w:rFonts w:ascii="Arial" w:hAnsi="Arial" w:cs="Arial"/>
          <w:color w:val="000000"/>
        </w:rPr>
        <w:t>doi:https</w:t>
      </w:r>
      <w:proofErr w:type="spellEnd"/>
      <w:r w:rsidRPr="007470AF">
        <w:rPr>
          <w:rFonts w:ascii="Arial" w:hAnsi="Arial" w:cs="Arial"/>
          <w:color w:val="000000"/>
        </w:rPr>
        <w:t>://doi.org/10.17818/nm/2016/si9.</w:t>
      </w:r>
    </w:p>
    <w:p w14:paraId="1D536A21" w14:textId="77777777" w:rsidR="007470AF" w:rsidRPr="007470AF" w:rsidRDefault="007470AF" w:rsidP="007470AF">
      <w:pPr>
        <w:spacing w:after="240" w:line="360" w:lineRule="atLeast"/>
        <w:rPr>
          <w:rFonts w:ascii="Arial" w:hAnsi="Arial" w:cs="Arial"/>
          <w:color w:val="000000"/>
        </w:rPr>
      </w:pPr>
      <w:r w:rsidRPr="007470AF">
        <w:rPr>
          <w:rFonts w:ascii="Arial" w:hAnsi="Arial" w:cs="Arial"/>
          <w:color w:val="000000"/>
        </w:rPr>
        <w:t xml:space="preserve">Kumar, V., Sharma, A., </w:t>
      </w:r>
      <w:proofErr w:type="spellStart"/>
      <w:r w:rsidRPr="007470AF">
        <w:rPr>
          <w:rFonts w:ascii="Arial" w:hAnsi="Arial" w:cs="Arial"/>
          <w:color w:val="000000"/>
        </w:rPr>
        <w:t>Donthu</w:t>
      </w:r>
      <w:proofErr w:type="spellEnd"/>
      <w:r w:rsidRPr="007470AF">
        <w:rPr>
          <w:rFonts w:ascii="Arial" w:hAnsi="Arial" w:cs="Arial"/>
          <w:color w:val="000000"/>
        </w:rPr>
        <w:t xml:space="preserve">, N. and Rountree, C. (2015). Practice Prize Paper—Implementing Integrated Marketing Science </w:t>
      </w:r>
      <w:proofErr w:type="spellStart"/>
      <w:r w:rsidRPr="007470AF">
        <w:rPr>
          <w:rFonts w:ascii="Arial" w:hAnsi="Arial" w:cs="Arial"/>
          <w:color w:val="000000"/>
        </w:rPr>
        <w:t>Modeling</w:t>
      </w:r>
      <w:proofErr w:type="spellEnd"/>
      <w:r w:rsidRPr="007470AF">
        <w:rPr>
          <w:rFonts w:ascii="Arial" w:hAnsi="Arial" w:cs="Arial"/>
          <w:color w:val="000000"/>
        </w:rPr>
        <w:t xml:space="preserve"> at a Non-Profit Organization: Balancing Multiple Business Objectives at Georgia Aquarium. </w:t>
      </w:r>
      <w:r w:rsidRPr="007470AF">
        <w:rPr>
          <w:rFonts w:ascii="Arial" w:hAnsi="Arial" w:cs="Arial"/>
          <w:i/>
          <w:iCs/>
          <w:color w:val="000000"/>
        </w:rPr>
        <w:t>Marketing Science</w:t>
      </w:r>
      <w:r w:rsidRPr="007470AF">
        <w:rPr>
          <w:rFonts w:ascii="Arial" w:hAnsi="Arial" w:cs="Arial"/>
          <w:color w:val="000000"/>
        </w:rPr>
        <w:t xml:space="preserve">, 34(6), pp.804–814. </w:t>
      </w:r>
      <w:proofErr w:type="spellStart"/>
      <w:r w:rsidRPr="007470AF">
        <w:rPr>
          <w:rFonts w:ascii="Arial" w:hAnsi="Arial" w:cs="Arial"/>
          <w:color w:val="000000"/>
        </w:rPr>
        <w:t>doi:https</w:t>
      </w:r>
      <w:proofErr w:type="spellEnd"/>
      <w:r w:rsidRPr="007470AF">
        <w:rPr>
          <w:rFonts w:ascii="Arial" w:hAnsi="Arial" w:cs="Arial"/>
          <w:color w:val="000000"/>
        </w:rPr>
        <w:t>://doi.org/10.1287/mksc.2015.0932.</w:t>
      </w:r>
    </w:p>
    <w:p w14:paraId="241B47AF" w14:textId="77777777" w:rsidR="007470AF" w:rsidRPr="007470AF" w:rsidRDefault="007470AF" w:rsidP="007470AF">
      <w:pPr>
        <w:spacing w:after="240" w:line="360" w:lineRule="atLeast"/>
        <w:rPr>
          <w:rFonts w:ascii="Arial" w:hAnsi="Arial" w:cs="Arial"/>
          <w:color w:val="000000"/>
        </w:rPr>
      </w:pPr>
      <w:r w:rsidRPr="007470AF">
        <w:rPr>
          <w:rFonts w:ascii="Arial" w:hAnsi="Arial" w:cs="Arial"/>
          <w:color w:val="000000"/>
        </w:rPr>
        <w:t xml:space="preserve">Mahdi, M. and </w:t>
      </w:r>
      <w:proofErr w:type="spellStart"/>
      <w:r w:rsidRPr="007470AF">
        <w:rPr>
          <w:rFonts w:ascii="Arial" w:hAnsi="Arial" w:cs="Arial"/>
          <w:color w:val="000000"/>
        </w:rPr>
        <w:t>Khaddafi</w:t>
      </w:r>
      <w:proofErr w:type="spellEnd"/>
      <w:r w:rsidRPr="007470AF">
        <w:rPr>
          <w:rFonts w:ascii="Arial" w:hAnsi="Arial" w:cs="Arial"/>
          <w:color w:val="000000"/>
        </w:rPr>
        <w:t>, M. (2020). The Influence of Gross Profit Margin, Operating Profit Margin and Net Profit Margin on the Stock Price of Consumer Good Industry in the Indonesia Stock Exchange on 2012-2014. </w:t>
      </w:r>
      <w:r w:rsidRPr="007470AF">
        <w:rPr>
          <w:rFonts w:ascii="Arial" w:hAnsi="Arial" w:cs="Arial"/>
          <w:i/>
          <w:iCs/>
          <w:color w:val="000000"/>
        </w:rPr>
        <w:t>International Journal of Business, Economics, and Social Development</w:t>
      </w:r>
      <w:r w:rsidRPr="007470AF">
        <w:rPr>
          <w:rFonts w:ascii="Arial" w:hAnsi="Arial" w:cs="Arial"/>
          <w:color w:val="000000"/>
        </w:rPr>
        <w:t xml:space="preserve">, [online] 1(3), pp.153–163. </w:t>
      </w:r>
      <w:proofErr w:type="spellStart"/>
      <w:r w:rsidRPr="007470AF">
        <w:rPr>
          <w:rFonts w:ascii="Arial" w:hAnsi="Arial" w:cs="Arial"/>
          <w:color w:val="000000"/>
        </w:rPr>
        <w:t>doi:https</w:t>
      </w:r>
      <w:proofErr w:type="spellEnd"/>
      <w:r w:rsidRPr="007470AF">
        <w:rPr>
          <w:rFonts w:ascii="Arial" w:hAnsi="Arial" w:cs="Arial"/>
          <w:color w:val="000000"/>
        </w:rPr>
        <w:t>://doi.org/10.46336/ijbesd.v1i3.53.</w:t>
      </w:r>
    </w:p>
    <w:p w14:paraId="4599DA4B"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lastRenderedPageBreak/>
        <w:t>Ngxongo</w:t>
      </w:r>
      <w:proofErr w:type="spellEnd"/>
      <w:r w:rsidRPr="007470AF">
        <w:rPr>
          <w:rFonts w:ascii="Arial" w:hAnsi="Arial" w:cs="Arial"/>
          <w:color w:val="000000"/>
        </w:rPr>
        <w:t xml:space="preserve">, N.A. and Chili, N.S. (2018). African journal of hospitality, </w:t>
      </w:r>
      <w:proofErr w:type="gramStart"/>
      <w:r w:rsidRPr="007470AF">
        <w:rPr>
          <w:rFonts w:ascii="Arial" w:hAnsi="Arial" w:cs="Arial"/>
          <w:color w:val="000000"/>
        </w:rPr>
        <w:t>tourism</w:t>
      </w:r>
      <w:proofErr w:type="gramEnd"/>
      <w:r w:rsidRPr="007470AF">
        <w:rPr>
          <w:rFonts w:ascii="Arial" w:hAnsi="Arial" w:cs="Arial"/>
          <w:color w:val="000000"/>
        </w:rPr>
        <w:t xml:space="preserve"> and leisure. </w:t>
      </w:r>
      <w:r w:rsidRPr="007470AF">
        <w:rPr>
          <w:rFonts w:ascii="Arial" w:hAnsi="Arial" w:cs="Arial"/>
          <w:i/>
          <w:iCs/>
          <w:color w:val="000000"/>
        </w:rPr>
        <w:t xml:space="preserve">The Strategic Marketing Analysis of Moses </w:t>
      </w:r>
      <w:proofErr w:type="spellStart"/>
      <w:r w:rsidRPr="007470AF">
        <w:rPr>
          <w:rFonts w:ascii="Arial" w:hAnsi="Arial" w:cs="Arial"/>
          <w:i/>
          <w:iCs/>
          <w:color w:val="000000"/>
        </w:rPr>
        <w:t>Mabhida</w:t>
      </w:r>
      <w:proofErr w:type="spellEnd"/>
      <w:r w:rsidRPr="007470AF">
        <w:rPr>
          <w:rFonts w:ascii="Arial" w:hAnsi="Arial" w:cs="Arial"/>
          <w:i/>
          <w:iCs/>
          <w:color w:val="000000"/>
        </w:rPr>
        <w:t xml:space="preserve"> Stadium as a Major Tourism Destination in </w:t>
      </w:r>
      <w:proofErr w:type="spellStart"/>
      <w:r w:rsidRPr="007470AF">
        <w:rPr>
          <w:rFonts w:ascii="Arial" w:hAnsi="Arial" w:cs="Arial"/>
          <w:i/>
          <w:iCs/>
          <w:color w:val="000000"/>
        </w:rPr>
        <w:t>KwazuluNatal</w:t>
      </w:r>
      <w:proofErr w:type="spellEnd"/>
      <w:r w:rsidRPr="007470AF">
        <w:rPr>
          <w:rFonts w:ascii="Arial" w:hAnsi="Arial" w:cs="Arial"/>
          <w:i/>
          <w:iCs/>
          <w:color w:val="000000"/>
        </w:rPr>
        <w:t>: an Action Research</w:t>
      </w:r>
      <w:r w:rsidRPr="007470AF">
        <w:rPr>
          <w:rFonts w:ascii="Arial" w:hAnsi="Arial" w:cs="Arial"/>
          <w:color w:val="000000"/>
        </w:rPr>
        <w:t>, 7(5).</w:t>
      </w:r>
    </w:p>
    <w:p w14:paraId="3A58414B"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t>Novák</w:t>
      </w:r>
      <w:proofErr w:type="spellEnd"/>
      <w:r w:rsidRPr="007470AF">
        <w:rPr>
          <w:rFonts w:ascii="Arial" w:hAnsi="Arial" w:cs="Arial"/>
          <w:color w:val="000000"/>
        </w:rPr>
        <w:t xml:space="preserve">, P. and </w:t>
      </w:r>
      <w:proofErr w:type="spellStart"/>
      <w:r w:rsidRPr="007470AF">
        <w:rPr>
          <w:rFonts w:ascii="Arial" w:hAnsi="Arial" w:cs="Arial"/>
          <w:color w:val="000000"/>
        </w:rPr>
        <w:t>Popesko</w:t>
      </w:r>
      <w:proofErr w:type="spellEnd"/>
      <w:r w:rsidRPr="007470AF">
        <w:rPr>
          <w:rFonts w:ascii="Arial" w:hAnsi="Arial" w:cs="Arial"/>
          <w:color w:val="000000"/>
        </w:rPr>
        <w:t>, B. (2014). Cost Variability and Cost Behaviour in Manufacturing Enterprises. </w:t>
      </w:r>
      <w:r w:rsidRPr="007470AF">
        <w:rPr>
          <w:rFonts w:ascii="Arial" w:hAnsi="Arial" w:cs="Arial"/>
          <w:i/>
          <w:iCs/>
          <w:color w:val="000000"/>
        </w:rPr>
        <w:t>ECONOMICS &amp; SOCIOLOGY</w:t>
      </w:r>
      <w:r w:rsidRPr="007470AF">
        <w:rPr>
          <w:rFonts w:ascii="Arial" w:hAnsi="Arial" w:cs="Arial"/>
          <w:color w:val="000000"/>
        </w:rPr>
        <w:t xml:space="preserve">, 7(4), pp.89–103. </w:t>
      </w:r>
      <w:proofErr w:type="spellStart"/>
      <w:r w:rsidRPr="007470AF">
        <w:rPr>
          <w:rFonts w:ascii="Arial" w:hAnsi="Arial" w:cs="Arial"/>
          <w:color w:val="000000"/>
        </w:rPr>
        <w:t>doi:https</w:t>
      </w:r>
      <w:proofErr w:type="spellEnd"/>
      <w:r w:rsidRPr="007470AF">
        <w:rPr>
          <w:rFonts w:ascii="Arial" w:hAnsi="Arial" w:cs="Arial"/>
          <w:color w:val="000000"/>
        </w:rPr>
        <w:t>://doi.org/10.14254/2071-789x.2014/7-4/6.</w:t>
      </w:r>
    </w:p>
    <w:p w14:paraId="66CDB01D" w14:textId="77777777" w:rsidR="007470AF" w:rsidRPr="007470AF" w:rsidRDefault="007470AF" w:rsidP="007470AF">
      <w:pPr>
        <w:spacing w:after="240" w:line="360" w:lineRule="atLeast"/>
        <w:rPr>
          <w:rFonts w:ascii="Arial" w:hAnsi="Arial" w:cs="Arial"/>
          <w:color w:val="000000"/>
        </w:rPr>
      </w:pPr>
      <w:r w:rsidRPr="007470AF">
        <w:rPr>
          <w:rFonts w:ascii="Arial" w:hAnsi="Arial" w:cs="Arial"/>
          <w:color w:val="000000"/>
        </w:rPr>
        <w:t xml:space="preserve">Ruggieri, G. and </w:t>
      </w:r>
      <w:proofErr w:type="spellStart"/>
      <w:r w:rsidRPr="007470AF">
        <w:rPr>
          <w:rFonts w:ascii="Arial" w:hAnsi="Arial" w:cs="Arial"/>
          <w:color w:val="000000"/>
        </w:rPr>
        <w:t>Platania</w:t>
      </w:r>
      <w:proofErr w:type="spellEnd"/>
      <w:r w:rsidRPr="007470AF">
        <w:rPr>
          <w:rFonts w:ascii="Arial" w:hAnsi="Arial" w:cs="Arial"/>
          <w:color w:val="000000"/>
        </w:rPr>
        <w:t>, M. (2024). Islands’ Tourism Seasonality: A Data Analysis of Mediterranean Islands’ Tourism Comparing Seasonality Indicators (2008–2018). </w:t>
      </w:r>
      <w:r w:rsidRPr="007470AF">
        <w:rPr>
          <w:rFonts w:ascii="Arial" w:hAnsi="Arial" w:cs="Arial"/>
          <w:i/>
          <w:iCs/>
          <w:color w:val="000000"/>
        </w:rPr>
        <w:t>Sustainability</w:t>
      </w:r>
      <w:r w:rsidRPr="007470AF">
        <w:rPr>
          <w:rFonts w:ascii="Arial" w:hAnsi="Arial" w:cs="Arial"/>
          <w:color w:val="000000"/>
        </w:rPr>
        <w:t xml:space="preserve">, [online] 16(9), p.3674. </w:t>
      </w:r>
      <w:proofErr w:type="spellStart"/>
      <w:r w:rsidRPr="007470AF">
        <w:rPr>
          <w:rFonts w:ascii="Arial" w:hAnsi="Arial" w:cs="Arial"/>
          <w:color w:val="000000"/>
        </w:rPr>
        <w:t>doi:https</w:t>
      </w:r>
      <w:proofErr w:type="spellEnd"/>
      <w:r w:rsidRPr="007470AF">
        <w:rPr>
          <w:rFonts w:ascii="Arial" w:hAnsi="Arial" w:cs="Arial"/>
          <w:color w:val="000000"/>
        </w:rPr>
        <w:t>://doi.org/10.3390/su16093674.</w:t>
      </w:r>
    </w:p>
    <w:p w14:paraId="7BEA2884" w14:textId="77777777" w:rsidR="007470AF" w:rsidRPr="007470AF" w:rsidRDefault="007470AF" w:rsidP="007470AF">
      <w:pPr>
        <w:spacing w:after="240" w:line="360" w:lineRule="atLeast"/>
        <w:rPr>
          <w:rFonts w:ascii="Arial" w:hAnsi="Arial" w:cs="Arial"/>
          <w:color w:val="000000"/>
        </w:rPr>
      </w:pPr>
      <w:proofErr w:type="spellStart"/>
      <w:r w:rsidRPr="007470AF">
        <w:rPr>
          <w:rFonts w:ascii="Arial" w:hAnsi="Arial" w:cs="Arial"/>
          <w:color w:val="000000"/>
        </w:rPr>
        <w:t>Zvaigzne</w:t>
      </w:r>
      <w:proofErr w:type="spellEnd"/>
      <w:r w:rsidRPr="007470AF">
        <w:rPr>
          <w:rFonts w:ascii="Arial" w:hAnsi="Arial" w:cs="Arial"/>
          <w:color w:val="000000"/>
        </w:rPr>
        <w:t xml:space="preserve">, A., </w:t>
      </w:r>
      <w:proofErr w:type="spellStart"/>
      <w:r w:rsidRPr="007470AF">
        <w:rPr>
          <w:rFonts w:ascii="Arial" w:hAnsi="Arial" w:cs="Arial"/>
          <w:color w:val="000000"/>
        </w:rPr>
        <w:t>Litavniece</w:t>
      </w:r>
      <w:proofErr w:type="spellEnd"/>
      <w:r w:rsidRPr="007470AF">
        <w:rPr>
          <w:rFonts w:ascii="Arial" w:hAnsi="Arial" w:cs="Arial"/>
          <w:color w:val="000000"/>
        </w:rPr>
        <w:t xml:space="preserve">, L. and </w:t>
      </w:r>
      <w:proofErr w:type="spellStart"/>
      <w:r w:rsidRPr="007470AF">
        <w:rPr>
          <w:rFonts w:ascii="Arial" w:hAnsi="Arial" w:cs="Arial"/>
          <w:color w:val="000000"/>
        </w:rPr>
        <w:t>Dembovska</w:t>
      </w:r>
      <w:proofErr w:type="spellEnd"/>
      <w:r w:rsidRPr="007470AF">
        <w:rPr>
          <w:rFonts w:ascii="Arial" w:hAnsi="Arial" w:cs="Arial"/>
          <w:color w:val="000000"/>
        </w:rPr>
        <w:t>, I. (2022). Tourism seasonality: the causes and effects. </w:t>
      </w:r>
      <w:r w:rsidRPr="007470AF">
        <w:rPr>
          <w:rFonts w:ascii="Arial" w:hAnsi="Arial" w:cs="Arial"/>
          <w:i/>
          <w:iCs/>
          <w:color w:val="000000"/>
        </w:rPr>
        <w:t>Worldwide Hospitality and Tourism Themes</w:t>
      </w:r>
      <w:r w:rsidRPr="007470AF">
        <w:rPr>
          <w:rFonts w:ascii="Arial" w:hAnsi="Arial" w:cs="Arial"/>
          <w:color w:val="000000"/>
        </w:rPr>
        <w:t xml:space="preserve">, [online] 14(5), pp.421–430. </w:t>
      </w:r>
      <w:proofErr w:type="spellStart"/>
      <w:r w:rsidRPr="007470AF">
        <w:rPr>
          <w:rFonts w:ascii="Arial" w:hAnsi="Arial" w:cs="Arial"/>
          <w:color w:val="000000"/>
        </w:rPr>
        <w:t>doi:https</w:t>
      </w:r>
      <w:proofErr w:type="spellEnd"/>
      <w:r w:rsidRPr="007470AF">
        <w:rPr>
          <w:rFonts w:ascii="Arial" w:hAnsi="Arial" w:cs="Arial"/>
          <w:color w:val="000000"/>
        </w:rPr>
        <w:t>://doi.org/10.1108/whatt-07-2022-0080.</w:t>
      </w:r>
    </w:p>
    <w:p w14:paraId="4B16754B" w14:textId="77777777" w:rsidR="007470AF" w:rsidRPr="007470AF" w:rsidRDefault="007470AF" w:rsidP="007470AF"/>
    <w:sectPr w:rsidR="007470AF" w:rsidRPr="007470AF"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E32"/>
    <w:rsid w:val="00080A2C"/>
    <w:rsid w:val="001F2D0F"/>
    <w:rsid w:val="00323E32"/>
    <w:rsid w:val="003F57E0"/>
    <w:rsid w:val="0060224B"/>
    <w:rsid w:val="007470AF"/>
    <w:rsid w:val="0077204D"/>
    <w:rsid w:val="009B2DAF"/>
    <w:rsid w:val="00DA07E4"/>
    <w:rsid w:val="00E13170"/>
    <w:rsid w:val="00E66AF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9B93"/>
  <w15:chartTrackingRefBased/>
  <w15:docId w15:val="{E3FD790B-9EC2-1F44-AFAD-3CF748A8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32"/>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23E3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3E3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3E3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3E32"/>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3E32"/>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3E32"/>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3E32"/>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3E32"/>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3E32"/>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E32"/>
    <w:rPr>
      <w:rFonts w:eastAsiaTheme="majorEastAsia" w:cstheme="majorBidi"/>
      <w:color w:val="272727" w:themeColor="text1" w:themeTint="D8"/>
    </w:rPr>
  </w:style>
  <w:style w:type="paragraph" w:styleId="Title">
    <w:name w:val="Title"/>
    <w:basedOn w:val="Normal"/>
    <w:next w:val="Normal"/>
    <w:link w:val="TitleChar"/>
    <w:uiPriority w:val="10"/>
    <w:qFormat/>
    <w:rsid w:val="00323E3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3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E3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3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E32"/>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23E32"/>
    <w:rPr>
      <w:i/>
      <w:iCs/>
      <w:color w:val="404040" w:themeColor="text1" w:themeTint="BF"/>
    </w:rPr>
  </w:style>
  <w:style w:type="paragraph" w:styleId="ListParagraph">
    <w:name w:val="List Paragraph"/>
    <w:basedOn w:val="Normal"/>
    <w:uiPriority w:val="34"/>
    <w:qFormat/>
    <w:rsid w:val="00323E32"/>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323E32"/>
    <w:rPr>
      <w:i/>
      <w:iCs/>
      <w:color w:val="0F4761" w:themeColor="accent1" w:themeShade="BF"/>
    </w:rPr>
  </w:style>
  <w:style w:type="paragraph" w:styleId="IntenseQuote">
    <w:name w:val="Intense Quote"/>
    <w:basedOn w:val="Normal"/>
    <w:next w:val="Normal"/>
    <w:link w:val="IntenseQuoteChar"/>
    <w:uiPriority w:val="30"/>
    <w:qFormat/>
    <w:rsid w:val="00323E3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23E32"/>
    <w:rPr>
      <w:i/>
      <w:iCs/>
      <w:color w:val="0F4761" w:themeColor="accent1" w:themeShade="BF"/>
    </w:rPr>
  </w:style>
  <w:style w:type="character" w:styleId="IntenseReference">
    <w:name w:val="Intense Reference"/>
    <w:basedOn w:val="DefaultParagraphFont"/>
    <w:uiPriority w:val="32"/>
    <w:qFormat/>
    <w:rsid w:val="00323E32"/>
    <w:rPr>
      <w:b/>
      <w:bCs/>
      <w:smallCaps/>
      <w:color w:val="0F4761" w:themeColor="accent1" w:themeShade="BF"/>
      <w:spacing w:val="5"/>
    </w:rPr>
  </w:style>
  <w:style w:type="paragraph" w:styleId="TOCHeading">
    <w:name w:val="TOC Heading"/>
    <w:basedOn w:val="Heading1"/>
    <w:next w:val="Normal"/>
    <w:uiPriority w:val="39"/>
    <w:unhideWhenUsed/>
    <w:qFormat/>
    <w:rsid w:val="00323E32"/>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323E32"/>
    <w:pPr>
      <w:spacing w:before="120"/>
    </w:pPr>
    <w:rPr>
      <w:rFonts w:asciiTheme="minorHAnsi" w:hAnsiTheme="minorHAnsi"/>
      <w:b/>
      <w:bCs/>
      <w:i/>
      <w:iCs/>
    </w:rPr>
  </w:style>
  <w:style w:type="character" w:styleId="Hyperlink">
    <w:name w:val="Hyperlink"/>
    <w:basedOn w:val="DefaultParagraphFont"/>
    <w:uiPriority w:val="99"/>
    <w:unhideWhenUsed/>
    <w:rsid w:val="00323E32"/>
    <w:rPr>
      <w:color w:val="467886" w:themeColor="hyperlink"/>
      <w:u w:val="single"/>
    </w:rPr>
  </w:style>
  <w:style w:type="paragraph" w:styleId="TOC2">
    <w:name w:val="toc 2"/>
    <w:basedOn w:val="Normal"/>
    <w:next w:val="Normal"/>
    <w:autoRedefine/>
    <w:uiPriority w:val="39"/>
    <w:semiHidden/>
    <w:unhideWhenUsed/>
    <w:rsid w:val="00323E3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323E3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323E3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23E3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23E3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23E3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23E3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23E32"/>
    <w:pPr>
      <w:ind w:left="1920"/>
    </w:pPr>
    <w:rPr>
      <w:rFonts w:asciiTheme="minorHAnsi" w:hAnsiTheme="minorHAnsi"/>
      <w:sz w:val="20"/>
      <w:szCs w:val="20"/>
    </w:rPr>
  </w:style>
  <w:style w:type="character" w:customStyle="1" w:styleId="apple-converted-space">
    <w:name w:val="apple-converted-space"/>
    <w:basedOn w:val="DefaultParagraphFont"/>
    <w:rsid w:val="00323E32"/>
  </w:style>
  <w:style w:type="paragraph" w:customStyle="1" w:styleId="t-summary">
    <w:name w:val="t-summary"/>
    <w:basedOn w:val="Normal"/>
    <w:rsid w:val="00323E32"/>
    <w:pPr>
      <w:spacing w:before="100" w:beforeAutospacing="1" w:after="100" w:afterAutospacing="1"/>
    </w:pPr>
  </w:style>
  <w:style w:type="character" w:customStyle="1" w:styleId="text-white">
    <w:name w:val="text-white"/>
    <w:basedOn w:val="DefaultParagraphFont"/>
    <w:rsid w:val="00323E32"/>
  </w:style>
  <w:style w:type="paragraph" w:styleId="NormalWeb">
    <w:name w:val="Normal (Web)"/>
    <w:basedOn w:val="Normal"/>
    <w:uiPriority w:val="99"/>
    <w:semiHidden/>
    <w:unhideWhenUsed/>
    <w:rsid w:val="007470A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737248">
      <w:bodyDiv w:val="1"/>
      <w:marLeft w:val="0"/>
      <w:marRight w:val="0"/>
      <w:marTop w:val="0"/>
      <w:marBottom w:val="0"/>
      <w:divBdr>
        <w:top w:val="none" w:sz="0" w:space="0" w:color="auto"/>
        <w:left w:val="none" w:sz="0" w:space="0" w:color="auto"/>
        <w:bottom w:val="none" w:sz="0" w:space="0" w:color="auto"/>
        <w:right w:val="none" w:sz="0" w:space="0" w:color="auto"/>
      </w:divBdr>
    </w:div>
    <w:div w:id="903495006">
      <w:bodyDiv w:val="1"/>
      <w:marLeft w:val="0"/>
      <w:marRight w:val="0"/>
      <w:marTop w:val="0"/>
      <w:marBottom w:val="0"/>
      <w:divBdr>
        <w:top w:val="none" w:sz="0" w:space="0" w:color="auto"/>
        <w:left w:val="none" w:sz="0" w:space="0" w:color="auto"/>
        <w:bottom w:val="none" w:sz="0" w:space="0" w:color="auto"/>
        <w:right w:val="none" w:sz="0" w:space="0" w:color="auto"/>
      </w:divBdr>
      <w:divsChild>
        <w:div w:id="1337732027">
          <w:marLeft w:val="0"/>
          <w:marRight w:val="0"/>
          <w:marTop w:val="0"/>
          <w:marBottom w:val="0"/>
          <w:divBdr>
            <w:top w:val="none" w:sz="0" w:space="0" w:color="auto"/>
            <w:left w:val="none" w:sz="0" w:space="0" w:color="auto"/>
            <w:bottom w:val="none" w:sz="0" w:space="0" w:color="auto"/>
            <w:right w:val="none" w:sz="0" w:space="0" w:color="auto"/>
          </w:divBdr>
        </w:div>
      </w:divsChild>
    </w:div>
    <w:div w:id="1545093320">
      <w:bodyDiv w:val="1"/>
      <w:marLeft w:val="0"/>
      <w:marRight w:val="0"/>
      <w:marTop w:val="0"/>
      <w:marBottom w:val="0"/>
      <w:divBdr>
        <w:top w:val="none" w:sz="0" w:space="0" w:color="auto"/>
        <w:left w:val="none" w:sz="0" w:space="0" w:color="auto"/>
        <w:bottom w:val="none" w:sz="0" w:space="0" w:color="auto"/>
        <w:right w:val="none" w:sz="0" w:space="0" w:color="auto"/>
      </w:divBdr>
    </w:div>
    <w:div w:id="1654992838">
      <w:bodyDiv w:val="1"/>
      <w:marLeft w:val="0"/>
      <w:marRight w:val="0"/>
      <w:marTop w:val="0"/>
      <w:marBottom w:val="0"/>
      <w:divBdr>
        <w:top w:val="none" w:sz="0" w:space="0" w:color="auto"/>
        <w:left w:val="none" w:sz="0" w:space="0" w:color="auto"/>
        <w:bottom w:val="none" w:sz="0" w:space="0" w:color="auto"/>
        <w:right w:val="none" w:sz="0" w:space="0" w:color="auto"/>
      </w:divBdr>
      <w:divsChild>
        <w:div w:id="473836419">
          <w:marLeft w:val="0"/>
          <w:marRight w:val="0"/>
          <w:marTop w:val="0"/>
          <w:marBottom w:val="0"/>
          <w:divBdr>
            <w:top w:val="none" w:sz="0" w:space="0" w:color="auto"/>
            <w:left w:val="none" w:sz="0" w:space="0" w:color="auto"/>
            <w:bottom w:val="none" w:sz="0" w:space="0" w:color="auto"/>
            <w:right w:val="none" w:sz="0" w:space="0" w:color="auto"/>
          </w:divBdr>
          <w:divsChild>
            <w:div w:id="44453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771097-F24F-464F-8CE9-93C87C39F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2194</Words>
  <Characters>12510</Characters>
  <Application>Microsoft Office Word</Application>
  <DocSecurity>0</DocSecurity>
  <Lines>104</Lines>
  <Paragraphs>29</Paragraphs>
  <ScaleCrop>false</ScaleCrop>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3</cp:revision>
  <dcterms:created xsi:type="dcterms:W3CDTF">2026-04-24T21:16:00Z</dcterms:created>
  <dcterms:modified xsi:type="dcterms:W3CDTF">2026-04-24T21:28:00Z</dcterms:modified>
</cp:coreProperties>
</file>