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rtl w:val="0"/>
        </w:rPr>
      </w:r>
    </w:p>
    <w:p w:rsidR="00000000" w:rsidDel="00000000" w:rsidP="00000000" w:rsidRDefault="00000000" w:rsidRPr="00000000" w14:paraId="00000002">
      <w:pPr>
        <w:rPr>
          <w:b w:val="1"/>
        </w:rPr>
      </w:pPr>
      <w:r w:rsidDel="00000000" w:rsidR="00000000" w:rsidRPr="00000000">
        <w:rPr>
          <w:b w:val="1"/>
          <w:rtl w:val="0"/>
        </w:rPr>
        <w:t xml:space="preserve">        </w:t>
      </w:r>
    </w:p>
    <w:p w:rsidR="00000000" w:rsidDel="00000000" w:rsidP="00000000" w:rsidRDefault="00000000" w:rsidRPr="00000000" w14:paraId="00000003">
      <w:pPr>
        <w:rPr>
          <w:b w:val="1"/>
        </w:rPr>
      </w:pPr>
      <w:r w:rsidDel="00000000" w:rsidR="00000000" w:rsidRPr="00000000">
        <w:rPr>
          <w:b w:val="1"/>
          <w:rtl w:val="0"/>
        </w:rPr>
        <w:t xml:space="preserve">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pStyle w:val="Title"/>
        <w:rPr>
          <w:b w:val="0"/>
          <w:color w:val="0070c0"/>
          <w:sz w:val="44"/>
          <w:szCs w:val="44"/>
        </w:rPr>
      </w:pPr>
      <w:r w:rsidDel="00000000" w:rsidR="00000000" w:rsidRPr="00000000">
        <w:rPr>
          <w:b w:val="0"/>
          <w:color w:val="0070c0"/>
          <w:sz w:val="44"/>
          <w:szCs w:val="44"/>
          <w:rtl w:val="0"/>
        </w:rPr>
        <w:t xml:space="preserve">Data Handling in Business Intelligence</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b w:val="1"/>
        </w:rPr>
      </w:pPr>
      <w:r w:rsidDel="00000000" w:rsidR="00000000" w:rsidRPr="00000000">
        <w:rPr>
          <w:rtl w:val="0"/>
        </w:rPr>
        <w:t xml:space="preserve">           </w:t>
      </w:r>
      <w:r w:rsidDel="00000000" w:rsidR="00000000" w:rsidRPr="00000000">
        <w:rPr>
          <w:b w:val="1"/>
          <w:rtl w:val="0"/>
        </w:rPr>
        <w:t xml:space="preserve">Student name: Petar Artyuhov </w:t>
      </w:r>
    </w:p>
    <w:p w:rsidR="00000000" w:rsidDel="00000000" w:rsidP="00000000" w:rsidRDefault="00000000" w:rsidRPr="00000000" w14:paraId="0000000E">
      <w:pPr>
        <w:rPr>
          <w:b w:val="1"/>
        </w:rPr>
      </w:pPr>
      <w:r w:rsidDel="00000000" w:rsidR="00000000" w:rsidRPr="00000000">
        <w:rPr>
          <w:rtl w:val="0"/>
        </w:rPr>
        <w:t xml:space="preserve">               </w:t>
      </w:r>
      <w:r w:rsidDel="00000000" w:rsidR="00000000" w:rsidRPr="00000000">
        <w:rPr>
          <w:b w:val="1"/>
          <w:rtl w:val="0"/>
        </w:rPr>
        <w:t xml:space="preserve">Module code LCBB5000 </w:t>
      </w:r>
    </w:p>
    <w:p w:rsidR="00000000" w:rsidDel="00000000" w:rsidP="00000000" w:rsidRDefault="00000000" w:rsidRPr="00000000" w14:paraId="0000000F">
      <w:pPr>
        <w:rPr>
          <w:b w:val="1"/>
        </w:rPr>
      </w:pPr>
      <w:r w:rsidDel="00000000" w:rsidR="00000000" w:rsidRPr="00000000">
        <w:rPr>
          <w:b w:val="1"/>
          <w:rtl w:val="0"/>
        </w:rPr>
        <w:t xml:space="preserve">        Lecturer: Zahra Mohammadnazari </w:t>
      </w:r>
    </w:p>
    <w:p w:rsidR="00000000" w:rsidDel="00000000" w:rsidP="00000000" w:rsidRDefault="00000000" w:rsidRPr="00000000" w14:paraId="00000010">
      <w:pPr>
        <w:rPr>
          <w:b w:val="1"/>
        </w:rPr>
      </w:pPr>
      <w:r w:rsidDel="00000000" w:rsidR="00000000" w:rsidRPr="00000000">
        <w:rPr>
          <w:b w:val="1"/>
          <w:rtl w:val="0"/>
        </w:rPr>
        <w:t xml:space="preserve">            Component 2 - Coursework </w:t>
      </w:r>
    </w:p>
    <w:p w:rsidR="00000000" w:rsidDel="00000000" w:rsidP="00000000" w:rsidRDefault="00000000" w:rsidRPr="00000000" w14:paraId="00000011">
      <w:pPr>
        <w:rPr>
          <w:b w:val="1"/>
        </w:rPr>
      </w:pPr>
      <w:r w:rsidDel="00000000" w:rsidR="00000000" w:rsidRPr="00000000">
        <w:rPr>
          <w:b w:val="1"/>
          <w:rtl w:val="0"/>
        </w:rPr>
        <w:t xml:space="preserve">                       Written Report </w:t>
      </w:r>
    </w:p>
    <w:p w:rsidR="00000000" w:rsidDel="00000000" w:rsidP="00000000" w:rsidRDefault="00000000" w:rsidRPr="00000000" w14:paraId="00000012">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color="000000" w:space="1" w:sz="4" w:val="single"/>
          <w:right w:space="0" w:sz="0" w:val="nil"/>
          <w:between w:space="0" w:sz="0" w:val="nil"/>
        </w:pBdr>
        <w:shd w:fill="auto" w:val="clear"/>
        <w:spacing w:after="240" w:before="360" w:line="259" w:lineRule="auto"/>
        <w:ind w:left="0" w:right="0" w:firstLine="0"/>
        <w:jc w:val="left"/>
        <w:rPr>
          <w:rFonts w:ascii="Times New Roman" w:cs="Times New Roman" w:eastAsia="Times New Roman" w:hAnsi="Times New Roman"/>
          <w:b w:val="1"/>
          <w:i w:val="0"/>
          <w:smallCaps w:val="0"/>
          <w:strike w:val="0"/>
          <w:color w:val="2f5496"/>
          <w:sz w:val="36"/>
          <w:szCs w:val="36"/>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f5496"/>
          <w:sz w:val="36"/>
          <w:szCs w:val="36"/>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360" w:before="36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Calibri" w:cs="Calibri" w:eastAsia="Calibri" w:hAnsi="Calibri"/>
                <w:b w:val="1"/>
                <w:i w:val="0"/>
                <w:smallCaps w:val="1"/>
                <w:strike w:val="0"/>
                <w:color w:val="000000"/>
                <w:sz w:val="22"/>
                <w:szCs w:val="22"/>
                <w:u w:val="singl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360" w:before="36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Calibri" w:cs="Calibri" w:eastAsia="Calibri" w:hAnsi="Calibri"/>
                <w:b w:val="1"/>
                <w:i w:val="0"/>
                <w:smallCaps w:val="1"/>
                <w:strike w:val="0"/>
                <w:color w:val="000000"/>
                <w:sz w:val="22"/>
                <w:szCs w:val="22"/>
                <w:u w:val="single"/>
                <w:shd w:fill="auto" w:val="clear"/>
                <w:vertAlign w:val="baseline"/>
                <w:rtl w:val="0"/>
              </w:rPr>
              <w:t xml:space="preserve">Part 1</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1"/>
                <w:i w:val="0"/>
                <w:smallCaps w:val="1"/>
                <w:strike w:val="0"/>
                <w:color w:val="000000"/>
                <w:sz w:val="22"/>
                <w:szCs w:val="22"/>
                <w:u w:val="none"/>
                <w:shd w:fill="auto" w:val="clear"/>
                <w:vertAlign w:val="baseline"/>
                <w:rtl w:val="0"/>
              </w:rPr>
              <w:t xml:space="preserve">Answer (a): Dataset Analysis</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1"/>
                <w:i w:val="0"/>
                <w:smallCaps w:val="1"/>
                <w:strike w:val="0"/>
                <w:color w:val="000000"/>
                <w:sz w:val="22"/>
                <w:szCs w:val="22"/>
                <w:u w:val="none"/>
                <w:shd w:fill="auto" w:val="clear"/>
                <w:vertAlign w:val="baseline"/>
                <w:rtl w:val="0"/>
              </w:rPr>
              <w:t xml:space="preserve">Answer (b): MS Excel in Presenting Data</w:t>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1"/>
                <w:i w:val="0"/>
                <w:smallCaps w:val="1"/>
                <w:strike w:val="0"/>
                <w:color w:val="000000"/>
                <w:sz w:val="22"/>
                <w:szCs w:val="22"/>
                <w:u w:val="none"/>
                <w:shd w:fill="auto" w:val="clear"/>
                <w:vertAlign w:val="baseline"/>
                <w:rtl w:val="0"/>
              </w:rPr>
              <w:t xml:space="preserve">Answer (c): The Usage of SPSS</w:t>
              <w:tab/>
              <w:t xml:space="preserve">10</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360" w:before="36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Calibri" w:cs="Calibri" w:eastAsia="Calibri" w:hAnsi="Calibri"/>
                <w:b w:val="1"/>
                <w:i w:val="0"/>
                <w:smallCaps w:val="1"/>
                <w:strike w:val="0"/>
                <w:color w:val="000000"/>
                <w:sz w:val="22"/>
                <w:szCs w:val="22"/>
                <w:u w:val="single"/>
                <w:shd w:fill="auto" w:val="clear"/>
                <w:vertAlign w:val="baseline"/>
                <w:rtl w:val="0"/>
              </w:rPr>
              <w:t xml:space="preserve">Part 2: SPSS and Data Mining</w:t>
              <w:tab/>
              <w:t xml:space="preserve">16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Calibri" w:cs="Calibri" w:eastAsia="Calibri" w:hAnsi="Calibri"/>
                <w:b w:val="1"/>
                <w:i w:val="0"/>
                <w:smallCaps w:val="1"/>
                <w:strike w:val="0"/>
                <w:color w:val="000000"/>
                <w:sz w:val="22"/>
                <w:szCs w:val="22"/>
                <w:u w:val="none"/>
                <w:shd w:fill="auto" w:val="clear"/>
                <w:vertAlign w:val="baseline"/>
                <w:rtl w:val="0"/>
              </w:rPr>
              <w:t xml:space="preserve">Answer (a): SPSS, Excel or Tableau - Advantage and Disadvantage</w:t>
              <w:tab/>
              <w:t xml:space="preserve">16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Calibri" w:cs="Calibri" w:eastAsia="Calibri" w:hAnsi="Calibri"/>
                <w:b w:val="0"/>
                <w:i w:val="0"/>
                <w:smallCaps w:val="1"/>
                <w:strike w:val="0"/>
                <w:color w:val="000000"/>
                <w:sz w:val="22"/>
                <w:szCs w:val="22"/>
                <w:u w:val="none"/>
                <w:shd w:fill="auto" w:val="clear"/>
                <w:vertAlign w:val="baseline"/>
                <w:rtl w:val="0"/>
              </w:rPr>
              <w:t xml:space="preserve">SPSS</w:t>
              <w:tab/>
              <w:t xml:space="preserve">16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Calibri" w:cs="Calibri" w:eastAsia="Calibri" w:hAnsi="Calibri"/>
                <w:b w:val="0"/>
                <w:i w:val="0"/>
                <w:smallCaps w:val="1"/>
                <w:strike w:val="0"/>
                <w:color w:val="000000"/>
                <w:sz w:val="22"/>
                <w:szCs w:val="22"/>
                <w:u w:val="none"/>
                <w:shd w:fill="auto" w:val="clear"/>
                <w:vertAlign w:val="baseline"/>
                <w:rtl w:val="0"/>
              </w:rPr>
              <w:t xml:space="preserve">Excel</w:t>
              <w:tab/>
              <w:t xml:space="preserve">16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Calibri" w:cs="Calibri" w:eastAsia="Calibri" w:hAnsi="Calibri"/>
                <w:b w:val="0"/>
                <w:i w:val="0"/>
                <w:smallCaps w:val="1"/>
                <w:strike w:val="0"/>
                <w:color w:val="000000"/>
                <w:sz w:val="22"/>
                <w:szCs w:val="22"/>
                <w:u w:val="none"/>
                <w:shd w:fill="auto" w:val="clear"/>
                <w:vertAlign w:val="baseline"/>
                <w:rtl w:val="0"/>
              </w:rPr>
              <w:t xml:space="preserve">Tableau</w:t>
              <w:tab/>
              <w:t xml:space="preserve">17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Calibri" w:cs="Calibri" w:eastAsia="Calibri" w:hAnsi="Calibri"/>
                <w:b w:val="1"/>
                <w:i w:val="0"/>
                <w:smallCaps w:val="1"/>
                <w:strike w:val="0"/>
                <w:color w:val="000000"/>
                <w:sz w:val="22"/>
                <w:szCs w:val="22"/>
                <w:u w:val="none"/>
                <w:shd w:fill="auto" w:val="clear"/>
                <w:vertAlign w:val="baseline"/>
                <w:rtl w:val="0"/>
              </w:rPr>
              <w:t xml:space="preserve">Answer (b): Data Mining Cycle</w:t>
              <w:tab/>
              <w:t xml:space="preserve">17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360" w:before="36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Calibri" w:cs="Calibri" w:eastAsia="Calibri" w:hAnsi="Calibri"/>
                <w:b w:val="1"/>
                <w:i w:val="0"/>
                <w:smallCaps w:val="1"/>
                <w:strike w:val="0"/>
                <w:color w:val="000000"/>
                <w:sz w:val="22"/>
                <w:szCs w:val="22"/>
                <w:u w:val="single"/>
                <w:shd w:fill="auto" w:val="clear"/>
                <w:vertAlign w:val="baseline"/>
                <w:rtl w:val="0"/>
              </w:rPr>
              <w:t xml:space="preserve">Conclusion</w:t>
              <w:tab/>
              <w:t xml:space="preserve">19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360" w:before="36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Calibri" w:cs="Calibri" w:eastAsia="Calibri" w:hAnsi="Calibri"/>
                <w:b w:val="1"/>
                <w:i w:val="0"/>
                <w:smallCaps w:val="1"/>
                <w:strike w:val="0"/>
                <w:color w:val="000000"/>
                <w:sz w:val="22"/>
                <w:szCs w:val="22"/>
                <w:u w:val="single"/>
                <w:shd w:fill="auto" w:val="clear"/>
                <w:vertAlign w:val="baseline"/>
                <w:rtl w:val="0"/>
              </w:rPr>
              <w:t xml:space="preserve">References</w:t>
              <w:tab/>
              <w:t xml:space="preserve">20</w:t>
            </w:r>
          </w:hyperlink>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spacing w:after="160" w:before="0" w:line="259" w:lineRule="auto"/>
        <w:jc w:val="left"/>
        <w:rPr>
          <w:i w:val="1"/>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24">
      <w:pPr>
        <w:rPr/>
      </w:pPr>
      <w:r w:rsidDel="00000000" w:rsidR="00000000" w:rsidRPr="00000000">
        <w:rPr>
          <w:rtl w:val="0"/>
        </w:rPr>
        <w:t xml:space="preserve">Effective data handling plays a crucial role in modern businesses. This study delves into the realm of data handling and business intelligence, employing Excel and SPSS for analysis. Specifically, it examines the correlation between coffee consumption and health. The investigation delves into the advantages and limitations of Excel, SPSS, and Tableau, while also drawing comparisons and contrasts between these tools. Moreover, the study highlights the significance of the data mine cycle in extracting valuable insights. By leveraging these powerful data analysis platforms, businesses can make informed decisions and optimize their operations. Understanding the strengths and weaknesses of each tool enables organizations to harness the full potential of their data and derive meaningful conclusions for better strategic planning.</w:t>
      </w: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rPr/>
      </w:pPr>
      <w:bookmarkStart w:colFirst="0" w:colLast="0" w:name="_30j0zll" w:id="1"/>
      <w:bookmarkEnd w:id="1"/>
      <w:r w:rsidDel="00000000" w:rsidR="00000000" w:rsidRPr="00000000">
        <w:rPr>
          <w:rtl w:val="0"/>
        </w:rPr>
        <w:t xml:space="preserve">Part 1 </w:t>
      </w:r>
    </w:p>
    <w:p w:rsidR="00000000" w:rsidDel="00000000" w:rsidP="00000000" w:rsidRDefault="00000000" w:rsidRPr="00000000" w14:paraId="00000026">
      <w:pPr>
        <w:pStyle w:val="Heading2"/>
        <w:rPr/>
      </w:pPr>
      <w:bookmarkStart w:colFirst="0" w:colLast="0" w:name="_1fob9te" w:id="2"/>
      <w:bookmarkEnd w:id="2"/>
      <w:r w:rsidDel="00000000" w:rsidR="00000000" w:rsidRPr="00000000">
        <w:rPr>
          <w:rtl w:val="0"/>
        </w:rPr>
        <w:t xml:space="preserve">Answer (a): Dataset Analysis</w:t>
      </w:r>
    </w:p>
    <w:p w:rsidR="00000000" w:rsidDel="00000000" w:rsidP="00000000" w:rsidRDefault="00000000" w:rsidRPr="00000000" w14:paraId="00000027">
      <w:pPr>
        <w:pStyle w:val="Heading4"/>
        <w:rPr/>
      </w:pPr>
      <w:bookmarkStart w:colFirst="0" w:colLast="0" w:name="_3znysh7" w:id="3"/>
      <w:bookmarkEnd w:id="3"/>
      <w:r w:rsidDel="00000000" w:rsidR="00000000" w:rsidRPr="00000000">
        <w:rPr>
          <w:rtl w:val="0"/>
        </w:rPr>
        <w:t xml:space="preserve">Mean Calculation</w:t>
      </w:r>
    </w:p>
    <w:p w:rsidR="00000000" w:rsidDel="00000000" w:rsidP="00000000" w:rsidRDefault="00000000" w:rsidRPr="00000000" w14:paraId="00000028">
      <w:pPr>
        <w:jc w:val="center"/>
        <w:rPr/>
      </w:pPr>
      <w:bookmarkStart w:colFirst="0" w:colLast="0" w:name="_2et92p0" w:id="4"/>
      <w:bookmarkEnd w:id="4"/>
      <w:r w:rsidDel="00000000" w:rsidR="00000000" w:rsidRPr="00000000">
        <w:rPr/>
        <w:drawing>
          <wp:inline distB="0" distT="0" distL="0" distR="0">
            <wp:extent cx="4446869" cy="3038981"/>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446869" cy="3038981"/>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Mean is the average value for a given set of data (Pardos &amp; Heffernan, 2018). Here, the mean value has been calculated using the function AVERAGE. The formula provided is "=AVERAGE(B2:B41)".  This information suggests that an average daily coffee consumption is 3.63 glasses. This equates to approximately 3.63 glasses of coffee each day for the average participant in the study. The average value is a helpful statistic for showing the sampled population's average daily coffee consumption.  </w:t>
      </w:r>
    </w:p>
    <w:p w:rsidR="00000000" w:rsidDel="00000000" w:rsidP="00000000" w:rsidRDefault="00000000" w:rsidRPr="00000000" w14:paraId="0000002A">
      <w:pPr>
        <w:pStyle w:val="Heading4"/>
        <w:rPr/>
      </w:pPr>
      <w:r w:rsidDel="00000000" w:rsidR="00000000" w:rsidRPr="00000000">
        <w:rPr>
          <w:rtl w:val="0"/>
        </w:rPr>
        <w:t xml:space="preserve">Median Calculation</w:t>
      </w:r>
    </w:p>
    <w:p w:rsidR="00000000" w:rsidDel="00000000" w:rsidP="00000000" w:rsidRDefault="00000000" w:rsidRPr="00000000" w14:paraId="0000002B">
      <w:pPr>
        <w:jc w:val="center"/>
        <w:rPr/>
      </w:pPr>
      <w:bookmarkStart w:colFirst="0" w:colLast="0" w:name="_1ksv4uv" w:id="5"/>
      <w:bookmarkEnd w:id="5"/>
      <w:r w:rsidDel="00000000" w:rsidR="00000000" w:rsidRPr="00000000">
        <w:rPr/>
        <w:drawing>
          <wp:inline distB="0" distT="0" distL="0" distR="0">
            <wp:extent cx="4334944" cy="263108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334944" cy="263108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When numbers are arranged in descending or ascending order, however, the value that lies precisely in the center is the median (Rokach &amp; Maimon, 2019). It provides a sign of central tendency which is indicative of the center of the distribution and is unaffected by extreme values. For this, it was determined using the formula =MEDIAN(B2:B41).  If there are any outliers or if coffee consumption isn't distributed normally, the median value may differ from the mean. </w:t>
      </w:r>
    </w:p>
    <w:p w:rsidR="00000000" w:rsidDel="00000000" w:rsidP="00000000" w:rsidRDefault="00000000" w:rsidRPr="00000000" w14:paraId="0000002D">
      <w:pPr>
        <w:pStyle w:val="Heading4"/>
        <w:rPr/>
      </w:pPr>
      <w:r w:rsidDel="00000000" w:rsidR="00000000" w:rsidRPr="00000000">
        <w:rPr>
          <w:rtl w:val="0"/>
        </w:rPr>
        <w:t xml:space="preserve">Mode Calculation</w:t>
      </w:r>
    </w:p>
    <w:p w:rsidR="00000000" w:rsidDel="00000000" w:rsidP="00000000" w:rsidRDefault="00000000" w:rsidRPr="00000000" w14:paraId="0000002E">
      <w:pPr>
        <w:jc w:val="center"/>
        <w:rPr/>
      </w:pPr>
      <w:r w:rsidDel="00000000" w:rsidR="00000000" w:rsidRPr="00000000">
        <w:rPr/>
        <w:drawing>
          <wp:inline distB="0" distT="0" distL="0" distR="0">
            <wp:extent cx="4375030" cy="2644837"/>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375030" cy="2644837"/>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rPr/>
      </w:pPr>
      <w:bookmarkStart w:colFirst="0" w:colLast="0" w:name="_44sinio" w:id="6"/>
      <w:bookmarkEnd w:id="6"/>
      <w:r w:rsidDel="00000000" w:rsidR="00000000" w:rsidRPr="00000000">
        <w:rPr>
          <w:rtl w:val="0"/>
        </w:rPr>
        <w:t xml:space="preserve">Schutt &amp; O'Neil (2019) states that the mode of a set of data is the value that occurs most frequently. It is the most prevalent numerical value. The mode has been calculated using the formula '=MODE(B2:B41)'. The median value indicates that the majority of study participants consumed 2 cups of coffee per day. In contrast to the median and mean, which concentrate upon the central tendency of different databases, the mode isolates the most prevalent value (Nisbet, Elder, &amp; Miner, 2019). A median is the intermediate value, whereas a mean is the average value. </w:t>
      </w:r>
    </w:p>
    <w:p w:rsidR="00000000" w:rsidDel="00000000" w:rsidP="00000000" w:rsidRDefault="00000000" w:rsidRPr="00000000" w14:paraId="00000030">
      <w:pPr>
        <w:pStyle w:val="Heading4"/>
        <w:rPr/>
      </w:pPr>
      <w:r w:rsidDel="00000000" w:rsidR="00000000" w:rsidRPr="00000000">
        <w:rPr>
          <w:rtl w:val="0"/>
        </w:rPr>
        <w:t xml:space="preserve">Standard Deviation Calculation</w:t>
      </w:r>
    </w:p>
    <w:p w:rsidR="00000000" w:rsidDel="00000000" w:rsidP="00000000" w:rsidRDefault="00000000" w:rsidRPr="00000000" w14:paraId="00000031">
      <w:pPr>
        <w:jc w:val="center"/>
        <w:rPr/>
      </w:pPr>
      <w:r w:rsidDel="00000000" w:rsidR="00000000" w:rsidRPr="00000000">
        <w:rPr/>
        <w:drawing>
          <wp:inline distB="0" distT="0" distL="0" distR="0">
            <wp:extent cx="4715533" cy="3191320"/>
            <wp:effectExtent b="0" l="0" r="0" t="0"/>
            <wp:docPr id="5" name="image5.png"/>
            <a:graphic>
              <a:graphicData uri="http://schemas.openxmlformats.org/drawingml/2006/picture">
                <pic:pic>
                  <pic:nvPicPr>
                    <pic:cNvPr id="0" name="image5.png"/>
                    <pic:cNvPicPr preferRelativeResize="0"/>
                  </pic:nvPicPr>
                  <pic:blipFill>
                    <a:blip r:embed="rId9"/>
                    <a:srcRect b="6684" l="0" r="0" t="0"/>
                    <a:stretch>
                      <a:fillRect/>
                    </a:stretch>
                  </pic:blipFill>
                  <pic:spPr>
                    <a:xfrm>
                      <a:off x="0" y="0"/>
                      <a:ext cx="4715533" cy="319132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rPr>
          <w:b w:val="1"/>
          <w:i w:val="1"/>
        </w:rPr>
      </w:pPr>
      <w:bookmarkStart w:colFirst="0" w:colLast="0" w:name="_2jxsxqh" w:id="7"/>
      <w:bookmarkEnd w:id="7"/>
      <w:r w:rsidDel="00000000" w:rsidR="00000000" w:rsidRPr="00000000">
        <w:rPr>
          <w:rtl w:val="0"/>
        </w:rPr>
        <w:t xml:space="preserve">The standard deviation is a statistical metric that can be utilized to quantify the dispersion of data within a dataset. It is a statistical measurement of the distance between each data point and the mean (James, Witten, Hastie, &amp; Tibshirani, 2017). The formula used to determine the standard deviation is =STDEV.P(C2:C41). The individuals who took part in the present investigation had a significant amount of variance in their health index scores, which is shown by a standard deviation of 13.24, which can be noted in the Health Index Score for this research. The greater the standard deviation, the greater the dispersion of values, that indicates a greater variety of health outcomes among the participants of the study. </w:t>
      </w:r>
      <w:r w:rsidDel="00000000" w:rsidR="00000000" w:rsidRPr="00000000">
        <w:rPr>
          <w:rtl w:val="0"/>
        </w:rPr>
      </w:r>
    </w:p>
    <w:p w:rsidR="00000000" w:rsidDel="00000000" w:rsidP="00000000" w:rsidRDefault="00000000" w:rsidRPr="00000000" w14:paraId="00000033">
      <w:pPr>
        <w:pStyle w:val="Heading4"/>
        <w:rPr/>
      </w:pPr>
      <w:r w:rsidDel="00000000" w:rsidR="00000000" w:rsidRPr="00000000">
        <w:rPr>
          <w:rtl w:val="0"/>
        </w:rPr>
        <w:t xml:space="preserve">Variance Calculation</w:t>
      </w:r>
    </w:p>
    <w:p w:rsidR="00000000" w:rsidDel="00000000" w:rsidP="00000000" w:rsidRDefault="00000000" w:rsidRPr="00000000" w14:paraId="00000034">
      <w:pPr>
        <w:jc w:val="center"/>
        <w:rPr/>
      </w:pPr>
      <w:r w:rsidDel="00000000" w:rsidR="00000000" w:rsidRPr="00000000">
        <w:rPr/>
        <w:drawing>
          <wp:inline distB="0" distT="0" distL="0" distR="0">
            <wp:extent cx="5484679" cy="3345133"/>
            <wp:effectExtent b="0" l="0" r="0" t="0"/>
            <wp:docPr id="4" name="image4.png"/>
            <a:graphic>
              <a:graphicData uri="http://schemas.openxmlformats.org/drawingml/2006/picture">
                <pic:pic>
                  <pic:nvPicPr>
                    <pic:cNvPr id="0" name="image4.png"/>
                    <pic:cNvPicPr preferRelativeResize="0"/>
                  </pic:nvPicPr>
                  <pic:blipFill>
                    <a:blip r:embed="rId10"/>
                    <a:srcRect b="6773" l="0" r="0" t="0"/>
                    <a:stretch>
                      <a:fillRect/>
                    </a:stretch>
                  </pic:blipFill>
                  <pic:spPr>
                    <a:xfrm>
                      <a:off x="0" y="0"/>
                      <a:ext cx="5484679" cy="3345133"/>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The variance of a data set is the mean squared deviation of the data elements from the mean of the set (Chang, Cheng, &amp; Kuo, 2020). It provides a numerical indicator of the dispersion of the values (Kim &amp; Cho, 2018). The variance for daily coffee consumption is 4 cups, whereas the variance for the health index score is 175 cups. The 2 formulas used for this was ‘=VAR.P(B2:B41)’ and ‘=VAR.P(C2:C41)’. The Health Index Score measure has a significantly larger standard deviation than the other variable. This indicates the health index ratings of participants are more variable than the coffee consumption data. In contrast to the smaller dispersion found with coffee consumption, the greater dispersion suggests a wider range of health effects reported by individuals.</w:t>
      </w:r>
    </w:p>
    <w:p w:rsidR="00000000" w:rsidDel="00000000" w:rsidP="00000000" w:rsidRDefault="00000000" w:rsidRPr="00000000" w14:paraId="00000036">
      <w:pPr>
        <w:pStyle w:val="Heading4"/>
        <w:rPr/>
      </w:pPr>
      <w:r w:rsidDel="00000000" w:rsidR="00000000" w:rsidRPr="00000000">
        <w:rPr>
          <w:rtl w:val="0"/>
        </w:rPr>
        <w:t xml:space="preserve">Comparison of SD</w:t>
      </w:r>
    </w:p>
    <w:tbl>
      <w:tblPr>
        <w:tblStyle w:val="Table1"/>
        <w:tblW w:w="9028.0" w:type="dxa"/>
        <w:jc w:val="left"/>
        <w:tblLayout w:type="fixed"/>
        <w:tblLook w:val="0400"/>
      </w:tblPr>
      <w:tblGrid>
        <w:gridCol w:w="2738"/>
        <w:gridCol w:w="3796"/>
        <w:gridCol w:w="2494"/>
        <w:tblGridChange w:id="0">
          <w:tblGrid>
            <w:gridCol w:w="2738"/>
            <w:gridCol w:w="3796"/>
            <w:gridCol w:w="2494"/>
          </w:tblGrid>
        </w:tblGridChange>
      </w:tblGrid>
      <w:tr>
        <w:trPr>
          <w:cantSplit w:val="0"/>
          <w:trHeight w:val="530"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7">
            <w:pPr>
              <w:spacing w:after="0"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4" w:val="single"/>
              <w:left w:color="000000" w:space="0" w:sz="0" w:val="nil"/>
              <w:bottom w:color="000000" w:space="0" w:sz="4" w:val="single"/>
              <w:right w:color="000000" w:space="0" w:sz="4" w:val="single"/>
            </w:tcBorders>
            <w:shd w:fill="a5a5a5" w:val="clear"/>
            <w:vAlign w:val="center"/>
          </w:tcPr>
          <w:p w:rsidR="00000000" w:rsidDel="00000000" w:rsidP="00000000" w:rsidRDefault="00000000" w:rsidRPr="00000000" w14:paraId="00000038">
            <w:pPr>
              <w:spacing w:after="0" w:before="0" w:line="240" w:lineRule="auto"/>
              <w:jc w:val="left"/>
              <w:rPr>
                <w:b w:val="1"/>
                <w:color w:val="ffffff"/>
                <w:sz w:val="20"/>
                <w:szCs w:val="20"/>
              </w:rPr>
            </w:pPr>
            <w:r w:rsidDel="00000000" w:rsidR="00000000" w:rsidRPr="00000000">
              <w:rPr>
                <w:b w:val="1"/>
                <w:color w:val="ffffff"/>
                <w:sz w:val="20"/>
                <w:szCs w:val="20"/>
                <w:rtl w:val="0"/>
              </w:rPr>
              <w:t xml:space="preserve">Coffee Consumption (cups/day)</w:t>
            </w:r>
          </w:p>
        </w:tc>
        <w:tc>
          <w:tcPr>
            <w:tcBorders>
              <w:top w:color="000000" w:space="0" w:sz="4" w:val="single"/>
              <w:left w:color="000000" w:space="0" w:sz="0" w:val="nil"/>
              <w:bottom w:color="000000" w:space="0" w:sz="4" w:val="single"/>
              <w:right w:color="000000" w:space="0" w:sz="4" w:val="single"/>
            </w:tcBorders>
            <w:shd w:fill="a5a5a5" w:val="clear"/>
            <w:vAlign w:val="center"/>
          </w:tcPr>
          <w:p w:rsidR="00000000" w:rsidDel="00000000" w:rsidP="00000000" w:rsidRDefault="00000000" w:rsidRPr="00000000" w14:paraId="00000039">
            <w:pPr>
              <w:spacing w:after="0" w:before="0" w:line="240" w:lineRule="auto"/>
              <w:jc w:val="left"/>
              <w:rPr>
                <w:b w:val="1"/>
                <w:color w:val="ffffff"/>
                <w:sz w:val="20"/>
                <w:szCs w:val="20"/>
              </w:rPr>
            </w:pPr>
            <w:r w:rsidDel="00000000" w:rsidR="00000000" w:rsidRPr="00000000">
              <w:rPr>
                <w:b w:val="1"/>
                <w:color w:val="ffffff"/>
                <w:sz w:val="20"/>
                <w:szCs w:val="20"/>
                <w:rtl w:val="0"/>
              </w:rPr>
              <w:t xml:space="preserve">Health Index Score</w:t>
            </w:r>
          </w:p>
        </w:tc>
      </w:tr>
      <w:tr>
        <w:trPr>
          <w:cantSplit w:val="0"/>
          <w:trHeight w:val="530" w:hRule="atLeast"/>
          <w:tblHeader w:val="0"/>
        </w:trPr>
        <w:tc>
          <w:tcPr>
            <w:tcBorders>
              <w:top w:color="000000" w:space="0" w:sz="0" w:val="nil"/>
              <w:left w:color="000000" w:space="0" w:sz="4" w:val="single"/>
              <w:bottom w:color="000000" w:space="0" w:sz="4" w:val="single"/>
              <w:right w:color="000000" w:space="0" w:sz="4" w:val="single"/>
            </w:tcBorders>
            <w:shd w:fill="dbdbdb" w:val="clear"/>
            <w:vAlign w:val="center"/>
          </w:tcPr>
          <w:p w:rsidR="00000000" w:rsidDel="00000000" w:rsidP="00000000" w:rsidRDefault="00000000" w:rsidRPr="00000000" w14:paraId="0000003A">
            <w:pPr>
              <w:spacing w:after="0" w:before="0" w:line="240" w:lineRule="auto"/>
              <w:jc w:val="left"/>
              <w:rPr>
                <w:color w:val="000000"/>
                <w:sz w:val="20"/>
                <w:szCs w:val="20"/>
              </w:rPr>
            </w:pPr>
            <w:r w:rsidDel="00000000" w:rsidR="00000000" w:rsidRPr="00000000">
              <w:rPr>
                <w:color w:val="000000"/>
                <w:sz w:val="20"/>
                <w:szCs w:val="20"/>
                <w:rtl w:val="0"/>
              </w:rPr>
              <w:t xml:space="preserve">Standard Deviation</w:t>
            </w:r>
          </w:p>
        </w:tc>
        <w:tc>
          <w:tcPr>
            <w:tcBorders>
              <w:top w:color="000000" w:space="0" w:sz="0" w:val="nil"/>
              <w:left w:color="000000" w:space="0" w:sz="0" w:val="nil"/>
              <w:bottom w:color="000000" w:space="0" w:sz="4" w:val="single"/>
              <w:right w:color="000000" w:space="0" w:sz="4" w:val="single"/>
            </w:tcBorders>
            <w:shd w:fill="dbdbdb" w:val="clear"/>
            <w:vAlign w:val="center"/>
          </w:tcPr>
          <w:p w:rsidR="00000000" w:rsidDel="00000000" w:rsidP="00000000" w:rsidRDefault="00000000" w:rsidRPr="00000000" w14:paraId="0000003B">
            <w:pPr>
              <w:spacing w:after="0" w:before="0" w:line="240" w:lineRule="auto"/>
              <w:jc w:val="right"/>
              <w:rPr>
                <w:color w:val="000000"/>
                <w:sz w:val="20"/>
                <w:szCs w:val="20"/>
              </w:rPr>
            </w:pPr>
            <w:r w:rsidDel="00000000" w:rsidR="00000000" w:rsidRPr="00000000">
              <w:rPr>
                <w:color w:val="000000"/>
                <w:sz w:val="20"/>
                <w:szCs w:val="20"/>
                <w:rtl w:val="0"/>
              </w:rPr>
              <w:t xml:space="preserve">2.06</w:t>
            </w:r>
          </w:p>
        </w:tc>
        <w:tc>
          <w:tcPr>
            <w:tcBorders>
              <w:top w:color="000000" w:space="0" w:sz="0" w:val="nil"/>
              <w:left w:color="000000" w:space="0" w:sz="0" w:val="nil"/>
              <w:bottom w:color="000000" w:space="0" w:sz="4" w:val="single"/>
              <w:right w:color="000000" w:space="0" w:sz="4" w:val="single"/>
            </w:tcBorders>
            <w:shd w:fill="dbdbdb" w:val="clear"/>
            <w:vAlign w:val="center"/>
          </w:tcPr>
          <w:p w:rsidR="00000000" w:rsidDel="00000000" w:rsidP="00000000" w:rsidRDefault="00000000" w:rsidRPr="00000000" w14:paraId="0000003C">
            <w:pPr>
              <w:spacing w:after="0" w:before="0" w:line="240" w:lineRule="auto"/>
              <w:jc w:val="right"/>
              <w:rPr>
                <w:color w:val="000000"/>
                <w:sz w:val="20"/>
                <w:szCs w:val="20"/>
              </w:rPr>
            </w:pPr>
            <w:r w:rsidDel="00000000" w:rsidR="00000000" w:rsidRPr="00000000">
              <w:rPr>
                <w:color w:val="000000"/>
                <w:sz w:val="20"/>
                <w:szCs w:val="20"/>
                <w:rtl w:val="0"/>
              </w:rPr>
              <w:t xml:space="preserve">13.24</w:t>
            </w:r>
          </w:p>
        </w:tc>
      </w:tr>
    </w:tbl>
    <w:p w:rsidR="00000000" w:rsidDel="00000000" w:rsidP="00000000" w:rsidRDefault="00000000" w:rsidRPr="00000000" w14:paraId="0000003D">
      <w:pPr>
        <w:rPr/>
      </w:pPr>
      <w:r w:rsidDel="00000000" w:rsidR="00000000" w:rsidRPr="00000000">
        <w:rPr>
          <w:rtl w:val="0"/>
        </w:rPr>
        <w:t xml:space="preserve">Standard deviation is a helpful tool for establishing comparisons between variables since it quantifies the range of potential values within a particular variable. It measures how much outliers deviate from the norm for a specific metric. The level of unpredictability between two variables can be determined by analyzing their standard deviations. Standard deviations for the Health Index Score and the number of cups of coffee consumed daily are 13.24 and 2.05, respectively, according to the data presented. Greater variety in health outcomes is indicated by a larger standard deviation for the Health Index Score variable. When compared to coffee consumption, this suggests a more diverse range of health outcomes, suggesting that several factors may influence the health index score. </w:t>
      </w:r>
    </w:p>
    <w:p w:rsidR="00000000" w:rsidDel="00000000" w:rsidP="00000000" w:rsidRDefault="00000000" w:rsidRPr="00000000" w14:paraId="0000003E">
      <w:pPr>
        <w:pStyle w:val="Heading4"/>
        <w:rPr/>
      </w:pPr>
      <w:r w:rsidDel="00000000" w:rsidR="00000000" w:rsidRPr="00000000">
        <w:rPr>
          <w:rtl w:val="0"/>
        </w:rPr>
        <w:t xml:space="preserve">Analysis</w:t>
      </w:r>
    </w:p>
    <w:p w:rsidR="00000000" w:rsidDel="00000000" w:rsidP="00000000" w:rsidRDefault="00000000" w:rsidRPr="00000000" w14:paraId="0000003F">
      <w:pPr>
        <w:rPr/>
      </w:pPr>
      <w:r w:rsidDel="00000000" w:rsidR="00000000" w:rsidRPr="00000000">
        <w:rPr>
          <w:rtl w:val="0"/>
        </w:rPr>
        <w:t xml:space="preserve">The standard deviations and variance are important for such comparisons (Nisbet, Elder, &amp; Miner, 2019). They illustrate how far data points are from a variable's mean, revealing its range or dispersion. The standard deviation measures the average data dispersion around a variable's mean (Rokach &amp; Maimon, 2019). That's variance's square root. Higher standard deviations suggest more value dispersion and changeable variability (James, Witten, Hastie, &amp; Tibshirani, 2017). Standard deviation measures each data point's distance from the average, whereas variance measures its variation around the mean. It shows value dispersion numerically. Variables with high variance have a wider range of values.</w:t>
      </w:r>
    </w:p>
    <w:p w:rsidR="00000000" w:rsidDel="00000000" w:rsidP="00000000" w:rsidRDefault="00000000" w:rsidRPr="00000000" w14:paraId="00000040">
      <w:pPr>
        <w:rPr/>
      </w:pPr>
      <w:r w:rsidDel="00000000" w:rsidR="00000000" w:rsidRPr="00000000">
        <w:rPr>
          <w:rtl w:val="0"/>
        </w:rPr>
        <w:t xml:space="preserve">The difference across Health Index Scores is 13.24, while Coffee Consumption (cups/day) is 2.06. Health Index Score data are more likely than Coffee Consumption statistics to be substantially different from the mean. Coffee consumption variance is 4.23 and Health Index Score variance is 175.39. Health Index Score Variance exceeds Coffee Consumption Variance, suggesting larger data dispersion and variability. Thus, standard deviation and variance numbers reveal each variable's dispersion and variability. The Health Index Score has a higher standard deviation and variation than Coffee Consumption, indicating a wider range of health implications and values.</w:t>
      </w:r>
    </w:p>
    <w:p w:rsidR="00000000" w:rsidDel="00000000" w:rsidP="00000000" w:rsidRDefault="00000000" w:rsidRPr="00000000" w14:paraId="00000041">
      <w:pPr>
        <w:pStyle w:val="Heading2"/>
        <w:rPr/>
      </w:pPr>
      <w:bookmarkStart w:colFirst="0" w:colLast="0" w:name="_z337ya" w:id="8"/>
      <w:bookmarkEnd w:id="8"/>
      <w:r w:rsidDel="00000000" w:rsidR="00000000" w:rsidRPr="00000000">
        <w:rPr>
          <w:rtl w:val="0"/>
        </w:rPr>
        <w:t xml:space="preserve">Answer (b): MS Excel in Presenting Data</w:t>
      </w:r>
    </w:p>
    <w:p w:rsidR="00000000" w:rsidDel="00000000" w:rsidP="00000000" w:rsidRDefault="00000000" w:rsidRPr="00000000" w14:paraId="00000042">
      <w:pPr>
        <w:rPr/>
      </w:pPr>
      <w:r w:rsidDel="00000000" w:rsidR="00000000" w:rsidRPr="00000000">
        <w:rPr>
          <w:rtl w:val="0"/>
        </w:rPr>
        <w:t xml:space="preserve">In this case, we will utilize Microsoft Excel's Pivot table functionality to display the data. According to Pardos &amp; Heffernan (2018), pivot tables are one of Excel's most useful and effective features. To generate the necessary pivot table in Excel, the following steps must be taken. Selecting the whole dataset, comprising both column and row names, is the first step. Select the "Insert" tab from the Excel ribbon, and then click the "PivotTable" button to open the "Create PivotTable" conversation box. </w:t>
      </w:r>
    </w:p>
    <w:p w:rsidR="00000000" w:rsidDel="00000000" w:rsidP="00000000" w:rsidRDefault="00000000" w:rsidRPr="00000000" w14:paraId="00000043">
      <w:pPr>
        <w:rPr/>
      </w:pPr>
      <w:r w:rsidDel="00000000" w:rsidR="00000000" w:rsidRPr="00000000">
        <w:rPr/>
        <w:drawing>
          <wp:inline distB="0" distT="0" distL="0" distR="0">
            <wp:extent cx="5731510" cy="3088005"/>
            <wp:effectExtent b="0" l="0" r="0" t="0"/>
            <wp:docPr id="7"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731510" cy="3088005"/>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Next, we reference a table or range that includes the dataset using the "Select a table or range" option within the "Create PivotTable" dialogue box. We make sure the new or existing worksheet or workbook is selected as the destination for the pivot table. After selecting "OK" to initiate the creation of a new blank pivot table, the "PivotTable Fields" section will open on the right side of the window. </w:t>
      </w:r>
    </w:p>
    <w:p w:rsidR="00000000" w:rsidDel="00000000" w:rsidP="00000000" w:rsidRDefault="00000000" w:rsidRPr="00000000" w14:paraId="00000045">
      <w:pPr>
        <w:jc w:val="center"/>
        <w:rPr/>
      </w:pPr>
      <w:r w:rsidDel="00000000" w:rsidR="00000000" w:rsidRPr="00000000">
        <w:rPr/>
        <w:drawing>
          <wp:inline distB="0" distT="0" distL="0" distR="0">
            <wp:extent cx="5731510" cy="3090545"/>
            <wp:effectExtent b="0" l="0" r="0" t="0"/>
            <wp:docPr id="6"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731510" cy="3090545"/>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Field names from the dataset, such "ID," "Coffee Consumption," and "Health Index Score," may be viewed in the "PivotTable Fields" section. We switch the "Health Index Score" column to the "Values" column and the "Coffee Consumption" column to the "Rows" column in the pivot table. The values we provide in Excel's "Values" box will sum up automatically. The "Coffee Consumption (cups/day)" field must then be dragged into the "Filters" area to enable consumption-based filtering. As a result, we may restrict our view of the pivot table to only include records with the desired ID(s).  We may rearrange the fields in the "PivotTable Fields" pane by dragging them between the "Rows," "Columns," and "Values" sections. </w:t>
      </w:r>
    </w:p>
    <w:p w:rsidR="00000000" w:rsidDel="00000000" w:rsidP="00000000" w:rsidRDefault="00000000" w:rsidRPr="00000000" w14:paraId="00000047">
      <w:pPr>
        <w:rPr/>
      </w:pPr>
      <w:r w:rsidDel="00000000" w:rsidR="00000000" w:rsidRPr="00000000">
        <w:rPr/>
        <w:drawing>
          <wp:inline distB="0" distT="0" distL="0" distR="0">
            <wp:extent cx="5731510" cy="3038475"/>
            <wp:effectExtent b="0" l="0" r="0" t="0"/>
            <wp:docPr id="9"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5731510" cy="3038475"/>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At long last, we can customize the layout of the pivot chart to make it work better for us. We may modify the visual appeal of the pivot table by adjusting the column widths, number formats, and style settings. By following these instructions, you can generate an ID-based filterable pivot table in Excel that displays the Health Index Score for every Coffee Consumption number. </w:t>
      </w:r>
    </w:p>
    <w:p w:rsidR="00000000" w:rsidDel="00000000" w:rsidP="00000000" w:rsidRDefault="00000000" w:rsidRPr="00000000" w14:paraId="00000049">
      <w:pPr>
        <w:pStyle w:val="Heading2"/>
        <w:rPr/>
      </w:pPr>
      <w:bookmarkStart w:colFirst="0" w:colLast="0" w:name="_3j2qqm3" w:id="9"/>
      <w:bookmarkEnd w:id="9"/>
      <w:r w:rsidDel="00000000" w:rsidR="00000000" w:rsidRPr="00000000">
        <w:rPr>
          <w:rtl w:val="0"/>
        </w:rPr>
        <w:t xml:space="preserve">Answer (c): The Usage of SPSS</w:t>
      </w:r>
    </w:p>
    <w:p w:rsidR="00000000" w:rsidDel="00000000" w:rsidP="00000000" w:rsidRDefault="00000000" w:rsidRPr="00000000" w14:paraId="0000004A">
      <w:pPr>
        <w:pStyle w:val="Heading4"/>
        <w:rPr/>
      </w:pPr>
      <w:bookmarkStart w:colFirst="0" w:colLast="0" w:name="_1y810tw" w:id="10"/>
      <w:bookmarkEnd w:id="10"/>
      <w:r w:rsidDel="00000000" w:rsidR="00000000" w:rsidRPr="00000000">
        <w:rPr>
          <w:rtl w:val="0"/>
        </w:rPr>
        <w:t xml:space="preserve">Correlation</w:t>
      </w:r>
    </w:p>
    <w:p w:rsidR="00000000" w:rsidDel="00000000" w:rsidP="00000000" w:rsidRDefault="00000000" w:rsidRPr="00000000" w14:paraId="0000004B">
      <w:pPr>
        <w:rPr/>
      </w:pPr>
      <w:r w:rsidDel="00000000" w:rsidR="00000000" w:rsidRPr="00000000">
        <w:rPr>
          <w:rtl w:val="0"/>
        </w:rPr>
        <w:t xml:space="preserve">Finding the association requires first importing the given data into SPSS. Assuming SPSS has already been started, the dataset may be imported by going to "File" &gt; "Open" &gt; "Data" from the main menu. </w:t>
      </w:r>
    </w:p>
    <w:p w:rsidR="00000000" w:rsidDel="00000000" w:rsidP="00000000" w:rsidRDefault="00000000" w:rsidRPr="00000000" w14:paraId="0000004C">
      <w:pPr>
        <w:jc w:val="center"/>
        <w:rPr/>
      </w:pPr>
      <w:r w:rsidDel="00000000" w:rsidR="00000000" w:rsidRPr="00000000">
        <w:rPr/>
        <w:drawing>
          <wp:inline distB="0" distT="0" distL="0" distR="0">
            <wp:extent cx="3608633" cy="3871704"/>
            <wp:effectExtent b="0" l="0" r="0" t="0"/>
            <wp:docPr id="8"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3608633" cy="3871704"/>
                    </a:xfrm>
                    <a:prstGeom prst="rect"/>
                    <a:ln/>
                  </pic:spPr>
                </pic:pic>
              </a:graphicData>
            </a:graphic>
          </wp:inline>
        </w:drawing>
      </w:r>
      <w:r w:rsidDel="00000000" w:rsidR="00000000" w:rsidRPr="00000000">
        <w:rPr/>
        <w:drawing>
          <wp:inline distB="0" distT="0" distL="0" distR="0">
            <wp:extent cx="3587699" cy="3849245"/>
            <wp:effectExtent b="0" l="0" r="0" t="0"/>
            <wp:docPr id="12" name="image12.png"/>
            <a:graphic>
              <a:graphicData uri="http://schemas.openxmlformats.org/drawingml/2006/picture">
                <pic:pic>
                  <pic:nvPicPr>
                    <pic:cNvPr id="0" name="image12.png"/>
                    <pic:cNvPicPr preferRelativeResize="0"/>
                  </pic:nvPicPr>
                  <pic:blipFill>
                    <a:blip r:embed="rId15"/>
                    <a:srcRect b="0" l="0" r="0" t="0"/>
                    <a:stretch>
                      <a:fillRect/>
                    </a:stretch>
                  </pic:blipFill>
                  <pic:spPr>
                    <a:xfrm>
                      <a:off x="0" y="0"/>
                      <a:ext cx="3587699" cy="3849245"/>
                    </a:xfrm>
                    <a:prstGeom prst="rect"/>
                    <a:ln/>
                  </pic:spPr>
                </pic:pic>
              </a:graphicData>
            </a:graphic>
          </wp:inline>
        </w:drawing>
      </w:r>
      <w:r w:rsidDel="00000000" w:rsidR="00000000" w:rsidRPr="00000000">
        <w:rPr/>
        <w:drawing>
          <wp:inline distB="0" distT="0" distL="0" distR="0">
            <wp:extent cx="3737503" cy="4009970"/>
            <wp:effectExtent b="0" l="0" r="0" t="0"/>
            <wp:docPr id="10" name="image10.png"/>
            <a:graphic>
              <a:graphicData uri="http://schemas.openxmlformats.org/drawingml/2006/picture">
                <pic:pic>
                  <pic:nvPicPr>
                    <pic:cNvPr id="0" name="image10.png"/>
                    <pic:cNvPicPr preferRelativeResize="0"/>
                  </pic:nvPicPr>
                  <pic:blipFill>
                    <a:blip r:embed="rId16"/>
                    <a:srcRect b="0" l="0" r="0" t="0"/>
                    <a:stretch>
                      <a:fillRect/>
                    </a:stretch>
                  </pic:blipFill>
                  <pic:spPr>
                    <a:xfrm>
                      <a:off x="0" y="0"/>
                      <a:ext cx="3737503" cy="4009970"/>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Once the data has been imported, select "Analyse" &gt; "Correlate" &gt; "Bivariate" to open the "Bivariate Correlations" dialogue box. After selecting our choices in the dialogue box, we will click "OK" to start the correlation analysis. </w:t>
      </w:r>
    </w:p>
    <w:p w:rsidR="00000000" w:rsidDel="00000000" w:rsidP="00000000" w:rsidRDefault="00000000" w:rsidRPr="00000000" w14:paraId="0000004E">
      <w:pPr>
        <w:jc w:val="center"/>
        <w:rPr/>
      </w:pPr>
      <w:r w:rsidDel="00000000" w:rsidR="00000000" w:rsidRPr="00000000">
        <w:rPr/>
        <w:drawing>
          <wp:inline distB="0" distT="0" distL="0" distR="0">
            <wp:extent cx="2860597" cy="2534388"/>
            <wp:effectExtent b="0" l="0" r="0" t="0"/>
            <wp:docPr id="11" name="image11.png"/>
            <a:graphic>
              <a:graphicData uri="http://schemas.openxmlformats.org/drawingml/2006/picture">
                <pic:pic>
                  <pic:nvPicPr>
                    <pic:cNvPr id="0" name="image11.png"/>
                    <pic:cNvPicPr preferRelativeResize="0"/>
                  </pic:nvPicPr>
                  <pic:blipFill>
                    <a:blip r:embed="rId17"/>
                    <a:srcRect b="0" l="0" r="0" t="0"/>
                    <a:stretch>
                      <a:fillRect/>
                    </a:stretch>
                  </pic:blipFill>
                  <pic:spPr>
                    <a:xfrm>
                      <a:off x="0" y="0"/>
                      <a:ext cx="2860597" cy="2534388"/>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When we tell SPSS the variables to use in our analysis, it generates a correlation matrix that details how strongly those variables are linked. In this method, we may get the following correlation: </w:t>
      </w:r>
    </w:p>
    <w:p w:rsidR="00000000" w:rsidDel="00000000" w:rsidP="00000000" w:rsidRDefault="00000000" w:rsidRPr="00000000" w14:paraId="00000050">
      <w:pPr>
        <w:jc w:val="center"/>
        <w:rPr/>
      </w:pPr>
      <w:r w:rsidDel="00000000" w:rsidR="00000000" w:rsidRPr="00000000">
        <w:rPr/>
        <w:drawing>
          <wp:inline distB="0" distT="0" distL="0" distR="0">
            <wp:extent cx="3781425" cy="1981200"/>
            <wp:effectExtent b="0" l="0" r="0" t="0"/>
            <wp:docPr id="13" name="image13.png"/>
            <a:graphic>
              <a:graphicData uri="http://schemas.openxmlformats.org/drawingml/2006/picture">
                <pic:pic>
                  <pic:nvPicPr>
                    <pic:cNvPr id="0" name="image13.png"/>
                    <pic:cNvPicPr preferRelativeResize="0"/>
                  </pic:nvPicPr>
                  <pic:blipFill>
                    <a:blip r:embed="rId18"/>
                    <a:srcRect b="0" l="0" r="0" t="0"/>
                    <a:stretch>
                      <a:fillRect/>
                    </a:stretch>
                  </pic:blipFill>
                  <pic:spPr>
                    <a:xfrm>
                      <a:off x="0" y="0"/>
                      <a:ext cx="3781425" cy="198120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The statistical method known as correlation may be used to evaluate the closeness of a relationship between two variables. It establishes the nature, magnitude, and trajectory of the association between two variables as their values vary over time (Rokach &amp; Maimon, 2019). Given this data, a 0.905 correlation can be shown between average daily coffee consumption and health status. This proves that the health index often increases in parallel with coffee drinking, establishing a strong positive relationship between the two variables. A p-value of 0.000 indicates that the observed correlation is not coincidental, at the 0.01 level of significance. These findings offer support to the hypothesis that a person's coffee intake is associated with their health status, and they do so in a robust and statistically significant way. </w:t>
      </w:r>
    </w:p>
    <w:p w:rsidR="00000000" w:rsidDel="00000000" w:rsidP="00000000" w:rsidRDefault="00000000" w:rsidRPr="00000000" w14:paraId="00000052">
      <w:pPr>
        <w:pStyle w:val="Heading4"/>
        <w:rPr/>
      </w:pPr>
      <w:bookmarkStart w:colFirst="0" w:colLast="0" w:name="_4i7ojhp" w:id="11"/>
      <w:bookmarkEnd w:id="11"/>
      <w:r w:rsidDel="00000000" w:rsidR="00000000" w:rsidRPr="00000000">
        <w:rPr>
          <w:rtl w:val="0"/>
        </w:rPr>
        <w:t xml:space="preserve">Scatterplot Graph</w:t>
      </w:r>
    </w:p>
    <w:p w:rsidR="00000000" w:rsidDel="00000000" w:rsidP="00000000" w:rsidRDefault="00000000" w:rsidRPr="00000000" w14:paraId="00000053">
      <w:pPr>
        <w:rPr/>
      </w:pPr>
      <w:r w:rsidDel="00000000" w:rsidR="00000000" w:rsidRPr="00000000">
        <w:rPr>
          <w:rtl w:val="0"/>
        </w:rPr>
        <w:t xml:space="preserve">A scatterplot graph is a graphical representation of the interaction between two variables on a two-dimensional plane (Murray &amp; Fortinberry, 2022). When SPSS is loaded with the data, go to "Graphs" &gt; "Legacy Dialogues" &gt; "Scatter/Dot." Next, we click "Simple Scatter," enter the x and y axis variables (such as coffee consumption and health index score, for example), and tweak the graph's look as appropriate. </w:t>
      </w:r>
    </w:p>
    <w:p w:rsidR="00000000" w:rsidDel="00000000" w:rsidP="00000000" w:rsidRDefault="00000000" w:rsidRPr="00000000" w14:paraId="00000054">
      <w:pPr>
        <w:jc w:val="center"/>
        <w:rPr/>
      </w:pPr>
      <w:r w:rsidDel="00000000" w:rsidR="00000000" w:rsidRPr="00000000">
        <w:rPr/>
        <w:drawing>
          <wp:inline distB="0" distT="0" distL="0" distR="0">
            <wp:extent cx="3615625" cy="2129446"/>
            <wp:effectExtent b="0" l="0" r="0" t="0"/>
            <wp:docPr id="14" name="image14.png"/>
            <a:graphic>
              <a:graphicData uri="http://schemas.openxmlformats.org/drawingml/2006/picture">
                <pic:pic>
                  <pic:nvPicPr>
                    <pic:cNvPr id="0" name="image14.png"/>
                    <pic:cNvPicPr preferRelativeResize="0"/>
                  </pic:nvPicPr>
                  <pic:blipFill>
                    <a:blip r:embed="rId19"/>
                    <a:srcRect b="0" l="0" r="0" t="0"/>
                    <a:stretch>
                      <a:fillRect/>
                    </a:stretch>
                  </pic:blipFill>
                  <pic:spPr>
                    <a:xfrm>
                      <a:off x="0" y="0"/>
                      <a:ext cx="3615625" cy="2129446"/>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jc w:val="center"/>
        <w:rPr/>
      </w:pPr>
      <w:r w:rsidDel="00000000" w:rsidR="00000000" w:rsidRPr="00000000">
        <w:rPr/>
        <w:drawing>
          <wp:inline distB="0" distT="0" distL="0" distR="0">
            <wp:extent cx="3911918" cy="4197099"/>
            <wp:effectExtent b="0" l="0" r="0" t="0"/>
            <wp:docPr id="15" name="image15.png"/>
            <a:graphic>
              <a:graphicData uri="http://schemas.openxmlformats.org/drawingml/2006/picture">
                <pic:pic>
                  <pic:nvPicPr>
                    <pic:cNvPr id="0" name="image15.png"/>
                    <pic:cNvPicPr preferRelativeResize="0"/>
                  </pic:nvPicPr>
                  <pic:blipFill>
                    <a:blip r:embed="rId20"/>
                    <a:srcRect b="0" l="0" r="0" t="0"/>
                    <a:stretch>
                      <a:fillRect/>
                    </a:stretch>
                  </pic:blipFill>
                  <pic:spPr>
                    <a:xfrm>
                      <a:off x="0" y="0"/>
                      <a:ext cx="3911918" cy="4197099"/>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jc w:val="center"/>
        <w:rPr/>
      </w:pPr>
      <w:r w:rsidDel="00000000" w:rsidR="00000000" w:rsidRPr="00000000">
        <w:rPr/>
        <w:drawing>
          <wp:inline distB="0" distT="0" distL="0" distR="0">
            <wp:extent cx="3765346" cy="4130426"/>
            <wp:effectExtent b="0" l="0" r="0" t="0"/>
            <wp:docPr id="16" name="image16.png"/>
            <a:graphic>
              <a:graphicData uri="http://schemas.openxmlformats.org/drawingml/2006/picture">
                <pic:pic>
                  <pic:nvPicPr>
                    <pic:cNvPr id="0" name="image16.png"/>
                    <pic:cNvPicPr preferRelativeResize="0"/>
                  </pic:nvPicPr>
                  <pic:blipFill>
                    <a:blip r:embed="rId21"/>
                    <a:srcRect b="0" l="0" r="0" t="0"/>
                    <a:stretch>
                      <a:fillRect/>
                    </a:stretch>
                  </pic:blipFill>
                  <pic:spPr>
                    <a:xfrm>
                      <a:off x="0" y="0"/>
                      <a:ext cx="3765346" cy="4130426"/>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Using the supplied data and correlation, SPSS generates a scatterplot graph showing a significant positive linear relationship between coffee intake and the health index score. The following is a representation of a scatter plot: </w:t>
      </w:r>
    </w:p>
    <w:p w:rsidR="00000000" w:rsidDel="00000000" w:rsidP="00000000" w:rsidRDefault="00000000" w:rsidRPr="00000000" w14:paraId="00000058">
      <w:pPr>
        <w:jc w:val="center"/>
        <w:rPr/>
      </w:pPr>
      <w:r w:rsidDel="00000000" w:rsidR="00000000" w:rsidRPr="00000000">
        <w:rPr/>
        <w:drawing>
          <wp:inline distB="0" distT="0" distL="0" distR="0">
            <wp:extent cx="5425664" cy="3057271"/>
            <wp:effectExtent b="0" l="0" r="0" t="0"/>
            <wp:docPr id="17" name="image17.png"/>
            <a:graphic>
              <a:graphicData uri="http://schemas.openxmlformats.org/drawingml/2006/picture">
                <pic:pic>
                  <pic:nvPicPr>
                    <pic:cNvPr id="0" name="image17.png"/>
                    <pic:cNvPicPr preferRelativeResize="0"/>
                  </pic:nvPicPr>
                  <pic:blipFill>
                    <a:blip r:embed="rId22"/>
                    <a:srcRect b="0" l="0" r="0" t="0"/>
                    <a:stretch>
                      <a:fillRect/>
                    </a:stretch>
                  </pic:blipFill>
                  <pic:spPr>
                    <a:xfrm>
                      <a:off x="0" y="0"/>
                      <a:ext cx="5425664" cy="3057271"/>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Indicators of health are showing positive trends in parallel with the rising popularity of coffee use. Given that the points tend to congregate in close proximity to one another above an upward trend, we may deduce that there is a strong positive association. Strong statistical evidence supports this hypothesis, as seen by the correlation of 0.905 between coffee consumption and health index scores.     </w:t>
      </w:r>
    </w:p>
    <w:p w:rsidR="00000000" w:rsidDel="00000000" w:rsidP="00000000" w:rsidRDefault="00000000" w:rsidRPr="00000000" w14:paraId="0000005A">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B">
      <w:pPr>
        <w:pStyle w:val="Heading1"/>
        <w:rPr/>
      </w:pPr>
      <w:bookmarkStart w:colFirst="0" w:colLast="0" w:name="_2xcytpi" w:id="12"/>
      <w:bookmarkEnd w:id="12"/>
      <w:r w:rsidDel="00000000" w:rsidR="00000000" w:rsidRPr="00000000">
        <w:rPr>
          <w:rtl w:val="0"/>
        </w:rPr>
        <w:t xml:space="preserve">Part 2: SPSS and Data Mining</w:t>
      </w:r>
    </w:p>
    <w:p w:rsidR="00000000" w:rsidDel="00000000" w:rsidP="00000000" w:rsidRDefault="00000000" w:rsidRPr="00000000" w14:paraId="0000005C">
      <w:pPr>
        <w:pStyle w:val="Heading2"/>
        <w:rPr/>
      </w:pPr>
      <w:bookmarkStart w:colFirst="0" w:colLast="0" w:name="_1ci93xb" w:id="13"/>
      <w:bookmarkEnd w:id="13"/>
      <w:r w:rsidDel="00000000" w:rsidR="00000000" w:rsidRPr="00000000">
        <w:rPr>
          <w:rtl w:val="0"/>
        </w:rPr>
        <w:t xml:space="preserve">Answer (a): SPSS, Excel or Tableau - Advantage and Disadvantage</w:t>
      </w:r>
    </w:p>
    <w:p w:rsidR="00000000" w:rsidDel="00000000" w:rsidP="00000000" w:rsidRDefault="00000000" w:rsidRPr="00000000" w14:paraId="0000005D">
      <w:pPr>
        <w:pStyle w:val="Heading3"/>
        <w:rPr/>
      </w:pPr>
      <w:bookmarkStart w:colFirst="0" w:colLast="0" w:name="_3whwml4" w:id="14"/>
      <w:bookmarkEnd w:id="14"/>
      <w:r w:rsidDel="00000000" w:rsidR="00000000" w:rsidRPr="00000000">
        <w:rPr>
          <w:rtl w:val="0"/>
        </w:rPr>
        <w:t xml:space="preserve">SPSS</w:t>
      </w:r>
    </w:p>
    <w:p w:rsidR="00000000" w:rsidDel="00000000" w:rsidP="00000000" w:rsidRDefault="00000000" w:rsidRPr="00000000" w14:paraId="0000005E">
      <w:pPr>
        <w:rPr>
          <w:b w:val="1"/>
        </w:rPr>
      </w:pPr>
      <w:r w:rsidDel="00000000" w:rsidR="00000000" w:rsidRPr="00000000">
        <w:rPr>
          <w:rtl w:val="0"/>
        </w:rPr>
        <w:t xml:space="preserve">SPSS (Statistical Package for the Social Sciences) is frequently used because of its robust statistical analysis and data management features (Le Roux, Vlok, &amp; Van Belle, 2021). Academics and data analysts can benefit from its easy-to-use interface and extensive statistical approaches for navigating massive datasets. SPSS also excels in data visualization, allowing users to easily create attention-grabbing charts and graphs to effectively convey their results.</w:t>
      </w:r>
      <w:r w:rsidDel="00000000" w:rsidR="00000000" w:rsidRPr="00000000">
        <w:rPr>
          <w:rtl w:val="0"/>
        </w:rPr>
      </w:r>
    </w:p>
    <w:tbl>
      <w:tblPr>
        <w:tblStyle w:val="Table2"/>
        <w:tblW w:w="9170.0" w:type="dxa"/>
        <w:jc w:val="left"/>
        <w:tblLayout w:type="fixed"/>
        <w:tblLook w:val="0400"/>
      </w:tblPr>
      <w:tblGrid>
        <w:gridCol w:w="4585"/>
        <w:gridCol w:w="4585"/>
        <w:tblGridChange w:id="0">
          <w:tblGrid>
            <w:gridCol w:w="4585"/>
            <w:gridCol w:w="4585"/>
          </w:tblGrid>
        </w:tblGridChange>
      </w:tblGrid>
      <w:tr>
        <w:trPr>
          <w:cantSplit w:val="0"/>
          <w:trHeight w:val="522" w:hRule="atLeast"/>
          <w:tblHeader w:val="0"/>
        </w:trPr>
        <w:tc>
          <w:tcPr>
            <w:gridSpan w:val="2"/>
            <w:tcBorders>
              <w:top w:color="000000" w:space="0" w:sz="4" w:val="single"/>
              <w:left w:color="000000" w:space="0" w:sz="4" w:val="single"/>
              <w:bottom w:color="000000" w:space="0" w:sz="4" w:val="single"/>
              <w:right w:color="000000" w:space="0" w:sz="4" w:val="single"/>
            </w:tcBorders>
            <w:shd w:fill="dbdbdb" w:val="clear"/>
            <w:vAlign w:val="center"/>
          </w:tcPr>
          <w:p w:rsidR="00000000" w:rsidDel="00000000" w:rsidP="00000000" w:rsidRDefault="00000000" w:rsidRPr="00000000" w14:paraId="0000005F">
            <w:pPr>
              <w:spacing w:after="0" w:before="0" w:lineRule="auto"/>
              <w:jc w:val="center"/>
              <w:rPr>
                <w:b w:val="1"/>
                <w:color w:val="000000"/>
              </w:rPr>
            </w:pPr>
            <w:bookmarkStart w:colFirst="0" w:colLast="0" w:name="_2bn6wsx" w:id="15"/>
            <w:bookmarkEnd w:id="15"/>
            <w:r w:rsidDel="00000000" w:rsidR="00000000" w:rsidRPr="00000000">
              <w:rPr>
                <w:b w:val="1"/>
                <w:color w:val="000000"/>
                <w:rtl w:val="0"/>
              </w:rPr>
              <w:t xml:space="preserve">SPSS</w:t>
            </w:r>
          </w:p>
        </w:tc>
      </w:tr>
      <w:tr>
        <w:trPr>
          <w:cantSplit w:val="0"/>
          <w:trHeight w:val="609"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1">
            <w:pPr>
              <w:spacing w:after="0" w:before="0" w:lineRule="auto"/>
              <w:jc w:val="center"/>
              <w:rPr>
                <w:b w:val="1"/>
                <w:color w:val="000000"/>
              </w:rPr>
            </w:pPr>
            <w:r w:rsidDel="00000000" w:rsidR="00000000" w:rsidRPr="00000000">
              <w:rPr>
                <w:b w:val="1"/>
                <w:color w:val="000000"/>
                <w:rtl w:val="0"/>
              </w:rPr>
              <w:t xml:space="preserve">Advantage</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62">
            <w:pPr>
              <w:spacing w:after="0" w:before="0" w:lineRule="auto"/>
              <w:jc w:val="center"/>
              <w:rPr>
                <w:b w:val="1"/>
                <w:color w:val="000000"/>
              </w:rPr>
            </w:pPr>
            <w:r w:rsidDel="00000000" w:rsidR="00000000" w:rsidRPr="00000000">
              <w:rPr>
                <w:b w:val="1"/>
                <w:color w:val="000000"/>
                <w:rtl w:val="0"/>
              </w:rPr>
              <w:t xml:space="preserve">Disadvantage</w:t>
            </w:r>
          </w:p>
        </w:tc>
      </w:tr>
      <w:tr>
        <w:trPr>
          <w:cantSplit w:val="0"/>
          <w:trHeight w:val="4805"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3">
            <w:pPr>
              <w:spacing w:after="0" w:before="0" w:lineRule="auto"/>
              <w:jc w:val="left"/>
              <w:rPr>
                <w:color w:val="000000"/>
              </w:rPr>
            </w:pPr>
            <w:r w:rsidDel="00000000" w:rsidR="00000000" w:rsidRPr="00000000">
              <w:rPr>
                <w:color w:val="000000"/>
                <w:rtl w:val="0"/>
              </w:rPr>
              <w:t xml:space="preserve">SPSS excels because of the variety of statistical procedures it provides. For example, regression analysis may be used by social science researchers to investigate potential causal relationships between variables, whereas component analysis can be used to uncover latent featur</w:t>
            </w:r>
            <w:r w:rsidDel="00000000" w:rsidR="00000000" w:rsidRPr="00000000">
              <w:rPr>
                <w:rtl w:val="0"/>
              </w:rPr>
              <w:t xml:space="preserve">es (Nisbet, Elder, &amp; Miner, 2019).</w:t>
            </w:r>
            <w:r w:rsidDel="00000000" w:rsidR="00000000" w:rsidRPr="00000000">
              <w:rPr>
                <w:color w:val="000000"/>
                <w:rtl w:val="0"/>
              </w:rPr>
              <w:t xml:space="preserve"> One other advantage of SPSS is that it has built-in tools for data visualization, allowing users to create engaging graphs and charts. When communicating statistical findings to customers or other stakeholders, this is a huge aid.</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64">
            <w:pPr>
              <w:spacing w:after="0" w:before="0" w:lineRule="auto"/>
              <w:jc w:val="left"/>
              <w:rPr>
                <w:color w:val="000000"/>
              </w:rPr>
            </w:pPr>
            <w:r w:rsidDel="00000000" w:rsidR="00000000" w:rsidRPr="00000000">
              <w:rPr>
                <w:color w:val="000000"/>
                <w:rtl w:val="0"/>
              </w:rPr>
              <w:t xml:space="preserve">However, there are a few drawbacks to using SPSS that should be taken into account. The initial concern is that it could experience performance issues when dealing with huge datasets. Second, if you want to get the most out of the Programmer’s more advanced statistical approaches, you might need to brush up on your </w:t>
            </w:r>
            <w:r w:rsidDel="00000000" w:rsidR="00000000" w:rsidRPr="00000000">
              <w:rPr>
                <w:rtl w:val="0"/>
              </w:rPr>
              <w:t xml:space="preserve">SPSS syntax (Rokach &amp; Maimon, 2019). In additi</w:t>
            </w:r>
            <w:r w:rsidDel="00000000" w:rsidR="00000000" w:rsidRPr="00000000">
              <w:rPr>
                <w:color w:val="000000"/>
                <w:rtl w:val="0"/>
              </w:rPr>
              <w:t xml:space="preserve">on, the cost of licenses might be out of reach for small firms and individuals. By analyzing patient data, a medical researcher, for instance, might ascertain a medication's effectiveness. t-tests and chi-square tests may be performed on the data, and graphs and scatter plots can be used to display the findings. </w:t>
            </w:r>
          </w:p>
        </w:tc>
      </w:tr>
    </w:tbl>
    <w:p w:rsidR="00000000" w:rsidDel="00000000" w:rsidP="00000000" w:rsidRDefault="00000000" w:rsidRPr="00000000" w14:paraId="00000065">
      <w:pPr>
        <w:pStyle w:val="Heading2"/>
        <w:rPr/>
      </w:pPr>
      <w:r w:rsidDel="00000000" w:rsidR="00000000" w:rsidRPr="00000000">
        <w:rPr>
          <w:rtl w:val="0"/>
        </w:rPr>
      </w:r>
    </w:p>
    <w:p w:rsidR="00000000" w:rsidDel="00000000" w:rsidP="00000000" w:rsidRDefault="00000000" w:rsidRPr="00000000" w14:paraId="00000066">
      <w:pPr>
        <w:pStyle w:val="Heading3"/>
        <w:rPr/>
      </w:pPr>
      <w:bookmarkStart w:colFirst="0" w:colLast="0" w:name="_17dp8vu" w:id="16"/>
      <w:bookmarkEnd w:id="16"/>
      <w:r w:rsidDel="00000000" w:rsidR="00000000" w:rsidRPr="00000000">
        <w:rPr>
          <w:rtl w:val="0"/>
        </w:rPr>
        <w:t xml:space="preserve">Excel</w:t>
      </w:r>
    </w:p>
    <w:p w:rsidR="00000000" w:rsidDel="00000000" w:rsidP="00000000" w:rsidRDefault="00000000" w:rsidRPr="00000000" w14:paraId="00000067">
      <w:pPr>
        <w:rPr/>
      </w:pPr>
      <w:r w:rsidDel="00000000" w:rsidR="00000000" w:rsidRPr="00000000">
        <w:rPr>
          <w:rtl w:val="0"/>
        </w:rPr>
        <w:t xml:space="preserve">Microsoft Excel is a widely used and accessible spreadsheet programmer that features a wide variety of functions for numerical calculation, graphical representation, and statistical analysis. Because the math and user interface are so simple, it is widely used. Easy computation, table construction, and chart creation are only some of Excel's many strengths (James, Witten, Hastie, &amp; Tibshirani, 2017).</w:t>
      </w:r>
    </w:p>
    <w:p w:rsidR="00000000" w:rsidDel="00000000" w:rsidP="00000000" w:rsidRDefault="00000000" w:rsidRPr="00000000" w14:paraId="00000068">
      <w:pPr>
        <w:rPr/>
      </w:pPr>
      <w:r w:rsidDel="00000000" w:rsidR="00000000" w:rsidRPr="00000000">
        <w:br w:type="page"/>
      </w:r>
      <w:r w:rsidDel="00000000" w:rsidR="00000000" w:rsidRPr="00000000">
        <w:rPr>
          <w:rtl w:val="0"/>
        </w:rPr>
      </w:r>
    </w:p>
    <w:tbl>
      <w:tblPr>
        <w:tblStyle w:val="Table3"/>
        <w:tblW w:w="9200.0" w:type="dxa"/>
        <w:jc w:val="left"/>
        <w:tblLayout w:type="fixed"/>
        <w:tblLook w:val="0400"/>
      </w:tblPr>
      <w:tblGrid>
        <w:gridCol w:w="3775"/>
        <w:gridCol w:w="5425"/>
        <w:tblGridChange w:id="0">
          <w:tblGrid>
            <w:gridCol w:w="3775"/>
            <w:gridCol w:w="5425"/>
          </w:tblGrid>
        </w:tblGridChange>
      </w:tblGrid>
      <w:tr>
        <w:trPr>
          <w:cantSplit w:val="0"/>
          <w:trHeight w:val="315" w:hRule="atLeast"/>
          <w:tblHeader w:val="0"/>
        </w:trPr>
        <w:tc>
          <w:tcPr>
            <w:gridSpan w:val="2"/>
            <w:tcBorders>
              <w:top w:color="000000" w:space="0" w:sz="4" w:val="single"/>
              <w:left w:color="000000" w:space="0" w:sz="4" w:val="single"/>
              <w:bottom w:color="000000" w:space="0" w:sz="4" w:val="single"/>
              <w:right w:color="000000" w:space="0" w:sz="4" w:val="single"/>
            </w:tcBorders>
            <w:shd w:fill="dbdbdb" w:val="clear"/>
            <w:vAlign w:val="center"/>
          </w:tcPr>
          <w:p w:rsidR="00000000" w:rsidDel="00000000" w:rsidP="00000000" w:rsidRDefault="00000000" w:rsidRPr="00000000" w14:paraId="00000069">
            <w:pPr>
              <w:spacing w:after="0" w:before="0" w:lineRule="auto"/>
              <w:jc w:val="center"/>
              <w:rPr>
                <w:b w:val="1"/>
                <w:color w:val="000000"/>
              </w:rPr>
            </w:pPr>
            <w:r w:rsidDel="00000000" w:rsidR="00000000" w:rsidRPr="00000000">
              <w:rPr>
                <w:b w:val="1"/>
                <w:color w:val="000000"/>
                <w:rtl w:val="0"/>
              </w:rPr>
              <w:t xml:space="preserve">Excel</w:t>
            </w:r>
          </w:p>
        </w:tc>
      </w:tr>
      <w:tr>
        <w:trPr>
          <w:cantSplit w:val="0"/>
          <w:trHeight w:val="315"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B">
            <w:pPr>
              <w:spacing w:after="0" w:before="0" w:lineRule="auto"/>
              <w:jc w:val="center"/>
              <w:rPr>
                <w:b w:val="1"/>
                <w:color w:val="000000"/>
              </w:rPr>
            </w:pPr>
            <w:r w:rsidDel="00000000" w:rsidR="00000000" w:rsidRPr="00000000">
              <w:rPr>
                <w:b w:val="1"/>
                <w:color w:val="000000"/>
                <w:rtl w:val="0"/>
              </w:rPr>
              <w:t xml:space="preserve">Advantage</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6C">
            <w:pPr>
              <w:spacing w:after="0" w:before="0" w:lineRule="auto"/>
              <w:jc w:val="center"/>
              <w:rPr>
                <w:b w:val="1"/>
                <w:color w:val="000000"/>
              </w:rPr>
            </w:pPr>
            <w:r w:rsidDel="00000000" w:rsidR="00000000" w:rsidRPr="00000000">
              <w:rPr>
                <w:b w:val="1"/>
                <w:color w:val="000000"/>
                <w:rtl w:val="0"/>
              </w:rPr>
              <w:t xml:space="preserve">Disadvantage</w:t>
            </w:r>
          </w:p>
        </w:tc>
      </w:tr>
      <w:tr>
        <w:trPr>
          <w:cantSplit w:val="0"/>
          <w:trHeight w:val="5040"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D">
            <w:pPr>
              <w:spacing w:after="0" w:before="0" w:lineRule="auto"/>
              <w:jc w:val="left"/>
              <w:rPr>
                <w:color w:val="000000"/>
              </w:rPr>
            </w:pPr>
            <w:r w:rsidDel="00000000" w:rsidR="00000000" w:rsidRPr="00000000">
              <w:rPr>
                <w:color w:val="000000"/>
                <w:rtl w:val="0"/>
              </w:rPr>
              <w:t xml:space="preserve">Excel has a large number of devoted users since it is so extensively deployed and so simple to access. Internal functions such as SUM, AVERAGE, and COUNT provide quick computation and data summarizing. Other examples include. Excel's charting and graphing features may be altered in a variety of ways, which makes the process of visualizing data much less complicated.</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6E">
            <w:pPr>
              <w:spacing w:after="0" w:before="0" w:lineRule="auto"/>
              <w:jc w:val="left"/>
              <w:rPr>
                <w:color w:val="000000"/>
              </w:rPr>
            </w:pPr>
            <w:r w:rsidDel="00000000" w:rsidR="00000000" w:rsidRPr="00000000">
              <w:rPr>
                <w:color w:val="000000"/>
                <w:rtl w:val="0"/>
              </w:rPr>
              <w:t xml:space="preserve">Excel may be useful for some purposes, but it can't compete with more robust statistical software like SPSS or R. Deep modelling or statistical analysis may be beyond its capabilities. Its major use is to do computations in Excel and basic statistical processing. Big data poses challenges because of the complexity of the statistical methods required to analyz</w:t>
            </w:r>
            <w:r w:rsidDel="00000000" w:rsidR="00000000" w:rsidRPr="00000000">
              <w:rPr>
                <w:rtl w:val="0"/>
              </w:rPr>
              <w:t xml:space="preserve">e it (Chang, Cheng, &amp; Kuo, 2020).</w:t>
            </w:r>
            <w:r w:rsidDel="00000000" w:rsidR="00000000" w:rsidRPr="00000000">
              <w:rPr>
                <w:color w:val="000000"/>
                <w:rtl w:val="0"/>
              </w:rPr>
              <w:t xml:space="preserve"> Analysis of data, key performance metric computation, and visualization are only some of the uses for Excel in the work of an analyst in marketing, for instance. However, more complex statistical activities, such as regression evaluation or market segmentation, may necessitate the use of specialized statistical tools.</w:t>
            </w:r>
          </w:p>
        </w:tc>
      </w:tr>
    </w:tbl>
    <w:p w:rsidR="00000000" w:rsidDel="00000000" w:rsidP="00000000" w:rsidRDefault="00000000" w:rsidRPr="00000000" w14:paraId="0000006F">
      <w:pPr>
        <w:pStyle w:val="Heading2"/>
        <w:rPr/>
      </w:pPr>
      <w:bookmarkStart w:colFirst="0" w:colLast="0" w:name="_qsh70q" w:id="17"/>
      <w:bookmarkEnd w:id="17"/>
      <w:r w:rsidDel="00000000" w:rsidR="00000000" w:rsidRPr="00000000">
        <w:rPr>
          <w:rtl w:val="0"/>
        </w:rPr>
      </w:r>
    </w:p>
    <w:p w:rsidR="00000000" w:rsidDel="00000000" w:rsidP="00000000" w:rsidRDefault="00000000" w:rsidRPr="00000000" w14:paraId="00000070">
      <w:pPr>
        <w:pStyle w:val="Heading3"/>
        <w:rPr/>
      </w:pPr>
      <w:bookmarkStart w:colFirst="0" w:colLast="0" w:name="_3rdcrjn" w:id="18"/>
      <w:bookmarkEnd w:id="18"/>
      <w:r w:rsidDel="00000000" w:rsidR="00000000" w:rsidRPr="00000000">
        <w:rPr>
          <w:rtl w:val="0"/>
        </w:rPr>
        <w:t xml:space="preserve">Tableau</w:t>
      </w:r>
    </w:p>
    <w:p w:rsidR="00000000" w:rsidDel="00000000" w:rsidP="00000000" w:rsidRDefault="00000000" w:rsidRPr="00000000" w14:paraId="00000071">
      <w:pPr>
        <w:rPr/>
      </w:pPr>
      <w:r w:rsidDel="00000000" w:rsidR="00000000" w:rsidRPr="00000000">
        <w:rPr>
          <w:rtl w:val="0"/>
        </w:rPr>
        <w:t xml:space="preserve">Because of its intuitive design, Tableau has become widely used as a tool for both interactive data visualization and business intelligence. The benefits and drawbacks are listed below.  </w:t>
      </w:r>
    </w:p>
    <w:tbl>
      <w:tblPr>
        <w:tblStyle w:val="Table4"/>
        <w:tblW w:w="9200.0" w:type="dxa"/>
        <w:jc w:val="left"/>
        <w:tblLayout w:type="fixed"/>
        <w:tblLook w:val="0400"/>
      </w:tblPr>
      <w:tblGrid>
        <w:gridCol w:w="4600"/>
        <w:gridCol w:w="4600"/>
        <w:tblGridChange w:id="0">
          <w:tblGrid>
            <w:gridCol w:w="4600"/>
            <w:gridCol w:w="4600"/>
          </w:tblGrid>
        </w:tblGridChange>
      </w:tblGrid>
      <w:tr>
        <w:trPr>
          <w:cantSplit w:val="0"/>
          <w:trHeight w:val="315" w:hRule="atLeast"/>
          <w:tblHeader w:val="0"/>
        </w:trPr>
        <w:tc>
          <w:tcPr>
            <w:gridSpan w:val="2"/>
            <w:tcBorders>
              <w:top w:color="000000" w:space="0" w:sz="4" w:val="single"/>
              <w:left w:color="000000" w:space="0" w:sz="4" w:val="single"/>
              <w:bottom w:color="000000" w:space="0" w:sz="4" w:val="single"/>
              <w:right w:color="000000" w:space="0" w:sz="4" w:val="single"/>
            </w:tcBorders>
            <w:shd w:fill="dbdbdb" w:val="clear"/>
            <w:vAlign w:val="center"/>
          </w:tcPr>
          <w:p w:rsidR="00000000" w:rsidDel="00000000" w:rsidP="00000000" w:rsidRDefault="00000000" w:rsidRPr="00000000" w14:paraId="00000072">
            <w:pPr>
              <w:spacing w:after="0" w:before="0" w:lineRule="auto"/>
              <w:jc w:val="center"/>
              <w:rPr>
                <w:b w:val="1"/>
                <w:color w:val="000000"/>
              </w:rPr>
            </w:pPr>
            <w:r w:rsidDel="00000000" w:rsidR="00000000" w:rsidRPr="00000000">
              <w:rPr>
                <w:b w:val="1"/>
                <w:color w:val="000000"/>
                <w:rtl w:val="0"/>
              </w:rPr>
              <w:t xml:space="preserve">Tableau</w:t>
            </w:r>
          </w:p>
        </w:tc>
      </w:tr>
      <w:tr>
        <w:trPr>
          <w:cantSplit w:val="0"/>
          <w:trHeight w:val="315"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4">
            <w:pPr>
              <w:spacing w:after="0" w:before="0" w:lineRule="auto"/>
              <w:jc w:val="center"/>
              <w:rPr>
                <w:b w:val="1"/>
                <w:color w:val="000000"/>
              </w:rPr>
            </w:pPr>
            <w:r w:rsidDel="00000000" w:rsidR="00000000" w:rsidRPr="00000000">
              <w:rPr>
                <w:b w:val="1"/>
                <w:color w:val="000000"/>
                <w:rtl w:val="0"/>
              </w:rPr>
              <w:t xml:space="preserve">Advantage</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75">
            <w:pPr>
              <w:spacing w:after="0" w:before="0" w:lineRule="auto"/>
              <w:jc w:val="center"/>
              <w:rPr>
                <w:b w:val="1"/>
                <w:color w:val="000000"/>
              </w:rPr>
            </w:pPr>
            <w:r w:rsidDel="00000000" w:rsidR="00000000" w:rsidRPr="00000000">
              <w:rPr>
                <w:b w:val="1"/>
                <w:color w:val="000000"/>
                <w:rtl w:val="0"/>
              </w:rPr>
              <w:t xml:space="preserve">Disadvantage</w:t>
            </w:r>
          </w:p>
        </w:tc>
      </w:tr>
      <w:tr>
        <w:trPr>
          <w:cantSplit w:val="0"/>
          <w:trHeight w:val="3150" w:hRule="atLeast"/>
          <w:tblHeader w:val="0"/>
        </w:trPr>
        <w:tc>
          <w:tcPr>
            <w:tcBorders>
              <w:top w:color="000000" w:space="0" w:sz="0" w:val="nil"/>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6">
            <w:pPr>
              <w:spacing w:after="0" w:before="0" w:lineRule="auto"/>
              <w:jc w:val="left"/>
              <w:rPr>
                <w:color w:val="000000"/>
              </w:rPr>
            </w:pPr>
            <w:r w:rsidDel="00000000" w:rsidR="00000000" w:rsidRPr="00000000">
              <w:rPr>
                <w:color w:val="000000"/>
                <w:rtl w:val="0"/>
              </w:rPr>
              <w:t xml:space="preserve">Users may create personalized dashboards and visualizations based on the data they're interested in </w:t>
            </w:r>
            <w:r w:rsidDel="00000000" w:rsidR="00000000" w:rsidRPr="00000000">
              <w:rPr>
                <w:rtl w:val="0"/>
              </w:rPr>
              <w:t xml:space="preserve">seeing (Schutt &amp; O'Neil, 2019)</w:t>
            </w:r>
            <w:r w:rsidDel="00000000" w:rsidR="00000000" w:rsidRPr="00000000">
              <w:rPr>
                <w:color w:val="000000"/>
                <w:rtl w:val="0"/>
              </w:rPr>
              <w:t xml:space="preserve"> thanks to the platform's dynamic representations. Data from a broad variety of sources can be easily managed with Tableau thanks to its integration and connection featur</w:t>
            </w:r>
            <w:r w:rsidDel="00000000" w:rsidR="00000000" w:rsidRPr="00000000">
              <w:rPr>
                <w:rtl w:val="0"/>
              </w:rPr>
              <w:t xml:space="preserve">es (Nisbet, Elder, &amp; Miner, 2019).</w:t>
            </w:r>
            <w:r w:rsidDel="00000000" w:rsidR="00000000" w:rsidRPr="00000000">
              <w:rPr>
                <w:color w:val="000000"/>
                <w:rtl w:val="0"/>
              </w:rPr>
              <w:t xml:space="preserve"> For instance, Tableau may help a sales manager analyze regional sales data, create interactive dashboards, and identify patterns. </w:t>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77">
            <w:pPr>
              <w:spacing w:after="0" w:before="0" w:lineRule="auto"/>
              <w:jc w:val="left"/>
              <w:rPr>
                <w:color w:val="000000"/>
              </w:rPr>
            </w:pPr>
            <w:r w:rsidDel="00000000" w:rsidR="00000000" w:rsidRPr="00000000">
              <w:rPr>
                <w:color w:val="000000"/>
                <w:rtl w:val="0"/>
              </w:rPr>
              <w:t xml:space="preserve">Tableau's more advanced features come at a cost in terms of time and money spent learning how to use the progr</w:t>
            </w:r>
            <w:r w:rsidDel="00000000" w:rsidR="00000000" w:rsidRPr="00000000">
              <w:rPr>
                <w:rtl w:val="0"/>
              </w:rPr>
              <w:t xml:space="preserve">ammer (Le Roux, Vlok, &amp; Van Belle, 2021).</w:t>
            </w:r>
            <w:r w:rsidDel="00000000" w:rsidR="00000000" w:rsidRPr="00000000">
              <w:rPr>
                <w:color w:val="000000"/>
                <w:rtl w:val="0"/>
              </w:rPr>
              <w:t xml:space="preserve"> However, owing of its excellent visuals and data connection, Tableau is a favorite among enterprises seeking effective analysis and visualization of data solutions.</w:t>
            </w:r>
          </w:p>
        </w:tc>
      </w:tr>
    </w:tbl>
    <w:p w:rsidR="00000000" w:rsidDel="00000000" w:rsidP="00000000" w:rsidRDefault="00000000" w:rsidRPr="00000000" w14:paraId="00000078">
      <w:pPr>
        <w:pStyle w:val="Heading2"/>
        <w:rPr/>
      </w:pPr>
      <w:bookmarkStart w:colFirst="0" w:colLast="0" w:name="_3as4poj" w:id="19"/>
      <w:bookmarkEnd w:id="19"/>
      <w:r w:rsidDel="00000000" w:rsidR="00000000" w:rsidRPr="00000000">
        <w:rPr>
          <w:rtl w:val="0"/>
        </w:rPr>
      </w:r>
    </w:p>
    <w:p w:rsidR="00000000" w:rsidDel="00000000" w:rsidP="00000000" w:rsidRDefault="00000000" w:rsidRPr="00000000" w14:paraId="00000079">
      <w:pPr>
        <w:pStyle w:val="Heading2"/>
        <w:rPr/>
      </w:pPr>
      <w:bookmarkStart w:colFirst="0" w:colLast="0" w:name="_26in1rg" w:id="20"/>
      <w:bookmarkEnd w:id="20"/>
      <w:r w:rsidDel="00000000" w:rsidR="00000000" w:rsidRPr="00000000">
        <w:rPr>
          <w:rtl w:val="0"/>
        </w:rPr>
        <w:t xml:space="preserve">Answer (b): Data Mining Cycle</w:t>
      </w:r>
    </w:p>
    <w:p w:rsidR="00000000" w:rsidDel="00000000" w:rsidP="00000000" w:rsidRDefault="00000000" w:rsidRPr="00000000" w14:paraId="0000007A">
      <w:pPr>
        <w:rPr/>
      </w:pPr>
      <w:r w:rsidDel="00000000" w:rsidR="00000000" w:rsidRPr="00000000">
        <w:rPr>
          <w:rtl w:val="0"/>
        </w:rPr>
        <w:t xml:space="preserve">The process of extracting useful patterns and insights from massive amounts of data is referred to as the Data Mining Cycle (Pardos &amp; Heffernan, 2018). The process begins with the acquisition of data and continues with preprocessing, modelling, evaluating, and deploying the model. The results of each cycle of data mining build on those of the previous round. The Data Mining Cycle is significant for a number of different reasons. In the first place, it gives companies an advantage over competitors by illuminating hidden data patterns and trends (Nisbet, Elder, &amp; Miner, 2019). An examination of massive amounts of data may reveal patterns of consumer behaviour and trends in the market, which may help a firm enhance its strategic goals and the efficiency of its operations. </w:t>
      </w:r>
    </w:p>
    <w:p w:rsidR="00000000" w:rsidDel="00000000" w:rsidP="00000000" w:rsidRDefault="00000000" w:rsidRPr="00000000" w14:paraId="0000007B">
      <w:pPr>
        <w:jc w:val="center"/>
        <w:rPr/>
      </w:pPr>
      <w:r w:rsidDel="00000000" w:rsidR="00000000" w:rsidRPr="00000000">
        <w:rPr/>
        <w:drawing>
          <wp:inline distB="0" distT="0" distL="0" distR="0">
            <wp:extent cx="3473374" cy="3202848"/>
            <wp:effectExtent b="0" l="0" r="0" t="0"/>
            <wp:docPr id="18" name="image18.png"/>
            <a:graphic>
              <a:graphicData uri="http://schemas.openxmlformats.org/drawingml/2006/picture">
                <pic:pic>
                  <pic:nvPicPr>
                    <pic:cNvPr id="0" name="image18.png"/>
                    <pic:cNvPicPr preferRelativeResize="0"/>
                  </pic:nvPicPr>
                  <pic:blipFill>
                    <a:blip r:embed="rId23"/>
                    <a:srcRect b="0" l="0" r="0" t="0"/>
                    <a:stretch>
                      <a:fillRect/>
                    </a:stretch>
                  </pic:blipFill>
                  <pic:spPr>
                    <a:xfrm>
                      <a:off x="0" y="0"/>
                      <a:ext cx="3473374" cy="3202848"/>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The Data Mining Cycle is utilized in a variety of domains. Data mining is used to investigate the shopping habits of retail customers in order to enhance marketing and product placement (merchandising). Reviewing patient data, locating recurring patterns of illness diagnosis, and pinpointing areas of improvement in patient health are all possible applications of the cycle (James, Witten, Hastie, &amp; Tibshirani, 2017). The Data Mining Cycle is necessary for the prevention of fraud. Investigating unusual behaviour in financial transactions can assist avert financial losses and discover fraud at an earlier stage. The Data Mining Cycle is an example of an iterative method for extracting useful information from enormous data sets. It enables one to make better decisions, discover trends, and stay ahead of the competition. According to Le Roux, Vlok, &amp; Van Belle (2021), data mining enables businesses to detect fraudulent activity and make intelligent judgements with more complete information in the medical retail sector. </w:t>
      </w:r>
    </w:p>
    <w:p w:rsidR="00000000" w:rsidDel="00000000" w:rsidP="00000000" w:rsidRDefault="00000000" w:rsidRPr="00000000" w14:paraId="0000007D">
      <w:pPr>
        <w:pStyle w:val="Heading1"/>
        <w:rPr/>
      </w:pPr>
      <w:bookmarkStart w:colFirst="0" w:colLast="0" w:name="_1pxezwc" w:id="21"/>
      <w:bookmarkEnd w:id="21"/>
      <w:r w:rsidDel="00000000" w:rsidR="00000000" w:rsidRPr="00000000">
        <w:rPr>
          <w:rtl w:val="0"/>
        </w:rPr>
        <w:t xml:space="preserve">Conclusion</w:t>
      </w:r>
    </w:p>
    <w:p w:rsidR="00000000" w:rsidDel="00000000" w:rsidP="00000000" w:rsidRDefault="00000000" w:rsidRPr="00000000" w14:paraId="0000007E">
      <w:pPr>
        <w:rPr/>
      </w:pPr>
      <w:r w:rsidDel="00000000" w:rsidR="00000000" w:rsidRPr="00000000">
        <w:rPr>
          <w:rtl w:val="0"/>
        </w:rPr>
        <w:t xml:space="preserve">Data management and business intelligence were both incorporated into this report using Excel and SPSS. The dataset offers some interesting information on the consumption of coffee and the health index score. The data mining cycle, as well as the benefits and drawbacks of Excel, SPSS, and Tableau, were covered. As this research demonstrates, the application of strategies and procedures for data analysis is beneficial to the process of decision-making. </w:t>
      </w:r>
    </w:p>
    <w:p w:rsidR="00000000" w:rsidDel="00000000" w:rsidP="00000000" w:rsidRDefault="00000000" w:rsidRPr="00000000" w14:paraId="0000007F">
      <w:pPr>
        <w:spacing w:after="160" w:before="0" w:line="259" w:lineRule="auto"/>
        <w:jc w:val="left"/>
        <w:rPr>
          <w:b w:val="1"/>
          <w:color w:val="0070c0"/>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80">
      <w:pPr>
        <w:pStyle w:val="Heading1"/>
        <w:rPr/>
      </w:pPr>
      <w:bookmarkStart w:colFirst="0" w:colLast="0" w:name="_35nkun2" w:id="22"/>
      <w:bookmarkEnd w:id="22"/>
      <w:r w:rsidDel="00000000" w:rsidR="00000000" w:rsidRPr="00000000">
        <w:rPr>
          <w:rtl w:val="0"/>
        </w:rPr>
        <w:t xml:space="preserve">References</w:t>
      </w:r>
    </w:p>
    <w:p w:rsidR="00000000" w:rsidDel="00000000" w:rsidP="00000000" w:rsidRDefault="00000000" w:rsidRPr="00000000" w14:paraId="00000081">
      <w:pPr>
        <w:rPr/>
      </w:pPr>
      <w:r w:rsidDel="00000000" w:rsidR="00000000" w:rsidRPr="00000000">
        <w:rPr>
          <w:rtl w:val="0"/>
        </w:rPr>
        <w:t xml:space="preserve">Chang, W., Cheng, C., &amp; Kuo, Y. (2020). Business Intelligence and Big Data: Technologies and Strategies. CRC Press.</w:t>
      </w:r>
    </w:p>
    <w:p w:rsidR="00000000" w:rsidDel="00000000" w:rsidP="00000000" w:rsidRDefault="00000000" w:rsidRPr="00000000" w14:paraId="00000082">
      <w:pPr>
        <w:rPr/>
      </w:pPr>
      <w:r w:rsidDel="00000000" w:rsidR="00000000" w:rsidRPr="00000000">
        <w:rPr>
          <w:rtl w:val="0"/>
        </w:rPr>
        <w:t xml:space="preserve">James, G., Witten, D., Hastie, T., &amp; Tibshirani, R. (2017). An Introduction to Statistical Learning: With Applications in R. Springer.</w:t>
      </w:r>
    </w:p>
    <w:p w:rsidR="00000000" w:rsidDel="00000000" w:rsidP="00000000" w:rsidRDefault="00000000" w:rsidRPr="00000000" w14:paraId="00000083">
      <w:pPr>
        <w:rPr/>
      </w:pPr>
      <w:r w:rsidDel="00000000" w:rsidR="00000000" w:rsidRPr="00000000">
        <w:rPr>
          <w:rtl w:val="0"/>
        </w:rPr>
        <w:t xml:space="preserve">Le Roux, N., Vlok, P., &amp; Van Belle, J. P. (2021). Introduction to Data Mining and Its Applications. Springer.</w:t>
      </w:r>
    </w:p>
    <w:p w:rsidR="00000000" w:rsidDel="00000000" w:rsidP="00000000" w:rsidRDefault="00000000" w:rsidRPr="00000000" w14:paraId="00000084">
      <w:pPr>
        <w:rPr/>
      </w:pPr>
      <w:r w:rsidDel="00000000" w:rsidR="00000000" w:rsidRPr="00000000">
        <w:rPr>
          <w:rtl w:val="0"/>
        </w:rPr>
        <w:t xml:space="preserve">Nisbet, R., Elder, J., &amp; Miner, G. (2019). Handbook of Statistical Analysis and Data Mining Applications. Academic Press.</w:t>
      </w:r>
    </w:p>
    <w:p w:rsidR="00000000" w:rsidDel="00000000" w:rsidP="00000000" w:rsidRDefault="00000000" w:rsidRPr="00000000" w14:paraId="00000085">
      <w:pPr>
        <w:rPr/>
      </w:pPr>
      <w:r w:rsidDel="00000000" w:rsidR="00000000" w:rsidRPr="00000000">
        <w:rPr>
          <w:rtl w:val="0"/>
        </w:rPr>
        <w:t xml:space="preserve">Pardos, Z. A., &amp; Heffernan, N. T. (2018). Data Science for Learning: Building Learning Analytics for the Next Decade. American Psychological Association.</w:t>
      </w:r>
    </w:p>
    <w:p w:rsidR="00000000" w:rsidDel="00000000" w:rsidP="00000000" w:rsidRDefault="00000000" w:rsidRPr="00000000" w14:paraId="00000086">
      <w:pPr>
        <w:rPr/>
      </w:pPr>
      <w:r w:rsidDel="00000000" w:rsidR="00000000" w:rsidRPr="00000000">
        <w:rPr>
          <w:rtl w:val="0"/>
        </w:rPr>
        <w:t xml:space="preserve">Rokach, L., &amp; Maimon, O. (2019). Data Mining with Decision Trees: Theory and Applications. World Scientific.</w:t>
      </w:r>
    </w:p>
    <w:p w:rsidR="00000000" w:rsidDel="00000000" w:rsidP="00000000" w:rsidRDefault="00000000" w:rsidRPr="00000000" w14:paraId="00000087">
      <w:pPr>
        <w:rPr/>
      </w:pPr>
      <w:r w:rsidDel="00000000" w:rsidR="00000000" w:rsidRPr="00000000">
        <w:rPr>
          <w:rtl w:val="0"/>
        </w:rPr>
        <w:t xml:space="preserve">Schutt, R., &amp; O'Neil, C. (2019). Doing Data Science: Straight Talk from the Frontline. O'Reilly Media.</w:t>
      </w:r>
    </w:p>
    <w:p w:rsidR="00000000" w:rsidDel="00000000" w:rsidP="00000000" w:rsidRDefault="00000000" w:rsidRPr="00000000" w14:paraId="00000088">
      <w:pPr>
        <w:rPr/>
      </w:pPr>
      <w:r w:rsidDel="00000000" w:rsidR="00000000" w:rsidRPr="00000000">
        <w:rPr>
          <w:rtl w:val="0"/>
        </w:rPr>
      </w:r>
    </w:p>
    <w:sectPr>
      <w:footerReference r:id="rId24" w:type="default"/>
      <w:footerReference r:id="rId25" w:type="firs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80" w:before="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Bdr>
        <w:bottom w:color="000000" w:space="1" w:sz="4" w:val="single"/>
      </w:pBdr>
      <w:spacing w:after="240" w:before="360" w:line="240" w:lineRule="auto"/>
    </w:pPr>
    <w:rPr>
      <w:b w:val="1"/>
      <w:color w:val="0070c0"/>
      <w:sz w:val="36"/>
      <w:szCs w:val="36"/>
    </w:rPr>
  </w:style>
  <w:style w:type="paragraph" w:styleId="Heading2">
    <w:name w:val="heading 2"/>
    <w:basedOn w:val="Normal"/>
    <w:next w:val="Normal"/>
    <w:pPr>
      <w:keepNext w:val="1"/>
      <w:keepLines w:val="1"/>
      <w:spacing w:after="0" w:before="40" w:lineRule="auto"/>
      <w:jc w:val="left"/>
    </w:pPr>
    <w:rPr>
      <w:b w:val="1"/>
      <w:sz w:val="28"/>
      <w:szCs w:val="28"/>
    </w:rPr>
  </w:style>
  <w:style w:type="paragraph" w:styleId="Heading3">
    <w:name w:val="heading 3"/>
    <w:basedOn w:val="Normal"/>
    <w:next w:val="Normal"/>
    <w:pPr>
      <w:keepNext w:val="1"/>
      <w:keepLines w:val="1"/>
      <w:spacing w:after="0" w:before="40" w:lineRule="auto"/>
      <w:jc w:val="left"/>
    </w:pPr>
    <w:rPr>
      <w:b w:val="1"/>
      <w:i w:val="1"/>
    </w:rPr>
  </w:style>
  <w:style w:type="paragraph" w:styleId="Heading4">
    <w:name w:val="heading 4"/>
    <w:basedOn w:val="Normal"/>
    <w:next w:val="Normal"/>
    <w:pPr>
      <w:keepNext w:val="1"/>
      <w:keepLines w:val="1"/>
      <w:spacing w:after="0" w:before="40" w:lineRule="auto"/>
    </w:pPr>
    <w:rPr>
      <w:b w:val="1"/>
      <w:color w:val="2e75b5"/>
    </w:rPr>
  </w:style>
  <w:style w:type="paragraph" w:styleId="Heading5">
    <w:name w:val="heading 5"/>
    <w:basedOn w:val="Normal"/>
    <w:next w:val="Normal"/>
    <w:pPr>
      <w:keepNext w:val="1"/>
      <w:keepLines w:val="1"/>
      <w:spacing w:after="0" w:before="40" w:lineRule="auto"/>
    </w:pPr>
    <w:rPr>
      <w:rFonts w:ascii="Calibri" w:cs="Calibri" w:eastAsia="Calibri" w:hAnsi="Calibri"/>
      <w:color w:val="2f5496"/>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before="0" w:line="240" w:lineRule="auto"/>
      <w:jc w:val="center"/>
    </w:pPr>
    <w:rPr>
      <w:b w:val="1"/>
      <w:sz w:val="40"/>
      <w:szCs w:val="40"/>
    </w:rPr>
  </w:style>
  <w:style w:type="paragraph" w:styleId="Subtitle">
    <w:name w:val="Subtitle"/>
    <w:basedOn w:val="Normal"/>
    <w:next w:val="Normal"/>
    <w:pPr>
      <w:spacing w:after="160" w:lineRule="auto"/>
      <w:jc w:val="center"/>
    </w:pPr>
    <w:rPr>
      <w:color w:val="5a5a5a"/>
      <w:sz w:val="18"/>
      <w:szCs w:val="1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5.png"/><Relationship Id="rId22" Type="http://schemas.openxmlformats.org/officeDocument/2006/relationships/image" Target="media/image17.png"/><Relationship Id="rId21" Type="http://schemas.openxmlformats.org/officeDocument/2006/relationships/image" Target="media/image16.png"/><Relationship Id="rId24" Type="http://schemas.openxmlformats.org/officeDocument/2006/relationships/footer" Target="footer2.xml"/><Relationship Id="rId23" Type="http://schemas.openxmlformats.org/officeDocument/2006/relationships/image" Target="media/image1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 Id="rId11" Type="http://schemas.openxmlformats.org/officeDocument/2006/relationships/image" Target="media/image7.png"/><Relationship Id="rId10" Type="http://schemas.openxmlformats.org/officeDocument/2006/relationships/image" Target="media/image4.png"/><Relationship Id="rId13" Type="http://schemas.openxmlformats.org/officeDocument/2006/relationships/image" Target="media/image9.png"/><Relationship Id="rId12" Type="http://schemas.openxmlformats.org/officeDocument/2006/relationships/image" Target="media/image6.png"/><Relationship Id="rId15" Type="http://schemas.openxmlformats.org/officeDocument/2006/relationships/image" Target="media/image12.png"/><Relationship Id="rId14" Type="http://schemas.openxmlformats.org/officeDocument/2006/relationships/image" Target="media/image8.png"/><Relationship Id="rId17" Type="http://schemas.openxmlformats.org/officeDocument/2006/relationships/image" Target="media/image11.png"/><Relationship Id="rId16" Type="http://schemas.openxmlformats.org/officeDocument/2006/relationships/image" Target="media/image10.png"/><Relationship Id="rId19" Type="http://schemas.openxmlformats.org/officeDocument/2006/relationships/image" Target="media/image14.png"/><Relationship Id="rId18"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