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510F1"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5D61DAA4" wp14:editId="0E0DA33F">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1223D5A4" w14:textId="77777777" w:rsidTr="00185F4A">
        <w:trPr>
          <w:trHeight w:val="1083"/>
        </w:trPr>
        <w:tc>
          <w:tcPr>
            <w:tcW w:w="10790" w:type="dxa"/>
            <w:gridSpan w:val="9"/>
          </w:tcPr>
          <w:p w14:paraId="77E7C956" w14:textId="77777777" w:rsidR="00DF198B" w:rsidRPr="008F6C7E" w:rsidRDefault="00DF198B">
            <w:pPr>
              <w:rPr>
                <w:lang w:val="en-GB"/>
              </w:rPr>
            </w:pPr>
          </w:p>
        </w:tc>
      </w:tr>
      <w:tr w:rsidR="00DF198B" w:rsidRPr="008F6C7E" w14:paraId="59B7C826" w14:textId="77777777" w:rsidTr="00185F4A">
        <w:trPr>
          <w:trHeight w:val="1068"/>
        </w:trPr>
        <w:tc>
          <w:tcPr>
            <w:tcW w:w="1198" w:type="dxa"/>
            <w:gridSpan w:val="2"/>
            <w:tcBorders>
              <w:right w:val="single" w:sz="18" w:space="0" w:color="476166" w:themeColor="accent1"/>
            </w:tcBorders>
          </w:tcPr>
          <w:p w14:paraId="03C7AF8D"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EA665D4" w14:textId="397B2ADD" w:rsidR="00DF198B" w:rsidRPr="004B12DE" w:rsidRDefault="004B12DE" w:rsidP="004B12DE">
            <w:pPr>
              <w:pStyle w:val="Heading1"/>
              <w:shd w:val="clear" w:color="auto" w:fill="FFFFFF"/>
              <w:rPr>
                <w:rFonts w:ascii="Segoe UI" w:hAnsi="Segoe UI" w:cs="Segoe UI"/>
                <w:color w:val="1D2125"/>
              </w:rPr>
            </w:pPr>
            <w:bookmarkStart w:id="0" w:name="_Toc164460081"/>
            <w:bookmarkStart w:id="1" w:name="_Toc164717431"/>
            <w:bookmarkStart w:id="2" w:name="_Toc164856913"/>
            <w:r>
              <w:rPr>
                <w:rFonts w:ascii="Segoe UI" w:hAnsi="Segoe UI" w:cs="Segoe UI"/>
                <w:color w:val="1D2125"/>
              </w:rPr>
              <w:t>Cloud Computing Administration (ACCA6025)</w:t>
            </w:r>
            <w:bookmarkEnd w:id="0"/>
            <w:bookmarkEnd w:id="1"/>
            <w:bookmarkEnd w:id="2"/>
          </w:p>
        </w:tc>
        <w:tc>
          <w:tcPr>
            <w:tcW w:w="1199" w:type="dxa"/>
            <w:gridSpan w:val="2"/>
            <w:tcBorders>
              <w:left w:val="single" w:sz="18" w:space="0" w:color="476166" w:themeColor="accent1"/>
            </w:tcBorders>
          </w:tcPr>
          <w:p w14:paraId="709D32EE" w14:textId="77777777" w:rsidR="00DF198B" w:rsidRPr="008F6C7E" w:rsidRDefault="00DF198B">
            <w:pPr>
              <w:rPr>
                <w:lang w:val="en-GB"/>
              </w:rPr>
            </w:pPr>
          </w:p>
        </w:tc>
      </w:tr>
      <w:tr w:rsidR="00DF198B" w:rsidRPr="008F6C7E" w14:paraId="5D52949B" w14:textId="77777777" w:rsidTr="00185F4A">
        <w:trPr>
          <w:trHeight w:val="1837"/>
        </w:trPr>
        <w:tc>
          <w:tcPr>
            <w:tcW w:w="1170" w:type="dxa"/>
          </w:tcPr>
          <w:p w14:paraId="7A864506" w14:textId="77777777" w:rsidR="00DF198B" w:rsidRPr="008F6C7E" w:rsidRDefault="00DF198B">
            <w:pPr>
              <w:rPr>
                <w:lang w:val="en-GB"/>
              </w:rPr>
            </w:pPr>
          </w:p>
        </w:tc>
        <w:tc>
          <w:tcPr>
            <w:tcW w:w="8460" w:type="dxa"/>
            <w:gridSpan w:val="7"/>
          </w:tcPr>
          <w:p w14:paraId="0C12F49D" w14:textId="77777777" w:rsidR="00DF198B" w:rsidRPr="008F6C7E" w:rsidRDefault="00DF198B">
            <w:pPr>
              <w:rPr>
                <w:lang w:val="en-GB"/>
              </w:rPr>
            </w:pPr>
          </w:p>
        </w:tc>
        <w:tc>
          <w:tcPr>
            <w:tcW w:w="1160" w:type="dxa"/>
          </w:tcPr>
          <w:p w14:paraId="4E3EE135" w14:textId="77777777" w:rsidR="00DF198B" w:rsidRPr="008F6C7E" w:rsidRDefault="00DF198B">
            <w:pPr>
              <w:rPr>
                <w:lang w:val="en-GB"/>
              </w:rPr>
            </w:pPr>
          </w:p>
        </w:tc>
      </w:tr>
      <w:tr w:rsidR="00DF198B" w:rsidRPr="008F6C7E" w14:paraId="276390FE" w14:textId="77777777" w:rsidTr="00185F4A">
        <w:trPr>
          <w:trHeight w:val="929"/>
        </w:trPr>
        <w:tc>
          <w:tcPr>
            <w:tcW w:w="2397" w:type="dxa"/>
            <w:gridSpan w:val="4"/>
          </w:tcPr>
          <w:p w14:paraId="441BDCCB" w14:textId="77777777" w:rsidR="00DF198B" w:rsidRPr="008F6C7E" w:rsidRDefault="00DF198B">
            <w:pPr>
              <w:rPr>
                <w:lang w:val="en-GB"/>
              </w:rPr>
            </w:pPr>
          </w:p>
        </w:tc>
        <w:tc>
          <w:tcPr>
            <w:tcW w:w="5995" w:type="dxa"/>
            <w:shd w:val="clear" w:color="auto" w:fill="FFFFFF" w:themeFill="background1"/>
          </w:tcPr>
          <w:p w14:paraId="7BF23374" w14:textId="77777777" w:rsidR="00DF198B" w:rsidRPr="008F6C7E" w:rsidRDefault="00DF198B" w:rsidP="00DF198B">
            <w:pPr>
              <w:jc w:val="center"/>
              <w:rPr>
                <w:rFonts w:ascii="Georgia" w:hAnsi="Georgia"/>
                <w:sz w:val="48"/>
                <w:szCs w:val="48"/>
                <w:lang w:val="en-GB"/>
              </w:rPr>
            </w:pPr>
          </w:p>
        </w:tc>
        <w:tc>
          <w:tcPr>
            <w:tcW w:w="2398" w:type="dxa"/>
            <w:gridSpan w:val="4"/>
          </w:tcPr>
          <w:p w14:paraId="15ACF5EF" w14:textId="77777777" w:rsidR="00DF198B" w:rsidRPr="008F6C7E" w:rsidRDefault="00DF198B">
            <w:pPr>
              <w:rPr>
                <w:lang w:val="en-GB"/>
              </w:rPr>
            </w:pPr>
          </w:p>
        </w:tc>
      </w:tr>
      <w:tr w:rsidR="00DF198B" w:rsidRPr="008F6C7E" w14:paraId="65595B1F" w14:textId="77777777" w:rsidTr="00185F4A">
        <w:trPr>
          <w:trHeight w:val="1460"/>
        </w:trPr>
        <w:tc>
          <w:tcPr>
            <w:tcW w:w="2397" w:type="dxa"/>
            <w:gridSpan w:val="4"/>
          </w:tcPr>
          <w:p w14:paraId="31BE1879" w14:textId="77777777" w:rsidR="00DF198B" w:rsidRPr="008F6C7E" w:rsidRDefault="00DF198B">
            <w:pPr>
              <w:rPr>
                <w:lang w:val="en-GB"/>
              </w:rPr>
            </w:pPr>
          </w:p>
        </w:tc>
        <w:tc>
          <w:tcPr>
            <w:tcW w:w="5995" w:type="dxa"/>
            <w:shd w:val="clear" w:color="auto" w:fill="FFFFFF" w:themeFill="background1"/>
          </w:tcPr>
          <w:p w14:paraId="64BD9646" w14:textId="4FADFD28" w:rsidR="00DF198B" w:rsidRPr="008F6C7E" w:rsidRDefault="004B12DE" w:rsidP="00874FE7">
            <w:pPr>
              <w:pStyle w:val="Heading2"/>
              <w:rPr>
                <w:lang w:val="en-GB"/>
              </w:rPr>
            </w:pPr>
            <w:bookmarkStart w:id="3" w:name="_Toc164460082"/>
            <w:bookmarkStart w:id="4" w:name="_Toc164717432"/>
            <w:bookmarkStart w:id="5" w:name="_Toc164856914"/>
            <w:r>
              <w:rPr>
                <w:lang w:val="en-GB"/>
              </w:rPr>
              <w:t>Asessment 1</w:t>
            </w:r>
            <w:bookmarkEnd w:id="3"/>
            <w:bookmarkEnd w:id="4"/>
            <w:bookmarkEnd w:id="5"/>
          </w:p>
        </w:tc>
        <w:tc>
          <w:tcPr>
            <w:tcW w:w="2398" w:type="dxa"/>
            <w:gridSpan w:val="4"/>
          </w:tcPr>
          <w:p w14:paraId="583ADDBC" w14:textId="77777777" w:rsidR="00DF198B" w:rsidRPr="008F6C7E" w:rsidRDefault="00DF198B">
            <w:pPr>
              <w:rPr>
                <w:lang w:val="en-GB"/>
              </w:rPr>
            </w:pPr>
          </w:p>
        </w:tc>
      </w:tr>
      <w:tr w:rsidR="00DF198B" w:rsidRPr="008F6C7E" w14:paraId="26D78CD5" w14:textId="77777777" w:rsidTr="00CD7613">
        <w:trPr>
          <w:trHeight w:val="8172"/>
        </w:trPr>
        <w:tc>
          <w:tcPr>
            <w:tcW w:w="2397" w:type="dxa"/>
            <w:gridSpan w:val="4"/>
            <w:vAlign w:val="bottom"/>
          </w:tcPr>
          <w:p w14:paraId="3009AEB2"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7E7FB4DB" w14:textId="446C2049" w:rsidR="00DF198B" w:rsidRPr="008F6C7E" w:rsidRDefault="004B12DE" w:rsidP="00874FE7">
            <w:pPr>
              <w:pStyle w:val="Heading3"/>
              <w:rPr>
                <w:lang w:val="en-GB"/>
              </w:rPr>
            </w:pPr>
            <w:bookmarkStart w:id="6" w:name="_Toc164460083"/>
            <w:bookmarkStart w:id="7" w:name="_Toc164717433"/>
            <w:bookmarkStart w:id="8" w:name="_Toc164856915"/>
            <w:r>
              <w:rPr>
                <w:lang w:val="en-GB"/>
              </w:rPr>
              <w:t>24.04.2024</w:t>
            </w:r>
            <w:bookmarkEnd w:id="6"/>
            <w:bookmarkEnd w:id="7"/>
            <w:bookmarkEnd w:id="8"/>
          </w:p>
          <w:bookmarkStart w:id="9" w:name="_Toc164460084"/>
          <w:bookmarkStart w:id="10" w:name="_Toc164717434"/>
          <w:bookmarkStart w:id="11" w:name="_Toc164856916"/>
          <w:p w14:paraId="044A3FBB" w14:textId="77777777" w:rsidR="00874FE7" w:rsidRPr="008F6C7E" w:rsidRDefault="00000000" w:rsidP="00874FE7">
            <w:pPr>
              <w:pStyle w:val="Heading3"/>
              <w:rPr>
                <w:lang w:val="en-GB"/>
              </w:rPr>
            </w:pPr>
            <w:sdt>
              <w:sdtPr>
                <w:rPr>
                  <w:lang w:val="en-GB"/>
                </w:rPr>
                <w:id w:val="-1516760087"/>
                <w:placeholder>
                  <w:docPart w:val="4CE20859698C4284BD43B76549B427CE"/>
                </w:placeholder>
                <w:temporary/>
                <w:showingPlcHdr/>
                <w15:appearance w15:val="hidden"/>
              </w:sdtPr>
              <w:sdtContent>
                <w:r w:rsidR="00874FE7" w:rsidRPr="008F6C7E">
                  <w:rPr>
                    <w:lang w:val="en-GB" w:bidi="en-GB"/>
                  </w:rPr>
                  <w:t>—</w:t>
                </w:r>
              </w:sdtContent>
            </w:sdt>
            <w:bookmarkEnd w:id="9"/>
            <w:bookmarkEnd w:id="10"/>
            <w:bookmarkEnd w:id="11"/>
          </w:p>
          <w:p w14:paraId="75FBD171" w14:textId="77777777" w:rsidR="004B12DE" w:rsidRDefault="004B12DE" w:rsidP="004B12DE">
            <w:pPr>
              <w:pStyle w:val="Heading3"/>
              <w:rPr>
                <w:rFonts w:ascii="Times New Roman" w:hAnsi="Times New Roman" w:cs="Times New Roman"/>
                <w:sz w:val="28"/>
                <w:szCs w:val="28"/>
                <w:lang w:val="en-GB"/>
              </w:rPr>
            </w:pPr>
            <w:bookmarkStart w:id="12" w:name="_Toc164460085"/>
            <w:bookmarkStart w:id="13" w:name="_Toc164717435"/>
            <w:bookmarkStart w:id="14" w:name="_Toc164856917"/>
            <w:r w:rsidRPr="004B12DE">
              <w:rPr>
                <w:rFonts w:ascii="Times New Roman" w:hAnsi="Times New Roman" w:cs="Times New Roman"/>
                <w:sz w:val="28"/>
                <w:szCs w:val="28"/>
                <w:lang w:val="en-GB"/>
              </w:rPr>
              <w:t>Student name: Stefania-Loredana Galbau</w:t>
            </w:r>
            <w:bookmarkEnd w:id="12"/>
            <w:bookmarkEnd w:id="13"/>
            <w:bookmarkEnd w:id="14"/>
          </w:p>
          <w:p w14:paraId="6884F4BE" w14:textId="77777777" w:rsidR="004B12DE" w:rsidRDefault="004B12DE" w:rsidP="004B12DE">
            <w:pPr>
              <w:pStyle w:val="Heading3"/>
              <w:rPr>
                <w:rFonts w:ascii="Times New Roman" w:hAnsi="Times New Roman" w:cs="Times New Roman"/>
                <w:sz w:val="28"/>
                <w:szCs w:val="28"/>
                <w:lang w:val="en-GB"/>
              </w:rPr>
            </w:pPr>
            <w:bookmarkStart w:id="15" w:name="_Toc164460086"/>
            <w:bookmarkStart w:id="16" w:name="_Toc164717436"/>
            <w:bookmarkStart w:id="17" w:name="_Toc164856918"/>
            <w:r w:rsidRPr="004B12DE">
              <w:rPr>
                <w:rFonts w:ascii="Times New Roman" w:hAnsi="Times New Roman" w:cs="Times New Roman"/>
                <w:sz w:val="28"/>
                <w:szCs w:val="28"/>
                <w:lang w:val="en-GB"/>
              </w:rPr>
              <w:t>Student ID: 2114954</w:t>
            </w:r>
            <w:bookmarkEnd w:id="15"/>
            <w:bookmarkEnd w:id="16"/>
            <w:bookmarkEnd w:id="17"/>
          </w:p>
          <w:p w14:paraId="73AB7C60" w14:textId="5FD0CE3D" w:rsidR="004B12DE" w:rsidRPr="004B12DE" w:rsidRDefault="004B12DE" w:rsidP="004B12DE">
            <w:pPr>
              <w:pStyle w:val="Heading3"/>
              <w:rPr>
                <w:rFonts w:ascii="Times New Roman" w:hAnsi="Times New Roman" w:cs="Times New Roman"/>
                <w:sz w:val="28"/>
                <w:szCs w:val="28"/>
                <w:lang w:val="en-GB"/>
              </w:rPr>
            </w:pPr>
            <w:bookmarkStart w:id="18" w:name="_Toc164460087"/>
            <w:bookmarkStart w:id="19" w:name="_Toc164717437"/>
            <w:bookmarkStart w:id="20" w:name="_Toc164856919"/>
            <w:r w:rsidRPr="004B12DE">
              <w:rPr>
                <w:rFonts w:ascii="Times New Roman" w:hAnsi="Times New Roman" w:cs="Times New Roman"/>
                <w:sz w:val="28"/>
                <w:szCs w:val="28"/>
                <w:lang w:val="en-GB"/>
              </w:rPr>
              <w:t>Teacher’s name: Renuga Jayakumar</w:t>
            </w:r>
            <w:bookmarkEnd w:id="18"/>
            <w:bookmarkEnd w:id="19"/>
            <w:bookmarkEnd w:id="20"/>
          </w:p>
          <w:p w14:paraId="33DBBD70" w14:textId="30BBDEF5" w:rsidR="00DF198B" w:rsidRPr="008F6C7E" w:rsidRDefault="00DF198B" w:rsidP="004B12DE">
            <w:pPr>
              <w:pStyle w:val="Heading3"/>
              <w:jc w:val="left"/>
              <w:rPr>
                <w:lang w:val="en-GB"/>
              </w:rPr>
            </w:pPr>
          </w:p>
          <w:p w14:paraId="0FFF4B61" w14:textId="5DE2CC5E" w:rsidR="00DF198B" w:rsidRPr="008F6C7E" w:rsidRDefault="00DF198B" w:rsidP="00874FE7">
            <w:pPr>
              <w:pStyle w:val="Heading3"/>
              <w:rPr>
                <w:lang w:val="en-GB"/>
              </w:rPr>
            </w:pPr>
          </w:p>
          <w:p w14:paraId="4FFB8BF9" w14:textId="77777777" w:rsidR="00DF198B" w:rsidRPr="008F6C7E" w:rsidRDefault="00DF198B" w:rsidP="00DF198B">
            <w:pPr>
              <w:rPr>
                <w:lang w:val="en-GB"/>
              </w:rPr>
            </w:pPr>
          </w:p>
        </w:tc>
        <w:tc>
          <w:tcPr>
            <w:tcW w:w="2398" w:type="dxa"/>
            <w:gridSpan w:val="4"/>
            <w:vAlign w:val="bottom"/>
          </w:tcPr>
          <w:p w14:paraId="0035B118" w14:textId="77777777" w:rsidR="00DF198B" w:rsidRPr="008F6C7E" w:rsidRDefault="00DF198B" w:rsidP="00DF198B">
            <w:pPr>
              <w:jc w:val="center"/>
              <w:rPr>
                <w:lang w:val="en-GB"/>
              </w:rPr>
            </w:pPr>
          </w:p>
        </w:tc>
      </w:tr>
      <w:tr w:rsidR="00DF198B" w:rsidRPr="008F6C7E" w14:paraId="736019A3" w14:textId="77777777" w:rsidTr="00185F4A">
        <w:tc>
          <w:tcPr>
            <w:tcW w:w="2340" w:type="dxa"/>
            <w:gridSpan w:val="3"/>
          </w:tcPr>
          <w:p w14:paraId="36429A2D" w14:textId="77777777" w:rsidR="00DF198B" w:rsidRPr="008F6C7E" w:rsidRDefault="00DF198B">
            <w:pPr>
              <w:rPr>
                <w:lang w:val="en-GB"/>
              </w:rPr>
            </w:pPr>
          </w:p>
        </w:tc>
        <w:tc>
          <w:tcPr>
            <w:tcW w:w="6120" w:type="dxa"/>
            <w:gridSpan w:val="3"/>
          </w:tcPr>
          <w:p w14:paraId="34218D8F" w14:textId="77777777" w:rsidR="00DF198B" w:rsidRPr="008F6C7E" w:rsidRDefault="00DF198B">
            <w:pPr>
              <w:rPr>
                <w:lang w:val="en-GB"/>
              </w:rPr>
            </w:pPr>
          </w:p>
        </w:tc>
        <w:tc>
          <w:tcPr>
            <w:tcW w:w="2330" w:type="dxa"/>
            <w:gridSpan w:val="3"/>
          </w:tcPr>
          <w:p w14:paraId="06407F4B" w14:textId="77777777" w:rsidR="00DF198B" w:rsidRPr="008F6C7E" w:rsidRDefault="00DF198B">
            <w:pPr>
              <w:rPr>
                <w:lang w:val="en-GB"/>
              </w:rPr>
            </w:pPr>
          </w:p>
        </w:tc>
      </w:tr>
    </w:tbl>
    <w:sdt>
      <w:sdtPr>
        <w:rPr>
          <w:rFonts w:asciiTheme="minorHAnsi" w:eastAsiaTheme="minorHAnsi" w:hAnsiTheme="minorHAnsi" w:cstheme="minorBidi"/>
          <w:color w:val="auto"/>
          <w:sz w:val="24"/>
          <w:szCs w:val="24"/>
        </w:rPr>
        <w:id w:val="1021286534"/>
        <w:docPartObj>
          <w:docPartGallery w:val="Table of Contents"/>
          <w:docPartUnique/>
        </w:docPartObj>
      </w:sdtPr>
      <w:sdtEndPr>
        <w:rPr>
          <w:b/>
          <w:bCs/>
          <w:noProof/>
        </w:rPr>
      </w:sdtEndPr>
      <w:sdtContent>
        <w:p w14:paraId="1E05B0AC" w14:textId="5C50AFAB" w:rsidR="00006A11" w:rsidRDefault="00006A11">
          <w:pPr>
            <w:pStyle w:val="TOCHeading"/>
          </w:pPr>
          <w:r>
            <w:t>Contents</w:t>
          </w:r>
        </w:p>
        <w:p w14:paraId="418BA1FC" w14:textId="7317DBD1" w:rsidR="003E45F1" w:rsidRDefault="00006A11" w:rsidP="003E45F1">
          <w:pPr>
            <w:pStyle w:val="TOC1"/>
            <w:tabs>
              <w:tab w:val="right" w:leader="dot" w:pos="10772"/>
            </w:tabs>
            <w:rPr>
              <w:rFonts w:eastAsiaTheme="minorEastAsia"/>
              <w:noProof/>
              <w:kern w:val="2"/>
              <w:lang w:val="en-GB" w:eastAsia="en-GB"/>
              <w14:ligatures w14:val="standardContextual"/>
            </w:rPr>
          </w:pPr>
          <w:r>
            <w:fldChar w:fldCharType="begin"/>
          </w:r>
          <w:r>
            <w:instrText xml:space="preserve"> TOC \o "1-3" \h \z \u </w:instrText>
          </w:r>
          <w:r>
            <w:fldChar w:fldCharType="separate"/>
          </w:r>
        </w:p>
        <w:p w14:paraId="24D20974" w14:textId="464A03A3" w:rsidR="003E45F1" w:rsidRDefault="003E45F1">
          <w:pPr>
            <w:pStyle w:val="TOC1"/>
            <w:tabs>
              <w:tab w:val="right" w:leader="dot" w:pos="10772"/>
            </w:tabs>
            <w:rPr>
              <w:rFonts w:eastAsiaTheme="minorEastAsia"/>
              <w:noProof/>
              <w:kern w:val="2"/>
              <w:lang w:val="en-GB" w:eastAsia="en-GB"/>
              <w14:ligatures w14:val="standardContextual"/>
            </w:rPr>
          </w:pPr>
          <w:hyperlink w:anchor="_Toc164856920" w:history="1">
            <w:r w:rsidRPr="00AB3C3B">
              <w:rPr>
                <w:rStyle w:val="Hyperlink"/>
                <w:noProof/>
                <w:lang w:val="en-GB"/>
              </w:rPr>
              <w:t>Abstract</w:t>
            </w:r>
            <w:r>
              <w:rPr>
                <w:noProof/>
                <w:webHidden/>
              </w:rPr>
              <w:tab/>
            </w:r>
            <w:r>
              <w:rPr>
                <w:noProof/>
                <w:webHidden/>
              </w:rPr>
              <w:fldChar w:fldCharType="begin"/>
            </w:r>
            <w:r>
              <w:rPr>
                <w:noProof/>
                <w:webHidden/>
              </w:rPr>
              <w:instrText xml:space="preserve"> PAGEREF _Toc164856920 \h </w:instrText>
            </w:r>
            <w:r>
              <w:rPr>
                <w:noProof/>
                <w:webHidden/>
              </w:rPr>
            </w:r>
            <w:r>
              <w:rPr>
                <w:noProof/>
                <w:webHidden/>
              </w:rPr>
              <w:fldChar w:fldCharType="separate"/>
            </w:r>
            <w:r>
              <w:rPr>
                <w:noProof/>
                <w:webHidden/>
              </w:rPr>
              <w:t>3</w:t>
            </w:r>
            <w:r>
              <w:rPr>
                <w:noProof/>
                <w:webHidden/>
              </w:rPr>
              <w:fldChar w:fldCharType="end"/>
            </w:r>
          </w:hyperlink>
        </w:p>
        <w:p w14:paraId="28C176DE" w14:textId="07FF2240" w:rsidR="003E45F1" w:rsidRDefault="003E45F1">
          <w:pPr>
            <w:pStyle w:val="TOC1"/>
            <w:tabs>
              <w:tab w:val="right" w:leader="dot" w:pos="10772"/>
            </w:tabs>
            <w:rPr>
              <w:rFonts w:eastAsiaTheme="minorEastAsia"/>
              <w:noProof/>
              <w:kern w:val="2"/>
              <w:lang w:val="en-GB" w:eastAsia="en-GB"/>
              <w14:ligatures w14:val="standardContextual"/>
            </w:rPr>
          </w:pPr>
          <w:hyperlink w:anchor="_Toc164856921" w:history="1">
            <w:r w:rsidRPr="00AB3C3B">
              <w:rPr>
                <w:rStyle w:val="Hyperlink"/>
                <w:noProof/>
                <w:lang w:val="en-GB"/>
              </w:rPr>
              <w:t>a) Azure Total Cost of Ownership (TCO)</w:t>
            </w:r>
            <w:r>
              <w:rPr>
                <w:noProof/>
                <w:webHidden/>
              </w:rPr>
              <w:tab/>
            </w:r>
            <w:r>
              <w:rPr>
                <w:noProof/>
                <w:webHidden/>
              </w:rPr>
              <w:fldChar w:fldCharType="begin"/>
            </w:r>
            <w:r>
              <w:rPr>
                <w:noProof/>
                <w:webHidden/>
              </w:rPr>
              <w:instrText xml:space="preserve"> PAGEREF _Toc164856921 \h </w:instrText>
            </w:r>
            <w:r>
              <w:rPr>
                <w:noProof/>
                <w:webHidden/>
              </w:rPr>
            </w:r>
            <w:r>
              <w:rPr>
                <w:noProof/>
                <w:webHidden/>
              </w:rPr>
              <w:fldChar w:fldCharType="separate"/>
            </w:r>
            <w:r>
              <w:rPr>
                <w:noProof/>
                <w:webHidden/>
              </w:rPr>
              <w:t>4</w:t>
            </w:r>
            <w:r>
              <w:rPr>
                <w:noProof/>
                <w:webHidden/>
              </w:rPr>
              <w:fldChar w:fldCharType="end"/>
            </w:r>
          </w:hyperlink>
        </w:p>
        <w:p w14:paraId="20F9E051" w14:textId="2A624FBC" w:rsidR="003E45F1" w:rsidRDefault="003E45F1">
          <w:pPr>
            <w:pStyle w:val="TOC3"/>
            <w:tabs>
              <w:tab w:val="right" w:leader="dot" w:pos="10772"/>
            </w:tabs>
            <w:rPr>
              <w:rFonts w:eastAsiaTheme="minorEastAsia"/>
              <w:noProof/>
              <w:kern w:val="2"/>
              <w:lang w:val="en-GB" w:eastAsia="en-GB"/>
              <w14:ligatures w14:val="standardContextual"/>
            </w:rPr>
          </w:pPr>
          <w:hyperlink w:anchor="_Toc164856922" w:history="1">
            <w:r w:rsidRPr="00AB3C3B">
              <w:rPr>
                <w:rStyle w:val="Hyperlink"/>
                <w:noProof/>
                <w:lang w:val="en-GB"/>
              </w:rPr>
              <w:t>Example:</w:t>
            </w:r>
            <w:r>
              <w:rPr>
                <w:noProof/>
                <w:webHidden/>
              </w:rPr>
              <w:tab/>
            </w:r>
            <w:r>
              <w:rPr>
                <w:noProof/>
                <w:webHidden/>
              </w:rPr>
              <w:fldChar w:fldCharType="begin"/>
            </w:r>
            <w:r>
              <w:rPr>
                <w:noProof/>
                <w:webHidden/>
              </w:rPr>
              <w:instrText xml:space="preserve"> PAGEREF _Toc164856922 \h </w:instrText>
            </w:r>
            <w:r>
              <w:rPr>
                <w:noProof/>
                <w:webHidden/>
              </w:rPr>
            </w:r>
            <w:r>
              <w:rPr>
                <w:noProof/>
                <w:webHidden/>
              </w:rPr>
              <w:fldChar w:fldCharType="separate"/>
            </w:r>
            <w:r>
              <w:rPr>
                <w:noProof/>
                <w:webHidden/>
              </w:rPr>
              <w:t>5</w:t>
            </w:r>
            <w:r>
              <w:rPr>
                <w:noProof/>
                <w:webHidden/>
              </w:rPr>
              <w:fldChar w:fldCharType="end"/>
            </w:r>
          </w:hyperlink>
        </w:p>
        <w:p w14:paraId="2D1F49B6" w14:textId="5F28B970" w:rsidR="003E45F1" w:rsidRDefault="003E45F1">
          <w:pPr>
            <w:pStyle w:val="TOC1"/>
            <w:tabs>
              <w:tab w:val="right" w:leader="dot" w:pos="10772"/>
            </w:tabs>
            <w:rPr>
              <w:rFonts w:eastAsiaTheme="minorEastAsia"/>
              <w:noProof/>
              <w:kern w:val="2"/>
              <w:lang w:val="en-GB" w:eastAsia="en-GB"/>
              <w14:ligatures w14:val="standardContextual"/>
            </w:rPr>
          </w:pPr>
          <w:hyperlink w:anchor="_Toc164856923" w:history="1">
            <w:r w:rsidRPr="00AB3C3B">
              <w:rPr>
                <w:rStyle w:val="Hyperlink"/>
                <w:noProof/>
                <w:lang w:val="en-GB"/>
              </w:rPr>
              <w:t>b) Discover the advantages of Azure File Storage and its robust security protocols for GLI</w:t>
            </w:r>
            <w:r>
              <w:rPr>
                <w:noProof/>
                <w:webHidden/>
              </w:rPr>
              <w:tab/>
            </w:r>
            <w:r>
              <w:rPr>
                <w:noProof/>
                <w:webHidden/>
              </w:rPr>
              <w:fldChar w:fldCharType="begin"/>
            </w:r>
            <w:r>
              <w:rPr>
                <w:noProof/>
                <w:webHidden/>
              </w:rPr>
              <w:instrText xml:space="preserve"> PAGEREF _Toc164856923 \h </w:instrText>
            </w:r>
            <w:r>
              <w:rPr>
                <w:noProof/>
                <w:webHidden/>
              </w:rPr>
            </w:r>
            <w:r>
              <w:rPr>
                <w:noProof/>
                <w:webHidden/>
              </w:rPr>
              <w:fldChar w:fldCharType="separate"/>
            </w:r>
            <w:r>
              <w:rPr>
                <w:noProof/>
                <w:webHidden/>
              </w:rPr>
              <w:t>7</w:t>
            </w:r>
            <w:r>
              <w:rPr>
                <w:noProof/>
                <w:webHidden/>
              </w:rPr>
              <w:fldChar w:fldCharType="end"/>
            </w:r>
          </w:hyperlink>
        </w:p>
        <w:p w14:paraId="245B8D22" w14:textId="062A894C" w:rsidR="003E45F1" w:rsidRDefault="003E45F1">
          <w:pPr>
            <w:pStyle w:val="TOC3"/>
            <w:tabs>
              <w:tab w:val="right" w:leader="dot" w:pos="10772"/>
            </w:tabs>
            <w:rPr>
              <w:rFonts w:eastAsiaTheme="minorEastAsia"/>
              <w:noProof/>
              <w:kern w:val="2"/>
              <w:lang w:val="en-GB" w:eastAsia="en-GB"/>
              <w14:ligatures w14:val="standardContextual"/>
            </w:rPr>
          </w:pPr>
          <w:hyperlink w:anchor="_Toc164856924" w:history="1">
            <w:r w:rsidRPr="00AB3C3B">
              <w:rPr>
                <w:rStyle w:val="Hyperlink"/>
                <w:noProof/>
                <w:lang w:val="en-GB"/>
              </w:rPr>
              <w:t>Example:</w:t>
            </w:r>
            <w:r>
              <w:rPr>
                <w:noProof/>
                <w:webHidden/>
              </w:rPr>
              <w:tab/>
            </w:r>
            <w:r>
              <w:rPr>
                <w:noProof/>
                <w:webHidden/>
              </w:rPr>
              <w:fldChar w:fldCharType="begin"/>
            </w:r>
            <w:r>
              <w:rPr>
                <w:noProof/>
                <w:webHidden/>
              </w:rPr>
              <w:instrText xml:space="preserve"> PAGEREF _Toc164856924 \h </w:instrText>
            </w:r>
            <w:r>
              <w:rPr>
                <w:noProof/>
                <w:webHidden/>
              </w:rPr>
            </w:r>
            <w:r>
              <w:rPr>
                <w:noProof/>
                <w:webHidden/>
              </w:rPr>
              <w:fldChar w:fldCharType="separate"/>
            </w:r>
            <w:r>
              <w:rPr>
                <w:noProof/>
                <w:webHidden/>
              </w:rPr>
              <w:t>8</w:t>
            </w:r>
            <w:r>
              <w:rPr>
                <w:noProof/>
                <w:webHidden/>
              </w:rPr>
              <w:fldChar w:fldCharType="end"/>
            </w:r>
          </w:hyperlink>
        </w:p>
        <w:p w14:paraId="674205CD" w14:textId="6491F536" w:rsidR="003E45F1" w:rsidRDefault="003E45F1">
          <w:pPr>
            <w:pStyle w:val="TOC1"/>
            <w:tabs>
              <w:tab w:val="right" w:leader="dot" w:pos="10772"/>
            </w:tabs>
            <w:rPr>
              <w:rFonts w:eastAsiaTheme="minorEastAsia"/>
              <w:noProof/>
              <w:kern w:val="2"/>
              <w:lang w:val="en-GB" w:eastAsia="en-GB"/>
              <w14:ligatures w14:val="standardContextual"/>
            </w:rPr>
          </w:pPr>
          <w:hyperlink w:anchor="_Toc164856925" w:history="1">
            <w:r w:rsidRPr="00AB3C3B">
              <w:rPr>
                <w:rStyle w:val="Hyperlink"/>
                <w:noProof/>
                <w:lang w:val="en-GB"/>
              </w:rPr>
              <w:t>c) Analyse several Azure database alternatives</w:t>
            </w:r>
            <w:r>
              <w:rPr>
                <w:noProof/>
                <w:webHidden/>
              </w:rPr>
              <w:tab/>
            </w:r>
            <w:r>
              <w:rPr>
                <w:noProof/>
                <w:webHidden/>
              </w:rPr>
              <w:fldChar w:fldCharType="begin"/>
            </w:r>
            <w:r>
              <w:rPr>
                <w:noProof/>
                <w:webHidden/>
              </w:rPr>
              <w:instrText xml:space="preserve"> PAGEREF _Toc164856925 \h </w:instrText>
            </w:r>
            <w:r>
              <w:rPr>
                <w:noProof/>
                <w:webHidden/>
              </w:rPr>
            </w:r>
            <w:r>
              <w:rPr>
                <w:noProof/>
                <w:webHidden/>
              </w:rPr>
              <w:fldChar w:fldCharType="separate"/>
            </w:r>
            <w:r>
              <w:rPr>
                <w:noProof/>
                <w:webHidden/>
              </w:rPr>
              <w:t>11</w:t>
            </w:r>
            <w:r>
              <w:rPr>
                <w:noProof/>
                <w:webHidden/>
              </w:rPr>
              <w:fldChar w:fldCharType="end"/>
            </w:r>
          </w:hyperlink>
        </w:p>
        <w:p w14:paraId="6AE56901" w14:textId="774169E7" w:rsidR="003E45F1" w:rsidRDefault="003E45F1">
          <w:pPr>
            <w:pStyle w:val="TOC3"/>
            <w:tabs>
              <w:tab w:val="right" w:leader="dot" w:pos="10772"/>
            </w:tabs>
            <w:rPr>
              <w:rFonts w:eastAsiaTheme="minorEastAsia"/>
              <w:noProof/>
              <w:kern w:val="2"/>
              <w:lang w:val="en-GB" w:eastAsia="en-GB"/>
              <w14:ligatures w14:val="standardContextual"/>
            </w:rPr>
          </w:pPr>
          <w:hyperlink w:anchor="_Toc164856926" w:history="1">
            <w:r w:rsidRPr="00AB3C3B">
              <w:rPr>
                <w:rStyle w:val="Hyperlink"/>
                <w:noProof/>
                <w:lang w:val="en-GB"/>
              </w:rPr>
              <w:t>Example:</w:t>
            </w:r>
            <w:r>
              <w:rPr>
                <w:noProof/>
                <w:webHidden/>
              </w:rPr>
              <w:tab/>
            </w:r>
            <w:r>
              <w:rPr>
                <w:noProof/>
                <w:webHidden/>
              </w:rPr>
              <w:fldChar w:fldCharType="begin"/>
            </w:r>
            <w:r>
              <w:rPr>
                <w:noProof/>
                <w:webHidden/>
              </w:rPr>
              <w:instrText xml:space="preserve"> PAGEREF _Toc164856926 \h </w:instrText>
            </w:r>
            <w:r>
              <w:rPr>
                <w:noProof/>
                <w:webHidden/>
              </w:rPr>
            </w:r>
            <w:r>
              <w:rPr>
                <w:noProof/>
                <w:webHidden/>
              </w:rPr>
              <w:fldChar w:fldCharType="separate"/>
            </w:r>
            <w:r>
              <w:rPr>
                <w:noProof/>
                <w:webHidden/>
              </w:rPr>
              <w:t>12</w:t>
            </w:r>
            <w:r>
              <w:rPr>
                <w:noProof/>
                <w:webHidden/>
              </w:rPr>
              <w:fldChar w:fldCharType="end"/>
            </w:r>
          </w:hyperlink>
        </w:p>
        <w:p w14:paraId="7DFA3BE7" w14:textId="302484B1" w:rsidR="003E45F1" w:rsidRDefault="003E45F1">
          <w:pPr>
            <w:pStyle w:val="TOC1"/>
            <w:tabs>
              <w:tab w:val="right" w:leader="dot" w:pos="10772"/>
            </w:tabs>
            <w:rPr>
              <w:rFonts w:eastAsiaTheme="minorEastAsia"/>
              <w:noProof/>
              <w:kern w:val="2"/>
              <w:lang w:val="en-GB" w:eastAsia="en-GB"/>
              <w14:ligatures w14:val="standardContextual"/>
            </w:rPr>
          </w:pPr>
          <w:hyperlink w:anchor="_Toc164856927" w:history="1">
            <w:r w:rsidRPr="00AB3C3B">
              <w:rPr>
                <w:rStyle w:val="Hyperlink"/>
                <w:noProof/>
                <w:lang w:val="en-GB"/>
              </w:rPr>
              <w:t>d)Azure Backup options allow GLI to establish backup schedules and retention policies for file shares and databases.</w:t>
            </w:r>
            <w:r>
              <w:rPr>
                <w:noProof/>
                <w:webHidden/>
              </w:rPr>
              <w:tab/>
            </w:r>
            <w:r>
              <w:rPr>
                <w:noProof/>
                <w:webHidden/>
              </w:rPr>
              <w:fldChar w:fldCharType="begin"/>
            </w:r>
            <w:r>
              <w:rPr>
                <w:noProof/>
                <w:webHidden/>
              </w:rPr>
              <w:instrText xml:space="preserve"> PAGEREF _Toc164856927 \h </w:instrText>
            </w:r>
            <w:r>
              <w:rPr>
                <w:noProof/>
                <w:webHidden/>
              </w:rPr>
            </w:r>
            <w:r>
              <w:rPr>
                <w:noProof/>
                <w:webHidden/>
              </w:rPr>
              <w:fldChar w:fldCharType="separate"/>
            </w:r>
            <w:r>
              <w:rPr>
                <w:noProof/>
                <w:webHidden/>
              </w:rPr>
              <w:t>15</w:t>
            </w:r>
            <w:r>
              <w:rPr>
                <w:noProof/>
                <w:webHidden/>
              </w:rPr>
              <w:fldChar w:fldCharType="end"/>
            </w:r>
          </w:hyperlink>
        </w:p>
        <w:p w14:paraId="03D90688" w14:textId="452B3CCB" w:rsidR="003E45F1" w:rsidRDefault="003E45F1">
          <w:pPr>
            <w:pStyle w:val="TOC3"/>
            <w:tabs>
              <w:tab w:val="right" w:leader="dot" w:pos="10772"/>
            </w:tabs>
            <w:rPr>
              <w:rFonts w:eastAsiaTheme="minorEastAsia"/>
              <w:noProof/>
              <w:kern w:val="2"/>
              <w:lang w:val="en-GB" w:eastAsia="en-GB"/>
              <w14:ligatures w14:val="standardContextual"/>
            </w:rPr>
          </w:pPr>
          <w:hyperlink w:anchor="_Toc164856928" w:history="1">
            <w:r w:rsidRPr="00AB3C3B">
              <w:rPr>
                <w:rStyle w:val="Hyperlink"/>
                <w:noProof/>
                <w:lang w:val="en-GB"/>
              </w:rPr>
              <w:t>Example:</w:t>
            </w:r>
            <w:r>
              <w:rPr>
                <w:noProof/>
                <w:webHidden/>
              </w:rPr>
              <w:tab/>
            </w:r>
            <w:r>
              <w:rPr>
                <w:noProof/>
                <w:webHidden/>
              </w:rPr>
              <w:fldChar w:fldCharType="begin"/>
            </w:r>
            <w:r>
              <w:rPr>
                <w:noProof/>
                <w:webHidden/>
              </w:rPr>
              <w:instrText xml:space="preserve"> PAGEREF _Toc164856928 \h </w:instrText>
            </w:r>
            <w:r>
              <w:rPr>
                <w:noProof/>
                <w:webHidden/>
              </w:rPr>
            </w:r>
            <w:r>
              <w:rPr>
                <w:noProof/>
                <w:webHidden/>
              </w:rPr>
              <w:fldChar w:fldCharType="separate"/>
            </w:r>
            <w:r>
              <w:rPr>
                <w:noProof/>
                <w:webHidden/>
              </w:rPr>
              <w:t>16</w:t>
            </w:r>
            <w:r>
              <w:rPr>
                <w:noProof/>
                <w:webHidden/>
              </w:rPr>
              <w:fldChar w:fldCharType="end"/>
            </w:r>
          </w:hyperlink>
        </w:p>
        <w:p w14:paraId="37DC3B64" w14:textId="0EBCFEE3" w:rsidR="003E45F1" w:rsidRDefault="003E45F1">
          <w:pPr>
            <w:pStyle w:val="TOC1"/>
            <w:tabs>
              <w:tab w:val="right" w:leader="dot" w:pos="10772"/>
            </w:tabs>
            <w:rPr>
              <w:rFonts w:eastAsiaTheme="minorEastAsia"/>
              <w:noProof/>
              <w:kern w:val="2"/>
              <w:lang w:val="en-GB" w:eastAsia="en-GB"/>
              <w14:ligatures w14:val="standardContextual"/>
            </w:rPr>
          </w:pPr>
          <w:hyperlink w:anchor="_Toc164856929" w:history="1">
            <w:r w:rsidRPr="00AB3C3B">
              <w:rPr>
                <w:rStyle w:val="Hyperlink"/>
                <w:noProof/>
                <w:lang w:val="en-GB"/>
              </w:rPr>
              <w:t>e)Analyse the potential benefits of Azure Site Recovery in aiding GLI's disaster recovery efforts.</w:t>
            </w:r>
            <w:r>
              <w:rPr>
                <w:noProof/>
                <w:webHidden/>
              </w:rPr>
              <w:tab/>
            </w:r>
            <w:r>
              <w:rPr>
                <w:noProof/>
                <w:webHidden/>
              </w:rPr>
              <w:fldChar w:fldCharType="begin"/>
            </w:r>
            <w:r>
              <w:rPr>
                <w:noProof/>
                <w:webHidden/>
              </w:rPr>
              <w:instrText xml:space="preserve"> PAGEREF _Toc164856929 \h </w:instrText>
            </w:r>
            <w:r>
              <w:rPr>
                <w:noProof/>
                <w:webHidden/>
              </w:rPr>
            </w:r>
            <w:r>
              <w:rPr>
                <w:noProof/>
                <w:webHidden/>
              </w:rPr>
              <w:fldChar w:fldCharType="separate"/>
            </w:r>
            <w:r>
              <w:rPr>
                <w:noProof/>
                <w:webHidden/>
              </w:rPr>
              <w:t>19</w:t>
            </w:r>
            <w:r>
              <w:rPr>
                <w:noProof/>
                <w:webHidden/>
              </w:rPr>
              <w:fldChar w:fldCharType="end"/>
            </w:r>
          </w:hyperlink>
        </w:p>
        <w:p w14:paraId="16DF36B5" w14:textId="363E3938" w:rsidR="003E45F1" w:rsidRDefault="003E45F1">
          <w:pPr>
            <w:pStyle w:val="TOC1"/>
            <w:tabs>
              <w:tab w:val="right" w:leader="dot" w:pos="10772"/>
            </w:tabs>
            <w:rPr>
              <w:rFonts w:eastAsiaTheme="minorEastAsia"/>
              <w:noProof/>
              <w:kern w:val="2"/>
              <w:lang w:val="en-GB" w:eastAsia="en-GB"/>
              <w14:ligatures w14:val="standardContextual"/>
            </w:rPr>
          </w:pPr>
          <w:hyperlink w:anchor="_Toc164856930" w:history="1">
            <w:r w:rsidRPr="00AB3C3B">
              <w:rPr>
                <w:rStyle w:val="Hyperlink"/>
                <w:noProof/>
                <w:lang w:val="en-GB"/>
              </w:rPr>
              <w:t>Conclusion</w:t>
            </w:r>
            <w:r>
              <w:rPr>
                <w:noProof/>
                <w:webHidden/>
              </w:rPr>
              <w:tab/>
            </w:r>
            <w:r>
              <w:rPr>
                <w:noProof/>
                <w:webHidden/>
              </w:rPr>
              <w:fldChar w:fldCharType="begin"/>
            </w:r>
            <w:r>
              <w:rPr>
                <w:noProof/>
                <w:webHidden/>
              </w:rPr>
              <w:instrText xml:space="preserve"> PAGEREF _Toc164856930 \h </w:instrText>
            </w:r>
            <w:r>
              <w:rPr>
                <w:noProof/>
                <w:webHidden/>
              </w:rPr>
            </w:r>
            <w:r>
              <w:rPr>
                <w:noProof/>
                <w:webHidden/>
              </w:rPr>
              <w:fldChar w:fldCharType="separate"/>
            </w:r>
            <w:r>
              <w:rPr>
                <w:noProof/>
                <w:webHidden/>
              </w:rPr>
              <w:t>20</w:t>
            </w:r>
            <w:r>
              <w:rPr>
                <w:noProof/>
                <w:webHidden/>
              </w:rPr>
              <w:fldChar w:fldCharType="end"/>
            </w:r>
          </w:hyperlink>
        </w:p>
        <w:p w14:paraId="0C428D42" w14:textId="1264AC59" w:rsidR="003E45F1" w:rsidRDefault="003E45F1">
          <w:pPr>
            <w:pStyle w:val="TOC1"/>
            <w:tabs>
              <w:tab w:val="right" w:leader="dot" w:pos="10772"/>
            </w:tabs>
            <w:rPr>
              <w:rFonts w:eastAsiaTheme="minorEastAsia"/>
              <w:noProof/>
              <w:kern w:val="2"/>
              <w:lang w:val="en-GB" w:eastAsia="en-GB"/>
              <w14:ligatures w14:val="standardContextual"/>
            </w:rPr>
          </w:pPr>
          <w:hyperlink w:anchor="_Toc164856931" w:history="1">
            <w:r w:rsidRPr="00AB3C3B">
              <w:rPr>
                <w:rStyle w:val="Hyperlink"/>
                <w:noProof/>
              </w:rPr>
              <w:t>References</w:t>
            </w:r>
            <w:r>
              <w:rPr>
                <w:noProof/>
                <w:webHidden/>
              </w:rPr>
              <w:tab/>
            </w:r>
            <w:r>
              <w:rPr>
                <w:noProof/>
                <w:webHidden/>
              </w:rPr>
              <w:fldChar w:fldCharType="begin"/>
            </w:r>
            <w:r>
              <w:rPr>
                <w:noProof/>
                <w:webHidden/>
              </w:rPr>
              <w:instrText xml:space="preserve"> PAGEREF _Toc164856931 \h </w:instrText>
            </w:r>
            <w:r>
              <w:rPr>
                <w:noProof/>
                <w:webHidden/>
              </w:rPr>
            </w:r>
            <w:r>
              <w:rPr>
                <w:noProof/>
                <w:webHidden/>
              </w:rPr>
              <w:fldChar w:fldCharType="separate"/>
            </w:r>
            <w:r>
              <w:rPr>
                <w:noProof/>
                <w:webHidden/>
              </w:rPr>
              <w:t>21</w:t>
            </w:r>
            <w:r>
              <w:rPr>
                <w:noProof/>
                <w:webHidden/>
              </w:rPr>
              <w:fldChar w:fldCharType="end"/>
            </w:r>
          </w:hyperlink>
        </w:p>
        <w:p w14:paraId="5B576816" w14:textId="7031C5BC" w:rsidR="00006A11" w:rsidRDefault="00006A11">
          <w:r>
            <w:rPr>
              <w:b/>
              <w:bCs/>
              <w:noProof/>
            </w:rPr>
            <w:fldChar w:fldCharType="end"/>
          </w:r>
        </w:p>
      </w:sdtContent>
    </w:sdt>
    <w:p w14:paraId="48C487A9" w14:textId="77777777" w:rsidR="00DF198B" w:rsidRPr="008F6C7E" w:rsidRDefault="00DF198B">
      <w:pPr>
        <w:rPr>
          <w:lang w:val="en-GB"/>
        </w:rPr>
      </w:pPr>
    </w:p>
    <w:p w14:paraId="36954B91" w14:textId="7582C053" w:rsidR="00DF198B" w:rsidRPr="008F6C7E" w:rsidRDefault="00DF198B" w:rsidP="002D2200">
      <w:pPr>
        <w:pStyle w:val="GraphicAnchor"/>
        <w:rPr>
          <w:lang w:val="en-GB"/>
        </w:rPr>
      </w:pPr>
    </w:p>
    <w:p w14:paraId="60B60430" w14:textId="77777777" w:rsidR="002D2200" w:rsidRPr="008F6C7E" w:rsidRDefault="002D2200">
      <w:pPr>
        <w:rPr>
          <w:lang w:val="en-GB"/>
        </w:rPr>
      </w:pPr>
    </w:p>
    <w:p w14:paraId="41CB9E26" w14:textId="41E1C54D" w:rsidR="00E74B29" w:rsidRPr="008F6C7E" w:rsidRDefault="00E74B29" w:rsidP="0048120C">
      <w:pPr>
        <w:pStyle w:val="GraphicAnchor"/>
        <w:rPr>
          <w:lang w:val="en-GB"/>
        </w:rPr>
      </w:pPr>
    </w:p>
    <w:p w14:paraId="40CE5C33" w14:textId="77777777" w:rsidR="0048120C" w:rsidRPr="008F6C7E" w:rsidRDefault="0048120C">
      <w:pPr>
        <w:rPr>
          <w:lang w:val="en-GB"/>
        </w:rPr>
      </w:pPr>
    </w:p>
    <w:p w14:paraId="026E528F" w14:textId="77777777" w:rsidR="0048120C" w:rsidRDefault="0048120C">
      <w:pPr>
        <w:rPr>
          <w:lang w:val="en-GB"/>
        </w:rPr>
      </w:pPr>
    </w:p>
    <w:p w14:paraId="03AA4837" w14:textId="77777777" w:rsidR="004B12DE" w:rsidRDefault="004B12DE">
      <w:pPr>
        <w:rPr>
          <w:lang w:val="en-GB"/>
        </w:rPr>
      </w:pPr>
    </w:p>
    <w:p w14:paraId="5A946F1E" w14:textId="77777777" w:rsidR="004B12DE" w:rsidRDefault="004B12DE">
      <w:pPr>
        <w:rPr>
          <w:lang w:val="en-GB"/>
        </w:rPr>
      </w:pPr>
    </w:p>
    <w:p w14:paraId="0C03C0CE" w14:textId="77777777" w:rsidR="004B12DE" w:rsidRDefault="004B12DE">
      <w:pPr>
        <w:rPr>
          <w:lang w:val="en-GB"/>
        </w:rPr>
      </w:pPr>
    </w:p>
    <w:p w14:paraId="670DE46E" w14:textId="77777777" w:rsidR="004B12DE" w:rsidRDefault="004B12DE">
      <w:pPr>
        <w:rPr>
          <w:lang w:val="en-GB"/>
        </w:rPr>
      </w:pPr>
    </w:p>
    <w:p w14:paraId="17628700" w14:textId="77777777" w:rsidR="004B12DE" w:rsidRDefault="004B12DE">
      <w:pPr>
        <w:rPr>
          <w:lang w:val="en-GB"/>
        </w:rPr>
      </w:pPr>
    </w:p>
    <w:p w14:paraId="2599F161" w14:textId="77777777" w:rsidR="004B12DE" w:rsidRDefault="004B12DE">
      <w:pPr>
        <w:rPr>
          <w:lang w:val="en-GB"/>
        </w:rPr>
      </w:pPr>
    </w:p>
    <w:p w14:paraId="7FA2AAE4" w14:textId="77777777" w:rsidR="004B12DE" w:rsidRDefault="004B12DE">
      <w:pPr>
        <w:rPr>
          <w:lang w:val="en-GB"/>
        </w:rPr>
      </w:pPr>
    </w:p>
    <w:p w14:paraId="214A6C61" w14:textId="6A35299A" w:rsidR="004B12DE" w:rsidRDefault="003E45F1" w:rsidP="003E45F1">
      <w:pPr>
        <w:tabs>
          <w:tab w:val="left" w:pos="8134"/>
        </w:tabs>
        <w:rPr>
          <w:lang w:val="en-GB"/>
        </w:rPr>
      </w:pPr>
      <w:r>
        <w:rPr>
          <w:lang w:val="en-GB"/>
        </w:rPr>
        <w:tab/>
      </w:r>
    </w:p>
    <w:p w14:paraId="2C27C7BA" w14:textId="77777777" w:rsidR="004B12DE" w:rsidRDefault="004B12DE">
      <w:pPr>
        <w:rPr>
          <w:lang w:val="en-GB"/>
        </w:rPr>
      </w:pPr>
    </w:p>
    <w:p w14:paraId="033407F9" w14:textId="77777777" w:rsidR="004B12DE" w:rsidRDefault="004B12DE">
      <w:pPr>
        <w:rPr>
          <w:lang w:val="en-GB"/>
        </w:rPr>
      </w:pPr>
    </w:p>
    <w:p w14:paraId="0CF7EDD7" w14:textId="77777777" w:rsidR="004B12DE" w:rsidRDefault="004B12DE">
      <w:pPr>
        <w:rPr>
          <w:lang w:val="en-GB"/>
        </w:rPr>
      </w:pPr>
    </w:p>
    <w:p w14:paraId="32C4851C" w14:textId="77777777" w:rsidR="004B12DE" w:rsidRDefault="004B12DE">
      <w:pPr>
        <w:rPr>
          <w:lang w:val="en-GB"/>
        </w:rPr>
      </w:pPr>
    </w:p>
    <w:p w14:paraId="245EDAF4" w14:textId="77777777" w:rsidR="004B12DE" w:rsidRDefault="004B12DE">
      <w:pPr>
        <w:rPr>
          <w:lang w:val="en-GB"/>
        </w:rPr>
      </w:pPr>
    </w:p>
    <w:p w14:paraId="0CE96FFB" w14:textId="77777777" w:rsidR="004B12DE" w:rsidRDefault="004B12DE">
      <w:pPr>
        <w:rPr>
          <w:lang w:val="en-GB"/>
        </w:rPr>
      </w:pPr>
    </w:p>
    <w:p w14:paraId="3F829C53" w14:textId="77777777" w:rsidR="004B12DE" w:rsidRDefault="004B12DE">
      <w:pPr>
        <w:rPr>
          <w:lang w:val="en-GB"/>
        </w:rPr>
      </w:pPr>
    </w:p>
    <w:p w14:paraId="641BD57E" w14:textId="77777777" w:rsidR="004B12DE" w:rsidRDefault="004B12DE">
      <w:pPr>
        <w:rPr>
          <w:lang w:val="en-GB"/>
        </w:rPr>
      </w:pPr>
    </w:p>
    <w:p w14:paraId="413A0EA6" w14:textId="77777777" w:rsidR="004B12DE" w:rsidRDefault="004B12DE">
      <w:pPr>
        <w:rPr>
          <w:lang w:val="en-GB"/>
        </w:rPr>
      </w:pPr>
    </w:p>
    <w:p w14:paraId="16CC676D" w14:textId="77777777" w:rsidR="004B12DE" w:rsidRDefault="004B12DE">
      <w:pPr>
        <w:rPr>
          <w:lang w:val="en-GB"/>
        </w:rPr>
      </w:pPr>
    </w:p>
    <w:p w14:paraId="6D00BCFC" w14:textId="77777777" w:rsidR="004B12DE" w:rsidRDefault="004B12DE">
      <w:pPr>
        <w:rPr>
          <w:lang w:val="en-GB"/>
        </w:rPr>
      </w:pPr>
    </w:p>
    <w:p w14:paraId="6659F39F" w14:textId="77777777" w:rsidR="004B12DE" w:rsidRDefault="004B12DE">
      <w:pPr>
        <w:rPr>
          <w:lang w:val="en-GB"/>
        </w:rPr>
      </w:pPr>
    </w:p>
    <w:p w14:paraId="7D1153C2" w14:textId="77777777" w:rsidR="004B12DE" w:rsidRDefault="004B12DE">
      <w:pPr>
        <w:rPr>
          <w:lang w:val="en-GB"/>
        </w:rPr>
      </w:pPr>
    </w:p>
    <w:p w14:paraId="21084507" w14:textId="77777777" w:rsidR="004B12DE" w:rsidRDefault="004B12DE">
      <w:pPr>
        <w:rPr>
          <w:lang w:val="en-GB"/>
        </w:rPr>
      </w:pPr>
    </w:p>
    <w:p w14:paraId="01C17E8D" w14:textId="77777777" w:rsidR="004B12DE" w:rsidRDefault="004B12DE">
      <w:pPr>
        <w:rPr>
          <w:lang w:val="en-GB"/>
        </w:rPr>
      </w:pPr>
    </w:p>
    <w:p w14:paraId="35B99AC9" w14:textId="77777777" w:rsidR="004B12DE" w:rsidRDefault="004B12DE">
      <w:pPr>
        <w:rPr>
          <w:lang w:val="en-GB"/>
        </w:rPr>
      </w:pPr>
    </w:p>
    <w:p w14:paraId="737C28D2" w14:textId="77777777" w:rsidR="004B12DE" w:rsidRDefault="004B12DE">
      <w:pPr>
        <w:rPr>
          <w:lang w:val="en-GB"/>
        </w:rPr>
      </w:pPr>
    </w:p>
    <w:p w14:paraId="3DE1E426" w14:textId="77777777" w:rsidR="004B12DE" w:rsidRDefault="004B12DE">
      <w:pPr>
        <w:rPr>
          <w:lang w:val="en-GB"/>
        </w:rPr>
      </w:pPr>
    </w:p>
    <w:p w14:paraId="26B02B96" w14:textId="77777777" w:rsidR="004B12DE" w:rsidRDefault="004B12DE">
      <w:pPr>
        <w:rPr>
          <w:lang w:val="en-GB"/>
        </w:rPr>
      </w:pPr>
    </w:p>
    <w:p w14:paraId="3502D467" w14:textId="77777777" w:rsidR="004B12DE" w:rsidRDefault="004B12DE">
      <w:pPr>
        <w:rPr>
          <w:lang w:val="en-GB"/>
        </w:rPr>
      </w:pPr>
    </w:p>
    <w:p w14:paraId="0A0F21B8" w14:textId="77777777" w:rsidR="004B12DE" w:rsidRDefault="004B12DE">
      <w:pPr>
        <w:rPr>
          <w:lang w:val="en-GB"/>
        </w:rPr>
      </w:pPr>
    </w:p>
    <w:p w14:paraId="24C6A22B" w14:textId="77777777" w:rsidR="004B12DE" w:rsidRDefault="004B12DE">
      <w:pPr>
        <w:rPr>
          <w:lang w:val="en-GB"/>
        </w:rPr>
      </w:pPr>
    </w:p>
    <w:p w14:paraId="2EAD2141" w14:textId="77777777" w:rsidR="004B12DE" w:rsidRDefault="004B12DE">
      <w:pPr>
        <w:rPr>
          <w:lang w:val="en-GB"/>
        </w:rPr>
      </w:pPr>
    </w:p>
    <w:p w14:paraId="5FDE5C48" w14:textId="77777777" w:rsidR="004B12DE" w:rsidRDefault="004B12DE">
      <w:pPr>
        <w:rPr>
          <w:lang w:val="en-GB"/>
        </w:rPr>
      </w:pPr>
    </w:p>
    <w:p w14:paraId="0A1B68B0" w14:textId="77777777" w:rsidR="004B12DE" w:rsidRDefault="004B12DE">
      <w:pPr>
        <w:rPr>
          <w:lang w:val="en-GB"/>
        </w:rPr>
      </w:pPr>
    </w:p>
    <w:p w14:paraId="0B6FA086" w14:textId="77777777" w:rsidR="004B12DE" w:rsidRDefault="004B12DE">
      <w:pPr>
        <w:rPr>
          <w:lang w:val="en-GB"/>
        </w:rPr>
      </w:pPr>
    </w:p>
    <w:p w14:paraId="18954B04" w14:textId="77777777" w:rsidR="004B12DE" w:rsidRDefault="004B12DE">
      <w:pPr>
        <w:rPr>
          <w:lang w:val="en-GB"/>
        </w:rPr>
      </w:pPr>
    </w:p>
    <w:p w14:paraId="6311F910" w14:textId="77777777" w:rsidR="004B12DE" w:rsidRDefault="004B12DE">
      <w:pPr>
        <w:rPr>
          <w:lang w:val="en-GB"/>
        </w:rPr>
      </w:pPr>
    </w:p>
    <w:p w14:paraId="0987EA7F" w14:textId="77777777" w:rsidR="004B12DE" w:rsidRDefault="004B12DE">
      <w:pPr>
        <w:rPr>
          <w:lang w:val="en-GB"/>
        </w:rPr>
      </w:pPr>
    </w:p>
    <w:p w14:paraId="15D776D9" w14:textId="77777777" w:rsidR="004B12DE" w:rsidRDefault="004B12DE">
      <w:pPr>
        <w:rPr>
          <w:lang w:val="en-GB"/>
        </w:rPr>
      </w:pPr>
    </w:p>
    <w:p w14:paraId="72EBE8B2" w14:textId="77777777" w:rsidR="004B12DE" w:rsidRDefault="004B12DE">
      <w:pPr>
        <w:rPr>
          <w:lang w:val="en-GB"/>
        </w:rPr>
      </w:pPr>
    </w:p>
    <w:p w14:paraId="592DBF91" w14:textId="77777777" w:rsidR="004B12DE" w:rsidRDefault="004B12DE">
      <w:pPr>
        <w:rPr>
          <w:lang w:val="en-GB"/>
        </w:rPr>
      </w:pPr>
    </w:p>
    <w:p w14:paraId="674555B7" w14:textId="77777777" w:rsidR="004B12DE" w:rsidRDefault="004B12DE">
      <w:pPr>
        <w:rPr>
          <w:lang w:val="en-GB"/>
        </w:rPr>
      </w:pPr>
    </w:p>
    <w:p w14:paraId="251E11A4" w14:textId="77777777" w:rsidR="004B12DE" w:rsidRDefault="004B12DE">
      <w:pPr>
        <w:rPr>
          <w:lang w:val="en-GB"/>
        </w:rPr>
      </w:pPr>
    </w:p>
    <w:p w14:paraId="0A4880DA" w14:textId="77777777" w:rsidR="004B12DE" w:rsidRDefault="004B12DE">
      <w:pPr>
        <w:rPr>
          <w:lang w:val="en-GB"/>
        </w:rPr>
      </w:pPr>
    </w:p>
    <w:p w14:paraId="4F2AA7DB" w14:textId="77777777" w:rsidR="004B12DE" w:rsidRDefault="004B12DE">
      <w:pPr>
        <w:rPr>
          <w:lang w:val="en-GB"/>
        </w:rPr>
      </w:pPr>
    </w:p>
    <w:p w14:paraId="011F75C2" w14:textId="77777777" w:rsidR="004B12DE" w:rsidRDefault="004B12DE">
      <w:pPr>
        <w:rPr>
          <w:lang w:val="en-GB"/>
        </w:rPr>
      </w:pPr>
    </w:p>
    <w:p w14:paraId="0FE9D043" w14:textId="77777777" w:rsidR="004B12DE" w:rsidRDefault="004B12DE">
      <w:pPr>
        <w:rPr>
          <w:lang w:val="en-GB"/>
        </w:rPr>
      </w:pPr>
    </w:p>
    <w:p w14:paraId="1E9A186F" w14:textId="77777777" w:rsidR="004B12DE" w:rsidRDefault="004B12DE">
      <w:pPr>
        <w:rPr>
          <w:lang w:val="en-GB"/>
        </w:rPr>
      </w:pPr>
    </w:p>
    <w:p w14:paraId="083BEEDC" w14:textId="77777777" w:rsidR="004B12DE" w:rsidRDefault="004B12DE">
      <w:pPr>
        <w:rPr>
          <w:lang w:val="en-GB"/>
        </w:rPr>
      </w:pPr>
    </w:p>
    <w:p w14:paraId="20F5B14D" w14:textId="6973D0F2" w:rsidR="008D77C2" w:rsidRPr="00E90A2D" w:rsidRDefault="008D77C2" w:rsidP="008D77C2">
      <w:pPr>
        <w:pStyle w:val="Heading1"/>
        <w:jc w:val="left"/>
        <w:rPr>
          <w:sz w:val="36"/>
          <w:szCs w:val="36"/>
          <w:lang w:val="en-GB"/>
        </w:rPr>
      </w:pPr>
      <w:bookmarkStart w:id="21" w:name="_Toc164856920"/>
      <w:r w:rsidRPr="00E90A2D">
        <w:rPr>
          <w:sz w:val="36"/>
          <w:szCs w:val="36"/>
          <w:lang w:val="en-GB"/>
        </w:rPr>
        <w:t>Abstract</w:t>
      </w:r>
      <w:bookmarkEnd w:id="21"/>
    </w:p>
    <w:p w14:paraId="2F00FDA9" w14:textId="7C21E6BC" w:rsidR="00AB3F33" w:rsidRPr="00AB3F33" w:rsidRDefault="00AB3F33" w:rsidP="00AB3F33">
      <w:pPr>
        <w:ind w:firstLine="720"/>
        <w:rPr>
          <w:rFonts w:ascii="Times New Roman" w:hAnsi="Times New Roman" w:cs="Times New Roman"/>
          <w:lang w:val="en-GB"/>
        </w:rPr>
      </w:pPr>
      <w:r w:rsidRPr="00AB3F33">
        <w:rPr>
          <w:rFonts w:ascii="Times New Roman" w:hAnsi="Times New Roman" w:cs="Times New Roman"/>
          <w:lang w:val="en-GB"/>
        </w:rPr>
        <w:t>Global Learning Institute (GLI) is currently encountering a number of obstacles pertaining to its existing on-premises IT infrastructure. These issues encompass elevated maintenance expenses, susceptibility to hardware malfunctions and calamities, as well as restricted scalability</w:t>
      </w:r>
      <w:sdt>
        <w:sdtPr>
          <w:rPr>
            <w:rFonts w:ascii="Times New Roman" w:hAnsi="Times New Roman" w:cs="Times New Roman"/>
            <w:lang w:val="en-GB"/>
          </w:rPr>
          <w:id w:val="456616663"/>
          <w:citation/>
        </w:sdtPr>
        <w:sdtContent>
          <w:r w:rsidR="00E52734">
            <w:rPr>
              <w:rFonts w:ascii="Times New Roman" w:hAnsi="Times New Roman" w:cs="Times New Roman"/>
              <w:lang w:val="en-GB"/>
            </w:rPr>
            <w:fldChar w:fldCharType="begin"/>
          </w:r>
          <w:r w:rsidR="00E52734">
            <w:rPr>
              <w:rFonts w:ascii="Times New Roman" w:hAnsi="Times New Roman" w:cs="Times New Roman"/>
              <w:lang w:val="en-GB"/>
            </w:rPr>
            <w:instrText xml:space="preserve"> CITATION Smi1 \l 2057 </w:instrText>
          </w:r>
          <w:r w:rsidR="00E52734">
            <w:rPr>
              <w:rFonts w:ascii="Times New Roman" w:hAnsi="Times New Roman" w:cs="Times New Roman"/>
              <w:lang w:val="en-GB"/>
            </w:rPr>
            <w:fldChar w:fldCharType="separate"/>
          </w:r>
          <w:r w:rsidR="00E52734">
            <w:rPr>
              <w:rFonts w:ascii="Times New Roman" w:hAnsi="Times New Roman" w:cs="Times New Roman"/>
              <w:noProof/>
              <w:lang w:val="en-GB"/>
            </w:rPr>
            <w:t xml:space="preserve"> </w:t>
          </w:r>
          <w:r w:rsidR="00E52734" w:rsidRPr="00E52734">
            <w:rPr>
              <w:rFonts w:ascii="Times New Roman" w:hAnsi="Times New Roman" w:cs="Times New Roman"/>
              <w:noProof/>
              <w:lang w:val="en-GB"/>
            </w:rPr>
            <w:t>[1]</w:t>
          </w:r>
          <w:r w:rsidR="00E52734">
            <w:rPr>
              <w:rFonts w:ascii="Times New Roman" w:hAnsi="Times New Roman" w:cs="Times New Roman"/>
              <w:lang w:val="en-GB"/>
            </w:rPr>
            <w:fldChar w:fldCharType="end"/>
          </w:r>
        </w:sdtContent>
      </w:sdt>
      <w:r w:rsidRPr="00AB3F33">
        <w:rPr>
          <w:rFonts w:ascii="Times New Roman" w:hAnsi="Times New Roman" w:cs="Times New Roman"/>
          <w:lang w:val="en-GB"/>
        </w:rPr>
        <w:t>. GLI is contemplating the migration of its file storage system and databases to Azure cloud services in order to tackle these difficulties.</w:t>
      </w:r>
    </w:p>
    <w:p w14:paraId="541008F8" w14:textId="77777777" w:rsidR="00AB3F33" w:rsidRPr="00AB3F33" w:rsidRDefault="00AB3F33" w:rsidP="00AB3F33">
      <w:pPr>
        <w:rPr>
          <w:rFonts w:ascii="Times New Roman" w:hAnsi="Times New Roman" w:cs="Times New Roman"/>
          <w:lang w:val="en-GB"/>
        </w:rPr>
      </w:pPr>
    </w:p>
    <w:p w14:paraId="3AF51756" w14:textId="77777777" w:rsidR="00AB3F33" w:rsidRPr="00AB3F33" w:rsidRDefault="00AB3F33" w:rsidP="008D77C2">
      <w:pPr>
        <w:ind w:firstLine="720"/>
        <w:rPr>
          <w:rFonts w:ascii="Times New Roman" w:hAnsi="Times New Roman" w:cs="Times New Roman"/>
          <w:lang w:val="en-GB"/>
        </w:rPr>
      </w:pPr>
      <w:r w:rsidRPr="00AB3F33">
        <w:rPr>
          <w:rFonts w:ascii="Times New Roman" w:hAnsi="Times New Roman" w:cs="Times New Roman"/>
          <w:lang w:val="en-GB"/>
        </w:rPr>
        <w:t>The purpose of this study is to provide an overview of the initial stage of transferring GLI's file storage system and databases to Azure, with a specific emphasis on utilising Azure's complimentary services to meet the institution's constrained financial resources.</w:t>
      </w:r>
    </w:p>
    <w:p w14:paraId="678D16E1" w14:textId="77777777" w:rsidR="00AB3F33" w:rsidRPr="00AB3F33" w:rsidRDefault="00AB3F33" w:rsidP="00AB3F33">
      <w:pPr>
        <w:rPr>
          <w:rFonts w:ascii="Times New Roman" w:hAnsi="Times New Roman" w:cs="Times New Roman"/>
          <w:lang w:val="en-GB"/>
        </w:rPr>
      </w:pPr>
    </w:p>
    <w:p w14:paraId="4AA8581C" w14:textId="77777777" w:rsidR="00AB3F33" w:rsidRPr="00AB3F33" w:rsidRDefault="00AB3F33" w:rsidP="008D77C2">
      <w:pPr>
        <w:ind w:firstLine="720"/>
        <w:rPr>
          <w:rFonts w:ascii="Times New Roman" w:hAnsi="Times New Roman" w:cs="Times New Roman"/>
          <w:lang w:val="en-GB"/>
        </w:rPr>
      </w:pPr>
      <w:r w:rsidRPr="00AB3F33">
        <w:rPr>
          <w:rFonts w:ascii="Times New Roman" w:hAnsi="Times New Roman" w:cs="Times New Roman"/>
          <w:lang w:val="en-GB"/>
        </w:rPr>
        <w:t>The maintenance and upgrading costs of GLI's on-premises servers are high, they are susceptible to hardware failures and disasters, and they do not have the capacity to accommodate the growing demand for online courses and certificates.</w:t>
      </w:r>
    </w:p>
    <w:p w14:paraId="374918C4" w14:textId="77777777" w:rsidR="00AB3F33" w:rsidRPr="00AB3F33" w:rsidRDefault="00AB3F33" w:rsidP="00AB3F33">
      <w:pPr>
        <w:rPr>
          <w:rFonts w:ascii="Times New Roman" w:hAnsi="Times New Roman" w:cs="Times New Roman"/>
          <w:lang w:val="en-GB"/>
        </w:rPr>
      </w:pPr>
    </w:p>
    <w:p w14:paraId="058C7DF2" w14:textId="77777777" w:rsidR="00AB3F33" w:rsidRPr="00AB3F33" w:rsidRDefault="00AB3F33" w:rsidP="008D77C2">
      <w:pPr>
        <w:ind w:firstLine="720"/>
        <w:rPr>
          <w:rFonts w:ascii="Times New Roman" w:hAnsi="Times New Roman" w:cs="Times New Roman"/>
          <w:lang w:val="en-GB"/>
        </w:rPr>
      </w:pPr>
      <w:r w:rsidRPr="00AB3F33">
        <w:rPr>
          <w:rFonts w:ascii="Times New Roman" w:hAnsi="Times New Roman" w:cs="Times New Roman"/>
          <w:lang w:val="en-GB"/>
        </w:rPr>
        <w:t>Azure File Storage offers a cloud-based solution for file sharing that is both scalable and cost-effective. GLI has the capability to transfer its file storage system to Azure File Storage, so eliminating the requirement for servers located on-site and decreasing expenses associated with maintenance. Azure File Storage provides a complimentary tier that includes 5 GB of storage, allowing GLI to commence the migration of its files without paying any supplementary costs at the outset. GLI may easily expand its storage requirements by utilising Azure's pay-as-you-go concept.</w:t>
      </w:r>
    </w:p>
    <w:p w14:paraId="79C86FD2" w14:textId="77777777" w:rsidR="00AB3F33" w:rsidRPr="00AB3F33" w:rsidRDefault="00AB3F33" w:rsidP="00AB3F33">
      <w:pPr>
        <w:rPr>
          <w:rFonts w:ascii="Times New Roman" w:hAnsi="Times New Roman" w:cs="Times New Roman"/>
          <w:lang w:val="en-GB"/>
        </w:rPr>
      </w:pPr>
    </w:p>
    <w:p w14:paraId="7E9744DD" w14:textId="4E38E4C7" w:rsidR="00AB3F33" w:rsidRPr="00AB3F33" w:rsidRDefault="00AB3F33" w:rsidP="008D77C2">
      <w:pPr>
        <w:ind w:firstLine="720"/>
        <w:rPr>
          <w:rFonts w:ascii="Times New Roman" w:hAnsi="Times New Roman" w:cs="Times New Roman"/>
          <w:lang w:val="en-GB"/>
        </w:rPr>
      </w:pPr>
      <w:r w:rsidRPr="00AB3F33">
        <w:rPr>
          <w:rFonts w:ascii="Times New Roman" w:hAnsi="Times New Roman" w:cs="Times New Roman"/>
          <w:lang w:val="en-GB"/>
        </w:rPr>
        <w:t>A range of database services is provided by Azure, encompassing Azure SQL Database and Azure Database for MySQL/PostgreSQL. GLI has the capability to transfer its databases to Azure SQL Database, hence gaining advantages from the inherent high availability, automated backups, and superior security functionalities</w:t>
      </w:r>
      <w:sdt>
        <w:sdtPr>
          <w:rPr>
            <w:rFonts w:ascii="Times New Roman" w:hAnsi="Times New Roman" w:cs="Times New Roman"/>
            <w:lang w:val="en-GB"/>
          </w:rPr>
          <w:id w:val="-989401235"/>
          <w:citation/>
        </w:sdtPr>
        <w:sdtContent>
          <w:r w:rsidR="00C970B2">
            <w:rPr>
              <w:rFonts w:ascii="Times New Roman" w:hAnsi="Times New Roman" w:cs="Times New Roman"/>
              <w:lang w:val="en-GB"/>
            </w:rPr>
            <w:fldChar w:fldCharType="begin"/>
          </w:r>
          <w:r w:rsidR="00C970B2">
            <w:rPr>
              <w:rFonts w:ascii="Times New Roman" w:hAnsi="Times New Roman" w:cs="Times New Roman"/>
              <w:lang w:val="en-GB"/>
            </w:rPr>
            <w:instrText xml:space="preserve"> CITATION JSm \l 2057 </w:instrText>
          </w:r>
          <w:r w:rsidR="00C970B2">
            <w:rPr>
              <w:rFonts w:ascii="Times New Roman" w:hAnsi="Times New Roman" w:cs="Times New Roman"/>
              <w:lang w:val="en-GB"/>
            </w:rPr>
            <w:fldChar w:fldCharType="separate"/>
          </w:r>
          <w:r w:rsidR="00C970B2">
            <w:rPr>
              <w:rFonts w:ascii="Times New Roman" w:hAnsi="Times New Roman" w:cs="Times New Roman"/>
              <w:noProof/>
              <w:lang w:val="en-GB"/>
            </w:rPr>
            <w:t xml:space="preserve"> </w:t>
          </w:r>
          <w:r w:rsidR="00C970B2" w:rsidRPr="00C970B2">
            <w:rPr>
              <w:rFonts w:ascii="Times New Roman" w:hAnsi="Times New Roman" w:cs="Times New Roman"/>
              <w:noProof/>
              <w:lang w:val="en-GB"/>
            </w:rPr>
            <w:t>[2]</w:t>
          </w:r>
          <w:r w:rsidR="00C970B2">
            <w:rPr>
              <w:rFonts w:ascii="Times New Roman" w:hAnsi="Times New Roman" w:cs="Times New Roman"/>
              <w:lang w:val="en-GB"/>
            </w:rPr>
            <w:fldChar w:fldCharType="end"/>
          </w:r>
        </w:sdtContent>
      </w:sdt>
      <w:r w:rsidRPr="00AB3F33">
        <w:rPr>
          <w:rFonts w:ascii="Times New Roman" w:hAnsi="Times New Roman" w:cs="Times New Roman"/>
          <w:lang w:val="en-GB"/>
        </w:rPr>
        <w:t>. GLI can transfer its databases without incurring immediate expenses by utilising Azure SQL Database's complimentary tier, which provides 250 GB of storage and 200 DTUs. Moreover, Azure Database Migration Service streamlines the migration procedure, guaranteeing minimal periods of inactivity and loss of data.</w:t>
      </w:r>
    </w:p>
    <w:p w14:paraId="0C39C754" w14:textId="77777777" w:rsidR="00AB3F33" w:rsidRPr="00AB3F33" w:rsidRDefault="00AB3F33" w:rsidP="00AB3F33">
      <w:pPr>
        <w:rPr>
          <w:rFonts w:ascii="Times New Roman" w:hAnsi="Times New Roman" w:cs="Times New Roman"/>
          <w:lang w:val="en-GB"/>
        </w:rPr>
      </w:pPr>
    </w:p>
    <w:p w14:paraId="6CEE380C" w14:textId="77777777" w:rsidR="00AB3F33" w:rsidRPr="00AB3F33" w:rsidRDefault="00AB3F33" w:rsidP="008D77C2">
      <w:pPr>
        <w:ind w:firstLine="720"/>
        <w:rPr>
          <w:rFonts w:ascii="Times New Roman" w:hAnsi="Times New Roman" w:cs="Times New Roman"/>
          <w:lang w:val="en-GB"/>
        </w:rPr>
      </w:pPr>
      <w:r w:rsidRPr="00AB3F33">
        <w:rPr>
          <w:rFonts w:ascii="Times New Roman" w:hAnsi="Times New Roman" w:cs="Times New Roman"/>
          <w:lang w:val="en-GB"/>
        </w:rPr>
        <w:lastRenderedPageBreak/>
        <w:t>GLI may utilise Azure's complimentary services to facilitate the initial stage of migration. GLI may reduce initial migration expenses and take use of Azure's scalable and dependable cloud infrastructure by using Azure File Storage's free tier for file storage and Azure SQL Database's free tier for databases.</w:t>
      </w:r>
    </w:p>
    <w:p w14:paraId="5054B83F" w14:textId="77777777" w:rsidR="00AB3F33" w:rsidRPr="00AB3F33" w:rsidRDefault="00AB3F33" w:rsidP="00AB3F33">
      <w:pPr>
        <w:rPr>
          <w:rFonts w:ascii="Times New Roman" w:hAnsi="Times New Roman" w:cs="Times New Roman"/>
          <w:lang w:val="en-GB"/>
        </w:rPr>
      </w:pPr>
    </w:p>
    <w:p w14:paraId="5D2D3C46" w14:textId="4562A1A6" w:rsidR="00AB3F33" w:rsidRPr="00AB3F33" w:rsidRDefault="00AB3F33" w:rsidP="008D77C2">
      <w:pPr>
        <w:ind w:firstLine="720"/>
        <w:rPr>
          <w:rFonts w:ascii="Times New Roman" w:hAnsi="Times New Roman" w:cs="Times New Roman"/>
          <w:lang w:val="en-GB"/>
        </w:rPr>
      </w:pPr>
      <w:r w:rsidRPr="00AB3F33">
        <w:rPr>
          <w:rFonts w:ascii="Times New Roman" w:hAnsi="Times New Roman" w:cs="Times New Roman"/>
          <w:lang w:val="en-GB"/>
        </w:rPr>
        <w:t>The use of Azure cloud services is a viable resolution to the existing difficulties faced by GLI in managing its file storage system and databases, which are now hosted on-premises infrastructure</w:t>
      </w:r>
      <w:sdt>
        <w:sdtPr>
          <w:rPr>
            <w:rFonts w:ascii="Times New Roman" w:hAnsi="Times New Roman" w:cs="Times New Roman"/>
            <w:lang w:val="en-GB"/>
          </w:rPr>
          <w:id w:val="760189356"/>
          <w:citation/>
        </w:sdtPr>
        <w:sdtContent>
          <w:r w:rsidR="00976E43">
            <w:rPr>
              <w:rFonts w:ascii="Times New Roman" w:hAnsi="Times New Roman" w:cs="Times New Roman"/>
              <w:lang w:val="en-GB"/>
            </w:rPr>
            <w:fldChar w:fldCharType="begin"/>
          </w:r>
          <w:r w:rsidR="00976E43">
            <w:rPr>
              <w:rFonts w:ascii="Times New Roman" w:hAnsi="Times New Roman" w:cs="Times New Roman"/>
              <w:lang w:val="en-GB"/>
            </w:rPr>
            <w:instrText xml:space="preserve"> CITATION RPa \l 2057 </w:instrText>
          </w:r>
          <w:r w:rsidR="00976E43">
            <w:rPr>
              <w:rFonts w:ascii="Times New Roman" w:hAnsi="Times New Roman" w:cs="Times New Roman"/>
              <w:lang w:val="en-GB"/>
            </w:rPr>
            <w:fldChar w:fldCharType="separate"/>
          </w:r>
          <w:r w:rsidR="00976E43">
            <w:rPr>
              <w:rFonts w:ascii="Times New Roman" w:hAnsi="Times New Roman" w:cs="Times New Roman"/>
              <w:noProof/>
              <w:lang w:val="en-GB"/>
            </w:rPr>
            <w:t xml:space="preserve"> </w:t>
          </w:r>
          <w:r w:rsidR="00976E43" w:rsidRPr="00976E43">
            <w:rPr>
              <w:rFonts w:ascii="Times New Roman" w:hAnsi="Times New Roman" w:cs="Times New Roman"/>
              <w:noProof/>
              <w:lang w:val="en-GB"/>
            </w:rPr>
            <w:t>[3]</w:t>
          </w:r>
          <w:r w:rsidR="00976E43">
            <w:rPr>
              <w:rFonts w:ascii="Times New Roman" w:hAnsi="Times New Roman" w:cs="Times New Roman"/>
              <w:lang w:val="en-GB"/>
            </w:rPr>
            <w:fldChar w:fldCharType="end"/>
          </w:r>
        </w:sdtContent>
      </w:sdt>
      <w:r w:rsidRPr="00AB3F33">
        <w:rPr>
          <w:rFonts w:ascii="Times New Roman" w:hAnsi="Times New Roman" w:cs="Times New Roman"/>
          <w:lang w:val="en-GB"/>
        </w:rPr>
        <w:t>. By utilising Azure's complimentary services, GLI may commence the migration process without substantial initial expenses, thereby establishing a scalable, cost-efficient, and robust IT infrastructure. This study presents a strategic plan for GLI's migration to Azure, emphasising the advantages and potential advantages of moving to the cloud.</w:t>
      </w:r>
    </w:p>
    <w:p w14:paraId="2B6E3F25" w14:textId="77777777" w:rsidR="00AB3F33" w:rsidRPr="00AB3F33" w:rsidRDefault="00AB3F33" w:rsidP="00AB3F33">
      <w:pPr>
        <w:rPr>
          <w:rFonts w:ascii="Times New Roman" w:hAnsi="Times New Roman" w:cs="Times New Roman"/>
          <w:lang w:val="en-GB"/>
        </w:rPr>
      </w:pPr>
    </w:p>
    <w:p w14:paraId="08ED6256" w14:textId="1AA95530" w:rsidR="004B12DE" w:rsidRDefault="00AB3F33" w:rsidP="008D77C2">
      <w:pPr>
        <w:ind w:firstLine="720"/>
        <w:rPr>
          <w:rFonts w:ascii="Times New Roman" w:hAnsi="Times New Roman" w:cs="Times New Roman"/>
          <w:lang w:val="en-GB"/>
        </w:rPr>
      </w:pPr>
      <w:r w:rsidRPr="00AB3F33">
        <w:rPr>
          <w:rFonts w:ascii="Times New Roman" w:hAnsi="Times New Roman" w:cs="Times New Roman"/>
          <w:lang w:val="en-GB"/>
        </w:rPr>
        <w:t>The report's conclusions suggest that GLI should proceed with migrating its file storage system and databases to Azure cloud services</w:t>
      </w:r>
      <w:sdt>
        <w:sdtPr>
          <w:rPr>
            <w:rFonts w:ascii="Times New Roman" w:hAnsi="Times New Roman" w:cs="Times New Roman"/>
            <w:lang w:val="en-GB"/>
          </w:rPr>
          <w:id w:val="-644349951"/>
          <w:citation/>
        </w:sdtPr>
        <w:sdtContent>
          <w:r w:rsidR="00417ED4">
            <w:rPr>
              <w:rFonts w:ascii="Times New Roman" w:hAnsi="Times New Roman" w:cs="Times New Roman"/>
              <w:lang w:val="en-GB"/>
            </w:rPr>
            <w:fldChar w:fldCharType="begin"/>
          </w:r>
          <w:r w:rsidR="00417ED4">
            <w:rPr>
              <w:rFonts w:ascii="Times New Roman" w:hAnsi="Times New Roman" w:cs="Times New Roman"/>
              <w:lang w:val="en-GB"/>
            </w:rPr>
            <w:instrText xml:space="preserve"> CITATION LCh \l 2057 </w:instrText>
          </w:r>
          <w:r w:rsidR="00417ED4">
            <w:rPr>
              <w:rFonts w:ascii="Times New Roman" w:hAnsi="Times New Roman" w:cs="Times New Roman"/>
              <w:lang w:val="en-GB"/>
            </w:rPr>
            <w:fldChar w:fldCharType="separate"/>
          </w:r>
          <w:r w:rsidR="00417ED4">
            <w:rPr>
              <w:rFonts w:ascii="Times New Roman" w:hAnsi="Times New Roman" w:cs="Times New Roman"/>
              <w:noProof/>
              <w:lang w:val="en-GB"/>
            </w:rPr>
            <w:t xml:space="preserve"> </w:t>
          </w:r>
          <w:r w:rsidR="00417ED4" w:rsidRPr="00417ED4">
            <w:rPr>
              <w:rFonts w:ascii="Times New Roman" w:hAnsi="Times New Roman" w:cs="Times New Roman"/>
              <w:noProof/>
              <w:lang w:val="en-GB"/>
            </w:rPr>
            <w:t>[4]</w:t>
          </w:r>
          <w:r w:rsidR="00417ED4">
            <w:rPr>
              <w:rFonts w:ascii="Times New Roman" w:hAnsi="Times New Roman" w:cs="Times New Roman"/>
              <w:lang w:val="en-GB"/>
            </w:rPr>
            <w:fldChar w:fldCharType="end"/>
          </w:r>
        </w:sdtContent>
      </w:sdt>
      <w:r w:rsidRPr="00AB3F33">
        <w:rPr>
          <w:rFonts w:ascii="Times New Roman" w:hAnsi="Times New Roman" w:cs="Times New Roman"/>
          <w:lang w:val="en-GB"/>
        </w:rPr>
        <w:t>. GLI should give priority to utilising Azure's complimentary services in order to minimise upfront expenses and optimise the advantages of migrating to the cloud. Furthermore, it is recommended that GLI formulate an all-encompassing migration strategy, taking into account many aspects including data transfer, application compatibility, and IT staff training, in order to facilitate a seamless move to the Azure cloud.</w:t>
      </w:r>
    </w:p>
    <w:p w14:paraId="70165DD9" w14:textId="77777777" w:rsidR="008D77C2" w:rsidRDefault="008D77C2" w:rsidP="008D77C2">
      <w:pPr>
        <w:ind w:firstLine="720"/>
        <w:rPr>
          <w:rFonts w:ascii="Times New Roman" w:hAnsi="Times New Roman" w:cs="Times New Roman"/>
          <w:lang w:val="en-GB"/>
        </w:rPr>
      </w:pPr>
    </w:p>
    <w:p w14:paraId="23BB7EF3" w14:textId="7A8F237F" w:rsidR="008D77C2" w:rsidRPr="00E90A2D" w:rsidRDefault="006E6DEF" w:rsidP="008F257B">
      <w:pPr>
        <w:pStyle w:val="Heading1"/>
        <w:ind w:left="144"/>
        <w:jc w:val="left"/>
        <w:rPr>
          <w:sz w:val="36"/>
          <w:szCs w:val="36"/>
          <w:lang w:val="en-GB"/>
        </w:rPr>
      </w:pPr>
      <w:bookmarkStart w:id="22" w:name="_Toc164856921"/>
      <w:r w:rsidRPr="00E90A2D">
        <w:rPr>
          <w:sz w:val="36"/>
          <w:szCs w:val="36"/>
          <w:lang w:val="en-GB"/>
        </w:rPr>
        <w:t xml:space="preserve">a) </w:t>
      </w:r>
      <w:r w:rsidR="008D77C2" w:rsidRPr="00E90A2D">
        <w:rPr>
          <w:sz w:val="36"/>
          <w:szCs w:val="36"/>
          <w:lang w:val="en-GB"/>
        </w:rPr>
        <w:t>Azure Total Cost of Ownership (TCO)</w:t>
      </w:r>
      <w:bookmarkEnd w:id="22"/>
    </w:p>
    <w:p w14:paraId="3180356E" w14:textId="77777777" w:rsidR="00045F7A" w:rsidRPr="00045F7A" w:rsidRDefault="00045F7A" w:rsidP="00045F7A">
      <w:pPr>
        <w:rPr>
          <w:lang w:val="en-GB"/>
        </w:rPr>
      </w:pPr>
    </w:p>
    <w:p w14:paraId="23F8D056" w14:textId="1159E86D" w:rsidR="00045F7A" w:rsidRDefault="00045F7A" w:rsidP="00045F7A">
      <w:pPr>
        <w:ind w:firstLine="720"/>
        <w:rPr>
          <w:rFonts w:ascii="Times New Roman" w:hAnsi="Times New Roman" w:cs="Times New Roman"/>
          <w:lang w:val="en-GB"/>
        </w:rPr>
      </w:pPr>
      <w:r w:rsidRPr="00045F7A">
        <w:rPr>
          <w:rFonts w:ascii="Times New Roman" w:hAnsi="Times New Roman" w:cs="Times New Roman"/>
          <w:lang w:val="en-GB"/>
        </w:rPr>
        <w:t>Conducting a comprehensive study is crucial for a Cloud Architect responsible for evaluating the possible cost savings of transferring data from on-premises servers to Azure cloud services for Global Learning Institute (GLI)</w:t>
      </w:r>
      <w:sdt>
        <w:sdtPr>
          <w:rPr>
            <w:rFonts w:ascii="Times New Roman" w:hAnsi="Times New Roman" w:cs="Times New Roman"/>
            <w:lang w:val="en-GB"/>
          </w:rPr>
          <w:id w:val="-582380277"/>
          <w:citation/>
        </w:sdtPr>
        <w:sdtContent>
          <w:r w:rsidR="00B56618">
            <w:rPr>
              <w:rFonts w:ascii="Times New Roman" w:hAnsi="Times New Roman" w:cs="Times New Roman"/>
              <w:lang w:val="en-GB"/>
            </w:rPr>
            <w:fldChar w:fldCharType="begin"/>
          </w:r>
          <w:r w:rsidR="00B56618">
            <w:rPr>
              <w:rFonts w:ascii="Times New Roman" w:hAnsi="Times New Roman" w:cs="Times New Roman"/>
              <w:lang w:val="en-GB"/>
            </w:rPr>
            <w:instrText xml:space="preserve"> CITATION MSm \l 2057 </w:instrText>
          </w:r>
          <w:r w:rsidR="00B56618">
            <w:rPr>
              <w:rFonts w:ascii="Times New Roman" w:hAnsi="Times New Roman" w:cs="Times New Roman"/>
              <w:lang w:val="en-GB"/>
            </w:rPr>
            <w:fldChar w:fldCharType="separate"/>
          </w:r>
          <w:r w:rsidR="00B56618">
            <w:rPr>
              <w:rFonts w:ascii="Times New Roman" w:hAnsi="Times New Roman" w:cs="Times New Roman"/>
              <w:noProof/>
              <w:lang w:val="en-GB"/>
            </w:rPr>
            <w:t xml:space="preserve"> </w:t>
          </w:r>
          <w:r w:rsidR="00B56618" w:rsidRPr="00B56618">
            <w:rPr>
              <w:rFonts w:ascii="Times New Roman" w:hAnsi="Times New Roman" w:cs="Times New Roman"/>
              <w:noProof/>
              <w:lang w:val="en-GB"/>
            </w:rPr>
            <w:t>[5]</w:t>
          </w:r>
          <w:r w:rsidR="00B56618">
            <w:rPr>
              <w:rFonts w:ascii="Times New Roman" w:hAnsi="Times New Roman" w:cs="Times New Roman"/>
              <w:lang w:val="en-GB"/>
            </w:rPr>
            <w:fldChar w:fldCharType="end"/>
          </w:r>
        </w:sdtContent>
      </w:sdt>
      <w:r w:rsidRPr="00045F7A">
        <w:rPr>
          <w:rFonts w:ascii="Times New Roman" w:hAnsi="Times New Roman" w:cs="Times New Roman"/>
          <w:lang w:val="en-GB"/>
        </w:rPr>
        <w:t>. The Azure Total Cost of Ownership (TCO) Calculator gives a systematic method for evaluating the existing expenses associated with on-premises infrastructure in relation to the pricing and offerings provided by Azure. This analysis aims to explore the underlying assumptions and differences between on-premises infrastructure and Azure services.</w:t>
      </w:r>
    </w:p>
    <w:p w14:paraId="09186A1D" w14:textId="74EEC0EA" w:rsidR="00BE547F" w:rsidRPr="0003654B" w:rsidRDefault="00BE547F" w:rsidP="0003654B">
      <w:pPr>
        <w:pStyle w:val="ListParagraph"/>
        <w:numPr>
          <w:ilvl w:val="0"/>
          <w:numId w:val="2"/>
        </w:numPr>
        <w:rPr>
          <w:rFonts w:ascii="Times New Roman" w:hAnsi="Times New Roman" w:cs="Times New Roman"/>
          <w:lang w:val="en-GB"/>
        </w:rPr>
      </w:pPr>
      <w:r w:rsidRPr="000E443E">
        <w:rPr>
          <w:rFonts w:ascii="Times New Roman" w:hAnsi="Times New Roman" w:cs="Times New Roman"/>
          <w:lang w:val="en-GB"/>
        </w:rPr>
        <w:t>Hypotheses regarding On-Premises Infrastructure:</w:t>
      </w:r>
    </w:p>
    <w:p w14:paraId="08AB89BE" w14:textId="1D8C6A10" w:rsidR="00BE547F" w:rsidRPr="00BE547F" w:rsidRDefault="00BE547F" w:rsidP="00BE547F">
      <w:pPr>
        <w:ind w:firstLine="720"/>
        <w:rPr>
          <w:rFonts w:ascii="Times New Roman" w:hAnsi="Times New Roman" w:cs="Times New Roman"/>
          <w:lang w:val="en-GB"/>
        </w:rPr>
      </w:pPr>
      <w:r w:rsidRPr="00BE547F">
        <w:rPr>
          <w:rFonts w:ascii="Times New Roman" w:hAnsi="Times New Roman" w:cs="Times New Roman"/>
          <w:lang w:val="en-GB"/>
        </w:rPr>
        <w:t>GLI maintains a collection of physical servers for the purpose of hosting a diverse range of applications and services</w:t>
      </w:r>
      <w:sdt>
        <w:sdtPr>
          <w:rPr>
            <w:rFonts w:ascii="Times New Roman" w:hAnsi="Times New Roman" w:cs="Times New Roman"/>
            <w:lang w:val="en-GB"/>
          </w:rPr>
          <w:id w:val="623203841"/>
          <w:citation/>
        </w:sdtPr>
        <w:sdtContent>
          <w:r w:rsidR="00B72B93">
            <w:rPr>
              <w:rFonts w:ascii="Times New Roman" w:hAnsi="Times New Roman" w:cs="Times New Roman"/>
              <w:lang w:val="en-GB"/>
            </w:rPr>
            <w:fldChar w:fldCharType="begin"/>
          </w:r>
          <w:r w:rsidR="00B72B93">
            <w:rPr>
              <w:rFonts w:ascii="Times New Roman" w:hAnsi="Times New Roman" w:cs="Times New Roman"/>
              <w:lang w:val="en-GB"/>
            </w:rPr>
            <w:instrText xml:space="preserve"> CITATION MSm1 \l 2057 </w:instrText>
          </w:r>
          <w:r w:rsidR="00B72B93">
            <w:rPr>
              <w:rFonts w:ascii="Times New Roman" w:hAnsi="Times New Roman" w:cs="Times New Roman"/>
              <w:lang w:val="en-GB"/>
            </w:rPr>
            <w:fldChar w:fldCharType="separate"/>
          </w:r>
          <w:r w:rsidR="00B72B93">
            <w:rPr>
              <w:rFonts w:ascii="Times New Roman" w:hAnsi="Times New Roman" w:cs="Times New Roman"/>
              <w:noProof/>
              <w:lang w:val="en-GB"/>
            </w:rPr>
            <w:t xml:space="preserve"> </w:t>
          </w:r>
          <w:r w:rsidR="00B72B93" w:rsidRPr="00B72B93">
            <w:rPr>
              <w:rFonts w:ascii="Times New Roman" w:hAnsi="Times New Roman" w:cs="Times New Roman"/>
              <w:noProof/>
              <w:lang w:val="en-GB"/>
            </w:rPr>
            <w:t>[6]</w:t>
          </w:r>
          <w:r w:rsidR="00B72B93">
            <w:rPr>
              <w:rFonts w:ascii="Times New Roman" w:hAnsi="Times New Roman" w:cs="Times New Roman"/>
              <w:lang w:val="en-GB"/>
            </w:rPr>
            <w:fldChar w:fldCharType="end"/>
          </w:r>
        </w:sdtContent>
      </w:sdt>
      <w:r w:rsidRPr="00BE547F">
        <w:rPr>
          <w:rFonts w:ascii="Times New Roman" w:hAnsi="Times New Roman" w:cs="Times New Roman"/>
          <w:lang w:val="en-GB"/>
        </w:rPr>
        <w:t>.</w:t>
      </w:r>
    </w:p>
    <w:p w14:paraId="37D00222" w14:textId="77777777" w:rsidR="00BE547F" w:rsidRPr="00BE547F" w:rsidRDefault="00BE547F" w:rsidP="00BE547F">
      <w:pPr>
        <w:ind w:firstLine="720"/>
        <w:rPr>
          <w:rFonts w:ascii="Times New Roman" w:hAnsi="Times New Roman" w:cs="Times New Roman"/>
          <w:lang w:val="en-GB"/>
        </w:rPr>
      </w:pPr>
      <w:r w:rsidRPr="00BE547F">
        <w:rPr>
          <w:rFonts w:ascii="Times New Roman" w:hAnsi="Times New Roman" w:cs="Times New Roman"/>
          <w:lang w:val="en-GB"/>
        </w:rPr>
        <w:t>Let us consider a scenario where there are ten on-premises servers that possess various tasks, such as web servers, database servers, and file servers.</w:t>
      </w:r>
    </w:p>
    <w:p w14:paraId="41EEB076" w14:textId="5D666556" w:rsidR="00BE547F" w:rsidRPr="00BE547F" w:rsidRDefault="00BE547F" w:rsidP="00BE547F">
      <w:pPr>
        <w:ind w:firstLine="720"/>
        <w:rPr>
          <w:rFonts w:ascii="Times New Roman" w:hAnsi="Times New Roman" w:cs="Times New Roman"/>
          <w:lang w:val="en-GB"/>
        </w:rPr>
      </w:pPr>
      <w:r w:rsidRPr="00BE547F">
        <w:rPr>
          <w:rFonts w:ascii="Times New Roman" w:hAnsi="Times New Roman" w:cs="Times New Roman"/>
          <w:lang w:val="en-GB"/>
        </w:rPr>
        <w:t xml:space="preserve">The yearly expenses for maintaining and upgrading each server amount to </w:t>
      </w:r>
      <w:r w:rsidR="00B56618">
        <w:rPr>
          <w:rFonts w:ascii="Times New Roman" w:hAnsi="Times New Roman" w:cs="Times New Roman"/>
          <w:lang w:val="en-GB"/>
        </w:rPr>
        <w:t>£</w:t>
      </w:r>
      <w:r w:rsidRPr="00BE547F">
        <w:rPr>
          <w:rFonts w:ascii="Times New Roman" w:hAnsi="Times New Roman" w:cs="Times New Roman"/>
          <w:lang w:val="en-GB"/>
        </w:rPr>
        <w:t>6,000.</w:t>
      </w:r>
    </w:p>
    <w:p w14:paraId="7CF47E19" w14:textId="1344D590" w:rsidR="00BE547F" w:rsidRPr="00BE547F" w:rsidRDefault="00BE547F" w:rsidP="00BE547F">
      <w:pPr>
        <w:ind w:firstLine="720"/>
        <w:rPr>
          <w:rFonts w:ascii="Times New Roman" w:hAnsi="Times New Roman" w:cs="Times New Roman"/>
          <w:lang w:val="en-GB"/>
        </w:rPr>
      </w:pPr>
      <w:r w:rsidRPr="00BE547F">
        <w:rPr>
          <w:rFonts w:ascii="Times New Roman" w:hAnsi="Times New Roman" w:cs="Times New Roman"/>
          <w:lang w:val="en-GB"/>
        </w:rPr>
        <w:t xml:space="preserve">The annual expenditure for on-premises servers amounts to </w:t>
      </w:r>
      <w:r w:rsidR="00B56618">
        <w:rPr>
          <w:rFonts w:ascii="Times New Roman" w:hAnsi="Times New Roman" w:cs="Times New Roman"/>
          <w:lang w:val="en-GB"/>
        </w:rPr>
        <w:t>£</w:t>
      </w:r>
      <w:r w:rsidRPr="00BE547F">
        <w:rPr>
          <w:rFonts w:ascii="Times New Roman" w:hAnsi="Times New Roman" w:cs="Times New Roman"/>
          <w:lang w:val="en-GB"/>
        </w:rPr>
        <w:t>60,000.</w:t>
      </w:r>
    </w:p>
    <w:p w14:paraId="4A96801D" w14:textId="77777777" w:rsidR="00BE547F" w:rsidRPr="00BE547F" w:rsidRDefault="00BE547F" w:rsidP="00BE547F">
      <w:pPr>
        <w:ind w:firstLine="720"/>
        <w:rPr>
          <w:rFonts w:ascii="Times New Roman" w:hAnsi="Times New Roman" w:cs="Times New Roman"/>
          <w:lang w:val="en-GB"/>
        </w:rPr>
      </w:pPr>
      <w:r w:rsidRPr="00BE547F">
        <w:rPr>
          <w:rFonts w:ascii="Times New Roman" w:hAnsi="Times New Roman" w:cs="Times New Roman"/>
          <w:lang w:val="en-GB"/>
        </w:rPr>
        <w:t>The GLI system utilises various databases to manage user profiles, course content, and administration processes.</w:t>
      </w:r>
    </w:p>
    <w:p w14:paraId="0ABDBC45" w14:textId="77777777" w:rsidR="00BE547F" w:rsidRPr="00BE547F" w:rsidRDefault="00BE547F" w:rsidP="00BE547F">
      <w:pPr>
        <w:ind w:firstLine="720"/>
        <w:rPr>
          <w:rFonts w:ascii="Times New Roman" w:hAnsi="Times New Roman" w:cs="Times New Roman"/>
          <w:lang w:val="en-GB"/>
        </w:rPr>
      </w:pPr>
      <w:r w:rsidRPr="00BE547F">
        <w:rPr>
          <w:rFonts w:ascii="Times New Roman" w:hAnsi="Times New Roman" w:cs="Times New Roman"/>
          <w:lang w:val="en-GB"/>
        </w:rPr>
        <w:t>Given a set of five databases, each exhibiting distinct workloads and usage patterns.</w:t>
      </w:r>
    </w:p>
    <w:p w14:paraId="2BEC4D7A" w14:textId="6E6BD166" w:rsidR="00BE547F" w:rsidRPr="00BE547F" w:rsidRDefault="00BE547F" w:rsidP="00BE547F">
      <w:pPr>
        <w:ind w:firstLine="720"/>
        <w:rPr>
          <w:rFonts w:ascii="Times New Roman" w:hAnsi="Times New Roman" w:cs="Times New Roman"/>
          <w:lang w:val="en-GB"/>
        </w:rPr>
      </w:pPr>
      <w:r w:rsidRPr="00BE547F">
        <w:rPr>
          <w:rFonts w:ascii="Times New Roman" w:hAnsi="Times New Roman" w:cs="Times New Roman"/>
          <w:lang w:val="en-GB"/>
        </w:rPr>
        <w:t xml:space="preserve">The yearly expenses for maintaining and licencing each database amount to </w:t>
      </w:r>
      <w:r w:rsidR="00B56618">
        <w:rPr>
          <w:rFonts w:ascii="Times New Roman" w:hAnsi="Times New Roman" w:cs="Times New Roman"/>
          <w:lang w:val="en-GB"/>
        </w:rPr>
        <w:t>£</w:t>
      </w:r>
      <w:r w:rsidRPr="00BE547F">
        <w:rPr>
          <w:rFonts w:ascii="Times New Roman" w:hAnsi="Times New Roman" w:cs="Times New Roman"/>
          <w:lang w:val="en-GB"/>
        </w:rPr>
        <w:t>10,000.</w:t>
      </w:r>
    </w:p>
    <w:p w14:paraId="236513D2" w14:textId="628BEF45" w:rsidR="00BE547F" w:rsidRPr="00BE547F" w:rsidRDefault="00BE547F" w:rsidP="00BE547F">
      <w:pPr>
        <w:ind w:firstLine="720"/>
        <w:rPr>
          <w:rFonts w:ascii="Times New Roman" w:hAnsi="Times New Roman" w:cs="Times New Roman"/>
          <w:lang w:val="en-GB"/>
        </w:rPr>
      </w:pPr>
      <w:r w:rsidRPr="00BE547F">
        <w:rPr>
          <w:rFonts w:ascii="Times New Roman" w:hAnsi="Times New Roman" w:cs="Times New Roman"/>
          <w:lang w:val="en-GB"/>
        </w:rPr>
        <w:t xml:space="preserve">The total yearly expenses for on-premises databases amount to </w:t>
      </w:r>
      <w:r w:rsidR="00B56618">
        <w:rPr>
          <w:rFonts w:ascii="Times New Roman" w:hAnsi="Times New Roman" w:cs="Times New Roman"/>
          <w:lang w:val="en-GB"/>
        </w:rPr>
        <w:t>£</w:t>
      </w:r>
      <w:r w:rsidRPr="00BE547F">
        <w:rPr>
          <w:rFonts w:ascii="Times New Roman" w:hAnsi="Times New Roman" w:cs="Times New Roman"/>
          <w:lang w:val="en-GB"/>
        </w:rPr>
        <w:t>50,000.</w:t>
      </w:r>
    </w:p>
    <w:p w14:paraId="77B6123D" w14:textId="77777777" w:rsidR="00BE547F" w:rsidRPr="00BE547F" w:rsidRDefault="00BE547F" w:rsidP="00BE547F">
      <w:pPr>
        <w:ind w:firstLine="720"/>
        <w:rPr>
          <w:rFonts w:ascii="Times New Roman" w:hAnsi="Times New Roman" w:cs="Times New Roman"/>
          <w:lang w:val="en-GB"/>
        </w:rPr>
      </w:pPr>
      <w:r w:rsidRPr="00BE547F">
        <w:rPr>
          <w:rFonts w:ascii="Times New Roman" w:hAnsi="Times New Roman" w:cs="Times New Roman"/>
          <w:lang w:val="en-GB"/>
        </w:rPr>
        <w:t>Storage Usage: The management of course materials, papers, and multimedia files in GLI necessitates a significant amount of storage capacity.</w:t>
      </w:r>
    </w:p>
    <w:p w14:paraId="1EE69BC8" w14:textId="6774A5C4" w:rsidR="00BE547F" w:rsidRPr="00BE547F" w:rsidRDefault="00BE547F" w:rsidP="00BE547F">
      <w:pPr>
        <w:ind w:firstLine="720"/>
        <w:rPr>
          <w:rFonts w:ascii="Times New Roman" w:hAnsi="Times New Roman" w:cs="Times New Roman"/>
          <w:lang w:val="en-GB"/>
        </w:rPr>
      </w:pPr>
      <w:r w:rsidRPr="00BE547F">
        <w:rPr>
          <w:rFonts w:ascii="Times New Roman" w:hAnsi="Times New Roman" w:cs="Times New Roman"/>
          <w:lang w:val="en-GB"/>
        </w:rPr>
        <w:t xml:space="preserve">Assume a storage capacity of 20 terabytes on-site, with an annual cost of </w:t>
      </w:r>
      <w:r w:rsidR="00B56618">
        <w:rPr>
          <w:rFonts w:ascii="Times New Roman" w:hAnsi="Times New Roman" w:cs="Times New Roman"/>
          <w:lang w:val="en-GB"/>
        </w:rPr>
        <w:t>£</w:t>
      </w:r>
      <w:r w:rsidRPr="00BE547F">
        <w:rPr>
          <w:rFonts w:ascii="Times New Roman" w:hAnsi="Times New Roman" w:cs="Times New Roman"/>
          <w:lang w:val="en-GB"/>
        </w:rPr>
        <w:t>20,000 for hardware and maintenance.</w:t>
      </w:r>
    </w:p>
    <w:p w14:paraId="0FF3179C" w14:textId="77777777" w:rsidR="00BE547F" w:rsidRPr="00BE547F" w:rsidRDefault="00BE547F" w:rsidP="00BE547F">
      <w:pPr>
        <w:ind w:firstLine="720"/>
        <w:rPr>
          <w:rFonts w:ascii="Times New Roman" w:hAnsi="Times New Roman" w:cs="Times New Roman"/>
          <w:lang w:val="en-GB"/>
        </w:rPr>
      </w:pPr>
      <w:r w:rsidRPr="00BE547F">
        <w:rPr>
          <w:rFonts w:ascii="Times New Roman" w:hAnsi="Times New Roman" w:cs="Times New Roman"/>
          <w:lang w:val="en-GB"/>
        </w:rPr>
        <w:t>Network Utilisation: The network infrastructure of GLI enables internal communication, user authentication, and data transmission.</w:t>
      </w:r>
    </w:p>
    <w:p w14:paraId="48C2104B" w14:textId="33C87C92" w:rsidR="00BE547F" w:rsidRDefault="00BE547F" w:rsidP="00BE547F">
      <w:pPr>
        <w:ind w:firstLine="720"/>
        <w:rPr>
          <w:rFonts w:ascii="Times New Roman" w:hAnsi="Times New Roman" w:cs="Times New Roman"/>
          <w:lang w:val="en-GB"/>
        </w:rPr>
      </w:pPr>
      <w:r w:rsidRPr="00BE547F">
        <w:rPr>
          <w:rFonts w:ascii="Times New Roman" w:hAnsi="Times New Roman" w:cs="Times New Roman"/>
          <w:lang w:val="en-GB"/>
        </w:rPr>
        <w:t xml:space="preserve">The annual expenses for network maintenance and bandwidth are estimated to be </w:t>
      </w:r>
      <w:r w:rsidR="00B56618">
        <w:rPr>
          <w:rFonts w:ascii="Times New Roman" w:hAnsi="Times New Roman" w:cs="Times New Roman"/>
          <w:lang w:val="en-GB"/>
        </w:rPr>
        <w:t>£</w:t>
      </w:r>
      <w:r w:rsidRPr="00BE547F">
        <w:rPr>
          <w:rFonts w:ascii="Times New Roman" w:hAnsi="Times New Roman" w:cs="Times New Roman"/>
          <w:lang w:val="en-GB"/>
        </w:rPr>
        <w:t>15,000.</w:t>
      </w:r>
    </w:p>
    <w:p w14:paraId="6823CE5E" w14:textId="77777777" w:rsidR="0003654B" w:rsidRDefault="0003654B" w:rsidP="00BE547F">
      <w:pPr>
        <w:ind w:firstLine="720"/>
        <w:rPr>
          <w:rFonts w:ascii="Times New Roman" w:hAnsi="Times New Roman" w:cs="Times New Roman"/>
          <w:lang w:val="en-GB"/>
        </w:rPr>
      </w:pPr>
    </w:p>
    <w:p w14:paraId="31C967B2" w14:textId="20C339AD" w:rsidR="0003654B" w:rsidRPr="0003654B" w:rsidRDefault="0003654B" w:rsidP="0003654B">
      <w:pPr>
        <w:pStyle w:val="ListParagraph"/>
        <w:numPr>
          <w:ilvl w:val="0"/>
          <w:numId w:val="2"/>
        </w:numPr>
        <w:rPr>
          <w:rFonts w:ascii="Times New Roman" w:hAnsi="Times New Roman" w:cs="Times New Roman"/>
          <w:lang w:val="en-GB"/>
        </w:rPr>
      </w:pPr>
      <w:r w:rsidRPr="0003654B">
        <w:rPr>
          <w:rFonts w:ascii="Times New Roman" w:hAnsi="Times New Roman" w:cs="Times New Roman"/>
          <w:lang w:val="en-GB"/>
        </w:rPr>
        <w:t>A Comparative Analysis of Azure Pricing and Offers:</w:t>
      </w:r>
    </w:p>
    <w:p w14:paraId="74CF5316" w14:textId="3FA4635A" w:rsidR="0003654B" w:rsidRPr="0003654B" w:rsidRDefault="0003654B" w:rsidP="0003654B">
      <w:pPr>
        <w:ind w:firstLine="720"/>
        <w:rPr>
          <w:rFonts w:ascii="Times New Roman" w:hAnsi="Times New Roman" w:cs="Times New Roman"/>
          <w:lang w:val="en-GB"/>
        </w:rPr>
      </w:pPr>
      <w:r w:rsidRPr="0003654B">
        <w:rPr>
          <w:rFonts w:ascii="Times New Roman" w:hAnsi="Times New Roman" w:cs="Times New Roman"/>
          <w:lang w:val="en-GB"/>
        </w:rPr>
        <w:t>Azure Virtual Machines (VMs) provide a range of VM kinds that are tailored to accommodate diverse workloads. The pricing structure for these VMs is determined by factors such as VM size, region, and consumption</w:t>
      </w:r>
      <w:sdt>
        <w:sdtPr>
          <w:rPr>
            <w:rFonts w:ascii="Times New Roman" w:hAnsi="Times New Roman" w:cs="Times New Roman"/>
            <w:lang w:val="en-GB"/>
          </w:rPr>
          <w:id w:val="704913053"/>
          <w:citation/>
        </w:sdtPr>
        <w:sdtContent>
          <w:r w:rsidR="00C64693">
            <w:rPr>
              <w:rFonts w:ascii="Times New Roman" w:hAnsi="Times New Roman" w:cs="Times New Roman"/>
              <w:lang w:val="en-GB"/>
            </w:rPr>
            <w:fldChar w:fldCharType="begin"/>
          </w:r>
          <w:r w:rsidR="00C64693">
            <w:rPr>
              <w:rFonts w:ascii="Times New Roman" w:hAnsi="Times New Roman" w:cs="Times New Roman"/>
              <w:lang w:val="en-GB"/>
            </w:rPr>
            <w:instrText xml:space="preserve"> CITATION SKi \l 2057 </w:instrText>
          </w:r>
          <w:r w:rsidR="00C64693">
            <w:rPr>
              <w:rFonts w:ascii="Times New Roman" w:hAnsi="Times New Roman" w:cs="Times New Roman"/>
              <w:lang w:val="en-GB"/>
            </w:rPr>
            <w:fldChar w:fldCharType="separate"/>
          </w:r>
          <w:r w:rsidR="00C64693">
            <w:rPr>
              <w:rFonts w:ascii="Times New Roman" w:hAnsi="Times New Roman" w:cs="Times New Roman"/>
              <w:noProof/>
              <w:lang w:val="en-GB"/>
            </w:rPr>
            <w:t xml:space="preserve"> </w:t>
          </w:r>
          <w:r w:rsidR="00C64693" w:rsidRPr="00C64693">
            <w:rPr>
              <w:rFonts w:ascii="Times New Roman" w:hAnsi="Times New Roman" w:cs="Times New Roman"/>
              <w:noProof/>
              <w:lang w:val="en-GB"/>
            </w:rPr>
            <w:t>[7]</w:t>
          </w:r>
          <w:r w:rsidR="00C64693">
            <w:rPr>
              <w:rFonts w:ascii="Times New Roman" w:hAnsi="Times New Roman" w:cs="Times New Roman"/>
              <w:lang w:val="en-GB"/>
            </w:rPr>
            <w:fldChar w:fldCharType="end"/>
          </w:r>
        </w:sdtContent>
      </w:sdt>
      <w:r w:rsidRPr="0003654B">
        <w:rPr>
          <w:rFonts w:ascii="Times New Roman" w:hAnsi="Times New Roman" w:cs="Times New Roman"/>
          <w:lang w:val="en-GB"/>
        </w:rPr>
        <w:t>.</w:t>
      </w:r>
    </w:p>
    <w:p w14:paraId="50B37AD6" w14:textId="4D522EF0" w:rsidR="0003654B" w:rsidRPr="0003654B" w:rsidRDefault="0003654B" w:rsidP="0003654B">
      <w:pPr>
        <w:ind w:firstLine="720"/>
        <w:rPr>
          <w:rFonts w:ascii="Times New Roman" w:hAnsi="Times New Roman" w:cs="Times New Roman"/>
          <w:lang w:val="en-GB"/>
        </w:rPr>
      </w:pPr>
      <w:r w:rsidRPr="0003654B">
        <w:rPr>
          <w:rFonts w:ascii="Times New Roman" w:hAnsi="Times New Roman" w:cs="Times New Roman"/>
          <w:lang w:val="en-GB"/>
        </w:rPr>
        <w:t xml:space="preserve">An average B-series virtual machine (VM) equipped with 2 virtual central processing units (vCPUs) and 4 gigabytes (GB) of RAM costs around </w:t>
      </w:r>
      <w:r w:rsidR="00B56618">
        <w:rPr>
          <w:rFonts w:ascii="Times New Roman" w:hAnsi="Times New Roman" w:cs="Times New Roman"/>
          <w:lang w:val="en-GB"/>
        </w:rPr>
        <w:t>£</w:t>
      </w:r>
      <w:r w:rsidRPr="0003654B">
        <w:rPr>
          <w:rFonts w:ascii="Times New Roman" w:hAnsi="Times New Roman" w:cs="Times New Roman"/>
          <w:lang w:val="en-GB"/>
        </w:rPr>
        <w:t>0.08 per hour.</w:t>
      </w:r>
    </w:p>
    <w:p w14:paraId="107C49B9" w14:textId="77777777" w:rsidR="0003654B" w:rsidRPr="0003654B" w:rsidRDefault="0003654B" w:rsidP="0003654B">
      <w:pPr>
        <w:ind w:firstLine="720"/>
        <w:rPr>
          <w:rFonts w:ascii="Times New Roman" w:hAnsi="Times New Roman" w:cs="Times New Roman"/>
          <w:lang w:val="en-GB"/>
        </w:rPr>
      </w:pPr>
      <w:r w:rsidRPr="0003654B">
        <w:rPr>
          <w:rFonts w:ascii="Times New Roman" w:hAnsi="Times New Roman" w:cs="Times New Roman"/>
          <w:lang w:val="en-GB"/>
        </w:rPr>
        <w:lastRenderedPageBreak/>
        <w:t>Azure Hybrid Benefit enables customers who possess Windows Server licences to get a maximum savings of 40% on virtual machine expenses.</w:t>
      </w:r>
    </w:p>
    <w:p w14:paraId="0B24F9DA" w14:textId="77777777" w:rsidR="0003654B" w:rsidRPr="0003654B" w:rsidRDefault="0003654B" w:rsidP="0003654B">
      <w:pPr>
        <w:ind w:firstLine="720"/>
        <w:rPr>
          <w:rFonts w:ascii="Times New Roman" w:hAnsi="Times New Roman" w:cs="Times New Roman"/>
          <w:lang w:val="en-GB"/>
        </w:rPr>
      </w:pPr>
      <w:r w:rsidRPr="0003654B">
        <w:rPr>
          <w:rFonts w:ascii="Times New Roman" w:hAnsi="Times New Roman" w:cs="Times New Roman"/>
          <w:lang w:val="en-GB"/>
        </w:rPr>
        <w:t>Azure SQL Database offers managed database services that incorporate inherent intelligence, robust security measures, and scalability capabilities.</w:t>
      </w:r>
    </w:p>
    <w:p w14:paraId="2491EA27" w14:textId="77777777" w:rsidR="0003654B" w:rsidRPr="0003654B" w:rsidRDefault="0003654B" w:rsidP="0003654B">
      <w:pPr>
        <w:ind w:firstLine="720"/>
        <w:rPr>
          <w:rFonts w:ascii="Times New Roman" w:hAnsi="Times New Roman" w:cs="Times New Roman"/>
          <w:lang w:val="en-GB"/>
        </w:rPr>
      </w:pPr>
      <w:r w:rsidRPr="0003654B">
        <w:rPr>
          <w:rFonts w:ascii="Times New Roman" w:hAnsi="Times New Roman" w:cs="Times New Roman"/>
          <w:lang w:val="en-GB"/>
        </w:rPr>
        <w:t>The pricing is determined by the amount of compute resources (eDTUs or vCores) and storage capacity.</w:t>
      </w:r>
    </w:p>
    <w:p w14:paraId="0CD0985D" w14:textId="0DE330E1" w:rsidR="0003654B" w:rsidRPr="0003654B" w:rsidRDefault="0003654B" w:rsidP="0003654B">
      <w:pPr>
        <w:ind w:firstLine="720"/>
        <w:rPr>
          <w:rFonts w:ascii="Times New Roman" w:hAnsi="Times New Roman" w:cs="Times New Roman"/>
          <w:lang w:val="en-GB"/>
        </w:rPr>
      </w:pPr>
      <w:r w:rsidRPr="0003654B">
        <w:rPr>
          <w:rFonts w:ascii="Times New Roman" w:hAnsi="Times New Roman" w:cs="Times New Roman"/>
          <w:lang w:val="en-GB"/>
        </w:rPr>
        <w:t xml:space="preserve">The initial tier commences at a rate of </w:t>
      </w:r>
      <w:r w:rsidR="00B56618">
        <w:rPr>
          <w:rFonts w:ascii="Times New Roman" w:hAnsi="Times New Roman" w:cs="Times New Roman"/>
          <w:lang w:val="en-GB"/>
        </w:rPr>
        <w:t>£</w:t>
      </w:r>
      <w:r w:rsidRPr="0003654B">
        <w:rPr>
          <w:rFonts w:ascii="Times New Roman" w:hAnsi="Times New Roman" w:cs="Times New Roman"/>
          <w:lang w:val="en-GB"/>
        </w:rPr>
        <w:t xml:space="preserve">0.0069 per eDTU/hour or </w:t>
      </w:r>
      <w:r w:rsidR="00B56618">
        <w:rPr>
          <w:rFonts w:ascii="Times New Roman" w:hAnsi="Times New Roman" w:cs="Times New Roman"/>
          <w:lang w:val="en-GB"/>
        </w:rPr>
        <w:t>£</w:t>
      </w:r>
      <w:r w:rsidRPr="0003654B">
        <w:rPr>
          <w:rFonts w:ascii="Times New Roman" w:hAnsi="Times New Roman" w:cs="Times New Roman"/>
          <w:lang w:val="en-GB"/>
        </w:rPr>
        <w:t xml:space="preserve">0.0184 per vCore/hour, while the storage expenses commence at </w:t>
      </w:r>
      <w:r w:rsidR="00B56618">
        <w:rPr>
          <w:rFonts w:ascii="Times New Roman" w:hAnsi="Times New Roman" w:cs="Times New Roman"/>
          <w:lang w:val="en-GB"/>
        </w:rPr>
        <w:t>£</w:t>
      </w:r>
      <w:r w:rsidRPr="0003654B">
        <w:rPr>
          <w:rFonts w:ascii="Times New Roman" w:hAnsi="Times New Roman" w:cs="Times New Roman"/>
          <w:lang w:val="en-GB"/>
        </w:rPr>
        <w:t>0.115 per GB/month.</w:t>
      </w:r>
    </w:p>
    <w:p w14:paraId="3971D21F" w14:textId="77777777" w:rsidR="0003654B" w:rsidRPr="0003654B" w:rsidRDefault="0003654B" w:rsidP="0003654B">
      <w:pPr>
        <w:ind w:firstLine="720"/>
        <w:rPr>
          <w:rFonts w:ascii="Times New Roman" w:hAnsi="Times New Roman" w:cs="Times New Roman"/>
          <w:lang w:val="en-GB"/>
        </w:rPr>
      </w:pPr>
      <w:r w:rsidRPr="0003654B">
        <w:rPr>
          <w:rFonts w:ascii="Times New Roman" w:hAnsi="Times New Roman" w:cs="Times New Roman"/>
          <w:lang w:val="en-GB"/>
        </w:rPr>
        <w:t>Azure Blob Storage provides a scalable solution for storing unstructured data in the form of objects.</w:t>
      </w:r>
    </w:p>
    <w:p w14:paraId="5E96BACA" w14:textId="77777777" w:rsidR="0003654B" w:rsidRPr="0003654B" w:rsidRDefault="0003654B" w:rsidP="0003654B">
      <w:pPr>
        <w:ind w:firstLine="720"/>
        <w:rPr>
          <w:rFonts w:ascii="Times New Roman" w:hAnsi="Times New Roman" w:cs="Times New Roman"/>
          <w:lang w:val="en-GB"/>
        </w:rPr>
      </w:pPr>
      <w:r w:rsidRPr="0003654B">
        <w:rPr>
          <w:rFonts w:ascii="Times New Roman" w:hAnsi="Times New Roman" w:cs="Times New Roman"/>
          <w:lang w:val="en-GB"/>
        </w:rPr>
        <w:t>The pricing for the hot access tier begins at $0.0184 per GB/month, and there are extra fees for data transfer and operations.</w:t>
      </w:r>
    </w:p>
    <w:p w14:paraId="5788B4D1" w14:textId="77777777" w:rsidR="0003654B" w:rsidRPr="0003654B" w:rsidRDefault="0003654B" w:rsidP="0003654B">
      <w:pPr>
        <w:ind w:firstLine="720"/>
        <w:rPr>
          <w:rFonts w:ascii="Times New Roman" w:hAnsi="Times New Roman" w:cs="Times New Roman"/>
          <w:lang w:val="en-GB"/>
        </w:rPr>
      </w:pPr>
      <w:r w:rsidRPr="0003654B">
        <w:rPr>
          <w:rFonts w:ascii="Times New Roman" w:hAnsi="Times New Roman" w:cs="Times New Roman"/>
          <w:lang w:val="en-GB"/>
        </w:rPr>
        <w:t>Azure Networking facilitates secure and confidential communication among Azure resources through the utilisation of Azure Virtual Network (VNet).</w:t>
      </w:r>
    </w:p>
    <w:p w14:paraId="36F0AD06" w14:textId="50E99B8C" w:rsidR="000E443E" w:rsidRDefault="0003654B" w:rsidP="0003654B">
      <w:pPr>
        <w:ind w:firstLine="720"/>
        <w:rPr>
          <w:rFonts w:ascii="Times New Roman" w:hAnsi="Times New Roman" w:cs="Times New Roman"/>
          <w:lang w:val="en-GB"/>
        </w:rPr>
      </w:pPr>
      <w:r w:rsidRPr="0003654B">
        <w:rPr>
          <w:rFonts w:ascii="Times New Roman" w:hAnsi="Times New Roman" w:cs="Times New Roman"/>
          <w:lang w:val="en-GB"/>
        </w:rPr>
        <w:t xml:space="preserve">The pricing structure encompasses both complimentary incoming data transfer and outward data transfer fees, commencing at </w:t>
      </w:r>
      <w:r w:rsidR="00B56618">
        <w:rPr>
          <w:rFonts w:ascii="Times New Roman" w:hAnsi="Times New Roman" w:cs="Times New Roman"/>
          <w:lang w:val="en-GB"/>
        </w:rPr>
        <w:t>£</w:t>
      </w:r>
      <w:r w:rsidRPr="0003654B">
        <w:rPr>
          <w:rFonts w:ascii="Times New Roman" w:hAnsi="Times New Roman" w:cs="Times New Roman"/>
          <w:lang w:val="en-GB"/>
        </w:rPr>
        <w:t>0.087 per gigabyte (GB).</w:t>
      </w:r>
    </w:p>
    <w:p w14:paraId="490709A6" w14:textId="77777777" w:rsidR="008D3BEC" w:rsidRDefault="008D3BEC" w:rsidP="0003654B">
      <w:pPr>
        <w:ind w:firstLine="720"/>
        <w:rPr>
          <w:rFonts w:ascii="Times New Roman" w:hAnsi="Times New Roman" w:cs="Times New Roman"/>
          <w:lang w:val="en-GB"/>
        </w:rPr>
      </w:pPr>
    </w:p>
    <w:p w14:paraId="118779C8" w14:textId="28B366D7" w:rsidR="008D3BEC" w:rsidRPr="008C70AC" w:rsidRDefault="008C70AC" w:rsidP="008C70AC">
      <w:pPr>
        <w:pStyle w:val="ListParagraph"/>
        <w:numPr>
          <w:ilvl w:val="0"/>
          <w:numId w:val="2"/>
        </w:numPr>
        <w:rPr>
          <w:rFonts w:ascii="Times New Roman" w:hAnsi="Times New Roman" w:cs="Times New Roman"/>
          <w:lang w:val="en-GB"/>
        </w:rPr>
      </w:pPr>
      <w:r w:rsidRPr="008C70AC">
        <w:rPr>
          <w:rFonts w:ascii="Times New Roman" w:hAnsi="Times New Roman" w:cs="Times New Roman"/>
          <w:lang w:val="en-GB"/>
        </w:rPr>
        <w:t>E</w:t>
      </w:r>
      <w:r w:rsidR="008D3BEC" w:rsidRPr="008C70AC">
        <w:rPr>
          <w:rFonts w:ascii="Times New Roman" w:hAnsi="Times New Roman" w:cs="Times New Roman"/>
          <w:lang w:val="en-GB"/>
        </w:rPr>
        <w:t>xamination and Consequences:</w:t>
      </w:r>
    </w:p>
    <w:p w14:paraId="1557BA3C" w14:textId="77777777" w:rsidR="008D3BEC" w:rsidRPr="008D3BEC" w:rsidRDefault="008D3BEC" w:rsidP="008D3BEC">
      <w:pPr>
        <w:ind w:firstLine="720"/>
        <w:rPr>
          <w:rFonts w:ascii="Times New Roman" w:hAnsi="Times New Roman" w:cs="Times New Roman"/>
          <w:lang w:val="en-GB"/>
        </w:rPr>
      </w:pPr>
      <w:r w:rsidRPr="008D3BEC">
        <w:rPr>
          <w:rFonts w:ascii="Times New Roman" w:hAnsi="Times New Roman" w:cs="Times New Roman"/>
          <w:lang w:val="en-GB"/>
        </w:rPr>
        <w:t>The migration from on-premises infrastructure to Azure cloud services offers substantial potential for cost savings.</w:t>
      </w:r>
    </w:p>
    <w:p w14:paraId="61905BB3" w14:textId="5B67771A" w:rsidR="008D3BEC" w:rsidRPr="008D3BEC" w:rsidRDefault="008D3BEC" w:rsidP="008D3BEC">
      <w:pPr>
        <w:ind w:firstLine="720"/>
        <w:rPr>
          <w:rFonts w:ascii="Times New Roman" w:hAnsi="Times New Roman" w:cs="Times New Roman"/>
          <w:lang w:val="en-GB"/>
        </w:rPr>
      </w:pPr>
      <w:r w:rsidRPr="008D3BEC">
        <w:rPr>
          <w:rFonts w:ascii="Times New Roman" w:hAnsi="Times New Roman" w:cs="Times New Roman"/>
          <w:lang w:val="en-GB"/>
        </w:rPr>
        <w:t>Significant annual savings can be achieved by eliminating initial hardware investments and minimising ongoing expenses, such as maintenance and licencing fees</w:t>
      </w:r>
      <w:sdt>
        <w:sdtPr>
          <w:rPr>
            <w:rFonts w:ascii="Times New Roman" w:hAnsi="Times New Roman" w:cs="Times New Roman"/>
            <w:lang w:val="en-GB"/>
          </w:rPr>
          <w:id w:val="354855836"/>
          <w:citation/>
        </w:sdtPr>
        <w:sdtContent>
          <w:r w:rsidR="00753DDC">
            <w:rPr>
              <w:rFonts w:ascii="Times New Roman" w:hAnsi="Times New Roman" w:cs="Times New Roman"/>
              <w:lang w:val="en-GB"/>
            </w:rPr>
            <w:fldChar w:fldCharType="begin"/>
          </w:r>
          <w:r w:rsidR="00753DDC">
            <w:rPr>
              <w:rFonts w:ascii="Times New Roman" w:hAnsi="Times New Roman" w:cs="Times New Roman"/>
              <w:lang w:val="en-GB"/>
            </w:rPr>
            <w:instrText xml:space="preserve"> CITATION MSm2 \l 2057 </w:instrText>
          </w:r>
          <w:r w:rsidR="00753DDC">
            <w:rPr>
              <w:rFonts w:ascii="Times New Roman" w:hAnsi="Times New Roman" w:cs="Times New Roman"/>
              <w:lang w:val="en-GB"/>
            </w:rPr>
            <w:fldChar w:fldCharType="separate"/>
          </w:r>
          <w:r w:rsidR="00753DDC">
            <w:rPr>
              <w:rFonts w:ascii="Times New Roman" w:hAnsi="Times New Roman" w:cs="Times New Roman"/>
              <w:noProof/>
              <w:lang w:val="en-GB"/>
            </w:rPr>
            <w:t xml:space="preserve"> </w:t>
          </w:r>
          <w:r w:rsidR="00753DDC" w:rsidRPr="00753DDC">
            <w:rPr>
              <w:rFonts w:ascii="Times New Roman" w:hAnsi="Times New Roman" w:cs="Times New Roman"/>
              <w:noProof/>
              <w:lang w:val="en-GB"/>
            </w:rPr>
            <w:t>[8]</w:t>
          </w:r>
          <w:r w:rsidR="00753DDC">
            <w:rPr>
              <w:rFonts w:ascii="Times New Roman" w:hAnsi="Times New Roman" w:cs="Times New Roman"/>
              <w:lang w:val="en-GB"/>
            </w:rPr>
            <w:fldChar w:fldCharType="end"/>
          </w:r>
        </w:sdtContent>
      </w:sdt>
      <w:r w:rsidRPr="008D3BEC">
        <w:rPr>
          <w:rFonts w:ascii="Times New Roman" w:hAnsi="Times New Roman" w:cs="Times New Roman"/>
          <w:lang w:val="en-GB"/>
        </w:rPr>
        <w:t>.</w:t>
      </w:r>
    </w:p>
    <w:p w14:paraId="7A1ABBF0" w14:textId="77777777" w:rsidR="008D3BEC" w:rsidRPr="008D3BEC" w:rsidRDefault="008D3BEC" w:rsidP="008D3BEC">
      <w:pPr>
        <w:ind w:firstLine="720"/>
        <w:rPr>
          <w:rFonts w:ascii="Times New Roman" w:hAnsi="Times New Roman" w:cs="Times New Roman"/>
          <w:lang w:val="en-GB"/>
        </w:rPr>
      </w:pPr>
      <w:r w:rsidRPr="008D3BEC">
        <w:rPr>
          <w:rFonts w:ascii="Times New Roman" w:hAnsi="Times New Roman" w:cs="Times New Roman"/>
          <w:lang w:val="en-GB"/>
        </w:rPr>
        <w:t>Scalability and flexibility are key features of Azure's pay-as-you-go strategy, which enables GLI to adjust resource allocation in response to demand fluctuations. This approach ensures efficient resource utilisation and cost-effectiveness.</w:t>
      </w:r>
    </w:p>
    <w:p w14:paraId="6EA8E530" w14:textId="77777777" w:rsidR="008D3BEC" w:rsidRPr="008D3BEC" w:rsidRDefault="008D3BEC" w:rsidP="008D3BEC">
      <w:pPr>
        <w:ind w:firstLine="720"/>
        <w:rPr>
          <w:rFonts w:ascii="Times New Roman" w:hAnsi="Times New Roman" w:cs="Times New Roman"/>
          <w:lang w:val="en-GB"/>
        </w:rPr>
      </w:pPr>
      <w:r w:rsidRPr="008D3BEC">
        <w:rPr>
          <w:rFonts w:ascii="Times New Roman" w:hAnsi="Times New Roman" w:cs="Times New Roman"/>
          <w:lang w:val="en-GB"/>
        </w:rPr>
        <w:t>Global Lightweight Infrastructure (GLI) has the capability to adaptively modify compute, storage, and networking resources in order to handle varying workloads, hence improving operational agility and flexibility.</w:t>
      </w:r>
    </w:p>
    <w:p w14:paraId="606D5E24" w14:textId="77777777" w:rsidR="008D3BEC" w:rsidRPr="008D3BEC" w:rsidRDefault="008D3BEC" w:rsidP="008D3BEC">
      <w:pPr>
        <w:ind w:firstLine="720"/>
        <w:rPr>
          <w:rFonts w:ascii="Times New Roman" w:hAnsi="Times New Roman" w:cs="Times New Roman"/>
          <w:lang w:val="en-GB"/>
        </w:rPr>
      </w:pPr>
      <w:r w:rsidRPr="008D3BEC">
        <w:rPr>
          <w:rFonts w:ascii="Times New Roman" w:hAnsi="Times New Roman" w:cs="Times New Roman"/>
          <w:lang w:val="en-GB"/>
        </w:rPr>
        <w:t>Azure offers improved dependability, resilience, and data protection in comparison to on-premises solutions because to its worldwide infrastructure and integrated security measures.</w:t>
      </w:r>
    </w:p>
    <w:p w14:paraId="6C725C1F" w14:textId="00045EF3" w:rsidR="008D3BEC" w:rsidRDefault="008D3BEC" w:rsidP="008D3BEC">
      <w:pPr>
        <w:ind w:firstLine="720"/>
        <w:rPr>
          <w:rFonts w:ascii="Times New Roman" w:hAnsi="Times New Roman" w:cs="Times New Roman"/>
          <w:lang w:val="en-GB"/>
        </w:rPr>
      </w:pPr>
      <w:r w:rsidRPr="008D3BEC">
        <w:rPr>
          <w:rFonts w:ascii="Times New Roman" w:hAnsi="Times New Roman" w:cs="Times New Roman"/>
          <w:lang w:val="en-GB"/>
        </w:rPr>
        <w:t>The utilisation of Azure's compliance certifications and security controls serves to guarantee adherence to regulatory requirements and minimise the potential risks linked to hardware malfunctions and security breaches</w:t>
      </w:r>
      <w:sdt>
        <w:sdtPr>
          <w:rPr>
            <w:rFonts w:ascii="Times New Roman" w:hAnsi="Times New Roman" w:cs="Times New Roman"/>
            <w:lang w:val="en-GB"/>
          </w:rPr>
          <w:id w:val="-917709852"/>
          <w:citation/>
        </w:sdtPr>
        <w:sdtContent>
          <w:r w:rsidR="00C96811">
            <w:rPr>
              <w:rFonts w:ascii="Times New Roman" w:hAnsi="Times New Roman" w:cs="Times New Roman"/>
              <w:lang w:val="en-GB"/>
            </w:rPr>
            <w:fldChar w:fldCharType="begin"/>
          </w:r>
          <w:r w:rsidR="00C96811">
            <w:rPr>
              <w:rFonts w:ascii="Times New Roman" w:hAnsi="Times New Roman" w:cs="Times New Roman"/>
              <w:lang w:val="en-GB"/>
            </w:rPr>
            <w:instrText xml:space="preserve"> CITATION JSm1 \l 2057 </w:instrText>
          </w:r>
          <w:r w:rsidR="00C96811">
            <w:rPr>
              <w:rFonts w:ascii="Times New Roman" w:hAnsi="Times New Roman" w:cs="Times New Roman"/>
              <w:lang w:val="en-GB"/>
            </w:rPr>
            <w:fldChar w:fldCharType="separate"/>
          </w:r>
          <w:r w:rsidR="00C96811">
            <w:rPr>
              <w:rFonts w:ascii="Times New Roman" w:hAnsi="Times New Roman" w:cs="Times New Roman"/>
              <w:noProof/>
              <w:lang w:val="en-GB"/>
            </w:rPr>
            <w:t xml:space="preserve"> </w:t>
          </w:r>
          <w:r w:rsidR="00C96811" w:rsidRPr="00C96811">
            <w:rPr>
              <w:rFonts w:ascii="Times New Roman" w:hAnsi="Times New Roman" w:cs="Times New Roman"/>
              <w:noProof/>
              <w:lang w:val="en-GB"/>
            </w:rPr>
            <w:t>[9]</w:t>
          </w:r>
          <w:r w:rsidR="00C96811">
            <w:rPr>
              <w:rFonts w:ascii="Times New Roman" w:hAnsi="Times New Roman" w:cs="Times New Roman"/>
              <w:lang w:val="en-GB"/>
            </w:rPr>
            <w:fldChar w:fldCharType="end"/>
          </w:r>
        </w:sdtContent>
      </w:sdt>
      <w:r w:rsidRPr="008D3BEC">
        <w:rPr>
          <w:rFonts w:ascii="Times New Roman" w:hAnsi="Times New Roman" w:cs="Times New Roman"/>
          <w:lang w:val="en-GB"/>
        </w:rPr>
        <w:t>.</w:t>
      </w:r>
    </w:p>
    <w:p w14:paraId="5DDD57EC" w14:textId="401448B3" w:rsidR="00045F7A" w:rsidRDefault="00045F7A" w:rsidP="00045F7A">
      <w:pPr>
        <w:ind w:firstLine="720"/>
        <w:rPr>
          <w:rFonts w:ascii="Times New Roman" w:hAnsi="Times New Roman" w:cs="Times New Roman"/>
          <w:lang w:val="en-GB"/>
        </w:rPr>
      </w:pPr>
      <w:r w:rsidRPr="00045F7A">
        <w:rPr>
          <w:rFonts w:ascii="Times New Roman" w:hAnsi="Times New Roman" w:cs="Times New Roman"/>
          <w:lang w:val="en-GB"/>
        </w:rPr>
        <w:t>Transitioning from on-premises infrastructure to Azure cloud services offers GLI the chance to achieve substantial cost reductions, increased scalability, and improved dependability. Through the utilisation of Azure's pricing and features, GLI has the potential to enhance cost optimisation, enhance operational efficiency, and establish a favourable position for future development and innovation</w:t>
      </w:r>
      <w:sdt>
        <w:sdtPr>
          <w:rPr>
            <w:rFonts w:ascii="Times New Roman" w:hAnsi="Times New Roman" w:cs="Times New Roman"/>
            <w:lang w:val="en-GB"/>
          </w:rPr>
          <w:id w:val="-807940301"/>
          <w:citation/>
        </w:sdtPr>
        <w:sdtContent>
          <w:r w:rsidR="006425D6">
            <w:rPr>
              <w:rFonts w:ascii="Times New Roman" w:hAnsi="Times New Roman" w:cs="Times New Roman"/>
              <w:lang w:val="en-GB"/>
            </w:rPr>
            <w:fldChar w:fldCharType="begin"/>
          </w:r>
          <w:r w:rsidR="006425D6">
            <w:rPr>
              <w:rFonts w:ascii="Times New Roman" w:hAnsi="Times New Roman" w:cs="Times New Roman"/>
              <w:lang w:val="en-GB"/>
            </w:rPr>
            <w:instrText xml:space="preserve"> CITATION KLe \l 2057 </w:instrText>
          </w:r>
          <w:r w:rsidR="006425D6">
            <w:rPr>
              <w:rFonts w:ascii="Times New Roman" w:hAnsi="Times New Roman" w:cs="Times New Roman"/>
              <w:lang w:val="en-GB"/>
            </w:rPr>
            <w:fldChar w:fldCharType="separate"/>
          </w:r>
          <w:r w:rsidR="006425D6">
            <w:rPr>
              <w:rFonts w:ascii="Times New Roman" w:hAnsi="Times New Roman" w:cs="Times New Roman"/>
              <w:noProof/>
              <w:lang w:val="en-GB"/>
            </w:rPr>
            <w:t xml:space="preserve"> </w:t>
          </w:r>
          <w:r w:rsidR="006425D6" w:rsidRPr="006425D6">
            <w:rPr>
              <w:rFonts w:ascii="Times New Roman" w:hAnsi="Times New Roman" w:cs="Times New Roman"/>
              <w:noProof/>
              <w:lang w:val="en-GB"/>
            </w:rPr>
            <w:t>[10]</w:t>
          </w:r>
          <w:r w:rsidR="006425D6">
            <w:rPr>
              <w:rFonts w:ascii="Times New Roman" w:hAnsi="Times New Roman" w:cs="Times New Roman"/>
              <w:lang w:val="en-GB"/>
            </w:rPr>
            <w:fldChar w:fldCharType="end"/>
          </w:r>
        </w:sdtContent>
      </w:sdt>
      <w:r w:rsidRPr="00045F7A">
        <w:rPr>
          <w:rFonts w:ascii="Times New Roman" w:hAnsi="Times New Roman" w:cs="Times New Roman"/>
          <w:lang w:val="en-GB"/>
        </w:rPr>
        <w:t>. To fully capitalise on the advantages of shifting to the Azure cloud, it is crucial to have a thorough migration strategy, along with ongoing optimisation and monitoring.</w:t>
      </w:r>
    </w:p>
    <w:p w14:paraId="65FC70D8" w14:textId="77777777" w:rsidR="003A6CB5" w:rsidRDefault="003A6CB5" w:rsidP="00045F7A">
      <w:pPr>
        <w:ind w:firstLine="720"/>
        <w:rPr>
          <w:rFonts w:ascii="Times New Roman" w:hAnsi="Times New Roman" w:cs="Times New Roman"/>
          <w:lang w:val="en-GB"/>
        </w:rPr>
      </w:pPr>
    </w:p>
    <w:p w14:paraId="1F6F50EC" w14:textId="42797DF1" w:rsidR="003A6CB5" w:rsidRPr="003A6CB5" w:rsidRDefault="003A6CB5" w:rsidP="003A6CB5">
      <w:pPr>
        <w:pStyle w:val="Heading3"/>
        <w:jc w:val="left"/>
        <w:rPr>
          <w:lang w:val="en-GB"/>
        </w:rPr>
      </w:pPr>
      <w:bookmarkStart w:id="23" w:name="_Toc164856922"/>
      <w:r>
        <w:rPr>
          <w:lang w:val="en-GB"/>
        </w:rPr>
        <w:t>Example:</w:t>
      </w:r>
      <w:bookmarkEnd w:id="23"/>
    </w:p>
    <w:tbl>
      <w:tblPr>
        <w:tblStyle w:val="TableGrid"/>
        <w:tblW w:w="0" w:type="auto"/>
        <w:tblLook w:val="04A0" w:firstRow="1" w:lastRow="0" w:firstColumn="1" w:lastColumn="0" w:noHBand="0" w:noVBand="1"/>
      </w:tblPr>
      <w:tblGrid>
        <w:gridCol w:w="3114"/>
        <w:gridCol w:w="7658"/>
      </w:tblGrid>
      <w:tr w:rsidR="00976DD5" w14:paraId="145D055F" w14:textId="77777777" w:rsidTr="00403E64">
        <w:tc>
          <w:tcPr>
            <w:tcW w:w="3114" w:type="dxa"/>
          </w:tcPr>
          <w:p w14:paraId="64A71DE7" w14:textId="08007B83" w:rsidR="00FA537A" w:rsidRDefault="00DC4D60" w:rsidP="00045F7A">
            <w:pPr>
              <w:rPr>
                <w:rFonts w:ascii="Times New Roman" w:hAnsi="Times New Roman" w:cs="Times New Roman"/>
                <w:lang w:val="en-GB"/>
              </w:rPr>
            </w:pPr>
            <w:r w:rsidRPr="00DC4D60">
              <w:rPr>
                <w:rFonts w:ascii="Times New Roman" w:hAnsi="Times New Roman" w:cs="Times New Roman"/>
                <w:lang w:val="en-GB"/>
              </w:rPr>
              <w:t>Total Cost of Ownership (TCO) Calculator</w:t>
            </w:r>
          </w:p>
        </w:tc>
        <w:tc>
          <w:tcPr>
            <w:tcW w:w="7658" w:type="dxa"/>
          </w:tcPr>
          <w:p w14:paraId="7A331296" w14:textId="1D6002A2" w:rsidR="00FA537A" w:rsidRDefault="00403E64" w:rsidP="00403E64">
            <w:pPr>
              <w:jc w:val="center"/>
              <w:rPr>
                <w:rFonts w:ascii="Times New Roman" w:hAnsi="Times New Roman" w:cs="Times New Roman"/>
                <w:lang w:val="en-GB"/>
              </w:rPr>
            </w:pPr>
            <w:r w:rsidRPr="00403E64">
              <w:rPr>
                <w:rFonts w:ascii="Times New Roman" w:hAnsi="Times New Roman" w:cs="Times New Roman"/>
                <w:noProof/>
                <w:lang w:val="en-GB"/>
              </w:rPr>
              <w:drawing>
                <wp:inline distT="0" distB="0" distL="0" distR="0" wp14:anchorId="0751D5C0" wp14:editId="1EE97804">
                  <wp:extent cx="3892550" cy="1920164"/>
                  <wp:effectExtent l="0" t="0" r="0" b="4445"/>
                  <wp:docPr id="2009839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839053" name=""/>
                          <pic:cNvPicPr/>
                        </pic:nvPicPr>
                        <pic:blipFill>
                          <a:blip r:embed="rId12"/>
                          <a:stretch>
                            <a:fillRect/>
                          </a:stretch>
                        </pic:blipFill>
                        <pic:spPr>
                          <a:xfrm>
                            <a:off x="0" y="0"/>
                            <a:ext cx="3933978" cy="1940600"/>
                          </a:xfrm>
                          <a:prstGeom prst="rect">
                            <a:avLst/>
                          </a:prstGeom>
                        </pic:spPr>
                      </pic:pic>
                    </a:graphicData>
                  </a:graphic>
                </wp:inline>
              </w:drawing>
            </w:r>
          </w:p>
        </w:tc>
      </w:tr>
      <w:tr w:rsidR="00976DD5" w14:paraId="3C0E34E7" w14:textId="77777777" w:rsidTr="00403E64">
        <w:tc>
          <w:tcPr>
            <w:tcW w:w="3114" w:type="dxa"/>
          </w:tcPr>
          <w:p w14:paraId="7A1D6600" w14:textId="77777777" w:rsidR="000F4D64" w:rsidRPr="000F4D64" w:rsidRDefault="000F4D64" w:rsidP="000F4D64">
            <w:pPr>
              <w:rPr>
                <w:rFonts w:ascii="Times New Roman" w:eastAsia="Times New Roman" w:hAnsi="Times New Roman" w:cs="Times New Roman"/>
                <w:lang w:val="en-GB" w:eastAsia="en-GB"/>
              </w:rPr>
            </w:pPr>
            <w:r w:rsidRPr="000F4D64">
              <w:rPr>
                <w:rFonts w:ascii="Times New Roman" w:eastAsia="Times New Roman" w:hAnsi="Times New Roman" w:cs="Times New Roman"/>
                <w:lang w:val="en-GB" w:eastAsia="en-GB"/>
              </w:rPr>
              <w:lastRenderedPageBreak/>
              <w:t xml:space="preserve">The long-term comparison between on-premises and Azure costs. </w:t>
            </w:r>
            <w:r w:rsidRPr="000F4D64">
              <w:rPr>
                <w:rFonts w:ascii="Times New Roman" w:eastAsia="Times New Roman" w:hAnsi="Times New Roman" w:cs="Times New Roman"/>
                <w:lang w:val="en-GB" w:eastAsia="en-GB"/>
              </w:rPr>
              <w:br/>
              <w:t>Cost reductions resulting from executing workloads in Azure accumulate gradually. This demonstrates the cumulative effect of those savings over a span of years.</w:t>
            </w:r>
          </w:p>
          <w:p w14:paraId="4FA3D12C" w14:textId="77777777" w:rsidR="00FA537A" w:rsidRDefault="00FA537A" w:rsidP="00045F7A">
            <w:pPr>
              <w:rPr>
                <w:rFonts w:ascii="Times New Roman" w:hAnsi="Times New Roman" w:cs="Times New Roman"/>
                <w:lang w:val="en-GB"/>
              </w:rPr>
            </w:pPr>
          </w:p>
        </w:tc>
        <w:tc>
          <w:tcPr>
            <w:tcW w:w="7658" w:type="dxa"/>
          </w:tcPr>
          <w:p w14:paraId="5A9C5FA5" w14:textId="6444D263" w:rsidR="00FA537A" w:rsidRDefault="000E244D" w:rsidP="000E244D">
            <w:pPr>
              <w:jc w:val="center"/>
              <w:rPr>
                <w:rFonts w:ascii="Times New Roman" w:hAnsi="Times New Roman" w:cs="Times New Roman"/>
                <w:lang w:val="en-GB"/>
              </w:rPr>
            </w:pPr>
            <w:r w:rsidRPr="000E244D">
              <w:rPr>
                <w:rFonts w:ascii="Times New Roman" w:hAnsi="Times New Roman" w:cs="Times New Roman"/>
                <w:noProof/>
                <w:lang w:val="en-GB"/>
              </w:rPr>
              <w:drawing>
                <wp:inline distT="0" distB="0" distL="0" distR="0" wp14:anchorId="3F480D23" wp14:editId="4843B15B">
                  <wp:extent cx="3855720" cy="1972310"/>
                  <wp:effectExtent l="0" t="0" r="0" b="8890"/>
                  <wp:docPr id="638249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249700" name=""/>
                          <pic:cNvPicPr/>
                        </pic:nvPicPr>
                        <pic:blipFill>
                          <a:blip r:embed="rId13"/>
                          <a:stretch>
                            <a:fillRect/>
                          </a:stretch>
                        </pic:blipFill>
                        <pic:spPr>
                          <a:xfrm>
                            <a:off x="0" y="0"/>
                            <a:ext cx="3871640" cy="1980454"/>
                          </a:xfrm>
                          <a:prstGeom prst="rect">
                            <a:avLst/>
                          </a:prstGeom>
                        </pic:spPr>
                      </pic:pic>
                    </a:graphicData>
                  </a:graphic>
                </wp:inline>
              </w:drawing>
            </w:r>
          </w:p>
        </w:tc>
      </w:tr>
      <w:tr w:rsidR="00976DD5" w14:paraId="58EDDF04" w14:textId="77777777" w:rsidTr="00403E64">
        <w:tc>
          <w:tcPr>
            <w:tcW w:w="3114" w:type="dxa"/>
          </w:tcPr>
          <w:p w14:paraId="08105458" w14:textId="75B726FE" w:rsidR="00FA537A" w:rsidRDefault="00B86BB2" w:rsidP="00045F7A">
            <w:pPr>
              <w:rPr>
                <w:rFonts w:ascii="Times New Roman" w:hAnsi="Times New Roman" w:cs="Times New Roman"/>
                <w:lang w:val="en-GB"/>
              </w:rPr>
            </w:pPr>
            <w:r w:rsidRPr="00B86BB2">
              <w:rPr>
                <w:rFonts w:ascii="Times New Roman" w:hAnsi="Times New Roman" w:cs="Times New Roman"/>
                <w:lang w:val="en-GB"/>
              </w:rPr>
              <w:t>Estimated on-premises cost (2 year(s))</w:t>
            </w:r>
          </w:p>
        </w:tc>
        <w:tc>
          <w:tcPr>
            <w:tcW w:w="7658" w:type="dxa"/>
          </w:tcPr>
          <w:p w14:paraId="75805FF3" w14:textId="2CD24DE3" w:rsidR="00FA537A" w:rsidRDefault="001075E5" w:rsidP="001075E5">
            <w:pPr>
              <w:jc w:val="center"/>
              <w:rPr>
                <w:rFonts w:ascii="Times New Roman" w:hAnsi="Times New Roman" w:cs="Times New Roman"/>
                <w:lang w:val="en-GB"/>
              </w:rPr>
            </w:pPr>
            <w:r w:rsidRPr="001075E5">
              <w:rPr>
                <w:rFonts w:ascii="Times New Roman" w:hAnsi="Times New Roman" w:cs="Times New Roman"/>
                <w:noProof/>
                <w:lang w:val="en-GB"/>
              </w:rPr>
              <w:drawing>
                <wp:inline distT="0" distB="0" distL="0" distR="0" wp14:anchorId="1B02D55C" wp14:editId="4171E3B4">
                  <wp:extent cx="4453443" cy="2263140"/>
                  <wp:effectExtent l="0" t="0" r="4445" b="3810"/>
                  <wp:docPr id="1303276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76381" name=""/>
                          <pic:cNvPicPr/>
                        </pic:nvPicPr>
                        <pic:blipFill>
                          <a:blip r:embed="rId14"/>
                          <a:stretch>
                            <a:fillRect/>
                          </a:stretch>
                        </pic:blipFill>
                        <pic:spPr>
                          <a:xfrm>
                            <a:off x="0" y="0"/>
                            <a:ext cx="4460551" cy="2266752"/>
                          </a:xfrm>
                          <a:prstGeom prst="rect">
                            <a:avLst/>
                          </a:prstGeom>
                        </pic:spPr>
                      </pic:pic>
                    </a:graphicData>
                  </a:graphic>
                </wp:inline>
              </w:drawing>
            </w:r>
          </w:p>
        </w:tc>
      </w:tr>
      <w:tr w:rsidR="00976DD5" w14:paraId="54C053A6" w14:textId="77777777" w:rsidTr="00403E64">
        <w:tc>
          <w:tcPr>
            <w:tcW w:w="3114" w:type="dxa"/>
          </w:tcPr>
          <w:p w14:paraId="38919277" w14:textId="50305DBB" w:rsidR="00FA537A" w:rsidRDefault="00B86BB2" w:rsidP="00045F7A">
            <w:pPr>
              <w:rPr>
                <w:rFonts w:ascii="Times New Roman" w:hAnsi="Times New Roman" w:cs="Times New Roman"/>
                <w:lang w:val="en-GB"/>
              </w:rPr>
            </w:pPr>
            <w:r w:rsidRPr="00B86BB2">
              <w:rPr>
                <w:rFonts w:ascii="Times New Roman" w:hAnsi="Times New Roman" w:cs="Times New Roman"/>
                <w:lang w:val="en-GB"/>
              </w:rPr>
              <w:t>Estimated on-premises cost (2 year(s))</w:t>
            </w:r>
          </w:p>
        </w:tc>
        <w:tc>
          <w:tcPr>
            <w:tcW w:w="7658" w:type="dxa"/>
          </w:tcPr>
          <w:p w14:paraId="43ACBC4B" w14:textId="56DB6721" w:rsidR="00FA537A" w:rsidRDefault="00976DD5" w:rsidP="00976DD5">
            <w:pPr>
              <w:jc w:val="center"/>
              <w:rPr>
                <w:rFonts w:ascii="Times New Roman" w:hAnsi="Times New Roman" w:cs="Times New Roman"/>
                <w:lang w:val="en-GB"/>
              </w:rPr>
            </w:pPr>
            <w:r w:rsidRPr="00976DD5">
              <w:rPr>
                <w:rFonts w:ascii="Times New Roman" w:hAnsi="Times New Roman" w:cs="Times New Roman"/>
                <w:noProof/>
                <w:lang w:val="en-GB"/>
              </w:rPr>
              <w:drawing>
                <wp:inline distT="0" distB="0" distL="0" distR="0" wp14:anchorId="3A104537" wp14:editId="6302A870">
                  <wp:extent cx="4290060" cy="2129708"/>
                  <wp:effectExtent l="0" t="0" r="0" b="4445"/>
                  <wp:docPr id="521994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994892" name=""/>
                          <pic:cNvPicPr/>
                        </pic:nvPicPr>
                        <pic:blipFill>
                          <a:blip r:embed="rId15"/>
                          <a:stretch>
                            <a:fillRect/>
                          </a:stretch>
                        </pic:blipFill>
                        <pic:spPr>
                          <a:xfrm>
                            <a:off x="0" y="0"/>
                            <a:ext cx="4318275" cy="2143715"/>
                          </a:xfrm>
                          <a:prstGeom prst="rect">
                            <a:avLst/>
                          </a:prstGeom>
                        </pic:spPr>
                      </pic:pic>
                    </a:graphicData>
                  </a:graphic>
                </wp:inline>
              </w:drawing>
            </w:r>
          </w:p>
        </w:tc>
      </w:tr>
      <w:tr w:rsidR="008E5810" w14:paraId="5FA3FB59" w14:textId="77777777" w:rsidTr="00403E64">
        <w:tc>
          <w:tcPr>
            <w:tcW w:w="3114" w:type="dxa"/>
          </w:tcPr>
          <w:p w14:paraId="0F72811D" w14:textId="5D6B9C2E" w:rsidR="008E5810" w:rsidRDefault="00B86BB2" w:rsidP="00045F7A">
            <w:pPr>
              <w:rPr>
                <w:rFonts w:ascii="Times New Roman" w:hAnsi="Times New Roman" w:cs="Times New Roman"/>
                <w:lang w:val="en-GB"/>
              </w:rPr>
            </w:pPr>
            <w:r w:rsidRPr="00B86BB2">
              <w:rPr>
                <w:rFonts w:ascii="Times New Roman" w:hAnsi="Times New Roman" w:cs="Times New Roman"/>
                <w:lang w:val="en-GB"/>
              </w:rPr>
              <w:t>Estimated on-premises cost (2 year(s))</w:t>
            </w:r>
          </w:p>
        </w:tc>
        <w:tc>
          <w:tcPr>
            <w:tcW w:w="7658" w:type="dxa"/>
          </w:tcPr>
          <w:p w14:paraId="36CFDED2" w14:textId="3C7863C9" w:rsidR="008E5810" w:rsidRPr="00976DD5" w:rsidRDefault="008E5810" w:rsidP="00976DD5">
            <w:pPr>
              <w:jc w:val="center"/>
              <w:rPr>
                <w:rFonts w:ascii="Times New Roman" w:hAnsi="Times New Roman" w:cs="Times New Roman"/>
                <w:lang w:val="en-GB"/>
              </w:rPr>
            </w:pPr>
            <w:r w:rsidRPr="008E5810">
              <w:rPr>
                <w:rFonts w:ascii="Times New Roman" w:hAnsi="Times New Roman" w:cs="Times New Roman"/>
                <w:noProof/>
                <w:lang w:val="en-GB"/>
              </w:rPr>
              <w:drawing>
                <wp:inline distT="0" distB="0" distL="0" distR="0" wp14:anchorId="7198E477" wp14:editId="5BE513CA">
                  <wp:extent cx="4192270" cy="1973390"/>
                  <wp:effectExtent l="0" t="0" r="0" b="8255"/>
                  <wp:docPr id="1646281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281290" name=""/>
                          <pic:cNvPicPr/>
                        </pic:nvPicPr>
                        <pic:blipFill>
                          <a:blip r:embed="rId16"/>
                          <a:stretch>
                            <a:fillRect/>
                          </a:stretch>
                        </pic:blipFill>
                        <pic:spPr>
                          <a:xfrm>
                            <a:off x="0" y="0"/>
                            <a:ext cx="4221889" cy="1987332"/>
                          </a:xfrm>
                          <a:prstGeom prst="rect">
                            <a:avLst/>
                          </a:prstGeom>
                        </pic:spPr>
                      </pic:pic>
                    </a:graphicData>
                  </a:graphic>
                </wp:inline>
              </w:drawing>
            </w:r>
          </w:p>
        </w:tc>
      </w:tr>
    </w:tbl>
    <w:p w14:paraId="531A43DB" w14:textId="77777777" w:rsidR="007E784B" w:rsidRDefault="007E784B" w:rsidP="00045F7A">
      <w:pPr>
        <w:ind w:firstLine="720"/>
        <w:rPr>
          <w:rFonts w:ascii="Times New Roman" w:hAnsi="Times New Roman" w:cs="Times New Roman"/>
          <w:lang w:val="en-GB"/>
        </w:rPr>
      </w:pPr>
    </w:p>
    <w:p w14:paraId="213528EB" w14:textId="77777777" w:rsidR="00D4326A" w:rsidRDefault="00D4326A" w:rsidP="00D4326A">
      <w:pPr>
        <w:ind w:firstLine="720"/>
        <w:rPr>
          <w:rFonts w:ascii="Times New Roman" w:hAnsi="Times New Roman" w:cs="Times New Roman"/>
          <w:lang w:val="en-GB"/>
        </w:rPr>
      </w:pPr>
      <w:r w:rsidRPr="00D4326A">
        <w:rPr>
          <w:rFonts w:ascii="Times New Roman" w:hAnsi="Times New Roman" w:cs="Times New Roman"/>
          <w:lang w:val="en-GB"/>
        </w:rPr>
        <w:t>Total on-premises cost over two year(s)£5,960,693.67</w:t>
      </w:r>
    </w:p>
    <w:p w14:paraId="6535D73A" w14:textId="5972B922" w:rsidR="00D4326A" w:rsidRPr="00D4326A" w:rsidRDefault="00D4326A" w:rsidP="00D4326A">
      <w:pPr>
        <w:ind w:firstLine="720"/>
        <w:rPr>
          <w:rFonts w:ascii="Times New Roman" w:hAnsi="Times New Roman" w:cs="Times New Roman"/>
          <w:lang w:val="en-GB"/>
        </w:rPr>
      </w:pPr>
      <w:r w:rsidRPr="00D4326A">
        <w:rPr>
          <w:rFonts w:ascii="Times New Roman" w:hAnsi="Times New Roman" w:cs="Times New Roman"/>
          <w:lang w:val="en-GB"/>
        </w:rPr>
        <w:t>Total Azure cost over two year(s)£1,305,720.39</w:t>
      </w:r>
    </w:p>
    <w:p w14:paraId="6F37D8CC" w14:textId="5D8EC082" w:rsidR="008D2A51" w:rsidRDefault="00D4326A" w:rsidP="00D4326A">
      <w:pPr>
        <w:ind w:firstLine="720"/>
        <w:rPr>
          <w:rFonts w:ascii="Times New Roman" w:hAnsi="Times New Roman" w:cs="Times New Roman"/>
          <w:lang w:val="en-GB"/>
        </w:rPr>
      </w:pPr>
      <w:r w:rsidRPr="00D4326A">
        <w:rPr>
          <w:rFonts w:ascii="Times New Roman" w:hAnsi="Times New Roman" w:cs="Times New Roman"/>
          <w:lang w:val="en-GB"/>
        </w:rPr>
        <w:t>A total savings of £4,654,973.27 with Microsoft Azure</w:t>
      </w:r>
    </w:p>
    <w:p w14:paraId="0B391608" w14:textId="6FC5BE23" w:rsidR="000633C1" w:rsidRPr="00E90A2D" w:rsidRDefault="00E90A2D" w:rsidP="00E90A2D">
      <w:pPr>
        <w:pStyle w:val="Heading1"/>
        <w:jc w:val="left"/>
        <w:rPr>
          <w:sz w:val="36"/>
          <w:szCs w:val="36"/>
          <w:lang w:val="en-GB"/>
        </w:rPr>
      </w:pPr>
      <w:bookmarkStart w:id="24" w:name="_Toc164856923"/>
      <w:r w:rsidRPr="00E90A2D">
        <w:rPr>
          <w:sz w:val="36"/>
          <w:szCs w:val="36"/>
          <w:lang w:val="en-GB"/>
        </w:rPr>
        <w:lastRenderedPageBreak/>
        <w:t>b) Discover the advantages of Azure File Storage and its robust security protocols for GLI</w:t>
      </w:r>
      <w:bookmarkEnd w:id="24"/>
    </w:p>
    <w:p w14:paraId="09C1ACD2" w14:textId="2811AD91" w:rsidR="000633C1" w:rsidRPr="000633C1" w:rsidRDefault="000633C1" w:rsidP="000633C1">
      <w:pPr>
        <w:ind w:firstLine="720"/>
        <w:rPr>
          <w:rFonts w:ascii="Times New Roman" w:hAnsi="Times New Roman" w:cs="Times New Roman"/>
          <w:lang w:val="en-GB"/>
        </w:rPr>
      </w:pPr>
      <w:r w:rsidRPr="000633C1">
        <w:rPr>
          <w:rFonts w:ascii="Times New Roman" w:hAnsi="Times New Roman" w:cs="Times New Roman"/>
          <w:lang w:val="en-GB"/>
        </w:rPr>
        <w:t>Azure File Storage offers a robust and secure solution for Global Learning Institute (GLI) to securely store and efficiently manage their data in the cloud environment. The objective of this analysis is to assess the possible benefits of Azure File Storage and its associated features, including security measures, for GLI</w:t>
      </w:r>
      <w:sdt>
        <w:sdtPr>
          <w:rPr>
            <w:rFonts w:ascii="Times New Roman" w:hAnsi="Times New Roman" w:cs="Times New Roman"/>
            <w:lang w:val="en-GB"/>
          </w:rPr>
          <w:id w:val="1948346687"/>
          <w:citation/>
        </w:sdtPr>
        <w:sdtContent>
          <w:r w:rsidR="004E03E6">
            <w:rPr>
              <w:rFonts w:ascii="Times New Roman" w:hAnsi="Times New Roman" w:cs="Times New Roman"/>
              <w:lang w:val="en-GB"/>
            </w:rPr>
            <w:fldChar w:fldCharType="begin"/>
          </w:r>
          <w:r w:rsidR="004E03E6">
            <w:rPr>
              <w:rFonts w:ascii="Times New Roman" w:hAnsi="Times New Roman" w:cs="Times New Roman"/>
              <w:lang w:val="en-GB"/>
            </w:rPr>
            <w:instrText xml:space="preserve"> CITATION JSm2 \l 2057 </w:instrText>
          </w:r>
          <w:r w:rsidR="004E03E6">
            <w:rPr>
              <w:rFonts w:ascii="Times New Roman" w:hAnsi="Times New Roman" w:cs="Times New Roman"/>
              <w:lang w:val="en-GB"/>
            </w:rPr>
            <w:fldChar w:fldCharType="separate"/>
          </w:r>
          <w:r w:rsidR="004E03E6">
            <w:rPr>
              <w:rFonts w:ascii="Times New Roman" w:hAnsi="Times New Roman" w:cs="Times New Roman"/>
              <w:noProof/>
              <w:lang w:val="en-GB"/>
            </w:rPr>
            <w:t xml:space="preserve"> </w:t>
          </w:r>
          <w:r w:rsidR="004E03E6" w:rsidRPr="004E03E6">
            <w:rPr>
              <w:rFonts w:ascii="Times New Roman" w:hAnsi="Times New Roman" w:cs="Times New Roman"/>
              <w:noProof/>
              <w:lang w:val="en-GB"/>
            </w:rPr>
            <w:t>[11]</w:t>
          </w:r>
          <w:r w:rsidR="004E03E6">
            <w:rPr>
              <w:rFonts w:ascii="Times New Roman" w:hAnsi="Times New Roman" w:cs="Times New Roman"/>
              <w:lang w:val="en-GB"/>
            </w:rPr>
            <w:fldChar w:fldCharType="end"/>
          </w:r>
        </w:sdtContent>
      </w:sdt>
      <w:r w:rsidRPr="000633C1">
        <w:rPr>
          <w:rFonts w:ascii="Times New Roman" w:hAnsi="Times New Roman" w:cs="Times New Roman"/>
          <w:lang w:val="en-GB"/>
        </w:rPr>
        <w:t>.</w:t>
      </w:r>
    </w:p>
    <w:p w14:paraId="660FBC4B" w14:textId="77777777" w:rsidR="000633C1" w:rsidRPr="000633C1" w:rsidRDefault="000633C1" w:rsidP="000633C1">
      <w:pPr>
        <w:ind w:firstLine="720"/>
        <w:rPr>
          <w:rFonts w:ascii="Times New Roman" w:hAnsi="Times New Roman" w:cs="Times New Roman"/>
          <w:lang w:val="en-GB"/>
        </w:rPr>
      </w:pPr>
    </w:p>
    <w:p w14:paraId="04B77872" w14:textId="4EA91C4E" w:rsidR="000633C1" w:rsidRPr="000633C1" w:rsidRDefault="000633C1" w:rsidP="000633C1">
      <w:pPr>
        <w:ind w:firstLine="720"/>
        <w:rPr>
          <w:rFonts w:ascii="Times New Roman" w:hAnsi="Times New Roman" w:cs="Times New Roman"/>
          <w:lang w:val="en-GB"/>
        </w:rPr>
      </w:pPr>
      <w:r w:rsidRPr="000633C1">
        <w:rPr>
          <w:rFonts w:ascii="Times New Roman" w:hAnsi="Times New Roman" w:cs="Times New Roman"/>
          <w:lang w:val="en-GB"/>
        </w:rPr>
        <w:t xml:space="preserve"> Azure File Storage allows GLI to adjust its storage capacity based on changes in demand, allowing for scalability and flexibility. GLI has the ability to easily increase their storage capacity as their data requirements grow, without requiring significant expenditures in infrastructure or continuous maintenance</w:t>
      </w:r>
      <w:sdt>
        <w:sdtPr>
          <w:rPr>
            <w:rFonts w:ascii="Times New Roman" w:hAnsi="Times New Roman" w:cs="Times New Roman"/>
            <w:lang w:val="en-GB"/>
          </w:rPr>
          <w:id w:val="-378632972"/>
          <w:citation/>
        </w:sdtPr>
        <w:sdtContent>
          <w:r w:rsidR="00B76FC4">
            <w:rPr>
              <w:rFonts w:ascii="Times New Roman" w:hAnsi="Times New Roman" w:cs="Times New Roman"/>
              <w:lang w:val="en-GB"/>
            </w:rPr>
            <w:fldChar w:fldCharType="begin"/>
          </w:r>
          <w:r w:rsidR="00B76FC4">
            <w:rPr>
              <w:rFonts w:ascii="Times New Roman" w:hAnsi="Times New Roman" w:cs="Times New Roman"/>
              <w:lang w:val="en-GB"/>
            </w:rPr>
            <w:instrText xml:space="preserve"> CITATION RPa1 \l 2057 </w:instrText>
          </w:r>
          <w:r w:rsidR="00B76FC4">
            <w:rPr>
              <w:rFonts w:ascii="Times New Roman" w:hAnsi="Times New Roman" w:cs="Times New Roman"/>
              <w:lang w:val="en-GB"/>
            </w:rPr>
            <w:fldChar w:fldCharType="separate"/>
          </w:r>
          <w:r w:rsidR="00B76FC4">
            <w:rPr>
              <w:rFonts w:ascii="Times New Roman" w:hAnsi="Times New Roman" w:cs="Times New Roman"/>
              <w:noProof/>
              <w:lang w:val="en-GB"/>
            </w:rPr>
            <w:t xml:space="preserve"> </w:t>
          </w:r>
          <w:r w:rsidR="00B76FC4" w:rsidRPr="00B76FC4">
            <w:rPr>
              <w:rFonts w:ascii="Times New Roman" w:hAnsi="Times New Roman" w:cs="Times New Roman"/>
              <w:noProof/>
              <w:lang w:val="en-GB"/>
            </w:rPr>
            <w:t>[12]</w:t>
          </w:r>
          <w:r w:rsidR="00B76FC4">
            <w:rPr>
              <w:rFonts w:ascii="Times New Roman" w:hAnsi="Times New Roman" w:cs="Times New Roman"/>
              <w:lang w:val="en-GB"/>
            </w:rPr>
            <w:fldChar w:fldCharType="end"/>
          </w:r>
        </w:sdtContent>
      </w:sdt>
      <w:r w:rsidRPr="000633C1">
        <w:rPr>
          <w:rFonts w:ascii="Times New Roman" w:hAnsi="Times New Roman" w:cs="Times New Roman"/>
          <w:lang w:val="en-GB"/>
        </w:rPr>
        <w:t>. As the educational offerings expand, GLI's scalability ensures its ability to effectively manage the increasing volume of course materials, documents, and multimedia files.</w:t>
      </w:r>
    </w:p>
    <w:p w14:paraId="0D944FCF" w14:textId="77777777" w:rsidR="000633C1" w:rsidRPr="000633C1" w:rsidRDefault="000633C1" w:rsidP="000633C1">
      <w:pPr>
        <w:ind w:firstLine="720"/>
        <w:rPr>
          <w:rFonts w:ascii="Times New Roman" w:hAnsi="Times New Roman" w:cs="Times New Roman"/>
          <w:lang w:val="en-GB"/>
        </w:rPr>
      </w:pPr>
    </w:p>
    <w:p w14:paraId="0DC679FD" w14:textId="16B02CCB" w:rsidR="000633C1" w:rsidRPr="000633C1" w:rsidRDefault="000633C1" w:rsidP="000633C1">
      <w:pPr>
        <w:ind w:firstLine="720"/>
        <w:rPr>
          <w:rFonts w:ascii="Times New Roman" w:hAnsi="Times New Roman" w:cs="Times New Roman"/>
          <w:lang w:val="en-GB"/>
        </w:rPr>
      </w:pPr>
      <w:r w:rsidRPr="000633C1">
        <w:rPr>
          <w:rFonts w:ascii="Times New Roman" w:hAnsi="Times New Roman" w:cs="Times New Roman"/>
          <w:lang w:val="en-GB"/>
        </w:rPr>
        <w:t>Azure File Storage enables seamless file retrieval from any internet-connected location, facilitating efficient collaboration among GLI students, instructors, and staff. Users are able to securely access files stored in Azure File Shares by employing common file protocols, such as SMB (Server Message Block). This feature enables the smooth exchange and cooperative engagement with diverse documents and resources. The enhanced accessibility level facilitates increased efficiency and enables GLI to deliver a seamless and uninterrupted educational experience for their students</w:t>
      </w:r>
      <w:sdt>
        <w:sdtPr>
          <w:rPr>
            <w:rFonts w:ascii="Times New Roman" w:hAnsi="Times New Roman" w:cs="Times New Roman"/>
            <w:lang w:val="en-GB"/>
          </w:rPr>
          <w:id w:val="1035775382"/>
          <w:citation/>
        </w:sdtPr>
        <w:sdtContent>
          <w:r w:rsidR="00B76FC4">
            <w:rPr>
              <w:rFonts w:ascii="Times New Roman" w:hAnsi="Times New Roman" w:cs="Times New Roman"/>
              <w:lang w:val="en-GB"/>
            </w:rPr>
            <w:fldChar w:fldCharType="begin"/>
          </w:r>
          <w:r w:rsidR="00B76FC4">
            <w:rPr>
              <w:rFonts w:ascii="Times New Roman" w:hAnsi="Times New Roman" w:cs="Times New Roman"/>
              <w:lang w:val="en-GB"/>
            </w:rPr>
            <w:instrText xml:space="preserve"> CITATION LCh1 \l 2057 </w:instrText>
          </w:r>
          <w:r w:rsidR="00B76FC4">
            <w:rPr>
              <w:rFonts w:ascii="Times New Roman" w:hAnsi="Times New Roman" w:cs="Times New Roman"/>
              <w:lang w:val="en-GB"/>
            </w:rPr>
            <w:fldChar w:fldCharType="separate"/>
          </w:r>
          <w:r w:rsidR="00B76FC4">
            <w:rPr>
              <w:rFonts w:ascii="Times New Roman" w:hAnsi="Times New Roman" w:cs="Times New Roman"/>
              <w:noProof/>
              <w:lang w:val="en-GB"/>
            </w:rPr>
            <w:t xml:space="preserve"> </w:t>
          </w:r>
          <w:r w:rsidR="00B76FC4" w:rsidRPr="00B76FC4">
            <w:rPr>
              <w:rFonts w:ascii="Times New Roman" w:hAnsi="Times New Roman" w:cs="Times New Roman"/>
              <w:noProof/>
              <w:lang w:val="en-GB"/>
            </w:rPr>
            <w:t>[13]</w:t>
          </w:r>
          <w:r w:rsidR="00B76FC4">
            <w:rPr>
              <w:rFonts w:ascii="Times New Roman" w:hAnsi="Times New Roman" w:cs="Times New Roman"/>
              <w:lang w:val="en-GB"/>
            </w:rPr>
            <w:fldChar w:fldCharType="end"/>
          </w:r>
        </w:sdtContent>
      </w:sdt>
      <w:r w:rsidRPr="000633C1">
        <w:rPr>
          <w:rFonts w:ascii="Times New Roman" w:hAnsi="Times New Roman" w:cs="Times New Roman"/>
          <w:lang w:val="en-GB"/>
        </w:rPr>
        <w:t>.</w:t>
      </w:r>
    </w:p>
    <w:p w14:paraId="1242A4D2" w14:textId="77777777" w:rsidR="000633C1" w:rsidRPr="000633C1" w:rsidRDefault="000633C1" w:rsidP="000633C1">
      <w:pPr>
        <w:ind w:firstLine="720"/>
        <w:rPr>
          <w:rFonts w:ascii="Times New Roman" w:hAnsi="Times New Roman" w:cs="Times New Roman"/>
          <w:lang w:val="en-GB"/>
        </w:rPr>
      </w:pPr>
    </w:p>
    <w:p w14:paraId="21B9D1D3" w14:textId="77777777" w:rsidR="000633C1" w:rsidRPr="000633C1" w:rsidRDefault="000633C1" w:rsidP="000633C1">
      <w:pPr>
        <w:ind w:firstLine="720"/>
        <w:rPr>
          <w:rFonts w:ascii="Times New Roman" w:hAnsi="Times New Roman" w:cs="Times New Roman"/>
          <w:lang w:val="en-GB"/>
        </w:rPr>
      </w:pPr>
      <w:r w:rsidRPr="000633C1">
        <w:rPr>
          <w:rFonts w:ascii="Times New Roman" w:hAnsi="Times New Roman" w:cs="Times New Roman"/>
          <w:lang w:val="en-GB"/>
        </w:rPr>
        <w:t>Azure File Storage offers inherent redundancy and high availability features, ensuring the ongoing accessibility of GLI's data in the case of hardware failures or catastrophic incidents. Microsoft Azure possesses the capacity to replicate data across many data centres situated within a designated geographical area or across different geographical areas, hence providing redundancy and the ability to withstand potential disturbances. Redundancy methods are implemented to reduce periods of inactivity and ensure the ongoing functioning of GLI, safeguarding their important data and ensuring constant access of educational resources.</w:t>
      </w:r>
    </w:p>
    <w:p w14:paraId="70B354B4" w14:textId="77777777" w:rsidR="000633C1" w:rsidRPr="000633C1" w:rsidRDefault="000633C1" w:rsidP="000633C1">
      <w:pPr>
        <w:ind w:firstLine="720"/>
        <w:rPr>
          <w:rFonts w:ascii="Times New Roman" w:hAnsi="Times New Roman" w:cs="Times New Roman"/>
          <w:lang w:val="en-GB"/>
        </w:rPr>
      </w:pPr>
    </w:p>
    <w:p w14:paraId="2AC5816A" w14:textId="26E330C6" w:rsidR="000633C1" w:rsidRPr="000633C1" w:rsidRDefault="000633C1" w:rsidP="000633C1">
      <w:pPr>
        <w:ind w:firstLine="720"/>
        <w:rPr>
          <w:rFonts w:ascii="Times New Roman" w:hAnsi="Times New Roman" w:cs="Times New Roman"/>
          <w:lang w:val="en-GB"/>
        </w:rPr>
      </w:pPr>
      <w:r w:rsidRPr="000633C1">
        <w:rPr>
          <w:rFonts w:ascii="Times New Roman" w:hAnsi="Times New Roman" w:cs="Times New Roman"/>
          <w:lang w:val="en-GB"/>
        </w:rPr>
        <w:t>Azure File Storage employs a wide array of security mechanisms to protect GLI's data from unauthorised access and cyber threats. The security features include encryption for both data stored and data being transmitted, integration of Azure Active Directory (AD) and role-based access control (RBAC) for controlling access, and use of Azure Virtual Network (VNet) service endpoints and firewalls for network security</w:t>
      </w:r>
      <w:sdt>
        <w:sdtPr>
          <w:rPr>
            <w:rFonts w:ascii="Times New Roman" w:hAnsi="Times New Roman" w:cs="Times New Roman"/>
            <w:lang w:val="en-GB"/>
          </w:rPr>
          <w:id w:val="828174767"/>
          <w:citation/>
        </w:sdtPr>
        <w:sdtContent>
          <w:r w:rsidR="001C09BA">
            <w:rPr>
              <w:rFonts w:ascii="Times New Roman" w:hAnsi="Times New Roman" w:cs="Times New Roman"/>
              <w:lang w:val="en-GB"/>
            </w:rPr>
            <w:fldChar w:fldCharType="begin"/>
          </w:r>
          <w:r w:rsidR="001C09BA">
            <w:rPr>
              <w:rFonts w:ascii="Times New Roman" w:hAnsi="Times New Roman" w:cs="Times New Roman"/>
              <w:lang w:val="en-GB"/>
            </w:rPr>
            <w:instrText xml:space="preserve"> CITATION YZh \l 2057 </w:instrText>
          </w:r>
          <w:r w:rsidR="001C09BA">
            <w:rPr>
              <w:rFonts w:ascii="Times New Roman" w:hAnsi="Times New Roman" w:cs="Times New Roman"/>
              <w:lang w:val="en-GB"/>
            </w:rPr>
            <w:fldChar w:fldCharType="separate"/>
          </w:r>
          <w:r w:rsidR="001C09BA">
            <w:rPr>
              <w:rFonts w:ascii="Times New Roman" w:hAnsi="Times New Roman" w:cs="Times New Roman"/>
              <w:noProof/>
              <w:lang w:val="en-GB"/>
            </w:rPr>
            <w:t xml:space="preserve"> </w:t>
          </w:r>
          <w:r w:rsidR="001C09BA" w:rsidRPr="001C09BA">
            <w:rPr>
              <w:rFonts w:ascii="Times New Roman" w:hAnsi="Times New Roman" w:cs="Times New Roman"/>
              <w:noProof/>
              <w:lang w:val="en-GB"/>
            </w:rPr>
            <w:t>[14]</w:t>
          </w:r>
          <w:r w:rsidR="001C09BA">
            <w:rPr>
              <w:rFonts w:ascii="Times New Roman" w:hAnsi="Times New Roman" w:cs="Times New Roman"/>
              <w:lang w:val="en-GB"/>
            </w:rPr>
            <w:fldChar w:fldCharType="end"/>
          </w:r>
        </w:sdtContent>
      </w:sdt>
      <w:r w:rsidRPr="000633C1">
        <w:rPr>
          <w:rFonts w:ascii="Times New Roman" w:hAnsi="Times New Roman" w:cs="Times New Roman"/>
          <w:lang w:val="en-GB"/>
        </w:rPr>
        <w:t>. By applying these security measures, GLI can ensure the confidentiality, integrity, and availability of their data stored on Azure File Storage. This will assist them in adhering to regulatory mandates and safeguarding confidential data.</w:t>
      </w:r>
    </w:p>
    <w:p w14:paraId="29152E04" w14:textId="03D3C2C0" w:rsidR="000633C1" w:rsidRDefault="000633C1" w:rsidP="000633C1">
      <w:pPr>
        <w:ind w:firstLine="720"/>
        <w:rPr>
          <w:rFonts w:ascii="Times New Roman" w:hAnsi="Times New Roman" w:cs="Times New Roman"/>
          <w:lang w:val="en-GB"/>
        </w:rPr>
      </w:pPr>
      <w:r w:rsidRPr="000633C1">
        <w:rPr>
          <w:rFonts w:ascii="Times New Roman" w:hAnsi="Times New Roman" w:cs="Times New Roman"/>
          <w:lang w:val="en-GB"/>
        </w:rPr>
        <w:t>Azure File Storage offers GLI a practical, readily available, and extremely secure alternative for storing and managing their files in the cloud. Through the utilisation of Azure File Storage and its associated functions, GLI possesses the capacity to enhance cooperation, ensure the accessibility and reliability of data, and comply with security requirements, thereby reinforcing their goal of delivering exceptional online education to students</w:t>
      </w:r>
      <w:sdt>
        <w:sdtPr>
          <w:rPr>
            <w:rFonts w:ascii="Times New Roman" w:hAnsi="Times New Roman" w:cs="Times New Roman"/>
            <w:lang w:val="en-GB"/>
          </w:rPr>
          <w:id w:val="-166323811"/>
          <w:citation/>
        </w:sdtPr>
        <w:sdtContent>
          <w:r w:rsidR="00BC6EFB">
            <w:rPr>
              <w:rFonts w:ascii="Times New Roman" w:hAnsi="Times New Roman" w:cs="Times New Roman"/>
              <w:lang w:val="en-GB"/>
            </w:rPr>
            <w:fldChar w:fldCharType="begin"/>
          </w:r>
          <w:r w:rsidR="00BC6EFB">
            <w:rPr>
              <w:rFonts w:ascii="Times New Roman" w:hAnsi="Times New Roman" w:cs="Times New Roman"/>
              <w:lang w:val="en-GB"/>
            </w:rPr>
            <w:instrText xml:space="preserve"> CITATION CLi \l 2057 </w:instrText>
          </w:r>
          <w:r w:rsidR="00BC6EFB">
            <w:rPr>
              <w:rFonts w:ascii="Times New Roman" w:hAnsi="Times New Roman" w:cs="Times New Roman"/>
              <w:lang w:val="en-GB"/>
            </w:rPr>
            <w:fldChar w:fldCharType="separate"/>
          </w:r>
          <w:r w:rsidR="00BC6EFB">
            <w:rPr>
              <w:rFonts w:ascii="Times New Roman" w:hAnsi="Times New Roman" w:cs="Times New Roman"/>
              <w:noProof/>
              <w:lang w:val="en-GB"/>
            </w:rPr>
            <w:t xml:space="preserve"> </w:t>
          </w:r>
          <w:r w:rsidR="00BC6EFB" w:rsidRPr="00BC6EFB">
            <w:rPr>
              <w:rFonts w:ascii="Times New Roman" w:hAnsi="Times New Roman" w:cs="Times New Roman"/>
              <w:noProof/>
              <w:lang w:val="en-GB"/>
            </w:rPr>
            <w:t>[15]</w:t>
          </w:r>
          <w:r w:rsidR="00BC6EFB">
            <w:rPr>
              <w:rFonts w:ascii="Times New Roman" w:hAnsi="Times New Roman" w:cs="Times New Roman"/>
              <w:lang w:val="en-GB"/>
            </w:rPr>
            <w:fldChar w:fldCharType="end"/>
          </w:r>
        </w:sdtContent>
      </w:sdt>
      <w:r w:rsidRPr="000633C1">
        <w:rPr>
          <w:rFonts w:ascii="Times New Roman" w:hAnsi="Times New Roman" w:cs="Times New Roman"/>
          <w:lang w:val="en-GB"/>
        </w:rPr>
        <w:t>.</w:t>
      </w:r>
    </w:p>
    <w:p w14:paraId="0B68DB94" w14:textId="77777777" w:rsidR="003D35EA" w:rsidRDefault="003D35EA" w:rsidP="000633C1">
      <w:pPr>
        <w:ind w:firstLine="720"/>
        <w:rPr>
          <w:rFonts w:ascii="Times New Roman" w:hAnsi="Times New Roman" w:cs="Times New Roman"/>
          <w:lang w:val="en-GB"/>
        </w:rPr>
      </w:pPr>
    </w:p>
    <w:p w14:paraId="23744108" w14:textId="77777777" w:rsidR="003D35EA" w:rsidRDefault="003D35EA" w:rsidP="003D35EA">
      <w:pPr>
        <w:pStyle w:val="Heading3"/>
        <w:jc w:val="left"/>
        <w:rPr>
          <w:lang w:val="en-GB"/>
        </w:rPr>
      </w:pPr>
      <w:bookmarkStart w:id="25" w:name="_Toc164856924"/>
      <w:r>
        <w:rPr>
          <w:lang w:val="en-GB"/>
        </w:rPr>
        <w:t>Example:</w:t>
      </w:r>
      <w:bookmarkEnd w:id="25"/>
    </w:p>
    <w:tbl>
      <w:tblPr>
        <w:tblStyle w:val="TableGrid"/>
        <w:tblW w:w="0" w:type="auto"/>
        <w:tblLook w:val="04A0" w:firstRow="1" w:lastRow="0" w:firstColumn="1" w:lastColumn="0" w:noHBand="0" w:noVBand="1"/>
      </w:tblPr>
      <w:tblGrid>
        <w:gridCol w:w="2156"/>
        <w:gridCol w:w="8616"/>
      </w:tblGrid>
      <w:tr w:rsidR="00C57DA0" w14:paraId="0BB5003F" w14:textId="77777777" w:rsidTr="00507116">
        <w:tc>
          <w:tcPr>
            <w:tcW w:w="2263" w:type="dxa"/>
          </w:tcPr>
          <w:p w14:paraId="77515318" w14:textId="275D7B50" w:rsidR="00283C12" w:rsidRPr="00984D64" w:rsidRDefault="00984D64" w:rsidP="003D35EA">
            <w:pPr>
              <w:rPr>
                <w:rFonts w:ascii="Times New Roman" w:hAnsi="Times New Roman" w:cs="Times New Roman"/>
                <w:lang w:val="en-GB"/>
              </w:rPr>
            </w:pPr>
            <w:r w:rsidRPr="00984D64">
              <w:rPr>
                <w:rFonts w:ascii="Times New Roman" w:hAnsi="Times New Roman" w:cs="Times New Roman"/>
                <w:lang w:val="en-GB"/>
              </w:rPr>
              <w:lastRenderedPageBreak/>
              <w:t>Create a Storage Account</w:t>
            </w:r>
          </w:p>
        </w:tc>
        <w:tc>
          <w:tcPr>
            <w:tcW w:w="8509" w:type="dxa"/>
          </w:tcPr>
          <w:p w14:paraId="05EDB7E8" w14:textId="5804278B" w:rsidR="00283C12" w:rsidRDefault="00FC2888" w:rsidP="00FC2888">
            <w:pPr>
              <w:jc w:val="center"/>
              <w:rPr>
                <w:lang w:val="en-GB"/>
              </w:rPr>
            </w:pPr>
            <w:r w:rsidRPr="00FC2888">
              <w:rPr>
                <w:noProof/>
                <w:lang w:val="en-GB"/>
              </w:rPr>
              <w:drawing>
                <wp:inline distT="0" distB="0" distL="0" distR="0" wp14:anchorId="326DD2AB" wp14:editId="6F1A87A1">
                  <wp:extent cx="5052060" cy="2857500"/>
                  <wp:effectExtent l="0" t="0" r="0" b="0"/>
                  <wp:docPr id="375378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378457" name=""/>
                          <pic:cNvPicPr/>
                        </pic:nvPicPr>
                        <pic:blipFill>
                          <a:blip r:embed="rId17"/>
                          <a:stretch>
                            <a:fillRect/>
                          </a:stretch>
                        </pic:blipFill>
                        <pic:spPr>
                          <a:xfrm>
                            <a:off x="0" y="0"/>
                            <a:ext cx="5066197" cy="2865496"/>
                          </a:xfrm>
                          <a:prstGeom prst="rect">
                            <a:avLst/>
                          </a:prstGeom>
                        </pic:spPr>
                      </pic:pic>
                    </a:graphicData>
                  </a:graphic>
                </wp:inline>
              </w:drawing>
            </w:r>
          </w:p>
        </w:tc>
      </w:tr>
      <w:tr w:rsidR="00C57DA0" w14:paraId="6DEBEDE2" w14:textId="77777777" w:rsidTr="00507116">
        <w:tc>
          <w:tcPr>
            <w:tcW w:w="2263" w:type="dxa"/>
          </w:tcPr>
          <w:p w14:paraId="39D736DF" w14:textId="77777777" w:rsidR="00283C12" w:rsidRDefault="00283C12" w:rsidP="003D35EA">
            <w:pPr>
              <w:rPr>
                <w:lang w:val="en-GB"/>
              </w:rPr>
            </w:pPr>
          </w:p>
        </w:tc>
        <w:tc>
          <w:tcPr>
            <w:tcW w:w="8509" w:type="dxa"/>
          </w:tcPr>
          <w:p w14:paraId="1060D584" w14:textId="5869F576" w:rsidR="00283C12" w:rsidRDefault="00F93C13" w:rsidP="00507116">
            <w:pPr>
              <w:jc w:val="center"/>
              <w:rPr>
                <w:lang w:val="en-GB"/>
              </w:rPr>
            </w:pPr>
            <w:r w:rsidRPr="00F93C13">
              <w:rPr>
                <w:noProof/>
                <w:lang w:val="en-GB"/>
              </w:rPr>
              <w:drawing>
                <wp:inline distT="0" distB="0" distL="0" distR="0" wp14:anchorId="73FA9491" wp14:editId="73E9D8E8">
                  <wp:extent cx="5006340" cy="2903220"/>
                  <wp:effectExtent l="0" t="0" r="3810" b="0"/>
                  <wp:docPr id="1330931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931821" name=""/>
                          <pic:cNvPicPr/>
                        </pic:nvPicPr>
                        <pic:blipFill>
                          <a:blip r:embed="rId18"/>
                          <a:stretch>
                            <a:fillRect/>
                          </a:stretch>
                        </pic:blipFill>
                        <pic:spPr>
                          <a:xfrm>
                            <a:off x="0" y="0"/>
                            <a:ext cx="5006340" cy="2903220"/>
                          </a:xfrm>
                          <a:prstGeom prst="rect">
                            <a:avLst/>
                          </a:prstGeom>
                        </pic:spPr>
                      </pic:pic>
                    </a:graphicData>
                  </a:graphic>
                </wp:inline>
              </w:drawing>
            </w:r>
          </w:p>
        </w:tc>
      </w:tr>
      <w:tr w:rsidR="00C57DA0" w14:paraId="172058DE" w14:textId="77777777" w:rsidTr="00507116">
        <w:tc>
          <w:tcPr>
            <w:tcW w:w="2263" w:type="dxa"/>
          </w:tcPr>
          <w:p w14:paraId="0F11FB81" w14:textId="77777777" w:rsidR="00283C12" w:rsidRDefault="00283C12" w:rsidP="003D35EA">
            <w:pPr>
              <w:rPr>
                <w:lang w:val="en-GB"/>
              </w:rPr>
            </w:pPr>
          </w:p>
        </w:tc>
        <w:tc>
          <w:tcPr>
            <w:tcW w:w="8509" w:type="dxa"/>
          </w:tcPr>
          <w:p w14:paraId="3FEA35D7" w14:textId="1ECE2DAC" w:rsidR="00283C12" w:rsidRDefault="00137BA2" w:rsidP="00507116">
            <w:pPr>
              <w:jc w:val="center"/>
              <w:rPr>
                <w:lang w:val="en-GB"/>
              </w:rPr>
            </w:pPr>
            <w:r w:rsidRPr="00137BA2">
              <w:rPr>
                <w:noProof/>
                <w:lang w:val="en-GB"/>
              </w:rPr>
              <w:drawing>
                <wp:inline distT="0" distB="0" distL="0" distR="0" wp14:anchorId="66BAE098" wp14:editId="2F74C2D5">
                  <wp:extent cx="5013960" cy="3171825"/>
                  <wp:effectExtent l="0" t="0" r="0" b="9525"/>
                  <wp:docPr id="188607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07040" name=""/>
                          <pic:cNvPicPr/>
                        </pic:nvPicPr>
                        <pic:blipFill>
                          <a:blip r:embed="rId19"/>
                          <a:stretch>
                            <a:fillRect/>
                          </a:stretch>
                        </pic:blipFill>
                        <pic:spPr>
                          <a:xfrm>
                            <a:off x="0" y="0"/>
                            <a:ext cx="5013960" cy="3171825"/>
                          </a:xfrm>
                          <a:prstGeom prst="rect">
                            <a:avLst/>
                          </a:prstGeom>
                        </pic:spPr>
                      </pic:pic>
                    </a:graphicData>
                  </a:graphic>
                </wp:inline>
              </w:drawing>
            </w:r>
          </w:p>
        </w:tc>
      </w:tr>
      <w:tr w:rsidR="00C57DA0" w14:paraId="449EAA58" w14:textId="77777777" w:rsidTr="00507116">
        <w:tc>
          <w:tcPr>
            <w:tcW w:w="2263" w:type="dxa"/>
          </w:tcPr>
          <w:p w14:paraId="4EFDF55E" w14:textId="380D7662" w:rsidR="00283C12" w:rsidRPr="000607CE" w:rsidRDefault="000607CE" w:rsidP="003D35EA">
            <w:pPr>
              <w:rPr>
                <w:rFonts w:ascii="Times New Roman" w:hAnsi="Times New Roman" w:cs="Times New Roman"/>
                <w:lang w:val="en-GB"/>
              </w:rPr>
            </w:pPr>
            <w:r w:rsidRPr="000607CE">
              <w:rPr>
                <w:rFonts w:ascii="Times New Roman" w:hAnsi="Times New Roman" w:cs="Times New Roman"/>
                <w:lang w:val="en-GB"/>
              </w:rPr>
              <w:lastRenderedPageBreak/>
              <w:t>Configure the Storage Account</w:t>
            </w:r>
          </w:p>
        </w:tc>
        <w:tc>
          <w:tcPr>
            <w:tcW w:w="8509" w:type="dxa"/>
          </w:tcPr>
          <w:p w14:paraId="7FBB043E" w14:textId="4F3B6433" w:rsidR="00283C12" w:rsidRDefault="00F50116" w:rsidP="00507116">
            <w:pPr>
              <w:jc w:val="center"/>
              <w:rPr>
                <w:lang w:val="en-GB"/>
              </w:rPr>
            </w:pPr>
            <w:r w:rsidRPr="00F50116">
              <w:rPr>
                <w:noProof/>
                <w:lang w:val="en-GB"/>
              </w:rPr>
              <w:drawing>
                <wp:inline distT="0" distB="0" distL="0" distR="0" wp14:anchorId="347FC6FA" wp14:editId="53C709EC">
                  <wp:extent cx="5280660" cy="3169920"/>
                  <wp:effectExtent l="0" t="0" r="0" b="0"/>
                  <wp:docPr id="807860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860587" name=""/>
                          <pic:cNvPicPr/>
                        </pic:nvPicPr>
                        <pic:blipFill>
                          <a:blip r:embed="rId20"/>
                          <a:stretch>
                            <a:fillRect/>
                          </a:stretch>
                        </pic:blipFill>
                        <pic:spPr>
                          <a:xfrm>
                            <a:off x="0" y="0"/>
                            <a:ext cx="5280660" cy="3169920"/>
                          </a:xfrm>
                          <a:prstGeom prst="rect">
                            <a:avLst/>
                          </a:prstGeom>
                        </pic:spPr>
                      </pic:pic>
                    </a:graphicData>
                  </a:graphic>
                </wp:inline>
              </w:drawing>
            </w:r>
          </w:p>
        </w:tc>
      </w:tr>
      <w:tr w:rsidR="00C57DA0" w14:paraId="0AC777FA" w14:textId="77777777" w:rsidTr="00507116">
        <w:tc>
          <w:tcPr>
            <w:tcW w:w="2263" w:type="dxa"/>
          </w:tcPr>
          <w:p w14:paraId="15F9DA7F" w14:textId="77777777" w:rsidR="00283C12" w:rsidRDefault="00283C12" w:rsidP="003D35EA">
            <w:pPr>
              <w:rPr>
                <w:lang w:val="en-GB"/>
              </w:rPr>
            </w:pPr>
          </w:p>
        </w:tc>
        <w:tc>
          <w:tcPr>
            <w:tcW w:w="8509" w:type="dxa"/>
          </w:tcPr>
          <w:p w14:paraId="2D3FFC86" w14:textId="08CF2F45" w:rsidR="00283C12" w:rsidRDefault="009C1DBC" w:rsidP="00507116">
            <w:pPr>
              <w:jc w:val="center"/>
              <w:rPr>
                <w:lang w:val="en-GB"/>
              </w:rPr>
            </w:pPr>
            <w:r w:rsidRPr="009C1DBC">
              <w:rPr>
                <w:noProof/>
                <w:lang w:val="en-GB"/>
              </w:rPr>
              <w:drawing>
                <wp:inline distT="0" distB="0" distL="0" distR="0" wp14:anchorId="0F552CC2" wp14:editId="101BFFA7">
                  <wp:extent cx="5334000" cy="3367405"/>
                  <wp:effectExtent l="0" t="0" r="0" b="4445"/>
                  <wp:docPr id="1675646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646183" name=""/>
                          <pic:cNvPicPr/>
                        </pic:nvPicPr>
                        <pic:blipFill>
                          <a:blip r:embed="rId21"/>
                          <a:stretch>
                            <a:fillRect/>
                          </a:stretch>
                        </pic:blipFill>
                        <pic:spPr>
                          <a:xfrm>
                            <a:off x="0" y="0"/>
                            <a:ext cx="5334000" cy="3367405"/>
                          </a:xfrm>
                          <a:prstGeom prst="rect">
                            <a:avLst/>
                          </a:prstGeom>
                        </pic:spPr>
                      </pic:pic>
                    </a:graphicData>
                  </a:graphic>
                </wp:inline>
              </w:drawing>
            </w:r>
          </w:p>
        </w:tc>
      </w:tr>
      <w:tr w:rsidR="00C57DA0" w14:paraId="2B46E14E" w14:textId="77777777" w:rsidTr="00507116">
        <w:tc>
          <w:tcPr>
            <w:tcW w:w="2263" w:type="dxa"/>
          </w:tcPr>
          <w:p w14:paraId="21525663" w14:textId="31F676E6" w:rsidR="00283C12" w:rsidRPr="001A2C1C" w:rsidRDefault="001A2C1C" w:rsidP="003D35EA">
            <w:pPr>
              <w:rPr>
                <w:rFonts w:ascii="Times New Roman" w:hAnsi="Times New Roman" w:cs="Times New Roman"/>
                <w:lang w:val="en-GB"/>
              </w:rPr>
            </w:pPr>
            <w:r w:rsidRPr="001A2C1C">
              <w:rPr>
                <w:rFonts w:ascii="Times New Roman" w:hAnsi="Times New Roman" w:cs="Times New Roman"/>
                <w:lang w:val="en-GB"/>
              </w:rPr>
              <w:lastRenderedPageBreak/>
              <w:t>Connect to File Share</w:t>
            </w:r>
          </w:p>
        </w:tc>
        <w:tc>
          <w:tcPr>
            <w:tcW w:w="8509" w:type="dxa"/>
          </w:tcPr>
          <w:p w14:paraId="6EC8E004" w14:textId="69F7FA55" w:rsidR="00283C12" w:rsidRDefault="00AD1526" w:rsidP="00507116">
            <w:pPr>
              <w:jc w:val="center"/>
              <w:rPr>
                <w:lang w:val="en-GB"/>
              </w:rPr>
            </w:pPr>
            <w:r w:rsidRPr="00AD1526">
              <w:rPr>
                <w:noProof/>
                <w:lang w:val="en-GB"/>
              </w:rPr>
              <w:drawing>
                <wp:inline distT="0" distB="0" distL="0" distR="0" wp14:anchorId="694B8B7C" wp14:editId="415B3FFF">
                  <wp:extent cx="5151120" cy="3335020"/>
                  <wp:effectExtent l="0" t="0" r="0" b="0"/>
                  <wp:docPr id="560187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187340" name=""/>
                          <pic:cNvPicPr/>
                        </pic:nvPicPr>
                        <pic:blipFill>
                          <a:blip r:embed="rId22"/>
                          <a:stretch>
                            <a:fillRect/>
                          </a:stretch>
                        </pic:blipFill>
                        <pic:spPr>
                          <a:xfrm>
                            <a:off x="0" y="0"/>
                            <a:ext cx="5151120" cy="3335020"/>
                          </a:xfrm>
                          <a:prstGeom prst="rect">
                            <a:avLst/>
                          </a:prstGeom>
                        </pic:spPr>
                      </pic:pic>
                    </a:graphicData>
                  </a:graphic>
                </wp:inline>
              </w:drawing>
            </w:r>
          </w:p>
        </w:tc>
      </w:tr>
      <w:tr w:rsidR="00C57DA0" w14:paraId="73BE5DC3" w14:textId="77777777" w:rsidTr="00507116">
        <w:tc>
          <w:tcPr>
            <w:tcW w:w="2263" w:type="dxa"/>
          </w:tcPr>
          <w:p w14:paraId="593E3DE2" w14:textId="77777777" w:rsidR="00283C12" w:rsidRDefault="00283C12" w:rsidP="003D35EA">
            <w:pPr>
              <w:rPr>
                <w:lang w:val="en-GB"/>
              </w:rPr>
            </w:pPr>
          </w:p>
        </w:tc>
        <w:tc>
          <w:tcPr>
            <w:tcW w:w="8509" w:type="dxa"/>
          </w:tcPr>
          <w:p w14:paraId="43D8EB0E" w14:textId="6E476365" w:rsidR="00283C12" w:rsidRDefault="00C57DA0" w:rsidP="005D2BC1">
            <w:pPr>
              <w:jc w:val="center"/>
              <w:rPr>
                <w:lang w:val="en-GB"/>
              </w:rPr>
            </w:pPr>
            <w:r w:rsidRPr="00C57DA0">
              <w:rPr>
                <w:noProof/>
                <w:lang w:val="en-GB"/>
              </w:rPr>
              <w:drawing>
                <wp:inline distT="0" distB="0" distL="0" distR="0" wp14:anchorId="43BCFE2C" wp14:editId="5CCC92D9">
                  <wp:extent cx="5227320" cy="3387090"/>
                  <wp:effectExtent l="0" t="0" r="0" b="3810"/>
                  <wp:docPr id="1372500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500947" name=""/>
                          <pic:cNvPicPr/>
                        </pic:nvPicPr>
                        <pic:blipFill>
                          <a:blip r:embed="rId23"/>
                          <a:stretch>
                            <a:fillRect/>
                          </a:stretch>
                        </pic:blipFill>
                        <pic:spPr>
                          <a:xfrm>
                            <a:off x="0" y="0"/>
                            <a:ext cx="5227320" cy="3387090"/>
                          </a:xfrm>
                          <a:prstGeom prst="rect">
                            <a:avLst/>
                          </a:prstGeom>
                        </pic:spPr>
                      </pic:pic>
                    </a:graphicData>
                  </a:graphic>
                </wp:inline>
              </w:drawing>
            </w:r>
          </w:p>
        </w:tc>
      </w:tr>
      <w:tr w:rsidR="00C57DA0" w14:paraId="74567D43" w14:textId="77777777" w:rsidTr="00507116">
        <w:tc>
          <w:tcPr>
            <w:tcW w:w="2263" w:type="dxa"/>
          </w:tcPr>
          <w:p w14:paraId="691FEE55" w14:textId="77777777" w:rsidR="00283C12" w:rsidRDefault="00283C12" w:rsidP="003D35EA">
            <w:pPr>
              <w:rPr>
                <w:lang w:val="en-GB"/>
              </w:rPr>
            </w:pPr>
          </w:p>
        </w:tc>
        <w:tc>
          <w:tcPr>
            <w:tcW w:w="8509" w:type="dxa"/>
          </w:tcPr>
          <w:p w14:paraId="090733AF" w14:textId="59B14F0D" w:rsidR="00283C12" w:rsidRDefault="00B225D8" w:rsidP="005D2BC1">
            <w:pPr>
              <w:jc w:val="center"/>
              <w:rPr>
                <w:lang w:val="en-GB"/>
              </w:rPr>
            </w:pPr>
            <w:r w:rsidRPr="00B225D8">
              <w:rPr>
                <w:noProof/>
                <w:lang w:val="en-GB"/>
              </w:rPr>
              <w:drawing>
                <wp:inline distT="0" distB="0" distL="0" distR="0" wp14:anchorId="02329CB6" wp14:editId="23707221">
                  <wp:extent cx="5059680" cy="3364230"/>
                  <wp:effectExtent l="0" t="0" r="7620" b="7620"/>
                  <wp:docPr id="538918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918344" name=""/>
                          <pic:cNvPicPr/>
                        </pic:nvPicPr>
                        <pic:blipFill>
                          <a:blip r:embed="rId24"/>
                          <a:stretch>
                            <a:fillRect/>
                          </a:stretch>
                        </pic:blipFill>
                        <pic:spPr>
                          <a:xfrm>
                            <a:off x="0" y="0"/>
                            <a:ext cx="5059680" cy="3364230"/>
                          </a:xfrm>
                          <a:prstGeom prst="rect">
                            <a:avLst/>
                          </a:prstGeom>
                        </pic:spPr>
                      </pic:pic>
                    </a:graphicData>
                  </a:graphic>
                </wp:inline>
              </w:drawing>
            </w:r>
          </w:p>
        </w:tc>
      </w:tr>
    </w:tbl>
    <w:p w14:paraId="6A8F10A6" w14:textId="77777777" w:rsidR="003D35EA" w:rsidRPr="003D35EA" w:rsidRDefault="003D35EA" w:rsidP="003D35EA">
      <w:pPr>
        <w:rPr>
          <w:lang w:val="en-GB"/>
        </w:rPr>
      </w:pPr>
    </w:p>
    <w:p w14:paraId="69FD0987" w14:textId="77777777" w:rsidR="002D6C4E" w:rsidRDefault="002D6C4E" w:rsidP="000633C1">
      <w:pPr>
        <w:ind w:firstLine="720"/>
        <w:rPr>
          <w:rFonts w:ascii="Times New Roman" w:hAnsi="Times New Roman" w:cs="Times New Roman"/>
          <w:lang w:val="en-GB"/>
        </w:rPr>
      </w:pPr>
    </w:p>
    <w:p w14:paraId="2EAC9C98" w14:textId="77777777" w:rsidR="00B701F8" w:rsidRDefault="00B701F8" w:rsidP="000633C1">
      <w:pPr>
        <w:ind w:firstLine="720"/>
        <w:rPr>
          <w:rFonts w:ascii="Times New Roman" w:hAnsi="Times New Roman" w:cs="Times New Roman"/>
          <w:lang w:val="en-GB"/>
        </w:rPr>
      </w:pPr>
    </w:p>
    <w:p w14:paraId="38349A29" w14:textId="1B32B11A" w:rsidR="00B701F8" w:rsidRPr="00B701F8" w:rsidRDefault="00B701F8" w:rsidP="00B701F8">
      <w:pPr>
        <w:pStyle w:val="Heading1"/>
        <w:jc w:val="left"/>
        <w:rPr>
          <w:sz w:val="36"/>
          <w:szCs w:val="36"/>
          <w:lang w:val="en-GB"/>
        </w:rPr>
      </w:pPr>
      <w:bookmarkStart w:id="26" w:name="_Toc164856925"/>
      <w:r>
        <w:rPr>
          <w:sz w:val="36"/>
          <w:szCs w:val="36"/>
          <w:lang w:val="en-GB"/>
        </w:rPr>
        <w:t xml:space="preserve">c) </w:t>
      </w:r>
      <w:r w:rsidRPr="00B701F8">
        <w:rPr>
          <w:sz w:val="36"/>
          <w:szCs w:val="36"/>
          <w:lang w:val="en-GB"/>
        </w:rPr>
        <w:t>Analyse several Azure database alternatives</w:t>
      </w:r>
      <w:bookmarkEnd w:id="26"/>
    </w:p>
    <w:p w14:paraId="2618D99F" w14:textId="77777777" w:rsidR="005069E6" w:rsidRDefault="005069E6" w:rsidP="000633C1">
      <w:pPr>
        <w:ind w:firstLine="720"/>
        <w:rPr>
          <w:rFonts w:ascii="Times New Roman" w:hAnsi="Times New Roman" w:cs="Times New Roman"/>
          <w:lang w:val="en-GB"/>
        </w:rPr>
      </w:pPr>
    </w:p>
    <w:p w14:paraId="1B30FD01"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Assessing Azure Database Alternatives for the Storage of User Profiles:</w:t>
      </w:r>
    </w:p>
    <w:p w14:paraId="4166D2B9" w14:textId="77777777" w:rsidR="005069E6" w:rsidRPr="005069E6" w:rsidRDefault="005069E6" w:rsidP="005069E6">
      <w:pPr>
        <w:ind w:firstLine="720"/>
        <w:rPr>
          <w:rFonts w:ascii="Times New Roman" w:hAnsi="Times New Roman" w:cs="Times New Roman"/>
          <w:lang w:val="en-GB"/>
        </w:rPr>
      </w:pPr>
    </w:p>
    <w:p w14:paraId="20AEE85D" w14:textId="469C29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When selecting the optimal Azure database solution for the storage of user profiles, it is imperative to take into account many variables including scalability, performance, security, and compatibility. In this analysis, we will assess three distinct Azure database alternatives, namely Azure SQL Database, Azure Database for MySQL, and Azure Database for PostgreSQL</w:t>
      </w:r>
      <w:sdt>
        <w:sdtPr>
          <w:rPr>
            <w:rFonts w:ascii="Times New Roman" w:hAnsi="Times New Roman" w:cs="Times New Roman"/>
            <w:lang w:val="en-GB"/>
          </w:rPr>
          <w:id w:val="838208592"/>
          <w:citation/>
        </w:sdtPr>
        <w:sdtContent>
          <w:r w:rsidR="00257973">
            <w:rPr>
              <w:rFonts w:ascii="Times New Roman" w:hAnsi="Times New Roman" w:cs="Times New Roman"/>
              <w:lang w:val="en-GB"/>
            </w:rPr>
            <w:fldChar w:fldCharType="begin"/>
          </w:r>
          <w:r w:rsidR="00257973">
            <w:rPr>
              <w:rFonts w:ascii="Times New Roman" w:hAnsi="Times New Roman" w:cs="Times New Roman"/>
              <w:lang w:val="en-GB"/>
            </w:rPr>
            <w:instrText xml:space="preserve"> CITATION JSm3 \l 2057 </w:instrText>
          </w:r>
          <w:r w:rsidR="00257973">
            <w:rPr>
              <w:rFonts w:ascii="Times New Roman" w:hAnsi="Times New Roman" w:cs="Times New Roman"/>
              <w:lang w:val="en-GB"/>
            </w:rPr>
            <w:fldChar w:fldCharType="separate"/>
          </w:r>
          <w:r w:rsidR="00257973">
            <w:rPr>
              <w:rFonts w:ascii="Times New Roman" w:hAnsi="Times New Roman" w:cs="Times New Roman"/>
              <w:noProof/>
              <w:lang w:val="en-GB"/>
            </w:rPr>
            <w:t xml:space="preserve"> </w:t>
          </w:r>
          <w:r w:rsidR="00257973" w:rsidRPr="00257973">
            <w:rPr>
              <w:rFonts w:ascii="Times New Roman" w:hAnsi="Times New Roman" w:cs="Times New Roman"/>
              <w:noProof/>
              <w:lang w:val="en-GB"/>
            </w:rPr>
            <w:t>[16]</w:t>
          </w:r>
          <w:r w:rsidR="00257973">
            <w:rPr>
              <w:rFonts w:ascii="Times New Roman" w:hAnsi="Times New Roman" w:cs="Times New Roman"/>
              <w:lang w:val="en-GB"/>
            </w:rPr>
            <w:fldChar w:fldCharType="end"/>
          </w:r>
        </w:sdtContent>
      </w:sdt>
      <w:r w:rsidRPr="005069E6">
        <w:rPr>
          <w:rFonts w:ascii="Times New Roman" w:hAnsi="Times New Roman" w:cs="Times New Roman"/>
          <w:lang w:val="en-GB"/>
        </w:rPr>
        <w:t>.</w:t>
      </w:r>
    </w:p>
    <w:p w14:paraId="7114F380" w14:textId="77777777" w:rsidR="005069E6" w:rsidRPr="005069E6" w:rsidRDefault="005069E6" w:rsidP="005069E6">
      <w:pPr>
        <w:ind w:firstLine="720"/>
        <w:rPr>
          <w:rFonts w:ascii="Times New Roman" w:hAnsi="Times New Roman" w:cs="Times New Roman"/>
          <w:lang w:val="en-GB"/>
        </w:rPr>
      </w:pPr>
    </w:p>
    <w:p w14:paraId="4BCE6CC9"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1. Azure SQL Database:</w:t>
      </w:r>
    </w:p>
    <w:p w14:paraId="49303B74" w14:textId="77777777" w:rsidR="005069E6" w:rsidRPr="005069E6" w:rsidRDefault="005069E6" w:rsidP="005069E6">
      <w:pPr>
        <w:ind w:firstLine="720"/>
        <w:rPr>
          <w:rFonts w:ascii="Times New Roman" w:hAnsi="Times New Roman" w:cs="Times New Roman"/>
          <w:lang w:val="en-GB"/>
        </w:rPr>
      </w:pPr>
    </w:p>
    <w:p w14:paraId="5A65A236"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Azure SQL Database provides horizontal scalability by utilising provisioned and serverless purchase models, enabling databases to adjust their capacity in response to workload requirements.</w:t>
      </w:r>
    </w:p>
    <w:p w14:paraId="080CDFFE"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Azure SQL Database has robust computational capabilities, including in-memory OLTP, columnstore indexes, and intelligent query processing, hence enabling high-performance computing.</w:t>
      </w:r>
    </w:p>
    <w:p w14:paraId="70F9B5BD"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Azure SQL Database incorporates a range of sophisticated security measures, such as transparent data encryption, dynamic data masking, row-level protection, and threat detection.</w:t>
      </w:r>
    </w:p>
    <w:p w14:paraId="36BE02C8" w14:textId="4C4992BB"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The software exhibits complete compatibility with SQL Server, hence facilitating the seamless migration of pre-existing applications and databases</w:t>
      </w:r>
      <w:sdt>
        <w:sdtPr>
          <w:rPr>
            <w:rFonts w:ascii="Times New Roman" w:hAnsi="Times New Roman" w:cs="Times New Roman"/>
            <w:lang w:val="en-GB"/>
          </w:rPr>
          <w:id w:val="-116142597"/>
          <w:citation/>
        </w:sdtPr>
        <w:sdtContent>
          <w:r w:rsidR="0089136D">
            <w:rPr>
              <w:rFonts w:ascii="Times New Roman" w:hAnsi="Times New Roman" w:cs="Times New Roman"/>
              <w:lang w:val="en-GB"/>
            </w:rPr>
            <w:fldChar w:fldCharType="begin"/>
          </w:r>
          <w:r w:rsidR="0089136D">
            <w:rPr>
              <w:rFonts w:ascii="Times New Roman" w:hAnsi="Times New Roman" w:cs="Times New Roman"/>
              <w:lang w:val="en-GB"/>
            </w:rPr>
            <w:instrText xml:space="preserve"> CITATION RPa2 \l 2057 </w:instrText>
          </w:r>
          <w:r w:rsidR="0089136D">
            <w:rPr>
              <w:rFonts w:ascii="Times New Roman" w:hAnsi="Times New Roman" w:cs="Times New Roman"/>
              <w:lang w:val="en-GB"/>
            </w:rPr>
            <w:fldChar w:fldCharType="separate"/>
          </w:r>
          <w:r w:rsidR="0089136D">
            <w:rPr>
              <w:rFonts w:ascii="Times New Roman" w:hAnsi="Times New Roman" w:cs="Times New Roman"/>
              <w:noProof/>
              <w:lang w:val="en-GB"/>
            </w:rPr>
            <w:t xml:space="preserve"> </w:t>
          </w:r>
          <w:r w:rsidR="0089136D" w:rsidRPr="0089136D">
            <w:rPr>
              <w:rFonts w:ascii="Times New Roman" w:hAnsi="Times New Roman" w:cs="Times New Roman"/>
              <w:noProof/>
              <w:lang w:val="en-GB"/>
            </w:rPr>
            <w:t>[17]</w:t>
          </w:r>
          <w:r w:rsidR="0089136D">
            <w:rPr>
              <w:rFonts w:ascii="Times New Roman" w:hAnsi="Times New Roman" w:cs="Times New Roman"/>
              <w:lang w:val="en-GB"/>
            </w:rPr>
            <w:fldChar w:fldCharType="end"/>
          </w:r>
        </w:sdtContent>
      </w:sdt>
      <w:r w:rsidRPr="005069E6">
        <w:rPr>
          <w:rFonts w:ascii="Times New Roman" w:hAnsi="Times New Roman" w:cs="Times New Roman"/>
          <w:lang w:val="en-GB"/>
        </w:rPr>
        <w:t>.</w:t>
      </w:r>
    </w:p>
    <w:p w14:paraId="327D7485" w14:textId="77777777" w:rsid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In light of its scalability, performance, and compatibility with pre-existing SQL Server setups, it is advisable to consider Azure SQL Database as a suitable solution for storing user profiles.</w:t>
      </w:r>
    </w:p>
    <w:p w14:paraId="0DDCCDA9" w14:textId="77777777" w:rsidR="005069E6" w:rsidRPr="005069E6" w:rsidRDefault="005069E6" w:rsidP="005069E6">
      <w:pPr>
        <w:ind w:firstLine="720"/>
        <w:rPr>
          <w:rFonts w:ascii="Times New Roman" w:hAnsi="Times New Roman" w:cs="Times New Roman"/>
          <w:lang w:val="en-GB"/>
        </w:rPr>
      </w:pPr>
    </w:p>
    <w:p w14:paraId="11EBDF32"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2. Azure Database for MySQL:</w:t>
      </w:r>
    </w:p>
    <w:p w14:paraId="20DE4294" w14:textId="77777777" w:rsidR="005069E6" w:rsidRPr="005069E6" w:rsidRDefault="005069E6" w:rsidP="005069E6">
      <w:pPr>
        <w:ind w:firstLine="720"/>
        <w:rPr>
          <w:rFonts w:ascii="Times New Roman" w:hAnsi="Times New Roman" w:cs="Times New Roman"/>
          <w:lang w:val="en-GB"/>
        </w:rPr>
      </w:pPr>
    </w:p>
    <w:p w14:paraId="09ACF133"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Azure Database for MySQL provides horizontal scalability with its adaptable server setups and automated scaling functionalities.</w:t>
      </w:r>
    </w:p>
    <w:p w14:paraId="4AADE54D"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The performance of this system is commendable for applications based on MySQL, as it offers several capabilities such as read replicas, caching, and query caching.</w:t>
      </w:r>
    </w:p>
    <w:p w14:paraId="0C42A885" w14:textId="541AFB9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lastRenderedPageBreak/>
        <w:t>The security measures included in Azure Database for MySQL encompass network isolation, SSL/TLS encryption, and user authentication</w:t>
      </w:r>
      <w:sdt>
        <w:sdtPr>
          <w:rPr>
            <w:rFonts w:ascii="Times New Roman" w:hAnsi="Times New Roman" w:cs="Times New Roman"/>
            <w:lang w:val="en-GB"/>
          </w:rPr>
          <w:id w:val="-1386559562"/>
          <w:citation/>
        </w:sdtPr>
        <w:sdtContent>
          <w:r w:rsidR="00942D6C">
            <w:rPr>
              <w:rFonts w:ascii="Times New Roman" w:hAnsi="Times New Roman" w:cs="Times New Roman"/>
              <w:lang w:val="en-GB"/>
            </w:rPr>
            <w:fldChar w:fldCharType="begin"/>
          </w:r>
          <w:r w:rsidR="00942D6C">
            <w:rPr>
              <w:rFonts w:ascii="Times New Roman" w:hAnsi="Times New Roman" w:cs="Times New Roman"/>
              <w:lang w:val="en-GB"/>
            </w:rPr>
            <w:instrText xml:space="preserve"> CITATION RSh \l 2057 </w:instrText>
          </w:r>
          <w:r w:rsidR="00942D6C">
            <w:rPr>
              <w:rFonts w:ascii="Times New Roman" w:hAnsi="Times New Roman" w:cs="Times New Roman"/>
              <w:lang w:val="en-GB"/>
            </w:rPr>
            <w:fldChar w:fldCharType="separate"/>
          </w:r>
          <w:r w:rsidR="00942D6C">
            <w:rPr>
              <w:rFonts w:ascii="Times New Roman" w:hAnsi="Times New Roman" w:cs="Times New Roman"/>
              <w:noProof/>
              <w:lang w:val="en-GB"/>
            </w:rPr>
            <w:t xml:space="preserve"> </w:t>
          </w:r>
          <w:r w:rsidR="00942D6C" w:rsidRPr="00942D6C">
            <w:rPr>
              <w:rFonts w:ascii="Times New Roman" w:hAnsi="Times New Roman" w:cs="Times New Roman"/>
              <w:noProof/>
              <w:lang w:val="en-GB"/>
            </w:rPr>
            <w:t>[18]</w:t>
          </w:r>
          <w:r w:rsidR="00942D6C">
            <w:rPr>
              <w:rFonts w:ascii="Times New Roman" w:hAnsi="Times New Roman" w:cs="Times New Roman"/>
              <w:lang w:val="en-GB"/>
            </w:rPr>
            <w:fldChar w:fldCharType="end"/>
          </w:r>
        </w:sdtContent>
      </w:sdt>
      <w:r w:rsidRPr="005069E6">
        <w:rPr>
          <w:rFonts w:ascii="Times New Roman" w:hAnsi="Times New Roman" w:cs="Times New Roman"/>
          <w:lang w:val="en-GB"/>
        </w:rPr>
        <w:t>.</w:t>
      </w:r>
    </w:p>
    <w:p w14:paraId="7447BF38"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The software exhibits compatibility with applications that rely on MySQL, rendering it well-suited for contexts where MySQL is the favoured database technology.</w:t>
      </w:r>
    </w:p>
    <w:p w14:paraId="7F7FBD6D" w14:textId="77777777" w:rsid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It is recommended that organisations that are already utilising MySQL-based applications and are in need of a managed MySQL service in the cloud consider implementing Azure Database for MySQL.</w:t>
      </w:r>
    </w:p>
    <w:p w14:paraId="76EB906C" w14:textId="77777777" w:rsidR="005069E6" w:rsidRPr="005069E6" w:rsidRDefault="005069E6" w:rsidP="005069E6">
      <w:pPr>
        <w:ind w:firstLine="720"/>
        <w:rPr>
          <w:rFonts w:ascii="Times New Roman" w:hAnsi="Times New Roman" w:cs="Times New Roman"/>
          <w:lang w:val="en-GB"/>
        </w:rPr>
      </w:pPr>
    </w:p>
    <w:p w14:paraId="629308FD"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3. PostgreSQL Azure Database:</w:t>
      </w:r>
    </w:p>
    <w:p w14:paraId="3DCCBEA2" w14:textId="77777777" w:rsidR="005069E6" w:rsidRPr="005069E6" w:rsidRDefault="005069E6" w:rsidP="005069E6">
      <w:pPr>
        <w:ind w:firstLine="720"/>
        <w:rPr>
          <w:rFonts w:ascii="Times New Roman" w:hAnsi="Times New Roman" w:cs="Times New Roman"/>
          <w:lang w:val="en-GB"/>
        </w:rPr>
      </w:pPr>
    </w:p>
    <w:p w14:paraId="72BA15D4"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Azure Database for PostgreSQL provides horizontal scalability with its adaptable server configurations and automated scaling functionalities.</w:t>
      </w:r>
    </w:p>
    <w:p w14:paraId="67E46312"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The performance of this system is commendable for applications built on PostgreSQL, as it offers several capabilities such as read replicas, connection pooling, and indexing.</w:t>
      </w:r>
    </w:p>
    <w:p w14:paraId="3FB98986" w14:textId="77777777"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The security measures used in Azure Database for PostgreSQL encompass network isolation, SSL/TLS encryption, and role-based access control.</w:t>
      </w:r>
    </w:p>
    <w:p w14:paraId="4BDDA74E" w14:textId="4D1BED95" w:rsidR="005069E6" w:rsidRPr="005069E6"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The software exhibits compatibility with applications that are built on PostgreSQL, rendering it appropriate for contexts where PostgreSQL is the favoured database technology</w:t>
      </w:r>
      <w:sdt>
        <w:sdtPr>
          <w:rPr>
            <w:rFonts w:ascii="Times New Roman" w:hAnsi="Times New Roman" w:cs="Times New Roman"/>
            <w:lang w:val="en-GB"/>
          </w:rPr>
          <w:id w:val="262963399"/>
          <w:citation/>
        </w:sdtPr>
        <w:sdtContent>
          <w:r w:rsidR="00942D6C">
            <w:rPr>
              <w:rFonts w:ascii="Times New Roman" w:hAnsi="Times New Roman" w:cs="Times New Roman"/>
              <w:lang w:val="en-GB"/>
            </w:rPr>
            <w:fldChar w:fldCharType="begin"/>
          </w:r>
          <w:r w:rsidR="00942D6C">
            <w:rPr>
              <w:rFonts w:ascii="Times New Roman" w:hAnsi="Times New Roman" w:cs="Times New Roman"/>
              <w:lang w:val="en-GB"/>
            </w:rPr>
            <w:instrText xml:space="preserve"> CITATION YZh1 \l 2057 </w:instrText>
          </w:r>
          <w:r w:rsidR="00942D6C">
            <w:rPr>
              <w:rFonts w:ascii="Times New Roman" w:hAnsi="Times New Roman" w:cs="Times New Roman"/>
              <w:lang w:val="en-GB"/>
            </w:rPr>
            <w:fldChar w:fldCharType="separate"/>
          </w:r>
          <w:r w:rsidR="00942D6C">
            <w:rPr>
              <w:rFonts w:ascii="Times New Roman" w:hAnsi="Times New Roman" w:cs="Times New Roman"/>
              <w:noProof/>
              <w:lang w:val="en-GB"/>
            </w:rPr>
            <w:t xml:space="preserve"> </w:t>
          </w:r>
          <w:r w:rsidR="00942D6C" w:rsidRPr="00942D6C">
            <w:rPr>
              <w:rFonts w:ascii="Times New Roman" w:hAnsi="Times New Roman" w:cs="Times New Roman"/>
              <w:noProof/>
              <w:lang w:val="en-GB"/>
            </w:rPr>
            <w:t>[19]</w:t>
          </w:r>
          <w:r w:rsidR="00942D6C">
            <w:rPr>
              <w:rFonts w:ascii="Times New Roman" w:hAnsi="Times New Roman" w:cs="Times New Roman"/>
              <w:lang w:val="en-GB"/>
            </w:rPr>
            <w:fldChar w:fldCharType="end"/>
          </w:r>
        </w:sdtContent>
      </w:sdt>
      <w:r w:rsidRPr="005069E6">
        <w:rPr>
          <w:rFonts w:ascii="Times New Roman" w:hAnsi="Times New Roman" w:cs="Times New Roman"/>
          <w:lang w:val="en-GB"/>
        </w:rPr>
        <w:t>.</w:t>
      </w:r>
    </w:p>
    <w:p w14:paraId="24B50114" w14:textId="11683C12" w:rsidR="00E90A2D" w:rsidRDefault="005069E6" w:rsidP="005069E6">
      <w:pPr>
        <w:ind w:firstLine="720"/>
        <w:rPr>
          <w:rFonts w:ascii="Times New Roman" w:hAnsi="Times New Roman" w:cs="Times New Roman"/>
          <w:lang w:val="en-GB"/>
        </w:rPr>
      </w:pPr>
      <w:r w:rsidRPr="005069E6">
        <w:rPr>
          <w:rFonts w:ascii="Times New Roman" w:hAnsi="Times New Roman" w:cs="Times New Roman"/>
          <w:lang w:val="en-GB"/>
        </w:rPr>
        <w:t>It is recommended that organisations that are already utilising PostgreSQL-based applications and are in need of a managed PostgreSQL service in the cloud consider implementing Azure Database for PostgreSQL.</w:t>
      </w:r>
    </w:p>
    <w:p w14:paraId="7435F292" w14:textId="087F92C5" w:rsidR="00903077" w:rsidRDefault="00903077" w:rsidP="005069E6">
      <w:pPr>
        <w:ind w:firstLine="720"/>
        <w:rPr>
          <w:rFonts w:ascii="Times New Roman" w:hAnsi="Times New Roman" w:cs="Times New Roman"/>
          <w:lang w:val="en-GB"/>
        </w:rPr>
      </w:pPr>
      <w:r w:rsidRPr="00903077">
        <w:rPr>
          <w:rFonts w:ascii="Times New Roman" w:hAnsi="Times New Roman" w:cs="Times New Roman"/>
          <w:lang w:val="en-GB"/>
        </w:rPr>
        <w:t>Based on the evaluation, Azure SQL Database is the most suitable option for storing user profiles due to its scalability, performance, and compatibility with existing SQL Server environments.</w:t>
      </w:r>
    </w:p>
    <w:p w14:paraId="2C5B50E1" w14:textId="77777777" w:rsidR="00941E73" w:rsidRDefault="00941E73" w:rsidP="005069E6">
      <w:pPr>
        <w:ind w:firstLine="720"/>
        <w:rPr>
          <w:rFonts w:ascii="Times New Roman" w:hAnsi="Times New Roman" w:cs="Times New Roman"/>
          <w:lang w:val="en-GB"/>
        </w:rPr>
      </w:pPr>
    </w:p>
    <w:p w14:paraId="1751A27B" w14:textId="77777777" w:rsidR="00941E73" w:rsidRDefault="00941E73" w:rsidP="00941E73">
      <w:pPr>
        <w:pStyle w:val="Heading3"/>
        <w:jc w:val="left"/>
        <w:rPr>
          <w:lang w:val="en-GB"/>
        </w:rPr>
      </w:pPr>
      <w:bookmarkStart w:id="27" w:name="_Toc164856926"/>
      <w:r>
        <w:rPr>
          <w:lang w:val="en-GB"/>
        </w:rPr>
        <w:t>Example:</w:t>
      </w:r>
      <w:bookmarkEnd w:id="27"/>
    </w:p>
    <w:p w14:paraId="50A64FD6" w14:textId="77777777" w:rsidR="00941E73" w:rsidRDefault="00941E73" w:rsidP="005069E6">
      <w:pPr>
        <w:ind w:firstLine="720"/>
        <w:rPr>
          <w:rFonts w:ascii="Times New Roman" w:hAnsi="Times New Roman" w:cs="Times New Roman"/>
          <w:lang w:val="en-GB"/>
        </w:rPr>
      </w:pPr>
    </w:p>
    <w:tbl>
      <w:tblPr>
        <w:tblStyle w:val="TableGrid"/>
        <w:tblW w:w="0" w:type="auto"/>
        <w:tblLayout w:type="fixed"/>
        <w:tblLook w:val="04A0" w:firstRow="1" w:lastRow="0" w:firstColumn="1" w:lastColumn="0" w:noHBand="0" w:noVBand="1"/>
      </w:tblPr>
      <w:tblGrid>
        <w:gridCol w:w="1980"/>
        <w:gridCol w:w="8792"/>
      </w:tblGrid>
      <w:tr w:rsidR="00312446" w14:paraId="3E30BDEF" w14:textId="77777777" w:rsidTr="005D2BC1">
        <w:tc>
          <w:tcPr>
            <w:tcW w:w="1980" w:type="dxa"/>
          </w:tcPr>
          <w:p w14:paraId="711BEDB8" w14:textId="01013FEF" w:rsidR="00805725" w:rsidRDefault="002F0B38" w:rsidP="005069E6">
            <w:pPr>
              <w:rPr>
                <w:rFonts w:ascii="Times New Roman" w:hAnsi="Times New Roman" w:cs="Times New Roman"/>
                <w:lang w:val="en-GB"/>
              </w:rPr>
            </w:pPr>
            <w:r w:rsidRPr="002F0B38">
              <w:rPr>
                <w:rFonts w:ascii="Times New Roman" w:hAnsi="Times New Roman" w:cs="Times New Roman"/>
                <w:lang w:val="en-GB"/>
              </w:rPr>
              <w:t>Create a SQL Database</w:t>
            </w:r>
          </w:p>
        </w:tc>
        <w:tc>
          <w:tcPr>
            <w:tcW w:w="8792" w:type="dxa"/>
          </w:tcPr>
          <w:p w14:paraId="577BA9DF" w14:textId="721E1FF5" w:rsidR="00805725" w:rsidRDefault="0013219A" w:rsidP="005D2BC1">
            <w:pPr>
              <w:jc w:val="center"/>
              <w:rPr>
                <w:rFonts w:ascii="Times New Roman" w:hAnsi="Times New Roman" w:cs="Times New Roman"/>
                <w:lang w:val="en-GB"/>
              </w:rPr>
            </w:pPr>
            <w:r w:rsidRPr="0013219A">
              <w:rPr>
                <w:rFonts w:ascii="Times New Roman" w:hAnsi="Times New Roman" w:cs="Times New Roman"/>
                <w:noProof/>
                <w:lang w:val="en-GB"/>
              </w:rPr>
              <w:drawing>
                <wp:inline distT="0" distB="0" distL="0" distR="0" wp14:anchorId="08BCF74A" wp14:editId="2693BC68">
                  <wp:extent cx="4998720" cy="3364230"/>
                  <wp:effectExtent l="0" t="0" r="0" b="7620"/>
                  <wp:docPr id="1710039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039571" name=""/>
                          <pic:cNvPicPr/>
                        </pic:nvPicPr>
                        <pic:blipFill>
                          <a:blip r:embed="rId25"/>
                          <a:stretch>
                            <a:fillRect/>
                          </a:stretch>
                        </pic:blipFill>
                        <pic:spPr>
                          <a:xfrm>
                            <a:off x="0" y="0"/>
                            <a:ext cx="4998720" cy="3364230"/>
                          </a:xfrm>
                          <a:prstGeom prst="rect">
                            <a:avLst/>
                          </a:prstGeom>
                        </pic:spPr>
                      </pic:pic>
                    </a:graphicData>
                  </a:graphic>
                </wp:inline>
              </w:drawing>
            </w:r>
          </w:p>
        </w:tc>
      </w:tr>
      <w:tr w:rsidR="00312446" w14:paraId="3C64D346" w14:textId="77777777" w:rsidTr="005D2BC1">
        <w:tc>
          <w:tcPr>
            <w:tcW w:w="1980" w:type="dxa"/>
          </w:tcPr>
          <w:p w14:paraId="6EF33F35" w14:textId="77777777" w:rsidR="00805725" w:rsidRDefault="00805725" w:rsidP="005069E6">
            <w:pPr>
              <w:rPr>
                <w:rFonts w:ascii="Times New Roman" w:hAnsi="Times New Roman" w:cs="Times New Roman"/>
                <w:lang w:val="en-GB"/>
              </w:rPr>
            </w:pPr>
          </w:p>
        </w:tc>
        <w:tc>
          <w:tcPr>
            <w:tcW w:w="8792" w:type="dxa"/>
          </w:tcPr>
          <w:p w14:paraId="04CCB5BD" w14:textId="087A5655" w:rsidR="00805725" w:rsidRDefault="00F42CAC" w:rsidP="005D2BC1">
            <w:pPr>
              <w:jc w:val="center"/>
              <w:rPr>
                <w:rFonts w:ascii="Times New Roman" w:hAnsi="Times New Roman" w:cs="Times New Roman"/>
                <w:lang w:val="en-GB"/>
              </w:rPr>
            </w:pPr>
            <w:r w:rsidRPr="00F42CAC">
              <w:rPr>
                <w:rFonts w:ascii="Times New Roman" w:hAnsi="Times New Roman" w:cs="Times New Roman"/>
                <w:noProof/>
                <w:lang w:val="en-GB"/>
              </w:rPr>
              <w:drawing>
                <wp:inline distT="0" distB="0" distL="0" distR="0" wp14:anchorId="584EA4D6" wp14:editId="34585E64">
                  <wp:extent cx="5090160" cy="3364230"/>
                  <wp:effectExtent l="0" t="0" r="0" b="7620"/>
                  <wp:docPr id="1430471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471702" name=""/>
                          <pic:cNvPicPr/>
                        </pic:nvPicPr>
                        <pic:blipFill>
                          <a:blip r:embed="rId26"/>
                          <a:stretch>
                            <a:fillRect/>
                          </a:stretch>
                        </pic:blipFill>
                        <pic:spPr>
                          <a:xfrm>
                            <a:off x="0" y="0"/>
                            <a:ext cx="5090160" cy="3364230"/>
                          </a:xfrm>
                          <a:prstGeom prst="rect">
                            <a:avLst/>
                          </a:prstGeom>
                        </pic:spPr>
                      </pic:pic>
                    </a:graphicData>
                  </a:graphic>
                </wp:inline>
              </w:drawing>
            </w:r>
          </w:p>
        </w:tc>
      </w:tr>
      <w:tr w:rsidR="00312446" w14:paraId="1BDC3823" w14:textId="77777777" w:rsidTr="005D2BC1">
        <w:tc>
          <w:tcPr>
            <w:tcW w:w="1980" w:type="dxa"/>
          </w:tcPr>
          <w:p w14:paraId="030A0671" w14:textId="77777777" w:rsidR="00805725" w:rsidRDefault="00805725" w:rsidP="005069E6">
            <w:pPr>
              <w:rPr>
                <w:rFonts w:ascii="Times New Roman" w:hAnsi="Times New Roman" w:cs="Times New Roman"/>
                <w:lang w:val="en-GB"/>
              </w:rPr>
            </w:pPr>
          </w:p>
        </w:tc>
        <w:tc>
          <w:tcPr>
            <w:tcW w:w="8792" w:type="dxa"/>
          </w:tcPr>
          <w:p w14:paraId="32A5C0A5" w14:textId="4FC1B079" w:rsidR="00805725" w:rsidRDefault="0059666A" w:rsidP="005D2BC1">
            <w:pPr>
              <w:jc w:val="center"/>
              <w:rPr>
                <w:rFonts w:ascii="Times New Roman" w:hAnsi="Times New Roman" w:cs="Times New Roman"/>
                <w:lang w:val="en-GB"/>
              </w:rPr>
            </w:pPr>
            <w:r w:rsidRPr="0059666A">
              <w:rPr>
                <w:rFonts w:ascii="Times New Roman" w:hAnsi="Times New Roman" w:cs="Times New Roman"/>
                <w:noProof/>
                <w:lang w:val="en-GB"/>
              </w:rPr>
              <w:drawing>
                <wp:inline distT="0" distB="0" distL="0" distR="0" wp14:anchorId="549BF696" wp14:editId="32B2EADE">
                  <wp:extent cx="5006340" cy="3351530"/>
                  <wp:effectExtent l="0" t="0" r="3810" b="1270"/>
                  <wp:docPr id="849485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485375" name=""/>
                          <pic:cNvPicPr/>
                        </pic:nvPicPr>
                        <pic:blipFill>
                          <a:blip r:embed="rId27"/>
                          <a:stretch>
                            <a:fillRect/>
                          </a:stretch>
                        </pic:blipFill>
                        <pic:spPr>
                          <a:xfrm>
                            <a:off x="0" y="0"/>
                            <a:ext cx="5006340" cy="3351530"/>
                          </a:xfrm>
                          <a:prstGeom prst="rect">
                            <a:avLst/>
                          </a:prstGeom>
                        </pic:spPr>
                      </pic:pic>
                    </a:graphicData>
                  </a:graphic>
                </wp:inline>
              </w:drawing>
            </w:r>
          </w:p>
        </w:tc>
      </w:tr>
      <w:tr w:rsidR="00312446" w14:paraId="6E38801E" w14:textId="77777777" w:rsidTr="005D2BC1">
        <w:tc>
          <w:tcPr>
            <w:tcW w:w="1980" w:type="dxa"/>
          </w:tcPr>
          <w:p w14:paraId="6A62580D" w14:textId="56F114D4" w:rsidR="00805725" w:rsidRDefault="00026180" w:rsidP="005069E6">
            <w:pPr>
              <w:rPr>
                <w:rFonts w:ascii="Times New Roman" w:hAnsi="Times New Roman" w:cs="Times New Roman"/>
                <w:lang w:val="en-GB"/>
              </w:rPr>
            </w:pPr>
            <w:r w:rsidRPr="00026180">
              <w:rPr>
                <w:rFonts w:ascii="Times New Roman" w:hAnsi="Times New Roman" w:cs="Times New Roman"/>
                <w:lang w:val="en-GB"/>
              </w:rPr>
              <w:lastRenderedPageBreak/>
              <w:t>Configure the SQL Database</w:t>
            </w:r>
          </w:p>
        </w:tc>
        <w:tc>
          <w:tcPr>
            <w:tcW w:w="8792" w:type="dxa"/>
          </w:tcPr>
          <w:p w14:paraId="59D8D38C" w14:textId="7F1501BC" w:rsidR="00805725" w:rsidRDefault="00B465DE" w:rsidP="005D2BC1">
            <w:pPr>
              <w:jc w:val="center"/>
              <w:rPr>
                <w:rFonts w:ascii="Times New Roman" w:hAnsi="Times New Roman" w:cs="Times New Roman"/>
                <w:lang w:val="en-GB"/>
              </w:rPr>
            </w:pPr>
            <w:r w:rsidRPr="00B465DE">
              <w:rPr>
                <w:rFonts w:ascii="Times New Roman" w:hAnsi="Times New Roman" w:cs="Times New Roman"/>
                <w:noProof/>
                <w:lang w:val="en-GB"/>
              </w:rPr>
              <w:drawing>
                <wp:inline distT="0" distB="0" distL="0" distR="0" wp14:anchorId="63F087B3" wp14:editId="5D9D092E">
                  <wp:extent cx="5417820" cy="3348355"/>
                  <wp:effectExtent l="0" t="0" r="0" b="4445"/>
                  <wp:docPr id="1390786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786925" name=""/>
                          <pic:cNvPicPr/>
                        </pic:nvPicPr>
                        <pic:blipFill>
                          <a:blip r:embed="rId28"/>
                          <a:stretch>
                            <a:fillRect/>
                          </a:stretch>
                        </pic:blipFill>
                        <pic:spPr>
                          <a:xfrm>
                            <a:off x="0" y="0"/>
                            <a:ext cx="5417820" cy="3348355"/>
                          </a:xfrm>
                          <a:prstGeom prst="rect">
                            <a:avLst/>
                          </a:prstGeom>
                        </pic:spPr>
                      </pic:pic>
                    </a:graphicData>
                  </a:graphic>
                </wp:inline>
              </w:drawing>
            </w:r>
          </w:p>
        </w:tc>
      </w:tr>
      <w:tr w:rsidR="00312446" w14:paraId="390DD9EE" w14:textId="77777777" w:rsidTr="005D2BC1">
        <w:tc>
          <w:tcPr>
            <w:tcW w:w="1980" w:type="dxa"/>
          </w:tcPr>
          <w:p w14:paraId="0897EC13" w14:textId="042129A9" w:rsidR="00805725" w:rsidRDefault="0049252E" w:rsidP="005069E6">
            <w:pPr>
              <w:rPr>
                <w:rFonts w:ascii="Times New Roman" w:hAnsi="Times New Roman" w:cs="Times New Roman"/>
                <w:lang w:val="en-GB"/>
              </w:rPr>
            </w:pPr>
            <w:r w:rsidRPr="0049252E">
              <w:rPr>
                <w:rFonts w:ascii="Times New Roman" w:hAnsi="Times New Roman" w:cs="Times New Roman"/>
                <w:lang w:val="en-GB"/>
              </w:rPr>
              <w:t>Monitor and Optimize</w:t>
            </w:r>
          </w:p>
        </w:tc>
        <w:tc>
          <w:tcPr>
            <w:tcW w:w="8792" w:type="dxa"/>
          </w:tcPr>
          <w:p w14:paraId="47483B0A" w14:textId="6E76D490" w:rsidR="00805725" w:rsidRDefault="00312446" w:rsidP="005D2BC1">
            <w:pPr>
              <w:jc w:val="center"/>
              <w:rPr>
                <w:rFonts w:ascii="Times New Roman" w:hAnsi="Times New Roman" w:cs="Times New Roman"/>
                <w:lang w:val="en-GB"/>
              </w:rPr>
            </w:pPr>
            <w:r w:rsidRPr="00312446">
              <w:rPr>
                <w:rFonts w:ascii="Times New Roman" w:hAnsi="Times New Roman" w:cs="Times New Roman"/>
                <w:noProof/>
                <w:lang w:val="en-GB"/>
              </w:rPr>
              <w:drawing>
                <wp:inline distT="0" distB="0" distL="0" distR="0" wp14:anchorId="5FC595E4" wp14:editId="320E19F8">
                  <wp:extent cx="5410200" cy="3361055"/>
                  <wp:effectExtent l="0" t="0" r="0" b="0"/>
                  <wp:docPr id="1130851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51940" name=""/>
                          <pic:cNvPicPr/>
                        </pic:nvPicPr>
                        <pic:blipFill>
                          <a:blip r:embed="rId29"/>
                          <a:stretch>
                            <a:fillRect/>
                          </a:stretch>
                        </pic:blipFill>
                        <pic:spPr>
                          <a:xfrm>
                            <a:off x="0" y="0"/>
                            <a:ext cx="5410200" cy="3361055"/>
                          </a:xfrm>
                          <a:prstGeom prst="rect">
                            <a:avLst/>
                          </a:prstGeom>
                        </pic:spPr>
                      </pic:pic>
                    </a:graphicData>
                  </a:graphic>
                </wp:inline>
              </w:drawing>
            </w:r>
          </w:p>
        </w:tc>
      </w:tr>
    </w:tbl>
    <w:p w14:paraId="40C7FAD3" w14:textId="77777777" w:rsidR="00805725" w:rsidRDefault="00805725" w:rsidP="005069E6">
      <w:pPr>
        <w:ind w:firstLine="720"/>
        <w:rPr>
          <w:rFonts w:ascii="Times New Roman" w:hAnsi="Times New Roman" w:cs="Times New Roman"/>
          <w:lang w:val="en-GB"/>
        </w:rPr>
      </w:pPr>
    </w:p>
    <w:p w14:paraId="5194FF31" w14:textId="77777777" w:rsidR="00006A11" w:rsidRDefault="00006A11" w:rsidP="005069E6">
      <w:pPr>
        <w:ind w:firstLine="720"/>
        <w:rPr>
          <w:rFonts w:ascii="Times New Roman" w:hAnsi="Times New Roman" w:cs="Times New Roman"/>
          <w:lang w:val="en-GB"/>
        </w:rPr>
      </w:pPr>
    </w:p>
    <w:p w14:paraId="40C9A033" w14:textId="621893DD" w:rsidR="00006A11" w:rsidRPr="00006A11" w:rsidRDefault="00006A11" w:rsidP="00006A11">
      <w:pPr>
        <w:pStyle w:val="Heading1"/>
        <w:jc w:val="left"/>
        <w:rPr>
          <w:sz w:val="36"/>
          <w:szCs w:val="36"/>
          <w:lang w:val="en-GB"/>
        </w:rPr>
      </w:pPr>
      <w:bookmarkStart w:id="28" w:name="_Toc164856927"/>
      <w:r>
        <w:rPr>
          <w:sz w:val="36"/>
          <w:szCs w:val="36"/>
          <w:lang w:val="en-GB"/>
        </w:rPr>
        <w:t>d)</w:t>
      </w:r>
      <w:r w:rsidRPr="00006A11">
        <w:rPr>
          <w:sz w:val="36"/>
          <w:szCs w:val="36"/>
          <w:lang w:val="en-GB"/>
        </w:rPr>
        <w:t>Azure Backup options allow GLI to establish backup schedules and retention policies for file shares and databases.</w:t>
      </w:r>
      <w:bookmarkEnd w:id="28"/>
    </w:p>
    <w:p w14:paraId="5544B6DD" w14:textId="77777777" w:rsidR="00017E5B" w:rsidRDefault="00017E5B" w:rsidP="005069E6">
      <w:pPr>
        <w:ind w:firstLine="720"/>
        <w:rPr>
          <w:rFonts w:ascii="Times New Roman" w:hAnsi="Times New Roman" w:cs="Times New Roman"/>
          <w:lang w:val="en-GB"/>
        </w:rPr>
      </w:pPr>
    </w:p>
    <w:p w14:paraId="7C0A7A5E"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Global Learning Institute (GLI) can effectively establish backup schedules and retention policies for file sharing and databases by utilising Azure Backup features. Now, let us examine how GLI can achieve this for each particular scenario:</w:t>
      </w:r>
    </w:p>
    <w:p w14:paraId="39056A13" w14:textId="77777777" w:rsidR="006D231D" w:rsidRPr="006D231D" w:rsidRDefault="006D231D" w:rsidP="006D231D">
      <w:pPr>
        <w:ind w:firstLine="720"/>
        <w:rPr>
          <w:rFonts w:ascii="Times New Roman" w:hAnsi="Times New Roman" w:cs="Times New Roman"/>
          <w:lang w:val="en-GB"/>
        </w:rPr>
      </w:pPr>
    </w:p>
    <w:p w14:paraId="1FC3338B"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Azure Backup is utilised for file sharing purposes.</w:t>
      </w:r>
    </w:p>
    <w:p w14:paraId="1E9D30C4" w14:textId="77777777" w:rsidR="006D231D" w:rsidRPr="006D231D" w:rsidRDefault="006D231D" w:rsidP="006D231D">
      <w:pPr>
        <w:ind w:firstLine="720"/>
        <w:rPr>
          <w:rFonts w:ascii="Times New Roman" w:hAnsi="Times New Roman" w:cs="Times New Roman"/>
          <w:lang w:val="en-GB"/>
        </w:rPr>
      </w:pPr>
    </w:p>
    <w:p w14:paraId="2206B012" w14:textId="2BDE004E"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lastRenderedPageBreak/>
        <w:t>Backup creation schedules:</w:t>
      </w:r>
    </w:p>
    <w:p w14:paraId="759D59E8"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Azure Backup provides the capability for GLI to establish backup schedules for Azure File Shares.</w:t>
      </w:r>
    </w:p>
    <w:p w14:paraId="308F2267" w14:textId="58DD4EAA"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The frequency of backups can be decided based on the recovery point objectives (RPOs) and the specific needs of the business, such as whether they should be performed daily or weekly</w:t>
      </w:r>
      <w:sdt>
        <w:sdtPr>
          <w:rPr>
            <w:rFonts w:ascii="Times New Roman" w:hAnsi="Times New Roman" w:cs="Times New Roman"/>
            <w:lang w:val="en-GB"/>
          </w:rPr>
          <w:id w:val="292111294"/>
          <w:citation/>
        </w:sdtPr>
        <w:sdtContent>
          <w:r w:rsidR="000146C2">
            <w:rPr>
              <w:rFonts w:ascii="Times New Roman" w:hAnsi="Times New Roman" w:cs="Times New Roman"/>
              <w:lang w:val="en-GB"/>
            </w:rPr>
            <w:fldChar w:fldCharType="begin"/>
          </w:r>
          <w:r w:rsidR="000146C2">
            <w:rPr>
              <w:rFonts w:ascii="Times New Roman" w:hAnsi="Times New Roman" w:cs="Times New Roman"/>
              <w:lang w:val="en-GB"/>
            </w:rPr>
            <w:instrText xml:space="preserve"> CITATION JSm4 \l 2057 </w:instrText>
          </w:r>
          <w:r w:rsidR="000146C2">
            <w:rPr>
              <w:rFonts w:ascii="Times New Roman" w:hAnsi="Times New Roman" w:cs="Times New Roman"/>
              <w:lang w:val="en-GB"/>
            </w:rPr>
            <w:fldChar w:fldCharType="separate"/>
          </w:r>
          <w:r w:rsidR="000146C2">
            <w:rPr>
              <w:rFonts w:ascii="Times New Roman" w:hAnsi="Times New Roman" w:cs="Times New Roman"/>
              <w:noProof/>
              <w:lang w:val="en-GB"/>
            </w:rPr>
            <w:t xml:space="preserve"> </w:t>
          </w:r>
          <w:r w:rsidR="000146C2" w:rsidRPr="000146C2">
            <w:rPr>
              <w:rFonts w:ascii="Times New Roman" w:hAnsi="Times New Roman" w:cs="Times New Roman"/>
              <w:noProof/>
              <w:lang w:val="en-GB"/>
            </w:rPr>
            <w:t>[20]</w:t>
          </w:r>
          <w:r w:rsidR="000146C2">
            <w:rPr>
              <w:rFonts w:ascii="Times New Roman" w:hAnsi="Times New Roman" w:cs="Times New Roman"/>
              <w:lang w:val="en-GB"/>
            </w:rPr>
            <w:fldChar w:fldCharType="end"/>
          </w:r>
        </w:sdtContent>
      </w:sdt>
      <w:r w:rsidRPr="006D231D">
        <w:rPr>
          <w:rFonts w:ascii="Times New Roman" w:hAnsi="Times New Roman" w:cs="Times New Roman"/>
          <w:lang w:val="en-GB"/>
        </w:rPr>
        <w:t>.</w:t>
      </w:r>
    </w:p>
    <w:p w14:paraId="7E278C7A" w14:textId="77777777" w:rsid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Azure Backup rules enable the creation of backup schedules that can be performed at predefined periods or intervals.</w:t>
      </w:r>
    </w:p>
    <w:p w14:paraId="2ED9C36F" w14:textId="77777777" w:rsidR="006D231D" w:rsidRPr="006D231D" w:rsidRDefault="006D231D" w:rsidP="006D231D">
      <w:pPr>
        <w:ind w:firstLine="720"/>
        <w:rPr>
          <w:rFonts w:ascii="Times New Roman" w:hAnsi="Times New Roman" w:cs="Times New Roman"/>
          <w:lang w:val="en-GB"/>
        </w:rPr>
      </w:pPr>
    </w:p>
    <w:p w14:paraId="4B1BB715" w14:textId="39A16071"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Policies for retaining employees:</w:t>
      </w:r>
    </w:p>
    <w:p w14:paraId="014B7DFE"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GLI possesses the capacity to enact retention policies with the purpose of determining the suitable timeframe for preserving backup data.</w:t>
      </w:r>
    </w:p>
    <w:p w14:paraId="482D3930"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In accordance with regulatory compliance obligations or internal policy, organisations possess the capacity to determine retention durations.</w:t>
      </w:r>
    </w:p>
    <w:p w14:paraId="09F7BDF5"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Azure Backup offers a variety of retention options that allow for significant flexibility, including daily, weekly, monthly, and yearly retention periods.</w:t>
      </w:r>
    </w:p>
    <w:p w14:paraId="003F24F1" w14:textId="77777777" w:rsid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The Azure File Share (GLI) possesses the functionality to establish retention policies for particular files or folders, allowing users to tailor retention settings based on certain data categories.</w:t>
      </w:r>
    </w:p>
    <w:p w14:paraId="646ADECE" w14:textId="77777777" w:rsidR="00CE6412" w:rsidRPr="006D231D" w:rsidRDefault="00CE6412" w:rsidP="006D231D">
      <w:pPr>
        <w:ind w:firstLine="720"/>
        <w:rPr>
          <w:rFonts w:ascii="Times New Roman" w:hAnsi="Times New Roman" w:cs="Times New Roman"/>
          <w:lang w:val="en-GB"/>
        </w:rPr>
      </w:pPr>
    </w:p>
    <w:p w14:paraId="669807F9" w14:textId="77777777" w:rsidR="006D231D" w:rsidRPr="006D231D" w:rsidRDefault="006D231D" w:rsidP="006D231D">
      <w:pPr>
        <w:ind w:firstLine="720"/>
        <w:rPr>
          <w:rFonts w:ascii="Times New Roman" w:hAnsi="Times New Roman" w:cs="Times New Roman"/>
          <w:lang w:val="en-GB"/>
        </w:rPr>
      </w:pPr>
    </w:p>
    <w:p w14:paraId="7414E74F" w14:textId="0929D169"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Backup creation schedules:</w:t>
      </w:r>
    </w:p>
    <w:p w14:paraId="60FABFA7"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GLI can create backup schedules for Azure SQL Database, Azure Database for MySQL, and Azure Database for PostgreSQL using Azure Backup.</w:t>
      </w:r>
    </w:p>
    <w:p w14:paraId="0E97508C"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The frequency of backups can be determined by users based on their Recovery Point Objectives (RPOs) and workload requirements, allowing them to choose between hourly, daily, and weekly intervals.</w:t>
      </w:r>
    </w:p>
    <w:p w14:paraId="5DF9CD65" w14:textId="6CDAE9AD" w:rsid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The implementation of backup schedules enables the automatic execution of database backups at predefined intervals, ensuring the consistent execution of backups without requiring manual intervention</w:t>
      </w:r>
      <w:sdt>
        <w:sdtPr>
          <w:rPr>
            <w:rFonts w:ascii="Times New Roman" w:hAnsi="Times New Roman" w:cs="Times New Roman"/>
            <w:lang w:val="en-GB"/>
          </w:rPr>
          <w:id w:val="-2050216299"/>
          <w:citation/>
        </w:sdtPr>
        <w:sdtContent>
          <w:r w:rsidR="00CE6412">
            <w:rPr>
              <w:rFonts w:ascii="Times New Roman" w:hAnsi="Times New Roman" w:cs="Times New Roman"/>
              <w:lang w:val="en-GB"/>
            </w:rPr>
            <w:fldChar w:fldCharType="begin"/>
          </w:r>
          <w:r w:rsidR="00CE6412">
            <w:rPr>
              <w:rFonts w:ascii="Times New Roman" w:hAnsi="Times New Roman" w:cs="Times New Roman"/>
              <w:lang w:val="en-GB"/>
            </w:rPr>
            <w:instrText xml:space="preserve"> CITATION LCh2 \l 2057 </w:instrText>
          </w:r>
          <w:r w:rsidR="00CE6412">
            <w:rPr>
              <w:rFonts w:ascii="Times New Roman" w:hAnsi="Times New Roman" w:cs="Times New Roman"/>
              <w:lang w:val="en-GB"/>
            </w:rPr>
            <w:fldChar w:fldCharType="separate"/>
          </w:r>
          <w:r w:rsidR="00CE6412">
            <w:rPr>
              <w:rFonts w:ascii="Times New Roman" w:hAnsi="Times New Roman" w:cs="Times New Roman"/>
              <w:noProof/>
              <w:lang w:val="en-GB"/>
            </w:rPr>
            <w:t xml:space="preserve"> </w:t>
          </w:r>
          <w:r w:rsidR="00CE6412" w:rsidRPr="00CE6412">
            <w:rPr>
              <w:rFonts w:ascii="Times New Roman" w:hAnsi="Times New Roman" w:cs="Times New Roman"/>
              <w:noProof/>
              <w:lang w:val="en-GB"/>
            </w:rPr>
            <w:t>[21]</w:t>
          </w:r>
          <w:r w:rsidR="00CE6412">
            <w:rPr>
              <w:rFonts w:ascii="Times New Roman" w:hAnsi="Times New Roman" w:cs="Times New Roman"/>
              <w:lang w:val="en-GB"/>
            </w:rPr>
            <w:fldChar w:fldCharType="end"/>
          </w:r>
        </w:sdtContent>
      </w:sdt>
      <w:r>
        <w:rPr>
          <w:rFonts w:ascii="Times New Roman" w:hAnsi="Times New Roman" w:cs="Times New Roman"/>
          <w:lang w:val="en-GB"/>
        </w:rPr>
        <w:t>.</w:t>
      </w:r>
    </w:p>
    <w:p w14:paraId="7DFB1BC5" w14:textId="77777777" w:rsidR="006D231D" w:rsidRPr="006D231D" w:rsidRDefault="006D231D" w:rsidP="006D231D">
      <w:pPr>
        <w:ind w:firstLine="720"/>
        <w:rPr>
          <w:rFonts w:ascii="Times New Roman" w:hAnsi="Times New Roman" w:cs="Times New Roman"/>
          <w:lang w:val="en-GB"/>
        </w:rPr>
      </w:pPr>
    </w:p>
    <w:p w14:paraId="45E3A06C" w14:textId="764605FC"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Policies for retaining employees:</w:t>
      </w:r>
    </w:p>
    <w:p w14:paraId="488E1C09"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Google Cloud Infrastructure (GLI) possesses the capacity to define retention policies for the purpose of determining the suitable duration for preserving database backups.</w:t>
      </w:r>
    </w:p>
    <w:p w14:paraId="0ED66615"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They can define retention timeframes based on compliance needs, data retention rules, and recovery objectives.</w:t>
      </w:r>
    </w:p>
    <w:p w14:paraId="5216DAD1"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Azure Backup offers customers a range of retention options, allowing GLI to maintain backup data for a specified period of time, such as days, weeks, months, or years.</w:t>
      </w:r>
    </w:p>
    <w:p w14:paraId="51D55DB0" w14:textId="75AE37F8" w:rsid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According to the GLI system, retention rules can be established by taking into account several types of backups, including full, differential, and transaction log</w:t>
      </w:r>
      <w:sdt>
        <w:sdtPr>
          <w:rPr>
            <w:rFonts w:ascii="Times New Roman" w:hAnsi="Times New Roman" w:cs="Times New Roman"/>
            <w:lang w:val="en-GB"/>
          </w:rPr>
          <w:id w:val="411819668"/>
          <w:citation/>
        </w:sdtPr>
        <w:sdtContent>
          <w:r w:rsidR="002155C4">
            <w:rPr>
              <w:rFonts w:ascii="Times New Roman" w:hAnsi="Times New Roman" w:cs="Times New Roman"/>
              <w:lang w:val="en-GB"/>
            </w:rPr>
            <w:fldChar w:fldCharType="begin"/>
          </w:r>
          <w:r w:rsidR="002155C4">
            <w:rPr>
              <w:rFonts w:ascii="Times New Roman" w:hAnsi="Times New Roman" w:cs="Times New Roman"/>
              <w:lang w:val="en-GB"/>
            </w:rPr>
            <w:instrText xml:space="preserve"> CITATION CLi1 \l 2057 </w:instrText>
          </w:r>
          <w:r w:rsidR="002155C4">
            <w:rPr>
              <w:rFonts w:ascii="Times New Roman" w:hAnsi="Times New Roman" w:cs="Times New Roman"/>
              <w:lang w:val="en-GB"/>
            </w:rPr>
            <w:fldChar w:fldCharType="separate"/>
          </w:r>
          <w:r w:rsidR="002155C4">
            <w:rPr>
              <w:rFonts w:ascii="Times New Roman" w:hAnsi="Times New Roman" w:cs="Times New Roman"/>
              <w:noProof/>
              <w:lang w:val="en-GB"/>
            </w:rPr>
            <w:t xml:space="preserve"> </w:t>
          </w:r>
          <w:r w:rsidR="002155C4" w:rsidRPr="002155C4">
            <w:rPr>
              <w:rFonts w:ascii="Times New Roman" w:hAnsi="Times New Roman" w:cs="Times New Roman"/>
              <w:noProof/>
              <w:lang w:val="en-GB"/>
            </w:rPr>
            <w:t>[22]</w:t>
          </w:r>
          <w:r w:rsidR="002155C4">
            <w:rPr>
              <w:rFonts w:ascii="Times New Roman" w:hAnsi="Times New Roman" w:cs="Times New Roman"/>
              <w:lang w:val="en-GB"/>
            </w:rPr>
            <w:fldChar w:fldCharType="end"/>
          </w:r>
        </w:sdtContent>
      </w:sdt>
      <w:r w:rsidRPr="006D231D">
        <w:rPr>
          <w:rFonts w:ascii="Times New Roman" w:hAnsi="Times New Roman" w:cs="Times New Roman"/>
          <w:lang w:val="en-GB"/>
        </w:rPr>
        <w:t>. This facilitates the enhancement of storage efficiency and the attainment of recovery objectives.</w:t>
      </w:r>
    </w:p>
    <w:p w14:paraId="4E852384" w14:textId="77777777" w:rsidR="006D231D" w:rsidRPr="006D231D" w:rsidRDefault="006D231D" w:rsidP="006D231D">
      <w:pPr>
        <w:ind w:firstLine="720"/>
        <w:rPr>
          <w:rFonts w:ascii="Times New Roman" w:hAnsi="Times New Roman" w:cs="Times New Roman"/>
          <w:lang w:val="en-GB"/>
        </w:rPr>
      </w:pPr>
    </w:p>
    <w:p w14:paraId="778A75DF" w14:textId="40A590AA"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Optimal Strategies:</w:t>
      </w:r>
    </w:p>
    <w:p w14:paraId="15D8E03B"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To effectively achieve data security objectives, it is advisable for GLI to align their backup schedules and retention policies with their organisational needs.</w:t>
      </w:r>
    </w:p>
    <w:p w14:paraId="3C1EEBF5"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Maintaining alignment with dynamic business requirements and compliance standards necessitates the continual evaluation and revision of backup schedules and retention policies.</w:t>
      </w:r>
    </w:p>
    <w:p w14:paraId="094EFC82" w14:textId="77777777"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GLI should regularly test its backup and recovery processes to ensure the effectiveness of their backup plans and facilitate data restoration in the event of a disaster or data loss.</w:t>
      </w:r>
    </w:p>
    <w:p w14:paraId="2C819D17" w14:textId="390A03AC" w:rsidR="006D231D" w:rsidRP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It is essential to use Azure Backup monitoring tools to monitor backup jobs and retention policies. This is necessary to identify any errors or discrepancies and promptly take corrective actions.</w:t>
      </w:r>
    </w:p>
    <w:p w14:paraId="531C0178" w14:textId="4007720E" w:rsidR="006D231D" w:rsidRDefault="006D231D" w:rsidP="006D231D">
      <w:pPr>
        <w:ind w:firstLine="720"/>
        <w:rPr>
          <w:rFonts w:ascii="Times New Roman" w:hAnsi="Times New Roman" w:cs="Times New Roman"/>
          <w:lang w:val="en-GB"/>
        </w:rPr>
      </w:pPr>
      <w:r w:rsidRPr="006D231D">
        <w:rPr>
          <w:rFonts w:ascii="Times New Roman" w:hAnsi="Times New Roman" w:cs="Times New Roman"/>
          <w:lang w:val="en-GB"/>
        </w:rPr>
        <w:t>GLI may effectively protect their data and ensure continuous corporate operations by implementing Azure Backup solutions. This involves setting up backup schedules and retention settings for both file shares and databases</w:t>
      </w:r>
      <w:sdt>
        <w:sdtPr>
          <w:rPr>
            <w:rFonts w:ascii="Times New Roman" w:hAnsi="Times New Roman" w:cs="Times New Roman"/>
            <w:lang w:val="en-GB"/>
          </w:rPr>
          <w:id w:val="947202663"/>
          <w:citation/>
        </w:sdtPr>
        <w:sdtContent>
          <w:r w:rsidR="00A1210E">
            <w:rPr>
              <w:rFonts w:ascii="Times New Roman" w:hAnsi="Times New Roman" w:cs="Times New Roman"/>
              <w:lang w:val="en-GB"/>
            </w:rPr>
            <w:fldChar w:fldCharType="begin"/>
          </w:r>
          <w:r w:rsidR="00A1210E">
            <w:rPr>
              <w:rFonts w:ascii="Times New Roman" w:hAnsi="Times New Roman" w:cs="Times New Roman"/>
              <w:lang w:val="en-GB"/>
            </w:rPr>
            <w:instrText xml:space="preserve"> CITATION SKi1 \l 2057 </w:instrText>
          </w:r>
          <w:r w:rsidR="00A1210E">
            <w:rPr>
              <w:rFonts w:ascii="Times New Roman" w:hAnsi="Times New Roman" w:cs="Times New Roman"/>
              <w:lang w:val="en-GB"/>
            </w:rPr>
            <w:fldChar w:fldCharType="separate"/>
          </w:r>
          <w:r w:rsidR="00A1210E">
            <w:rPr>
              <w:rFonts w:ascii="Times New Roman" w:hAnsi="Times New Roman" w:cs="Times New Roman"/>
              <w:noProof/>
              <w:lang w:val="en-GB"/>
            </w:rPr>
            <w:t xml:space="preserve"> </w:t>
          </w:r>
          <w:r w:rsidR="00A1210E" w:rsidRPr="00A1210E">
            <w:rPr>
              <w:rFonts w:ascii="Times New Roman" w:hAnsi="Times New Roman" w:cs="Times New Roman"/>
              <w:noProof/>
              <w:lang w:val="en-GB"/>
            </w:rPr>
            <w:t>[23]</w:t>
          </w:r>
          <w:r w:rsidR="00A1210E">
            <w:rPr>
              <w:rFonts w:ascii="Times New Roman" w:hAnsi="Times New Roman" w:cs="Times New Roman"/>
              <w:lang w:val="en-GB"/>
            </w:rPr>
            <w:fldChar w:fldCharType="end"/>
          </w:r>
        </w:sdtContent>
      </w:sdt>
      <w:r w:rsidRPr="006D231D">
        <w:rPr>
          <w:rFonts w:ascii="Times New Roman" w:hAnsi="Times New Roman" w:cs="Times New Roman"/>
          <w:lang w:val="en-GB"/>
        </w:rPr>
        <w:t>. GLI has the potential to mitigate the likelihood of data loss and uphold adherence to regulatory standards through the implementation of tailored backup schedules and retention policies. The regular monitoring and evaluation of backup protocols are essential in order to validate the ability to recover data and improve long-term backup strategies.</w:t>
      </w:r>
    </w:p>
    <w:p w14:paraId="6E907887" w14:textId="77777777" w:rsidR="00941E73" w:rsidRDefault="00941E73" w:rsidP="00941E73">
      <w:pPr>
        <w:pStyle w:val="Heading3"/>
        <w:jc w:val="left"/>
        <w:rPr>
          <w:lang w:val="en-GB"/>
        </w:rPr>
      </w:pPr>
      <w:bookmarkStart w:id="29" w:name="_Toc164856928"/>
      <w:r>
        <w:rPr>
          <w:lang w:val="en-GB"/>
        </w:rPr>
        <w:lastRenderedPageBreak/>
        <w:t>Example:</w:t>
      </w:r>
      <w:bookmarkEnd w:id="29"/>
    </w:p>
    <w:p w14:paraId="6AF9070D" w14:textId="77777777" w:rsidR="00941E73" w:rsidRDefault="00941E73" w:rsidP="006D231D">
      <w:pPr>
        <w:ind w:firstLine="720"/>
        <w:rPr>
          <w:rFonts w:ascii="Times New Roman" w:hAnsi="Times New Roman" w:cs="Times New Roman"/>
          <w:lang w:val="en-GB"/>
        </w:rPr>
      </w:pPr>
    </w:p>
    <w:tbl>
      <w:tblPr>
        <w:tblStyle w:val="TableGrid"/>
        <w:tblW w:w="0" w:type="auto"/>
        <w:jc w:val="center"/>
        <w:tblLook w:val="04A0" w:firstRow="1" w:lastRow="0" w:firstColumn="1" w:lastColumn="0" w:noHBand="0" w:noVBand="1"/>
      </w:tblPr>
      <w:tblGrid>
        <w:gridCol w:w="2336"/>
        <w:gridCol w:w="8436"/>
      </w:tblGrid>
      <w:tr w:rsidR="005D2BC1" w14:paraId="42A0B046" w14:textId="77777777" w:rsidTr="005D2BC1">
        <w:trPr>
          <w:jc w:val="center"/>
        </w:trPr>
        <w:tc>
          <w:tcPr>
            <w:tcW w:w="2405" w:type="dxa"/>
          </w:tcPr>
          <w:p w14:paraId="26CF0FF1" w14:textId="72DBA1A1" w:rsidR="002E40FF" w:rsidRDefault="009A468C" w:rsidP="006D231D">
            <w:pPr>
              <w:rPr>
                <w:rFonts w:ascii="Times New Roman" w:hAnsi="Times New Roman" w:cs="Times New Roman"/>
                <w:lang w:val="en-GB"/>
              </w:rPr>
            </w:pPr>
            <w:r>
              <w:rPr>
                <w:rFonts w:ascii="Times New Roman" w:hAnsi="Times New Roman" w:cs="Times New Roman"/>
                <w:lang w:val="en-GB"/>
              </w:rPr>
              <w:t xml:space="preserve">Create </w:t>
            </w:r>
            <w:r w:rsidR="002117C9">
              <w:rPr>
                <w:rFonts w:ascii="Times New Roman" w:hAnsi="Times New Roman" w:cs="Times New Roman"/>
                <w:lang w:val="en-GB"/>
              </w:rPr>
              <w:t>recovery service</w:t>
            </w:r>
          </w:p>
        </w:tc>
        <w:tc>
          <w:tcPr>
            <w:tcW w:w="8367" w:type="dxa"/>
          </w:tcPr>
          <w:p w14:paraId="70A34526" w14:textId="6777BDE8" w:rsidR="002E40FF" w:rsidRDefault="00F4179F" w:rsidP="005D2BC1">
            <w:pPr>
              <w:jc w:val="center"/>
              <w:rPr>
                <w:rFonts w:ascii="Times New Roman" w:hAnsi="Times New Roman" w:cs="Times New Roman"/>
                <w:lang w:val="en-GB"/>
              </w:rPr>
            </w:pPr>
            <w:r w:rsidRPr="00F4179F">
              <w:rPr>
                <w:rFonts w:ascii="Times New Roman" w:hAnsi="Times New Roman" w:cs="Times New Roman"/>
                <w:noProof/>
                <w:lang w:val="en-GB"/>
              </w:rPr>
              <w:drawing>
                <wp:inline distT="0" distB="0" distL="0" distR="0" wp14:anchorId="77BD5C8C" wp14:editId="7ACB2348">
                  <wp:extent cx="5219700" cy="3357880"/>
                  <wp:effectExtent l="0" t="0" r="0" b="0"/>
                  <wp:docPr id="1583608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608924" name=""/>
                          <pic:cNvPicPr/>
                        </pic:nvPicPr>
                        <pic:blipFill>
                          <a:blip r:embed="rId30"/>
                          <a:stretch>
                            <a:fillRect/>
                          </a:stretch>
                        </pic:blipFill>
                        <pic:spPr>
                          <a:xfrm>
                            <a:off x="0" y="0"/>
                            <a:ext cx="5219700" cy="3357880"/>
                          </a:xfrm>
                          <a:prstGeom prst="rect">
                            <a:avLst/>
                          </a:prstGeom>
                        </pic:spPr>
                      </pic:pic>
                    </a:graphicData>
                  </a:graphic>
                </wp:inline>
              </w:drawing>
            </w:r>
          </w:p>
        </w:tc>
      </w:tr>
      <w:tr w:rsidR="005D2BC1" w14:paraId="4410B1D7" w14:textId="77777777" w:rsidTr="005D2BC1">
        <w:trPr>
          <w:jc w:val="center"/>
        </w:trPr>
        <w:tc>
          <w:tcPr>
            <w:tcW w:w="2405" w:type="dxa"/>
          </w:tcPr>
          <w:p w14:paraId="299755CE" w14:textId="77777777" w:rsidR="002E40FF" w:rsidRDefault="002E40FF" w:rsidP="006D231D">
            <w:pPr>
              <w:rPr>
                <w:rFonts w:ascii="Times New Roman" w:hAnsi="Times New Roman" w:cs="Times New Roman"/>
                <w:lang w:val="en-GB"/>
              </w:rPr>
            </w:pPr>
          </w:p>
        </w:tc>
        <w:tc>
          <w:tcPr>
            <w:tcW w:w="8367" w:type="dxa"/>
          </w:tcPr>
          <w:p w14:paraId="2DC39AA7" w14:textId="133B75F8" w:rsidR="002E40FF" w:rsidRDefault="000A1A1E" w:rsidP="005D2BC1">
            <w:pPr>
              <w:jc w:val="center"/>
              <w:rPr>
                <w:rFonts w:ascii="Times New Roman" w:hAnsi="Times New Roman" w:cs="Times New Roman"/>
                <w:lang w:val="en-GB"/>
              </w:rPr>
            </w:pPr>
            <w:r w:rsidRPr="000A1A1E">
              <w:rPr>
                <w:rFonts w:ascii="Times New Roman" w:hAnsi="Times New Roman" w:cs="Times New Roman"/>
                <w:noProof/>
                <w:lang w:val="en-GB"/>
              </w:rPr>
              <w:drawing>
                <wp:inline distT="0" distB="0" distL="0" distR="0" wp14:anchorId="6B297485" wp14:editId="723E2850">
                  <wp:extent cx="5105400" cy="3344545"/>
                  <wp:effectExtent l="0" t="0" r="0" b="8255"/>
                  <wp:docPr id="1049124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124162" name=""/>
                          <pic:cNvPicPr/>
                        </pic:nvPicPr>
                        <pic:blipFill>
                          <a:blip r:embed="rId31"/>
                          <a:stretch>
                            <a:fillRect/>
                          </a:stretch>
                        </pic:blipFill>
                        <pic:spPr>
                          <a:xfrm>
                            <a:off x="0" y="0"/>
                            <a:ext cx="5105400" cy="3344545"/>
                          </a:xfrm>
                          <a:prstGeom prst="rect">
                            <a:avLst/>
                          </a:prstGeom>
                        </pic:spPr>
                      </pic:pic>
                    </a:graphicData>
                  </a:graphic>
                </wp:inline>
              </w:drawing>
            </w:r>
          </w:p>
        </w:tc>
      </w:tr>
      <w:tr w:rsidR="005D2BC1" w14:paraId="4A244FBC" w14:textId="77777777" w:rsidTr="005D2BC1">
        <w:trPr>
          <w:jc w:val="center"/>
        </w:trPr>
        <w:tc>
          <w:tcPr>
            <w:tcW w:w="2405" w:type="dxa"/>
          </w:tcPr>
          <w:p w14:paraId="4F834F49" w14:textId="77777777" w:rsidR="002E40FF" w:rsidRDefault="002E40FF" w:rsidP="006D231D">
            <w:pPr>
              <w:rPr>
                <w:rFonts w:ascii="Times New Roman" w:hAnsi="Times New Roman" w:cs="Times New Roman"/>
                <w:lang w:val="en-GB"/>
              </w:rPr>
            </w:pPr>
          </w:p>
        </w:tc>
        <w:tc>
          <w:tcPr>
            <w:tcW w:w="8367" w:type="dxa"/>
          </w:tcPr>
          <w:p w14:paraId="7B85769D" w14:textId="07E70C26" w:rsidR="002E40FF" w:rsidRDefault="00B85EA3" w:rsidP="005D2BC1">
            <w:pPr>
              <w:jc w:val="center"/>
              <w:rPr>
                <w:rFonts w:ascii="Times New Roman" w:hAnsi="Times New Roman" w:cs="Times New Roman"/>
                <w:lang w:val="en-GB"/>
              </w:rPr>
            </w:pPr>
            <w:r w:rsidRPr="00B85EA3">
              <w:rPr>
                <w:rFonts w:ascii="Times New Roman" w:hAnsi="Times New Roman" w:cs="Times New Roman"/>
                <w:noProof/>
                <w:lang w:val="en-GB"/>
              </w:rPr>
              <w:drawing>
                <wp:inline distT="0" distB="0" distL="0" distR="0" wp14:anchorId="45C9D3DD" wp14:editId="11076E61">
                  <wp:extent cx="5128260" cy="3351530"/>
                  <wp:effectExtent l="0" t="0" r="0" b="1270"/>
                  <wp:docPr id="1776040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40122" name=""/>
                          <pic:cNvPicPr/>
                        </pic:nvPicPr>
                        <pic:blipFill>
                          <a:blip r:embed="rId32"/>
                          <a:stretch>
                            <a:fillRect/>
                          </a:stretch>
                        </pic:blipFill>
                        <pic:spPr>
                          <a:xfrm>
                            <a:off x="0" y="0"/>
                            <a:ext cx="5128260" cy="3351530"/>
                          </a:xfrm>
                          <a:prstGeom prst="rect">
                            <a:avLst/>
                          </a:prstGeom>
                        </pic:spPr>
                      </pic:pic>
                    </a:graphicData>
                  </a:graphic>
                </wp:inline>
              </w:drawing>
            </w:r>
          </w:p>
        </w:tc>
      </w:tr>
      <w:tr w:rsidR="005D2BC1" w14:paraId="52B3F3BF" w14:textId="77777777" w:rsidTr="005D2BC1">
        <w:trPr>
          <w:jc w:val="center"/>
        </w:trPr>
        <w:tc>
          <w:tcPr>
            <w:tcW w:w="2405" w:type="dxa"/>
          </w:tcPr>
          <w:p w14:paraId="6E13ABF2" w14:textId="77777777" w:rsidR="002E40FF" w:rsidRDefault="002E40FF" w:rsidP="006D231D">
            <w:pPr>
              <w:rPr>
                <w:rFonts w:ascii="Times New Roman" w:hAnsi="Times New Roman" w:cs="Times New Roman"/>
                <w:lang w:val="en-GB"/>
              </w:rPr>
            </w:pPr>
          </w:p>
        </w:tc>
        <w:tc>
          <w:tcPr>
            <w:tcW w:w="8367" w:type="dxa"/>
          </w:tcPr>
          <w:p w14:paraId="03B85C27" w14:textId="7899C9F9" w:rsidR="002E40FF" w:rsidRDefault="005C3EE8" w:rsidP="005D2BC1">
            <w:pPr>
              <w:jc w:val="center"/>
              <w:rPr>
                <w:rFonts w:ascii="Times New Roman" w:hAnsi="Times New Roman" w:cs="Times New Roman"/>
                <w:lang w:val="en-GB"/>
              </w:rPr>
            </w:pPr>
            <w:r w:rsidRPr="005C3EE8">
              <w:rPr>
                <w:rFonts w:ascii="Times New Roman" w:hAnsi="Times New Roman" w:cs="Times New Roman"/>
                <w:noProof/>
                <w:lang w:val="en-GB"/>
              </w:rPr>
              <w:drawing>
                <wp:inline distT="0" distB="0" distL="0" distR="0" wp14:anchorId="3EE64759" wp14:editId="73852FBE">
                  <wp:extent cx="5143500" cy="3354705"/>
                  <wp:effectExtent l="0" t="0" r="0" b="0"/>
                  <wp:docPr id="1555233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233000" name=""/>
                          <pic:cNvPicPr/>
                        </pic:nvPicPr>
                        <pic:blipFill>
                          <a:blip r:embed="rId33"/>
                          <a:stretch>
                            <a:fillRect/>
                          </a:stretch>
                        </pic:blipFill>
                        <pic:spPr>
                          <a:xfrm>
                            <a:off x="0" y="0"/>
                            <a:ext cx="5143500" cy="3354705"/>
                          </a:xfrm>
                          <a:prstGeom prst="rect">
                            <a:avLst/>
                          </a:prstGeom>
                        </pic:spPr>
                      </pic:pic>
                    </a:graphicData>
                  </a:graphic>
                </wp:inline>
              </w:drawing>
            </w:r>
          </w:p>
        </w:tc>
      </w:tr>
      <w:tr w:rsidR="005D2BC1" w14:paraId="3AA8AF48" w14:textId="77777777" w:rsidTr="005D2BC1">
        <w:trPr>
          <w:jc w:val="center"/>
        </w:trPr>
        <w:tc>
          <w:tcPr>
            <w:tcW w:w="2405" w:type="dxa"/>
          </w:tcPr>
          <w:p w14:paraId="5C9ACD56" w14:textId="2695FF2B" w:rsidR="002E40FF" w:rsidRDefault="002117C9" w:rsidP="006D231D">
            <w:pPr>
              <w:rPr>
                <w:rFonts w:ascii="Times New Roman" w:hAnsi="Times New Roman" w:cs="Times New Roman"/>
                <w:lang w:val="en-GB"/>
              </w:rPr>
            </w:pPr>
            <w:r>
              <w:rPr>
                <w:rFonts w:ascii="Times New Roman" w:hAnsi="Times New Roman" w:cs="Times New Roman"/>
                <w:lang w:val="en-GB"/>
              </w:rPr>
              <w:lastRenderedPageBreak/>
              <w:t>Backup su</w:t>
            </w:r>
            <w:r w:rsidR="00EB5EFE">
              <w:rPr>
                <w:rFonts w:ascii="Times New Roman" w:hAnsi="Times New Roman" w:cs="Times New Roman"/>
                <w:lang w:val="en-GB"/>
              </w:rPr>
              <w:t>ccesful</w:t>
            </w:r>
          </w:p>
        </w:tc>
        <w:tc>
          <w:tcPr>
            <w:tcW w:w="8367" w:type="dxa"/>
          </w:tcPr>
          <w:p w14:paraId="39C44C1C" w14:textId="3E36D7EB" w:rsidR="002E40FF" w:rsidRDefault="00387704" w:rsidP="005D2BC1">
            <w:pPr>
              <w:jc w:val="center"/>
              <w:rPr>
                <w:rFonts w:ascii="Times New Roman" w:hAnsi="Times New Roman" w:cs="Times New Roman"/>
                <w:lang w:val="en-GB"/>
              </w:rPr>
            </w:pPr>
            <w:r w:rsidRPr="00387704">
              <w:rPr>
                <w:rFonts w:ascii="Times New Roman" w:hAnsi="Times New Roman" w:cs="Times New Roman"/>
                <w:noProof/>
                <w:lang w:val="en-GB"/>
              </w:rPr>
              <w:drawing>
                <wp:inline distT="0" distB="0" distL="0" distR="0" wp14:anchorId="590616B4" wp14:editId="7DCC9EB6">
                  <wp:extent cx="5074920" cy="3338830"/>
                  <wp:effectExtent l="0" t="0" r="0" b="0"/>
                  <wp:docPr id="1550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942295" name=""/>
                          <pic:cNvPicPr/>
                        </pic:nvPicPr>
                        <pic:blipFill>
                          <a:blip r:embed="rId34"/>
                          <a:stretch>
                            <a:fillRect/>
                          </a:stretch>
                        </pic:blipFill>
                        <pic:spPr>
                          <a:xfrm>
                            <a:off x="0" y="0"/>
                            <a:ext cx="5074920" cy="3338830"/>
                          </a:xfrm>
                          <a:prstGeom prst="rect">
                            <a:avLst/>
                          </a:prstGeom>
                        </pic:spPr>
                      </pic:pic>
                    </a:graphicData>
                  </a:graphic>
                </wp:inline>
              </w:drawing>
            </w:r>
          </w:p>
        </w:tc>
      </w:tr>
    </w:tbl>
    <w:p w14:paraId="1C857DA4" w14:textId="77777777" w:rsidR="00312446" w:rsidRDefault="00312446" w:rsidP="006D231D">
      <w:pPr>
        <w:ind w:firstLine="720"/>
        <w:rPr>
          <w:rFonts w:ascii="Times New Roman" w:hAnsi="Times New Roman" w:cs="Times New Roman"/>
          <w:lang w:val="en-GB"/>
        </w:rPr>
      </w:pPr>
    </w:p>
    <w:p w14:paraId="49F92A1E" w14:textId="77777777" w:rsidR="00580176" w:rsidRDefault="00580176" w:rsidP="00045F7A">
      <w:pPr>
        <w:ind w:firstLine="720"/>
        <w:rPr>
          <w:rFonts w:ascii="Times New Roman" w:hAnsi="Times New Roman" w:cs="Times New Roman"/>
          <w:lang w:val="en-GB"/>
        </w:rPr>
      </w:pPr>
    </w:p>
    <w:p w14:paraId="49468175" w14:textId="410E6F6B" w:rsidR="00907CE9" w:rsidRPr="00E90A2D" w:rsidRDefault="00580176" w:rsidP="00580176">
      <w:pPr>
        <w:pStyle w:val="Heading1"/>
        <w:jc w:val="left"/>
        <w:rPr>
          <w:sz w:val="36"/>
          <w:szCs w:val="36"/>
          <w:lang w:val="en-GB"/>
        </w:rPr>
      </w:pPr>
      <w:bookmarkStart w:id="30" w:name="_Toc164856929"/>
      <w:r w:rsidRPr="00E90A2D">
        <w:rPr>
          <w:sz w:val="36"/>
          <w:szCs w:val="36"/>
          <w:lang w:val="en-GB"/>
        </w:rPr>
        <w:t>e)Analyse the potential benefits of Azure Site Recovery in aiding GLI's disaster recovery efforts.</w:t>
      </w:r>
      <w:bookmarkEnd w:id="30"/>
    </w:p>
    <w:p w14:paraId="3A2F097A" w14:textId="77777777" w:rsidR="006E6DEF" w:rsidRDefault="006E6DEF" w:rsidP="00045F7A">
      <w:pPr>
        <w:ind w:firstLine="720"/>
        <w:rPr>
          <w:rFonts w:ascii="Times New Roman" w:hAnsi="Times New Roman" w:cs="Times New Roman"/>
          <w:lang w:val="en-GB"/>
        </w:rPr>
      </w:pPr>
    </w:p>
    <w:p w14:paraId="0CD36E3E" w14:textId="032B28DA" w:rsidR="007F7399" w:rsidRPr="007F7399" w:rsidRDefault="007F7399" w:rsidP="007F7399">
      <w:pPr>
        <w:ind w:firstLine="720"/>
        <w:rPr>
          <w:rFonts w:ascii="Times New Roman" w:hAnsi="Times New Roman" w:cs="Times New Roman"/>
          <w:lang w:val="en-GB"/>
        </w:rPr>
      </w:pPr>
      <w:r w:rsidRPr="007F7399">
        <w:rPr>
          <w:rFonts w:ascii="Times New Roman" w:hAnsi="Times New Roman" w:cs="Times New Roman"/>
          <w:lang w:val="en-GB"/>
        </w:rPr>
        <w:t>Ensuring the continuity of business operations and minimising delays in the case of unexpected disruptions or catastrophic incidents are crucial for organisations like Global Learning Institute (GLI). Azure Site Recovery (ASR) offers a comprehensive disaster recovery solution that allows GLI to protect their storage and databases, maintain operational resilience, and mitigate the impact of disruptions</w:t>
      </w:r>
      <w:sdt>
        <w:sdtPr>
          <w:rPr>
            <w:rFonts w:ascii="Times New Roman" w:hAnsi="Times New Roman" w:cs="Times New Roman"/>
            <w:lang w:val="en-GB"/>
          </w:rPr>
          <w:id w:val="-1991010371"/>
          <w:citation/>
        </w:sdtPr>
        <w:sdtContent>
          <w:r w:rsidR="006E3831">
            <w:rPr>
              <w:rFonts w:ascii="Times New Roman" w:hAnsi="Times New Roman" w:cs="Times New Roman"/>
              <w:lang w:val="en-GB"/>
            </w:rPr>
            <w:fldChar w:fldCharType="begin"/>
          </w:r>
          <w:r w:rsidR="006E3831">
            <w:rPr>
              <w:rFonts w:ascii="Times New Roman" w:hAnsi="Times New Roman" w:cs="Times New Roman"/>
              <w:lang w:val="en-GB"/>
            </w:rPr>
            <w:instrText xml:space="preserve"> CITATION JSm5 \l 2057 </w:instrText>
          </w:r>
          <w:r w:rsidR="006E3831">
            <w:rPr>
              <w:rFonts w:ascii="Times New Roman" w:hAnsi="Times New Roman" w:cs="Times New Roman"/>
              <w:lang w:val="en-GB"/>
            </w:rPr>
            <w:fldChar w:fldCharType="separate"/>
          </w:r>
          <w:r w:rsidR="006E3831">
            <w:rPr>
              <w:rFonts w:ascii="Times New Roman" w:hAnsi="Times New Roman" w:cs="Times New Roman"/>
              <w:noProof/>
              <w:lang w:val="en-GB"/>
            </w:rPr>
            <w:t xml:space="preserve"> </w:t>
          </w:r>
          <w:r w:rsidR="006E3831" w:rsidRPr="006E3831">
            <w:rPr>
              <w:rFonts w:ascii="Times New Roman" w:hAnsi="Times New Roman" w:cs="Times New Roman"/>
              <w:noProof/>
              <w:lang w:val="en-GB"/>
            </w:rPr>
            <w:t>[24]</w:t>
          </w:r>
          <w:r w:rsidR="006E3831">
            <w:rPr>
              <w:rFonts w:ascii="Times New Roman" w:hAnsi="Times New Roman" w:cs="Times New Roman"/>
              <w:lang w:val="en-GB"/>
            </w:rPr>
            <w:fldChar w:fldCharType="end"/>
          </w:r>
        </w:sdtContent>
      </w:sdt>
      <w:r w:rsidRPr="007F7399">
        <w:rPr>
          <w:rFonts w:ascii="Times New Roman" w:hAnsi="Times New Roman" w:cs="Times New Roman"/>
          <w:lang w:val="en-GB"/>
        </w:rPr>
        <w:t>. Now, let's delve more into how ASR could assist GLI in the recovery process following disasters</w:t>
      </w:r>
      <w:r w:rsidR="006E3831">
        <w:rPr>
          <w:rFonts w:ascii="Times New Roman" w:hAnsi="Times New Roman" w:cs="Times New Roman"/>
          <w:lang w:val="en-GB"/>
        </w:rPr>
        <w:t>.</w:t>
      </w:r>
    </w:p>
    <w:p w14:paraId="2639072F" w14:textId="77777777" w:rsidR="007F7399" w:rsidRPr="007F7399" w:rsidRDefault="007F7399" w:rsidP="007F7399">
      <w:pPr>
        <w:ind w:firstLine="720"/>
        <w:rPr>
          <w:rFonts w:ascii="Times New Roman" w:hAnsi="Times New Roman" w:cs="Times New Roman"/>
          <w:lang w:val="en-GB"/>
        </w:rPr>
      </w:pPr>
    </w:p>
    <w:p w14:paraId="74D55490" w14:textId="1C54CE61" w:rsidR="007F7399" w:rsidRPr="007F7399" w:rsidRDefault="007F7399" w:rsidP="007F7399">
      <w:pPr>
        <w:ind w:firstLine="720"/>
        <w:rPr>
          <w:rFonts w:ascii="Times New Roman" w:hAnsi="Times New Roman" w:cs="Times New Roman"/>
          <w:lang w:val="en-GB"/>
        </w:rPr>
      </w:pPr>
      <w:r w:rsidRPr="007F7399">
        <w:rPr>
          <w:rFonts w:ascii="Times New Roman" w:hAnsi="Times New Roman" w:cs="Times New Roman"/>
          <w:lang w:val="en-GB"/>
        </w:rPr>
        <w:t>One notable feature of Azure Site Recovery is its ability to enable continuous replication of data from on-premises installations to Azure. The Google Cloud Infrastructure (GLI) possesses the capacity to deploy Automatic Storage Replication (ASR) for the purpose of replicating storage and database workloads in real-time. This ensures the uninterrupted updating of data inside the Azure environment</w:t>
      </w:r>
      <w:sdt>
        <w:sdtPr>
          <w:rPr>
            <w:rFonts w:ascii="Times New Roman" w:hAnsi="Times New Roman" w:cs="Times New Roman"/>
            <w:lang w:val="en-GB"/>
          </w:rPr>
          <w:id w:val="-1298907554"/>
          <w:citation/>
        </w:sdtPr>
        <w:sdtContent>
          <w:r w:rsidR="00635944">
            <w:rPr>
              <w:rFonts w:ascii="Times New Roman" w:hAnsi="Times New Roman" w:cs="Times New Roman"/>
              <w:lang w:val="en-GB"/>
            </w:rPr>
            <w:fldChar w:fldCharType="begin"/>
          </w:r>
          <w:r w:rsidR="00635944">
            <w:rPr>
              <w:rFonts w:ascii="Times New Roman" w:hAnsi="Times New Roman" w:cs="Times New Roman"/>
              <w:lang w:val="en-GB"/>
            </w:rPr>
            <w:instrText xml:space="preserve"> CITATION LCh3 \l 2057 </w:instrText>
          </w:r>
          <w:r w:rsidR="00635944">
            <w:rPr>
              <w:rFonts w:ascii="Times New Roman" w:hAnsi="Times New Roman" w:cs="Times New Roman"/>
              <w:lang w:val="en-GB"/>
            </w:rPr>
            <w:fldChar w:fldCharType="separate"/>
          </w:r>
          <w:r w:rsidR="00635944">
            <w:rPr>
              <w:rFonts w:ascii="Times New Roman" w:hAnsi="Times New Roman" w:cs="Times New Roman"/>
              <w:noProof/>
              <w:lang w:val="en-GB"/>
            </w:rPr>
            <w:t xml:space="preserve"> </w:t>
          </w:r>
          <w:r w:rsidR="00635944" w:rsidRPr="00635944">
            <w:rPr>
              <w:rFonts w:ascii="Times New Roman" w:hAnsi="Times New Roman" w:cs="Times New Roman"/>
              <w:noProof/>
              <w:lang w:val="en-GB"/>
            </w:rPr>
            <w:t>[25]</w:t>
          </w:r>
          <w:r w:rsidR="00635944">
            <w:rPr>
              <w:rFonts w:ascii="Times New Roman" w:hAnsi="Times New Roman" w:cs="Times New Roman"/>
              <w:lang w:val="en-GB"/>
            </w:rPr>
            <w:fldChar w:fldCharType="end"/>
          </w:r>
        </w:sdtContent>
      </w:sdt>
      <w:r w:rsidRPr="007F7399">
        <w:rPr>
          <w:rFonts w:ascii="Times New Roman" w:hAnsi="Times New Roman" w:cs="Times New Roman"/>
          <w:lang w:val="en-GB"/>
        </w:rPr>
        <w:t>. Continuous replication is implemented to reduce the likelihood of data loss in the event of an outage or disaster, hence allowing GLI to quickly restore their systems with minimal disruption to regular business operations.</w:t>
      </w:r>
    </w:p>
    <w:p w14:paraId="371A04E2" w14:textId="77777777" w:rsidR="007F7399" w:rsidRPr="007F7399" w:rsidRDefault="007F7399" w:rsidP="007F7399">
      <w:pPr>
        <w:ind w:firstLine="720"/>
        <w:rPr>
          <w:rFonts w:ascii="Times New Roman" w:hAnsi="Times New Roman" w:cs="Times New Roman"/>
          <w:lang w:val="en-GB"/>
        </w:rPr>
      </w:pPr>
    </w:p>
    <w:p w14:paraId="7C3A3394" w14:textId="74E40BB9" w:rsidR="007F7399" w:rsidRPr="007F7399" w:rsidRDefault="007F7399" w:rsidP="007F7399">
      <w:pPr>
        <w:ind w:firstLine="720"/>
        <w:rPr>
          <w:rFonts w:ascii="Times New Roman" w:hAnsi="Times New Roman" w:cs="Times New Roman"/>
          <w:lang w:val="en-GB"/>
        </w:rPr>
      </w:pPr>
      <w:r w:rsidRPr="007F7399">
        <w:rPr>
          <w:rFonts w:ascii="Times New Roman" w:hAnsi="Times New Roman" w:cs="Times New Roman"/>
          <w:lang w:val="en-GB"/>
        </w:rPr>
        <w:t>In the event of a service failure, the utilisation of Azure Site Recovery allows for the automation of the failover process, hence enabling GLI to effectively and seamlessly migrate their workloads from on-premises infrastructure to Azure. The objective of ASR is to oversee the operational condition of GLI's on-premises environment and rapidly activate failover protocols upon identifying any occurrences of failure or outage</w:t>
      </w:r>
      <w:sdt>
        <w:sdtPr>
          <w:rPr>
            <w:rFonts w:ascii="Times New Roman" w:hAnsi="Times New Roman" w:cs="Times New Roman"/>
            <w:lang w:val="en-GB"/>
          </w:rPr>
          <w:id w:val="806827984"/>
          <w:citation/>
        </w:sdtPr>
        <w:sdtContent>
          <w:r w:rsidR="00B96E17">
            <w:rPr>
              <w:rFonts w:ascii="Times New Roman" w:hAnsi="Times New Roman" w:cs="Times New Roman"/>
              <w:lang w:val="en-GB"/>
            </w:rPr>
            <w:fldChar w:fldCharType="begin"/>
          </w:r>
          <w:r w:rsidR="00B96E17">
            <w:rPr>
              <w:rFonts w:ascii="Times New Roman" w:hAnsi="Times New Roman" w:cs="Times New Roman"/>
              <w:lang w:val="en-GB"/>
            </w:rPr>
            <w:instrText xml:space="preserve"> CITATION KLe1 \l 2057 </w:instrText>
          </w:r>
          <w:r w:rsidR="00B96E17">
            <w:rPr>
              <w:rFonts w:ascii="Times New Roman" w:hAnsi="Times New Roman" w:cs="Times New Roman"/>
              <w:lang w:val="en-GB"/>
            </w:rPr>
            <w:fldChar w:fldCharType="separate"/>
          </w:r>
          <w:r w:rsidR="00B96E17">
            <w:rPr>
              <w:rFonts w:ascii="Times New Roman" w:hAnsi="Times New Roman" w:cs="Times New Roman"/>
              <w:noProof/>
              <w:lang w:val="en-GB"/>
            </w:rPr>
            <w:t xml:space="preserve"> </w:t>
          </w:r>
          <w:r w:rsidR="00B96E17" w:rsidRPr="00B96E17">
            <w:rPr>
              <w:rFonts w:ascii="Times New Roman" w:hAnsi="Times New Roman" w:cs="Times New Roman"/>
              <w:noProof/>
              <w:lang w:val="en-GB"/>
            </w:rPr>
            <w:t>[26]</w:t>
          </w:r>
          <w:r w:rsidR="00B96E17">
            <w:rPr>
              <w:rFonts w:ascii="Times New Roman" w:hAnsi="Times New Roman" w:cs="Times New Roman"/>
              <w:lang w:val="en-GB"/>
            </w:rPr>
            <w:fldChar w:fldCharType="end"/>
          </w:r>
        </w:sdtContent>
      </w:sdt>
      <w:r w:rsidRPr="007F7399">
        <w:rPr>
          <w:rFonts w:ascii="Times New Roman" w:hAnsi="Times New Roman" w:cs="Times New Roman"/>
          <w:lang w:val="en-GB"/>
        </w:rPr>
        <w:t>. After successfully addressing the problem, Automatic Speech Recognition (ASR) optimises the failback procedure, enabling GLI to promptly reinstate their workloads to the initial on-premises setting. The implementation of this automated procedure reduces the time and effort required for disaster recovery, hence assisting GLI in reducing periods of inactivity and guaranteeing continuous company operations.</w:t>
      </w:r>
    </w:p>
    <w:p w14:paraId="5FD9C108" w14:textId="77777777" w:rsidR="007F7399" w:rsidRPr="007F7399" w:rsidRDefault="007F7399" w:rsidP="007F7399">
      <w:pPr>
        <w:ind w:firstLine="720"/>
        <w:rPr>
          <w:rFonts w:ascii="Times New Roman" w:hAnsi="Times New Roman" w:cs="Times New Roman"/>
          <w:lang w:val="en-GB"/>
        </w:rPr>
      </w:pPr>
    </w:p>
    <w:p w14:paraId="3FCF2AF2" w14:textId="2C033DE4" w:rsidR="007F7399" w:rsidRPr="007F7399" w:rsidRDefault="007F7399" w:rsidP="007F7399">
      <w:pPr>
        <w:ind w:firstLine="720"/>
        <w:rPr>
          <w:rFonts w:ascii="Times New Roman" w:hAnsi="Times New Roman" w:cs="Times New Roman"/>
          <w:lang w:val="en-GB"/>
        </w:rPr>
      </w:pPr>
      <w:r w:rsidRPr="007F7399">
        <w:rPr>
          <w:rFonts w:ascii="Times New Roman" w:hAnsi="Times New Roman" w:cs="Times New Roman"/>
          <w:lang w:val="en-GB"/>
        </w:rPr>
        <w:t>ASR offers orchestration and testing capabilities, enabling GLI to create recovery plans and simulate failover scenarios. The GLI possesses the capacity to develop recovery plans that delineate the precise sequence of actions to be undertaken in the event of a failover, ensuring that critical systems are accorded precedence for restoration. In addition, GLI can employ the testing components of ASR to validate the efficiency of their disaster recovery plan and identify any potential issues before a genuine outage occurs</w:t>
      </w:r>
      <w:sdt>
        <w:sdtPr>
          <w:rPr>
            <w:rFonts w:ascii="Times New Roman" w:hAnsi="Times New Roman" w:cs="Times New Roman"/>
            <w:lang w:val="en-GB"/>
          </w:rPr>
          <w:id w:val="769816029"/>
          <w:citation/>
        </w:sdtPr>
        <w:sdtContent>
          <w:r w:rsidR="00D6077B">
            <w:rPr>
              <w:rFonts w:ascii="Times New Roman" w:hAnsi="Times New Roman" w:cs="Times New Roman"/>
              <w:lang w:val="en-GB"/>
            </w:rPr>
            <w:fldChar w:fldCharType="begin"/>
          </w:r>
          <w:r w:rsidR="00D6077B">
            <w:rPr>
              <w:rFonts w:ascii="Times New Roman" w:hAnsi="Times New Roman" w:cs="Times New Roman"/>
              <w:lang w:val="en-GB"/>
            </w:rPr>
            <w:instrText xml:space="preserve"> CITATION YZh2 \l 2057 </w:instrText>
          </w:r>
          <w:r w:rsidR="00D6077B">
            <w:rPr>
              <w:rFonts w:ascii="Times New Roman" w:hAnsi="Times New Roman" w:cs="Times New Roman"/>
              <w:lang w:val="en-GB"/>
            </w:rPr>
            <w:fldChar w:fldCharType="separate"/>
          </w:r>
          <w:r w:rsidR="00D6077B">
            <w:rPr>
              <w:rFonts w:ascii="Times New Roman" w:hAnsi="Times New Roman" w:cs="Times New Roman"/>
              <w:noProof/>
              <w:lang w:val="en-GB"/>
            </w:rPr>
            <w:t xml:space="preserve"> </w:t>
          </w:r>
          <w:r w:rsidR="00D6077B" w:rsidRPr="00D6077B">
            <w:rPr>
              <w:rFonts w:ascii="Times New Roman" w:hAnsi="Times New Roman" w:cs="Times New Roman"/>
              <w:noProof/>
              <w:lang w:val="en-GB"/>
            </w:rPr>
            <w:t>[27]</w:t>
          </w:r>
          <w:r w:rsidR="00D6077B">
            <w:rPr>
              <w:rFonts w:ascii="Times New Roman" w:hAnsi="Times New Roman" w:cs="Times New Roman"/>
              <w:lang w:val="en-GB"/>
            </w:rPr>
            <w:fldChar w:fldCharType="end"/>
          </w:r>
        </w:sdtContent>
      </w:sdt>
      <w:r w:rsidRPr="007F7399">
        <w:rPr>
          <w:rFonts w:ascii="Times New Roman" w:hAnsi="Times New Roman" w:cs="Times New Roman"/>
          <w:lang w:val="en-GB"/>
        </w:rPr>
        <w:t xml:space="preserve">. By including </w:t>
      </w:r>
      <w:r w:rsidRPr="007F7399">
        <w:rPr>
          <w:rFonts w:ascii="Times New Roman" w:hAnsi="Times New Roman" w:cs="Times New Roman"/>
          <w:lang w:val="en-GB"/>
        </w:rPr>
        <w:lastRenderedPageBreak/>
        <w:t>regular testing, GLI has the potential to improve the effectiveness of its disaster recovery methods and ensure readiness to handle unexpected emergencies.</w:t>
      </w:r>
    </w:p>
    <w:p w14:paraId="09AF53FE" w14:textId="77777777" w:rsidR="007F7399" w:rsidRPr="007F7399" w:rsidRDefault="007F7399" w:rsidP="007F7399">
      <w:pPr>
        <w:ind w:firstLine="720"/>
        <w:rPr>
          <w:rFonts w:ascii="Times New Roman" w:hAnsi="Times New Roman" w:cs="Times New Roman"/>
          <w:lang w:val="en-GB"/>
        </w:rPr>
      </w:pPr>
    </w:p>
    <w:p w14:paraId="2635F517" w14:textId="77777777" w:rsidR="007F7399" w:rsidRPr="007F7399" w:rsidRDefault="007F7399" w:rsidP="007F7399">
      <w:pPr>
        <w:ind w:firstLine="720"/>
        <w:rPr>
          <w:rFonts w:ascii="Times New Roman" w:hAnsi="Times New Roman" w:cs="Times New Roman"/>
          <w:lang w:val="en-GB"/>
        </w:rPr>
      </w:pPr>
      <w:r w:rsidRPr="007F7399">
        <w:rPr>
          <w:rFonts w:ascii="Times New Roman" w:hAnsi="Times New Roman" w:cs="Times New Roman"/>
          <w:lang w:val="en-GB"/>
        </w:rPr>
        <w:t>Azure Site Recovery provides multi-site replication, allowing GLI to duplicate their data across various Azure regions, hence improving redundancy and resilience. GLI possesses the capacity to employ Automatic Speech Recognition (ASR) for the purpose of replicating their storage and databases across geographically dispersed Azure regions. The use of this configuration ensures the availability of their data, even in the event of a localised catastrophe. Multi-site replication is implemented to mitigate the risk of data loss or downtime resulting from regional outages, hence providing GLI with an increased level of assurance in sustaining uninterrupted corporate operations.</w:t>
      </w:r>
    </w:p>
    <w:p w14:paraId="7F084792" w14:textId="77777777" w:rsidR="007F7399" w:rsidRPr="007F7399" w:rsidRDefault="007F7399" w:rsidP="007F7399">
      <w:pPr>
        <w:ind w:firstLine="720"/>
        <w:rPr>
          <w:rFonts w:ascii="Times New Roman" w:hAnsi="Times New Roman" w:cs="Times New Roman"/>
          <w:lang w:val="en-GB"/>
        </w:rPr>
      </w:pPr>
    </w:p>
    <w:p w14:paraId="7BAEB288" w14:textId="5B3558C3" w:rsidR="007F7399" w:rsidRPr="007F7399" w:rsidRDefault="007F7399" w:rsidP="007F7399">
      <w:pPr>
        <w:ind w:firstLine="720"/>
        <w:rPr>
          <w:rFonts w:ascii="Times New Roman" w:hAnsi="Times New Roman" w:cs="Times New Roman"/>
          <w:lang w:val="en-GB"/>
        </w:rPr>
      </w:pPr>
      <w:r w:rsidRPr="007F7399">
        <w:rPr>
          <w:rFonts w:ascii="Times New Roman" w:hAnsi="Times New Roman" w:cs="Times New Roman"/>
          <w:lang w:val="en-GB"/>
        </w:rPr>
        <w:t>ASR demonstrates a smooth connection with other Azure services, such as Azure Backup and Azure Monitor, hence providing vast opportunities for data protection and monitoring. The GLI platform offers the capability to employ Azure Backup to create additional backup copies of their data, hence enhancing the robustness of their data</w:t>
      </w:r>
      <w:sdt>
        <w:sdtPr>
          <w:rPr>
            <w:rFonts w:ascii="Times New Roman" w:hAnsi="Times New Roman" w:cs="Times New Roman"/>
            <w:lang w:val="en-GB"/>
          </w:rPr>
          <w:id w:val="-1491630042"/>
          <w:citation/>
        </w:sdtPr>
        <w:sdtContent>
          <w:r w:rsidR="007D5CC3">
            <w:rPr>
              <w:rFonts w:ascii="Times New Roman" w:hAnsi="Times New Roman" w:cs="Times New Roman"/>
              <w:lang w:val="en-GB"/>
            </w:rPr>
            <w:fldChar w:fldCharType="begin"/>
          </w:r>
          <w:r w:rsidR="007D5CC3">
            <w:rPr>
              <w:rFonts w:ascii="Times New Roman" w:hAnsi="Times New Roman" w:cs="Times New Roman"/>
              <w:lang w:val="en-GB"/>
            </w:rPr>
            <w:instrText xml:space="preserve"> CITATION ASi \l 2057 </w:instrText>
          </w:r>
          <w:r w:rsidR="007D5CC3">
            <w:rPr>
              <w:rFonts w:ascii="Times New Roman" w:hAnsi="Times New Roman" w:cs="Times New Roman"/>
              <w:lang w:val="en-GB"/>
            </w:rPr>
            <w:fldChar w:fldCharType="separate"/>
          </w:r>
          <w:r w:rsidR="007D5CC3">
            <w:rPr>
              <w:rFonts w:ascii="Times New Roman" w:hAnsi="Times New Roman" w:cs="Times New Roman"/>
              <w:noProof/>
              <w:lang w:val="en-GB"/>
            </w:rPr>
            <w:t xml:space="preserve"> </w:t>
          </w:r>
          <w:r w:rsidR="007D5CC3" w:rsidRPr="007D5CC3">
            <w:rPr>
              <w:rFonts w:ascii="Times New Roman" w:hAnsi="Times New Roman" w:cs="Times New Roman"/>
              <w:noProof/>
              <w:lang w:val="en-GB"/>
            </w:rPr>
            <w:t>[28]</w:t>
          </w:r>
          <w:r w:rsidR="007D5CC3">
            <w:rPr>
              <w:rFonts w:ascii="Times New Roman" w:hAnsi="Times New Roman" w:cs="Times New Roman"/>
              <w:lang w:val="en-GB"/>
            </w:rPr>
            <w:fldChar w:fldCharType="end"/>
          </w:r>
        </w:sdtContent>
      </w:sdt>
      <w:r w:rsidRPr="007F7399">
        <w:rPr>
          <w:rFonts w:ascii="Times New Roman" w:hAnsi="Times New Roman" w:cs="Times New Roman"/>
          <w:lang w:val="en-GB"/>
        </w:rPr>
        <w:t>. In addition, Azure Monitor enables GLI to actively monitor the status and effectiveness of their disaster recovery infrastructure in real-time, hence facilitating proactive management and resolution of issues. GLI's ability to effectively manage and monitor their disaster recovery activities is enhanced by this relationship.</w:t>
      </w:r>
    </w:p>
    <w:p w14:paraId="78040D67" w14:textId="77777777" w:rsidR="007F7399" w:rsidRPr="007F7399" w:rsidRDefault="007F7399" w:rsidP="007F7399">
      <w:pPr>
        <w:ind w:firstLine="720"/>
        <w:rPr>
          <w:rFonts w:ascii="Times New Roman" w:hAnsi="Times New Roman" w:cs="Times New Roman"/>
          <w:lang w:val="en-GB"/>
        </w:rPr>
      </w:pPr>
    </w:p>
    <w:p w14:paraId="4E832E50" w14:textId="5CF9FB14" w:rsidR="007F7399" w:rsidRPr="007F7399" w:rsidRDefault="007F7399" w:rsidP="007F7399">
      <w:pPr>
        <w:ind w:firstLine="720"/>
        <w:rPr>
          <w:rFonts w:ascii="Times New Roman" w:hAnsi="Times New Roman" w:cs="Times New Roman"/>
          <w:lang w:val="en-GB"/>
        </w:rPr>
      </w:pPr>
      <w:r w:rsidRPr="007F7399">
        <w:rPr>
          <w:rFonts w:ascii="Times New Roman" w:hAnsi="Times New Roman" w:cs="Times New Roman"/>
          <w:lang w:val="en-GB"/>
        </w:rPr>
        <w:t>Automatic Speech Recognition (ASR) deployment offers a cost-effective solution for disaster recovery by eliminating the need for costly alternative data centres and equipment. GLI's adoption of Azure's pay-as-you-go pricing model enables the financial compensation of resources exclusively according to their usage during failover events or testing sessions</w:t>
      </w:r>
      <w:sdt>
        <w:sdtPr>
          <w:rPr>
            <w:rFonts w:ascii="Times New Roman" w:hAnsi="Times New Roman" w:cs="Times New Roman"/>
            <w:lang w:val="en-GB"/>
          </w:rPr>
          <w:id w:val="-407301593"/>
          <w:citation/>
        </w:sdtPr>
        <w:sdtContent>
          <w:r w:rsidR="007D5CC3">
            <w:rPr>
              <w:rFonts w:ascii="Times New Roman" w:hAnsi="Times New Roman" w:cs="Times New Roman"/>
              <w:lang w:val="en-GB"/>
            </w:rPr>
            <w:fldChar w:fldCharType="begin"/>
          </w:r>
          <w:r w:rsidR="007D5CC3">
            <w:rPr>
              <w:rFonts w:ascii="Times New Roman" w:hAnsi="Times New Roman" w:cs="Times New Roman"/>
              <w:lang w:val="en-GB"/>
            </w:rPr>
            <w:instrText xml:space="preserve"> CITATION RSh1 \l 2057 </w:instrText>
          </w:r>
          <w:r w:rsidR="007D5CC3">
            <w:rPr>
              <w:rFonts w:ascii="Times New Roman" w:hAnsi="Times New Roman" w:cs="Times New Roman"/>
              <w:lang w:val="en-GB"/>
            </w:rPr>
            <w:fldChar w:fldCharType="separate"/>
          </w:r>
          <w:r w:rsidR="007D5CC3">
            <w:rPr>
              <w:rFonts w:ascii="Times New Roman" w:hAnsi="Times New Roman" w:cs="Times New Roman"/>
              <w:noProof/>
              <w:lang w:val="en-GB"/>
            </w:rPr>
            <w:t xml:space="preserve"> </w:t>
          </w:r>
          <w:r w:rsidR="007D5CC3" w:rsidRPr="007D5CC3">
            <w:rPr>
              <w:rFonts w:ascii="Times New Roman" w:hAnsi="Times New Roman" w:cs="Times New Roman"/>
              <w:noProof/>
              <w:lang w:val="en-GB"/>
            </w:rPr>
            <w:t>[29]</w:t>
          </w:r>
          <w:r w:rsidR="007D5CC3">
            <w:rPr>
              <w:rFonts w:ascii="Times New Roman" w:hAnsi="Times New Roman" w:cs="Times New Roman"/>
              <w:lang w:val="en-GB"/>
            </w:rPr>
            <w:fldChar w:fldCharType="end"/>
          </w:r>
        </w:sdtContent>
      </w:sdt>
      <w:r w:rsidRPr="007F7399">
        <w:rPr>
          <w:rFonts w:ascii="Times New Roman" w:hAnsi="Times New Roman" w:cs="Times New Roman"/>
          <w:lang w:val="en-GB"/>
        </w:rPr>
        <w:t>. The use of this technique by GLI yields advantages in terms of cost reduction and the preservation of robust disaster recovery capabilities. ASR presents itself as an attractive option for companies aiming to enhance their resilience while minimising costs.</w:t>
      </w:r>
    </w:p>
    <w:p w14:paraId="1994A3AF" w14:textId="77777777" w:rsidR="007F7399" w:rsidRPr="007F7399" w:rsidRDefault="007F7399" w:rsidP="007F7399">
      <w:pPr>
        <w:ind w:firstLine="720"/>
        <w:rPr>
          <w:rFonts w:ascii="Times New Roman" w:hAnsi="Times New Roman" w:cs="Times New Roman"/>
          <w:lang w:val="en-GB"/>
        </w:rPr>
      </w:pPr>
    </w:p>
    <w:p w14:paraId="309A68C1" w14:textId="40587B26" w:rsidR="006E6DEF" w:rsidRDefault="007F7399" w:rsidP="007F7399">
      <w:pPr>
        <w:ind w:firstLine="720"/>
        <w:rPr>
          <w:rFonts w:ascii="Times New Roman" w:hAnsi="Times New Roman" w:cs="Times New Roman"/>
          <w:lang w:val="en-GB"/>
        </w:rPr>
      </w:pPr>
      <w:r w:rsidRPr="007F7399">
        <w:rPr>
          <w:rFonts w:ascii="Times New Roman" w:hAnsi="Times New Roman" w:cs="Times New Roman"/>
          <w:lang w:val="en-GB"/>
        </w:rPr>
        <w:t>Azure Site Recovery provides GLI with a comprehensive and cost-effective solution for disaster recovery, enabling them to protect their storage and databases, maintain uninterrupted business operations, and mitigate the impact of disruptions</w:t>
      </w:r>
      <w:sdt>
        <w:sdtPr>
          <w:rPr>
            <w:rFonts w:ascii="Times New Roman" w:hAnsi="Times New Roman" w:cs="Times New Roman"/>
            <w:lang w:val="en-GB"/>
          </w:rPr>
          <w:id w:val="1902097058"/>
          <w:citation/>
        </w:sdtPr>
        <w:sdtContent>
          <w:r w:rsidR="0090550F">
            <w:rPr>
              <w:rFonts w:ascii="Times New Roman" w:hAnsi="Times New Roman" w:cs="Times New Roman"/>
              <w:lang w:val="en-GB"/>
            </w:rPr>
            <w:fldChar w:fldCharType="begin"/>
          </w:r>
          <w:r w:rsidR="0090550F">
            <w:rPr>
              <w:rFonts w:ascii="Times New Roman" w:hAnsi="Times New Roman" w:cs="Times New Roman"/>
              <w:lang w:val="en-GB"/>
            </w:rPr>
            <w:instrText xml:space="preserve"> CITATION QWa \l 2057 </w:instrText>
          </w:r>
          <w:r w:rsidR="0090550F">
            <w:rPr>
              <w:rFonts w:ascii="Times New Roman" w:hAnsi="Times New Roman" w:cs="Times New Roman"/>
              <w:lang w:val="en-GB"/>
            </w:rPr>
            <w:fldChar w:fldCharType="separate"/>
          </w:r>
          <w:r w:rsidR="0090550F">
            <w:rPr>
              <w:rFonts w:ascii="Times New Roman" w:hAnsi="Times New Roman" w:cs="Times New Roman"/>
              <w:noProof/>
              <w:lang w:val="en-GB"/>
            </w:rPr>
            <w:t xml:space="preserve"> </w:t>
          </w:r>
          <w:r w:rsidR="0090550F" w:rsidRPr="0090550F">
            <w:rPr>
              <w:rFonts w:ascii="Times New Roman" w:hAnsi="Times New Roman" w:cs="Times New Roman"/>
              <w:noProof/>
              <w:lang w:val="en-GB"/>
            </w:rPr>
            <w:t>[30]</w:t>
          </w:r>
          <w:r w:rsidR="0090550F">
            <w:rPr>
              <w:rFonts w:ascii="Times New Roman" w:hAnsi="Times New Roman" w:cs="Times New Roman"/>
              <w:lang w:val="en-GB"/>
            </w:rPr>
            <w:fldChar w:fldCharType="end"/>
          </w:r>
        </w:sdtContent>
      </w:sdt>
      <w:r w:rsidRPr="007F7399">
        <w:rPr>
          <w:rFonts w:ascii="Times New Roman" w:hAnsi="Times New Roman" w:cs="Times New Roman"/>
          <w:lang w:val="en-GB"/>
        </w:rPr>
        <w:t>. The implementation of continuous data replication, automatic failover and failback, orchestration and testing capabilities, multi-site replication, connection with Azure services, and cost-effective pricing may enhance GLI's disaster recovery strategy and ensure its readiness to address catastrophic events.</w:t>
      </w:r>
    </w:p>
    <w:p w14:paraId="22E9C940" w14:textId="77777777" w:rsidR="00EB5EFE" w:rsidRDefault="00EB5EFE" w:rsidP="007F7399">
      <w:pPr>
        <w:ind w:firstLine="720"/>
        <w:rPr>
          <w:rFonts w:ascii="Times New Roman" w:hAnsi="Times New Roman" w:cs="Times New Roman"/>
          <w:lang w:val="en-GB"/>
        </w:rPr>
      </w:pPr>
    </w:p>
    <w:p w14:paraId="3F02B846" w14:textId="77777777" w:rsidR="00EB5EFE" w:rsidRDefault="00EB5EFE" w:rsidP="007F7399">
      <w:pPr>
        <w:ind w:firstLine="720"/>
        <w:rPr>
          <w:rFonts w:ascii="Times New Roman" w:hAnsi="Times New Roman" w:cs="Times New Roman"/>
          <w:lang w:val="en-GB"/>
        </w:rPr>
      </w:pPr>
    </w:p>
    <w:p w14:paraId="1479A283" w14:textId="72BFD59B" w:rsidR="00EB5EFE" w:rsidRDefault="00EB5EFE" w:rsidP="007F7399">
      <w:pPr>
        <w:ind w:firstLine="720"/>
        <w:rPr>
          <w:rFonts w:ascii="Times New Roman" w:hAnsi="Times New Roman" w:cs="Times New Roman"/>
          <w:lang w:val="en-GB"/>
        </w:rPr>
      </w:pPr>
      <w:r>
        <w:rPr>
          <w:rFonts w:ascii="Times New Roman" w:hAnsi="Times New Roman" w:cs="Times New Roman"/>
          <w:lang w:val="en-GB"/>
        </w:rPr>
        <w:t>Link  video:</w:t>
      </w:r>
      <w:r w:rsidR="002A202B">
        <w:rPr>
          <w:rFonts w:ascii="Times New Roman" w:hAnsi="Times New Roman" w:cs="Times New Roman"/>
          <w:lang w:val="en-GB"/>
        </w:rPr>
        <w:t xml:space="preserve"> </w:t>
      </w:r>
      <w:hyperlink r:id="rId35" w:history="1">
        <w:r w:rsidR="0064171E" w:rsidRPr="0064171E">
          <w:rPr>
            <w:rStyle w:val="Hyperlink"/>
            <w:rFonts w:ascii="Times New Roman" w:hAnsi="Times New Roman" w:cs="Times New Roman"/>
            <w:lang w:val="en-GB"/>
          </w:rPr>
          <w:t>https://www.youtube.com/watch?v=hLeDOmeloqc&amp;ab_channel=StefaniaGalbau</w:t>
        </w:r>
      </w:hyperlink>
    </w:p>
    <w:p w14:paraId="7A0FC1F4" w14:textId="77777777" w:rsidR="00EB5EFE" w:rsidRDefault="00EB5EFE" w:rsidP="007F7399">
      <w:pPr>
        <w:ind w:firstLine="720"/>
        <w:rPr>
          <w:rFonts w:ascii="Times New Roman" w:hAnsi="Times New Roman" w:cs="Times New Roman"/>
          <w:lang w:val="en-GB"/>
        </w:rPr>
      </w:pPr>
    </w:p>
    <w:p w14:paraId="0F80CA08" w14:textId="77777777" w:rsidR="00371A76" w:rsidRDefault="00371A76" w:rsidP="007F7399">
      <w:pPr>
        <w:ind w:firstLine="720"/>
        <w:rPr>
          <w:rFonts w:ascii="Times New Roman" w:hAnsi="Times New Roman" w:cs="Times New Roman"/>
          <w:lang w:val="en-GB"/>
        </w:rPr>
      </w:pPr>
    </w:p>
    <w:p w14:paraId="78869282" w14:textId="6AB23D26" w:rsidR="00371A76" w:rsidRPr="00371A76" w:rsidRDefault="00371A76" w:rsidP="00371A76">
      <w:pPr>
        <w:pStyle w:val="Heading1"/>
        <w:jc w:val="left"/>
        <w:rPr>
          <w:sz w:val="36"/>
          <w:szCs w:val="36"/>
          <w:lang w:val="en-GB"/>
        </w:rPr>
      </w:pPr>
      <w:bookmarkStart w:id="31" w:name="_Toc164856930"/>
      <w:r w:rsidRPr="00371A76">
        <w:rPr>
          <w:sz w:val="36"/>
          <w:szCs w:val="36"/>
          <w:lang w:val="en-GB"/>
        </w:rPr>
        <w:t>Conclusion</w:t>
      </w:r>
      <w:bookmarkEnd w:id="31"/>
    </w:p>
    <w:p w14:paraId="16757674" w14:textId="77777777" w:rsidR="00371A76" w:rsidRDefault="00371A76" w:rsidP="007F7399">
      <w:pPr>
        <w:ind w:firstLine="720"/>
        <w:rPr>
          <w:rFonts w:ascii="Times New Roman" w:hAnsi="Times New Roman" w:cs="Times New Roman"/>
          <w:lang w:val="en-GB"/>
        </w:rPr>
      </w:pPr>
    </w:p>
    <w:p w14:paraId="41F1A67F" w14:textId="77777777" w:rsidR="00427ED6" w:rsidRPr="00427ED6" w:rsidRDefault="00427ED6" w:rsidP="00427ED6">
      <w:pPr>
        <w:ind w:firstLine="720"/>
        <w:rPr>
          <w:rFonts w:ascii="Times New Roman" w:hAnsi="Times New Roman" w:cs="Times New Roman"/>
          <w:lang w:val="en-GB"/>
        </w:rPr>
      </w:pPr>
      <w:r w:rsidRPr="00427ED6">
        <w:rPr>
          <w:rFonts w:ascii="Times New Roman" w:hAnsi="Times New Roman" w:cs="Times New Roman"/>
          <w:lang w:val="en-GB"/>
        </w:rPr>
        <w:t>The study analyses the migration of Global Learning Institute (GLI) to Azure cloud services and the implementation of Azure Site Recovery, Azure File Storage, and Azure databases. This migration signifies a significant development in the organization's IT infrastructure, resulting in improved scalability, resilience, and cost-effectiveness.</w:t>
      </w:r>
    </w:p>
    <w:p w14:paraId="6E8D22A3" w14:textId="77777777" w:rsidR="00427ED6" w:rsidRPr="00427ED6" w:rsidRDefault="00427ED6" w:rsidP="00427ED6">
      <w:pPr>
        <w:ind w:firstLine="720"/>
        <w:rPr>
          <w:rFonts w:ascii="Times New Roman" w:hAnsi="Times New Roman" w:cs="Times New Roman"/>
          <w:lang w:val="en-GB"/>
        </w:rPr>
      </w:pPr>
    </w:p>
    <w:p w14:paraId="3776B283" w14:textId="77777777" w:rsidR="00427ED6" w:rsidRPr="00427ED6" w:rsidRDefault="00427ED6" w:rsidP="00427ED6">
      <w:pPr>
        <w:ind w:firstLine="720"/>
        <w:rPr>
          <w:rFonts w:ascii="Times New Roman" w:hAnsi="Times New Roman" w:cs="Times New Roman"/>
          <w:lang w:val="en-GB"/>
        </w:rPr>
      </w:pPr>
      <w:r w:rsidRPr="00427ED6">
        <w:rPr>
          <w:rFonts w:ascii="Times New Roman" w:hAnsi="Times New Roman" w:cs="Times New Roman"/>
          <w:lang w:val="en-GB"/>
        </w:rPr>
        <w:t>The choice to transition from on-premises servers to Azure cloud services was motivated by the difficulties faced by GLI, such as exorbitant maintenance expenses, restricted scalability, and susceptibility to hardware malfunctions and catastrophes. Through the utilisation of Azure services, GLI has the potential to gain advantages such as better scalability, decreased operational expenses, improved disaster recovery capabilities, and strengthened security measures.</w:t>
      </w:r>
    </w:p>
    <w:p w14:paraId="5FAB29A0" w14:textId="77777777" w:rsidR="00427ED6" w:rsidRPr="00427ED6" w:rsidRDefault="00427ED6" w:rsidP="00427ED6">
      <w:pPr>
        <w:ind w:firstLine="720"/>
        <w:rPr>
          <w:rFonts w:ascii="Times New Roman" w:hAnsi="Times New Roman" w:cs="Times New Roman"/>
          <w:lang w:val="en-GB"/>
        </w:rPr>
      </w:pPr>
    </w:p>
    <w:p w14:paraId="4468B764" w14:textId="77777777" w:rsidR="00427ED6" w:rsidRPr="00427ED6" w:rsidRDefault="00427ED6" w:rsidP="00427ED6">
      <w:pPr>
        <w:ind w:firstLine="720"/>
        <w:rPr>
          <w:rFonts w:ascii="Times New Roman" w:hAnsi="Times New Roman" w:cs="Times New Roman"/>
          <w:lang w:val="en-GB"/>
        </w:rPr>
      </w:pPr>
      <w:r w:rsidRPr="00427ED6">
        <w:rPr>
          <w:rFonts w:ascii="Times New Roman" w:hAnsi="Times New Roman" w:cs="Times New Roman"/>
          <w:lang w:val="en-GB"/>
        </w:rPr>
        <w:t xml:space="preserve">The research highlights a significant discovery on the possible cost savings that may be achieved by utilising the Azure Total Cost of Ownership (TCO) calculator. The utilisation of this tool enabled the </w:t>
      </w:r>
      <w:r w:rsidRPr="00427ED6">
        <w:rPr>
          <w:rFonts w:ascii="Times New Roman" w:hAnsi="Times New Roman" w:cs="Times New Roman"/>
          <w:lang w:val="en-GB"/>
        </w:rPr>
        <w:lastRenderedPageBreak/>
        <w:t>assessment of potential cost reductions that could be attained by the transfer of data from on-premises servers to Azure cloud services. GLI obtained valuable insights into the financial advantages of implementing Azure services by making estimates about on-premise server, database, storage, and network usage, and comparing them to Azure pricing and offers.</w:t>
      </w:r>
    </w:p>
    <w:p w14:paraId="0050501F" w14:textId="77777777" w:rsidR="00427ED6" w:rsidRPr="00427ED6" w:rsidRDefault="00427ED6" w:rsidP="00427ED6">
      <w:pPr>
        <w:ind w:firstLine="720"/>
        <w:rPr>
          <w:rFonts w:ascii="Times New Roman" w:hAnsi="Times New Roman" w:cs="Times New Roman"/>
          <w:lang w:val="en-GB"/>
        </w:rPr>
      </w:pPr>
    </w:p>
    <w:p w14:paraId="241E721B" w14:textId="77777777" w:rsidR="00427ED6" w:rsidRPr="00427ED6" w:rsidRDefault="00427ED6" w:rsidP="00427ED6">
      <w:pPr>
        <w:ind w:firstLine="720"/>
        <w:rPr>
          <w:rFonts w:ascii="Times New Roman" w:hAnsi="Times New Roman" w:cs="Times New Roman"/>
          <w:lang w:val="en-GB"/>
        </w:rPr>
      </w:pPr>
      <w:r w:rsidRPr="00427ED6">
        <w:rPr>
          <w:rFonts w:ascii="Times New Roman" w:hAnsi="Times New Roman" w:cs="Times New Roman"/>
          <w:lang w:val="en-GB"/>
        </w:rPr>
        <w:t>The paper also explored the benefits of Azure Site Recovery in enhancing GLI's readiness for disaster recovery. Azure Site Recovery provides an automated disaster recovery orchestration feature that allows GLI to replicate and failover virtual machines. This ensures that there is little downtime and data loss in the event of outages or disasters. This feature improves GLI's ability to maintain uninterrupted business operations and reduces the potential dangers linked to interruptions in their IT services.</w:t>
      </w:r>
    </w:p>
    <w:p w14:paraId="3F0C3C2B" w14:textId="77777777" w:rsidR="00427ED6" w:rsidRPr="00427ED6" w:rsidRDefault="00427ED6" w:rsidP="00427ED6">
      <w:pPr>
        <w:ind w:firstLine="720"/>
        <w:rPr>
          <w:rFonts w:ascii="Times New Roman" w:hAnsi="Times New Roman" w:cs="Times New Roman"/>
          <w:lang w:val="en-GB"/>
        </w:rPr>
      </w:pPr>
    </w:p>
    <w:p w14:paraId="536D14FD" w14:textId="77777777" w:rsidR="00427ED6" w:rsidRPr="00427ED6" w:rsidRDefault="00427ED6" w:rsidP="00427ED6">
      <w:pPr>
        <w:ind w:firstLine="720"/>
        <w:rPr>
          <w:rFonts w:ascii="Times New Roman" w:hAnsi="Times New Roman" w:cs="Times New Roman"/>
          <w:lang w:val="en-GB"/>
        </w:rPr>
      </w:pPr>
      <w:r w:rsidRPr="00427ED6">
        <w:rPr>
          <w:rFonts w:ascii="Times New Roman" w:hAnsi="Times New Roman" w:cs="Times New Roman"/>
          <w:lang w:val="en-GB"/>
        </w:rPr>
        <w:t>In addition, the paper examined the advantages of Azure File Storage, with a particular focus on its scalability, cost-efficiency, and strong security protocols. Azure File Storage allows GLI to effortlessly store and distribute files across many applications and platforms, guaranteeing the integrity of data and adherence to regulatory standards. Furthermore, the use of Azure databases, such as Azure SQL Database, Azure Database for MySQL, or Azure Database for PostgreSQL, provides GLI with adaptable and dependable database solutions customised to their individual requirements.</w:t>
      </w:r>
    </w:p>
    <w:p w14:paraId="1ACAFFCF" w14:textId="77777777" w:rsidR="00427ED6" w:rsidRPr="00427ED6" w:rsidRDefault="00427ED6" w:rsidP="00427ED6">
      <w:pPr>
        <w:ind w:firstLine="720"/>
        <w:rPr>
          <w:rFonts w:ascii="Times New Roman" w:hAnsi="Times New Roman" w:cs="Times New Roman"/>
          <w:lang w:val="en-GB"/>
        </w:rPr>
      </w:pPr>
    </w:p>
    <w:p w14:paraId="78C47021" w14:textId="77777777" w:rsidR="00427ED6" w:rsidRPr="00427ED6" w:rsidRDefault="00427ED6" w:rsidP="00427ED6">
      <w:pPr>
        <w:ind w:firstLine="720"/>
        <w:rPr>
          <w:rFonts w:ascii="Times New Roman" w:hAnsi="Times New Roman" w:cs="Times New Roman"/>
          <w:lang w:val="en-GB"/>
        </w:rPr>
      </w:pPr>
      <w:r w:rsidRPr="00427ED6">
        <w:rPr>
          <w:rFonts w:ascii="Times New Roman" w:hAnsi="Times New Roman" w:cs="Times New Roman"/>
          <w:lang w:val="en-GB"/>
        </w:rPr>
        <w:t>The paper highlights the substantial benefits that GLI can potentially achieve by transitioning to Azure cloud services and using Azure Site Recovery, Azure File Storage, and Azure databases. GLI can overcome the constraints of on-premises infrastructure, achieve increased scalability and agility, improve disaster recovery capabilities, and optimise costs by adopting cloud technologies.</w:t>
      </w:r>
    </w:p>
    <w:p w14:paraId="230E8A37" w14:textId="77777777" w:rsidR="00427ED6" w:rsidRPr="00427ED6" w:rsidRDefault="00427ED6" w:rsidP="00427ED6">
      <w:pPr>
        <w:ind w:firstLine="720"/>
        <w:rPr>
          <w:rFonts w:ascii="Times New Roman" w:hAnsi="Times New Roman" w:cs="Times New Roman"/>
          <w:lang w:val="en-GB"/>
        </w:rPr>
      </w:pPr>
    </w:p>
    <w:p w14:paraId="38046548" w14:textId="7FD92CEE" w:rsidR="00427ED6" w:rsidRDefault="00427ED6" w:rsidP="00427ED6">
      <w:pPr>
        <w:ind w:firstLine="720"/>
        <w:rPr>
          <w:rFonts w:ascii="Times New Roman" w:hAnsi="Times New Roman" w:cs="Times New Roman"/>
          <w:lang w:val="en-GB"/>
        </w:rPr>
      </w:pPr>
      <w:r w:rsidRPr="00427ED6">
        <w:rPr>
          <w:rFonts w:ascii="Times New Roman" w:hAnsi="Times New Roman" w:cs="Times New Roman"/>
          <w:lang w:val="en-GB"/>
        </w:rPr>
        <w:t>The study provides a persuasive argument for GLI's decision to migrate to Azure cloud services and implement Azure Site Recovery, Azure File Storage, and Azure databases. By employing meticulous strategizing, execution, and continuous refinement, GLI can fully leverage the capabilities of Azure services to stimulate creativity, enhance productivity, and provide outstanding educational experiences to its stakeholders.</w:t>
      </w:r>
    </w:p>
    <w:p w14:paraId="207DC544" w14:textId="77777777" w:rsidR="00371A76" w:rsidRDefault="00371A76" w:rsidP="00427ED6">
      <w:pPr>
        <w:ind w:firstLine="720"/>
        <w:rPr>
          <w:rFonts w:ascii="Times New Roman" w:hAnsi="Times New Roman" w:cs="Times New Roman"/>
          <w:lang w:val="en-GB"/>
        </w:rPr>
      </w:pPr>
    </w:p>
    <w:bookmarkStart w:id="32" w:name="_Toc164856931" w:displacedByCustomXml="next"/>
    <w:sdt>
      <w:sdtPr>
        <w:rPr>
          <w:rFonts w:asciiTheme="minorHAnsi" w:hAnsiTheme="minorHAnsi"/>
          <w:b w:val="0"/>
          <w:color w:val="auto"/>
          <w:sz w:val="24"/>
          <w:szCs w:val="24"/>
        </w:rPr>
        <w:id w:val="35775363"/>
        <w:docPartObj>
          <w:docPartGallery w:val="Bibliographies"/>
          <w:docPartUnique/>
        </w:docPartObj>
      </w:sdtPr>
      <w:sdtContent>
        <w:p w14:paraId="5B83E02B" w14:textId="51854763" w:rsidR="00371A76" w:rsidRPr="00371A76" w:rsidRDefault="00371A76" w:rsidP="00371A76">
          <w:pPr>
            <w:pStyle w:val="Heading1"/>
            <w:jc w:val="left"/>
            <w:rPr>
              <w:sz w:val="36"/>
              <w:szCs w:val="36"/>
            </w:rPr>
          </w:pPr>
          <w:r w:rsidRPr="00371A76">
            <w:rPr>
              <w:sz w:val="36"/>
              <w:szCs w:val="36"/>
            </w:rPr>
            <w:t>References</w:t>
          </w:r>
          <w:bookmarkEnd w:id="32"/>
        </w:p>
        <w:sdt>
          <w:sdtPr>
            <w:id w:val="-573587230"/>
            <w:bibliography/>
          </w:sdtPr>
          <w:sdtContent>
            <w:p w14:paraId="37C40261" w14:textId="77777777" w:rsidR="00371A76" w:rsidRDefault="00371A7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37"/>
                <w:gridCol w:w="10245"/>
              </w:tblGrid>
              <w:tr w:rsidR="00371A76" w14:paraId="5EEB498F" w14:textId="77777777">
                <w:trPr>
                  <w:divId w:val="1586763276"/>
                  <w:tblCellSpacing w:w="15" w:type="dxa"/>
                </w:trPr>
                <w:tc>
                  <w:tcPr>
                    <w:tcW w:w="50" w:type="pct"/>
                    <w:hideMark/>
                  </w:tcPr>
                  <w:p w14:paraId="58AE63BF" w14:textId="4CD2383B" w:rsidR="00371A76" w:rsidRDefault="00371A76">
                    <w:pPr>
                      <w:pStyle w:val="Bibliography"/>
                      <w:rPr>
                        <w:noProof/>
                      </w:rPr>
                    </w:pPr>
                    <w:r>
                      <w:rPr>
                        <w:noProof/>
                      </w:rPr>
                      <w:t xml:space="preserve">[1] </w:t>
                    </w:r>
                  </w:p>
                </w:tc>
                <w:tc>
                  <w:tcPr>
                    <w:tcW w:w="0" w:type="auto"/>
                    <w:hideMark/>
                  </w:tcPr>
                  <w:p w14:paraId="3535758C" w14:textId="77777777" w:rsidR="00371A76" w:rsidRDefault="00371A76">
                    <w:pPr>
                      <w:pStyle w:val="Bibliography"/>
                      <w:rPr>
                        <w:noProof/>
                      </w:rPr>
                    </w:pPr>
                    <w:r>
                      <w:rPr>
                        <w:noProof/>
                      </w:rPr>
                      <w:t xml:space="preserve">Smith, J., &amp; Johnson, A. (2019). "A Comprehensive Review of Cloud Computing Technologies." IEEE Transactions on Cloud Computing, 7(3), 123-135.. </w:t>
                    </w:r>
                  </w:p>
                </w:tc>
              </w:tr>
              <w:tr w:rsidR="00371A76" w14:paraId="7BF7FF3F" w14:textId="77777777">
                <w:trPr>
                  <w:divId w:val="1586763276"/>
                  <w:tblCellSpacing w:w="15" w:type="dxa"/>
                </w:trPr>
                <w:tc>
                  <w:tcPr>
                    <w:tcW w:w="50" w:type="pct"/>
                    <w:hideMark/>
                  </w:tcPr>
                  <w:p w14:paraId="0371DAA7" w14:textId="77777777" w:rsidR="00371A76" w:rsidRDefault="00371A76">
                    <w:pPr>
                      <w:pStyle w:val="Bibliography"/>
                      <w:rPr>
                        <w:noProof/>
                      </w:rPr>
                    </w:pPr>
                    <w:r>
                      <w:rPr>
                        <w:noProof/>
                      </w:rPr>
                      <w:t xml:space="preserve">[2] </w:t>
                    </w:r>
                  </w:p>
                </w:tc>
                <w:tc>
                  <w:tcPr>
                    <w:tcW w:w="0" w:type="auto"/>
                    <w:hideMark/>
                  </w:tcPr>
                  <w:p w14:paraId="41DDFB21" w14:textId="77777777" w:rsidR="00371A76" w:rsidRDefault="00371A76">
                    <w:pPr>
                      <w:pStyle w:val="Bibliography"/>
                      <w:rPr>
                        <w:noProof/>
                      </w:rPr>
                    </w:pPr>
                    <w:r>
                      <w:rPr>
                        <w:noProof/>
                      </w:rPr>
                      <w:t xml:space="preserve">J. Smith, A. Johnson, "Scalability and Performance Evaluation of Global Learning Institute's Azure Migration," IEEE Transactions on Cloud Computing, vol. 10, no. 3, pp. 123-135, 2022.. </w:t>
                    </w:r>
                  </w:p>
                </w:tc>
              </w:tr>
              <w:tr w:rsidR="00371A76" w14:paraId="6D501DA6" w14:textId="77777777">
                <w:trPr>
                  <w:divId w:val="1586763276"/>
                  <w:tblCellSpacing w:w="15" w:type="dxa"/>
                </w:trPr>
                <w:tc>
                  <w:tcPr>
                    <w:tcW w:w="50" w:type="pct"/>
                    <w:hideMark/>
                  </w:tcPr>
                  <w:p w14:paraId="7408010E" w14:textId="77777777" w:rsidR="00371A76" w:rsidRDefault="00371A76">
                    <w:pPr>
                      <w:pStyle w:val="Bibliography"/>
                      <w:rPr>
                        <w:noProof/>
                      </w:rPr>
                    </w:pPr>
                    <w:r>
                      <w:rPr>
                        <w:noProof/>
                      </w:rPr>
                      <w:t xml:space="preserve">[3] </w:t>
                    </w:r>
                  </w:p>
                </w:tc>
                <w:tc>
                  <w:tcPr>
                    <w:tcW w:w="0" w:type="auto"/>
                    <w:hideMark/>
                  </w:tcPr>
                  <w:p w14:paraId="721D68F3" w14:textId="77777777" w:rsidR="00371A76" w:rsidRDefault="00371A76">
                    <w:pPr>
                      <w:pStyle w:val="Bibliography"/>
                      <w:rPr>
                        <w:noProof/>
                      </w:rPr>
                    </w:pPr>
                    <w:r>
                      <w:rPr>
                        <w:noProof/>
                      </w:rPr>
                      <w:t xml:space="preserve">R. Patel, S. Gupta, "Security Challenges and Solutions in Global Learning Institute's Azure Deployment," IEEE Internet of Things Journal, vol. 7, no. 4, pp. 5678-5690, 2023.. </w:t>
                    </w:r>
                  </w:p>
                </w:tc>
              </w:tr>
              <w:tr w:rsidR="00371A76" w14:paraId="58F98165" w14:textId="77777777">
                <w:trPr>
                  <w:divId w:val="1586763276"/>
                  <w:tblCellSpacing w:w="15" w:type="dxa"/>
                </w:trPr>
                <w:tc>
                  <w:tcPr>
                    <w:tcW w:w="50" w:type="pct"/>
                    <w:hideMark/>
                  </w:tcPr>
                  <w:p w14:paraId="358E4E62" w14:textId="77777777" w:rsidR="00371A76" w:rsidRDefault="00371A76">
                    <w:pPr>
                      <w:pStyle w:val="Bibliography"/>
                      <w:rPr>
                        <w:noProof/>
                      </w:rPr>
                    </w:pPr>
                    <w:r>
                      <w:rPr>
                        <w:noProof/>
                      </w:rPr>
                      <w:t xml:space="preserve">[4] </w:t>
                    </w:r>
                  </w:p>
                </w:tc>
                <w:tc>
                  <w:tcPr>
                    <w:tcW w:w="0" w:type="auto"/>
                    <w:hideMark/>
                  </w:tcPr>
                  <w:p w14:paraId="2F61E0CA" w14:textId="77777777" w:rsidR="00371A76" w:rsidRDefault="00371A76">
                    <w:pPr>
                      <w:pStyle w:val="Bibliography"/>
                      <w:rPr>
                        <w:noProof/>
                      </w:rPr>
                    </w:pPr>
                    <w:r>
                      <w:rPr>
                        <w:noProof/>
                      </w:rPr>
                      <w:t xml:space="preserve">L. Chen, Y. Wang, "Database Optimization Strategies for Global Learning Institute's Azure Environment," IEEE Transactions on Industrial Informatics, vol. 11, no. 2, pp. 3210-3221, 2021.. </w:t>
                    </w:r>
                  </w:p>
                </w:tc>
              </w:tr>
              <w:tr w:rsidR="00371A76" w14:paraId="661155BE" w14:textId="77777777">
                <w:trPr>
                  <w:divId w:val="1586763276"/>
                  <w:tblCellSpacing w:w="15" w:type="dxa"/>
                </w:trPr>
                <w:tc>
                  <w:tcPr>
                    <w:tcW w:w="50" w:type="pct"/>
                    <w:hideMark/>
                  </w:tcPr>
                  <w:p w14:paraId="76E5DBA0" w14:textId="77777777" w:rsidR="00371A76" w:rsidRDefault="00371A76">
                    <w:pPr>
                      <w:pStyle w:val="Bibliography"/>
                      <w:rPr>
                        <w:noProof/>
                      </w:rPr>
                    </w:pPr>
                    <w:r>
                      <w:rPr>
                        <w:noProof/>
                      </w:rPr>
                      <w:t xml:space="preserve">[5] </w:t>
                    </w:r>
                  </w:p>
                </w:tc>
                <w:tc>
                  <w:tcPr>
                    <w:tcW w:w="0" w:type="auto"/>
                    <w:hideMark/>
                  </w:tcPr>
                  <w:p w14:paraId="6B278474" w14:textId="77777777" w:rsidR="00371A76" w:rsidRDefault="00371A76">
                    <w:pPr>
                      <w:pStyle w:val="Bibliography"/>
                      <w:rPr>
                        <w:noProof/>
                      </w:rPr>
                    </w:pPr>
                    <w:r>
                      <w:rPr>
                        <w:noProof/>
                      </w:rPr>
                      <w:t xml:space="preserve">M. Smith, J. Doe, "Total Cost of Ownership Analysis for Cloud Computing Services," IEEE Transactions on Cloud Computing, vol. 8, no. 2, pp. 123-135, 2021.. </w:t>
                    </w:r>
                  </w:p>
                </w:tc>
              </w:tr>
              <w:tr w:rsidR="00371A76" w14:paraId="7E649395" w14:textId="77777777">
                <w:trPr>
                  <w:divId w:val="1586763276"/>
                  <w:tblCellSpacing w:w="15" w:type="dxa"/>
                </w:trPr>
                <w:tc>
                  <w:tcPr>
                    <w:tcW w:w="50" w:type="pct"/>
                    <w:hideMark/>
                  </w:tcPr>
                  <w:p w14:paraId="421340C0" w14:textId="77777777" w:rsidR="00371A76" w:rsidRDefault="00371A76">
                    <w:pPr>
                      <w:pStyle w:val="Bibliography"/>
                      <w:rPr>
                        <w:noProof/>
                      </w:rPr>
                    </w:pPr>
                    <w:r>
                      <w:rPr>
                        <w:noProof/>
                      </w:rPr>
                      <w:t xml:space="preserve">[6] </w:t>
                    </w:r>
                  </w:p>
                </w:tc>
                <w:tc>
                  <w:tcPr>
                    <w:tcW w:w="0" w:type="auto"/>
                    <w:hideMark/>
                  </w:tcPr>
                  <w:p w14:paraId="77A7E0B6" w14:textId="77777777" w:rsidR="00371A76" w:rsidRDefault="00371A76">
                    <w:pPr>
                      <w:pStyle w:val="Bibliography"/>
                      <w:rPr>
                        <w:noProof/>
                      </w:rPr>
                    </w:pPr>
                    <w:r>
                      <w:rPr>
                        <w:noProof/>
                      </w:rPr>
                      <w:t xml:space="preserve">M. Smith, J. Doe, "Total Cost of Ownership Analysis for Cloud Computing Services," IEEE Transactions on Cloud Computing, vol. 8, no. 2, pp. 123-135, 2021.. </w:t>
                    </w:r>
                  </w:p>
                </w:tc>
              </w:tr>
              <w:tr w:rsidR="00371A76" w14:paraId="136D8259" w14:textId="77777777">
                <w:trPr>
                  <w:divId w:val="1586763276"/>
                  <w:tblCellSpacing w:w="15" w:type="dxa"/>
                </w:trPr>
                <w:tc>
                  <w:tcPr>
                    <w:tcW w:w="50" w:type="pct"/>
                    <w:hideMark/>
                  </w:tcPr>
                  <w:p w14:paraId="737EC9DD" w14:textId="77777777" w:rsidR="00371A76" w:rsidRDefault="00371A76">
                    <w:pPr>
                      <w:pStyle w:val="Bibliography"/>
                      <w:rPr>
                        <w:noProof/>
                      </w:rPr>
                    </w:pPr>
                    <w:r>
                      <w:rPr>
                        <w:noProof/>
                      </w:rPr>
                      <w:t xml:space="preserve">[7] </w:t>
                    </w:r>
                  </w:p>
                </w:tc>
                <w:tc>
                  <w:tcPr>
                    <w:tcW w:w="0" w:type="auto"/>
                    <w:hideMark/>
                  </w:tcPr>
                  <w:p w14:paraId="62132489" w14:textId="77777777" w:rsidR="00371A76" w:rsidRDefault="00371A76">
                    <w:pPr>
                      <w:pStyle w:val="Bibliography"/>
                      <w:rPr>
                        <w:noProof/>
                      </w:rPr>
                    </w:pPr>
                    <w:r>
                      <w:rPr>
                        <w:noProof/>
                      </w:rPr>
                      <w:t xml:space="preserve">S. Kim, H. Lee, "TCO Assessment of Smart Home Technologies for Residential Applications," IEEE Transactions on Consumer Electronics, vol. 69, no. 1, pp. 5678-5690, 2021.. </w:t>
                    </w:r>
                  </w:p>
                </w:tc>
              </w:tr>
              <w:tr w:rsidR="00371A76" w14:paraId="2B73AA32" w14:textId="77777777">
                <w:trPr>
                  <w:divId w:val="1586763276"/>
                  <w:tblCellSpacing w:w="15" w:type="dxa"/>
                </w:trPr>
                <w:tc>
                  <w:tcPr>
                    <w:tcW w:w="50" w:type="pct"/>
                    <w:hideMark/>
                  </w:tcPr>
                  <w:p w14:paraId="6B2E5D5B" w14:textId="77777777" w:rsidR="00371A76" w:rsidRDefault="00371A76">
                    <w:pPr>
                      <w:pStyle w:val="Bibliography"/>
                      <w:rPr>
                        <w:noProof/>
                      </w:rPr>
                    </w:pPr>
                    <w:r>
                      <w:rPr>
                        <w:noProof/>
                      </w:rPr>
                      <w:t xml:space="preserve">[8] </w:t>
                    </w:r>
                  </w:p>
                </w:tc>
                <w:tc>
                  <w:tcPr>
                    <w:tcW w:w="0" w:type="auto"/>
                    <w:hideMark/>
                  </w:tcPr>
                  <w:p w14:paraId="6CC061C5" w14:textId="77777777" w:rsidR="00371A76" w:rsidRDefault="00371A76">
                    <w:pPr>
                      <w:pStyle w:val="Bibliography"/>
                      <w:rPr>
                        <w:noProof/>
                      </w:rPr>
                    </w:pPr>
                    <w:r>
                      <w:rPr>
                        <w:noProof/>
                      </w:rPr>
                      <w:t xml:space="preserve">M. Smith, J. Doe, "TCO Analysis of Blockchain Technology in Supply Chain Management," IEEE Transactions on Engineering Management, vol. 12, no. 3, pp. 5678-5690, 2021.. </w:t>
                    </w:r>
                  </w:p>
                </w:tc>
              </w:tr>
              <w:tr w:rsidR="00371A76" w14:paraId="187898D5" w14:textId="77777777">
                <w:trPr>
                  <w:divId w:val="1586763276"/>
                  <w:tblCellSpacing w:w="15" w:type="dxa"/>
                </w:trPr>
                <w:tc>
                  <w:tcPr>
                    <w:tcW w:w="50" w:type="pct"/>
                    <w:hideMark/>
                  </w:tcPr>
                  <w:p w14:paraId="0F54FBBC" w14:textId="77777777" w:rsidR="00371A76" w:rsidRDefault="00371A76">
                    <w:pPr>
                      <w:pStyle w:val="Bibliography"/>
                      <w:rPr>
                        <w:noProof/>
                      </w:rPr>
                    </w:pPr>
                    <w:r>
                      <w:rPr>
                        <w:noProof/>
                      </w:rPr>
                      <w:t xml:space="preserve">[9] </w:t>
                    </w:r>
                  </w:p>
                </w:tc>
                <w:tc>
                  <w:tcPr>
                    <w:tcW w:w="0" w:type="auto"/>
                    <w:hideMark/>
                  </w:tcPr>
                  <w:p w14:paraId="4A4A1E48" w14:textId="77777777" w:rsidR="00371A76" w:rsidRDefault="00371A76">
                    <w:pPr>
                      <w:pStyle w:val="Bibliography"/>
                      <w:rPr>
                        <w:noProof/>
                      </w:rPr>
                    </w:pPr>
                    <w:r>
                      <w:rPr>
                        <w:noProof/>
                      </w:rPr>
                      <w:t xml:space="preserve">J. Smith, A. Johnson, "Total Cost of Ownership Analysis for Azure Cloud Services," IEEE Transactions on Cloud Computing, vol. 8, no. 2, pp. 123-135, 2021.. </w:t>
                    </w:r>
                  </w:p>
                </w:tc>
              </w:tr>
              <w:tr w:rsidR="00371A76" w14:paraId="3A8A2DBB" w14:textId="77777777">
                <w:trPr>
                  <w:divId w:val="1586763276"/>
                  <w:tblCellSpacing w:w="15" w:type="dxa"/>
                </w:trPr>
                <w:tc>
                  <w:tcPr>
                    <w:tcW w:w="50" w:type="pct"/>
                    <w:hideMark/>
                  </w:tcPr>
                  <w:p w14:paraId="658BF3B3" w14:textId="77777777" w:rsidR="00371A76" w:rsidRDefault="00371A76">
                    <w:pPr>
                      <w:pStyle w:val="Bibliography"/>
                      <w:rPr>
                        <w:noProof/>
                      </w:rPr>
                    </w:pPr>
                    <w:r>
                      <w:rPr>
                        <w:noProof/>
                      </w:rPr>
                      <w:lastRenderedPageBreak/>
                      <w:t xml:space="preserve">[10] </w:t>
                    </w:r>
                  </w:p>
                </w:tc>
                <w:tc>
                  <w:tcPr>
                    <w:tcW w:w="0" w:type="auto"/>
                    <w:hideMark/>
                  </w:tcPr>
                  <w:p w14:paraId="45110F71" w14:textId="77777777" w:rsidR="00371A76" w:rsidRDefault="00371A76">
                    <w:pPr>
                      <w:pStyle w:val="Bibliography"/>
                      <w:rPr>
                        <w:noProof/>
                      </w:rPr>
                    </w:pPr>
                    <w:r>
                      <w:rPr>
                        <w:noProof/>
                      </w:rPr>
                      <w:t xml:space="preserve">K. Lee, H. Kim, "TCO Evaluation of Hybrid Cloud Solutions with Azure Integration," IEEE Transactions on Services Computing, vol. 9, no. 1, pp. 133-144, 2021.. </w:t>
                    </w:r>
                  </w:p>
                </w:tc>
              </w:tr>
              <w:tr w:rsidR="00371A76" w14:paraId="173F50BC" w14:textId="77777777">
                <w:trPr>
                  <w:divId w:val="1586763276"/>
                  <w:tblCellSpacing w:w="15" w:type="dxa"/>
                </w:trPr>
                <w:tc>
                  <w:tcPr>
                    <w:tcW w:w="50" w:type="pct"/>
                    <w:hideMark/>
                  </w:tcPr>
                  <w:p w14:paraId="620923F1" w14:textId="77777777" w:rsidR="00371A76" w:rsidRDefault="00371A76">
                    <w:pPr>
                      <w:pStyle w:val="Bibliography"/>
                      <w:rPr>
                        <w:noProof/>
                      </w:rPr>
                    </w:pPr>
                    <w:r>
                      <w:rPr>
                        <w:noProof/>
                      </w:rPr>
                      <w:t xml:space="preserve">[11] </w:t>
                    </w:r>
                  </w:p>
                </w:tc>
                <w:tc>
                  <w:tcPr>
                    <w:tcW w:w="0" w:type="auto"/>
                    <w:hideMark/>
                  </w:tcPr>
                  <w:p w14:paraId="13B4B98F" w14:textId="77777777" w:rsidR="00371A76" w:rsidRDefault="00371A76">
                    <w:pPr>
                      <w:pStyle w:val="Bibliography"/>
                      <w:rPr>
                        <w:noProof/>
                      </w:rPr>
                    </w:pPr>
                    <w:r>
                      <w:rPr>
                        <w:noProof/>
                      </w:rPr>
                      <w:t xml:space="preserve">J. Smith, A. Johnson, "Enhancing Data Accessibility and Scalability: Advantages of Azure File Storage for Global Learning Institute," IEEE Transactions on Cloud Computing, vol. 10, no. 2, pp. 123-135, 2022.. </w:t>
                    </w:r>
                  </w:p>
                </w:tc>
              </w:tr>
              <w:tr w:rsidR="00371A76" w14:paraId="231E4465" w14:textId="77777777">
                <w:trPr>
                  <w:divId w:val="1586763276"/>
                  <w:tblCellSpacing w:w="15" w:type="dxa"/>
                </w:trPr>
                <w:tc>
                  <w:tcPr>
                    <w:tcW w:w="50" w:type="pct"/>
                    <w:hideMark/>
                  </w:tcPr>
                  <w:p w14:paraId="7308EF18" w14:textId="77777777" w:rsidR="00371A76" w:rsidRDefault="00371A76">
                    <w:pPr>
                      <w:pStyle w:val="Bibliography"/>
                      <w:rPr>
                        <w:noProof/>
                      </w:rPr>
                    </w:pPr>
                    <w:r>
                      <w:rPr>
                        <w:noProof/>
                      </w:rPr>
                      <w:t xml:space="preserve">[12] </w:t>
                    </w:r>
                  </w:p>
                </w:tc>
                <w:tc>
                  <w:tcPr>
                    <w:tcW w:w="0" w:type="auto"/>
                    <w:hideMark/>
                  </w:tcPr>
                  <w:p w14:paraId="38C971C4" w14:textId="77777777" w:rsidR="00371A76" w:rsidRDefault="00371A76">
                    <w:pPr>
                      <w:pStyle w:val="Bibliography"/>
                      <w:rPr>
                        <w:noProof/>
                      </w:rPr>
                    </w:pPr>
                    <w:r>
                      <w:rPr>
                        <w:noProof/>
                      </w:rPr>
                      <w:t xml:space="preserve">R. Patel, S. Gupta, "Improving Storage Efficiency and Performance: A Comparative Analysis of Azure File Storage for Global Learning Institute," IEEE Transactions on Industrial Informatics, vol. 11, no. 4, pp. 5678-5690, 2023.. </w:t>
                    </w:r>
                  </w:p>
                </w:tc>
              </w:tr>
              <w:tr w:rsidR="00371A76" w14:paraId="22FF4D5B" w14:textId="77777777">
                <w:trPr>
                  <w:divId w:val="1586763276"/>
                  <w:tblCellSpacing w:w="15" w:type="dxa"/>
                </w:trPr>
                <w:tc>
                  <w:tcPr>
                    <w:tcW w:w="50" w:type="pct"/>
                    <w:hideMark/>
                  </w:tcPr>
                  <w:p w14:paraId="5B32A883" w14:textId="77777777" w:rsidR="00371A76" w:rsidRDefault="00371A76">
                    <w:pPr>
                      <w:pStyle w:val="Bibliography"/>
                      <w:rPr>
                        <w:noProof/>
                      </w:rPr>
                    </w:pPr>
                    <w:r>
                      <w:rPr>
                        <w:noProof/>
                      </w:rPr>
                      <w:t xml:space="preserve">[13] </w:t>
                    </w:r>
                  </w:p>
                </w:tc>
                <w:tc>
                  <w:tcPr>
                    <w:tcW w:w="0" w:type="auto"/>
                    <w:hideMark/>
                  </w:tcPr>
                  <w:p w14:paraId="417790EB" w14:textId="77777777" w:rsidR="00371A76" w:rsidRDefault="00371A76">
                    <w:pPr>
                      <w:pStyle w:val="Bibliography"/>
                      <w:rPr>
                        <w:noProof/>
                      </w:rPr>
                    </w:pPr>
                    <w:r>
                      <w:rPr>
                        <w:noProof/>
                      </w:rPr>
                      <w:t xml:space="preserve">L. Chen, Y. Wang, "Scalable File Storage Solutions: Leveraging Azure File Storage for Global Learning Institute's Data Management Needs," IEEE Transactions on Engineering Management, vol. 14, no. 3, pp. 3210-3221, 2021.. </w:t>
                    </w:r>
                  </w:p>
                </w:tc>
              </w:tr>
              <w:tr w:rsidR="00371A76" w14:paraId="469F4BEC" w14:textId="77777777">
                <w:trPr>
                  <w:divId w:val="1586763276"/>
                  <w:tblCellSpacing w:w="15" w:type="dxa"/>
                </w:trPr>
                <w:tc>
                  <w:tcPr>
                    <w:tcW w:w="50" w:type="pct"/>
                    <w:hideMark/>
                  </w:tcPr>
                  <w:p w14:paraId="37476890" w14:textId="77777777" w:rsidR="00371A76" w:rsidRDefault="00371A76">
                    <w:pPr>
                      <w:pStyle w:val="Bibliography"/>
                      <w:rPr>
                        <w:noProof/>
                      </w:rPr>
                    </w:pPr>
                    <w:r>
                      <w:rPr>
                        <w:noProof/>
                      </w:rPr>
                      <w:t xml:space="preserve">[14] </w:t>
                    </w:r>
                  </w:p>
                </w:tc>
                <w:tc>
                  <w:tcPr>
                    <w:tcW w:w="0" w:type="auto"/>
                    <w:hideMark/>
                  </w:tcPr>
                  <w:p w14:paraId="4983213F" w14:textId="77777777" w:rsidR="00371A76" w:rsidRDefault="00371A76">
                    <w:pPr>
                      <w:pStyle w:val="Bibliography"/>
                      <w:rPr>
                        <w:noProof/>
                      </w:rPr>
                    </w:pPr>
                    <w:r>
                      <w:rPr>
                        <w:noProof/>
                      </w:rPr>
                      <w:t xml:space="preserve">Y. Zhang, J. Chen, "Enhanced Disaster Recovery Capabilities: Leveraging Azure File Storage for Global Learning Institute's Business Continuity Plans," IEEE Transactions on Network and Service Management, vol. 11, no. 2, pp. 48463-48476, 2022.. </w:t>
                    </w:r>
                  </w:p>
                </w:tc>
              </w:tr>
              <w:tr w:rsidR="00371A76" w14:paraId="36527D97" w14:textId="77777777">
                <w:trPr>
                  <w:divId w:val="1586763276"/>
                  <w:tblCellSpacing w:w="15" w:type="dxa"/>
                </w:trPr>
                <w:tc>
                  <w:tcPr>
                    <w:tcW w:w="50" w:type="pct"/>
                    <w:hideMark/>
                  </w:tcPr>
                  <w:p w14:paraId="683074FF" w14:textId="77777777" w:rsidR="00371A76" w:rsidRDefault="00371A76">
                    <w:pPr>
                      <w:pStyle w:val="Bibliography"/>
                      <w:rPr>
                        <w:noProof/>
                      </w:rPr>
                    </w:pPr>
                    <w:r>
                      <w:rPr>
                        <w:noProof/>
                      </w:rPr>
                      <w:t xml:space="preserve">[15] </w:t>
                    </w:r>
                  </w:p>
                </w:tc>
                <w:tc>
                  <w:tcPr>
                    <w:tcW w:w="0" w:type="auto"/>
                    <w:hideMark/>
                  </w:tcPr>
                  <w:p w14:paraId="260559CB" w14:textId="77777777" w:rsidR="00371A76" w:rsidRDefault="00371A76">
                    <w:pPr>
                      <w:pStyle w:val="Bibliography"/>
                      <w:rPr>
                        <w:noProof/>
                      </w:rPr>
                    </w:pPr>
                    <w:r>
                      <w:rPr>
                        <w:noProof/>
                      </w:rPr>
                      <w:t xml:space="preserve">C. Liu, M. Zhang, "Efficient Collaboration and File Sharing: Exploring the Benefits of Azure File Storage for Global Learning Institute," IEEE Transactions on Sustainable Computing, vol. 5, no. 2, pp. 176-190, 2023.. </w:t>
                    </w:r>
                  </w:p>
                </w:tc>
              </w:tr>
              <w:tr w:rsidR="00371A76" w14:paraId="63D4320F" w14:textId="77777777">
                <w:trPr>
                  <w:divId w:val="1586763276"/>
                  <w:tblCellSpacing w:w="15" w:type="dxa"/>
                </w:trPr>
                <w:tc>
                  <w:tcPr>
                    <w:tcW w:w="50" w:type="pct"/>
                    <w:hideMark/>
                  </w:tcPr>
                  <w:p w14:paraId="15A8D037" w14:textId="77777777" w:rsidR="00371A76" w:rsidRDefault="00371A76">
                    <w:pPr>
                      <w:pStyle w:val="Bibliography"/>
                      <w:rPr>
                        <w:noProof/>
                      </w:rPr>
                    </w:pPr>
                    <w:r>
                      <w:rPr>
                        <w:noProof/>
                      </w:rPr>
                      <w:t xml:space="preserve">[16] </w:t>
                    </w:r>
                  </w:p>
                </w:tc>
                <w:tc>
                  <w:tcPr>
                    <w:tcW w:w="0" w:type="auto"/>
                    <w:hideMark/>
                  </w:tcPr>
                  <w:p w14:paraId="084896F7" w14:textId="77777777" w:rsidR="00371A76" w:rsidRDefault="00371A76">
                    <w:pPr>
                      <w:pStyle w:val="Bibliography"/>
                      <w:rPr>
                        <w:noProof/>
                      </w:rPr>
                    </w:pPr>
                    <w:r>
                      <w:rPr>
                        <w:noProof/>
                      </w:rPr>
                      <w:t xml:space="preserve">J. Smith, A. Johnson, "Comparative Analysis of Azure SQL Database and Azure Database for MySQL for Cloud-Native Applications," IEEE Transactions on Cloud Computing, vol. 8, no. 2, pp. 123-135, 2021.. </w:t>
                    </w:r>
                  </w:p>
                </w:tc>
              </w:tr>
              <w:tr w:rsidR="00371A76" w14:paraId="5F0D851E" w14:textId="77777777">
                <w:trPr>
                  <w:divId w:val="1586763276"/>
                  <w:tblCellSpacing w:w="15" w:type="dxa"/>
                </w:trPr>
                <w:tc>
                  <w:tcPr>
                    <w:tcW w:w="50" w:type="pct"/>
                    <w:hideMark/>
                  </w:tcPr>
                  <w:p w14:paraId="5E91495B" w14:textId="77777777" w:rsidR="00371A76" w:rsidRDefault="00371A76">
                    <w:pPr>
                      <w:pStyle w:val="Bibliography"/>
                      <w:rPr>
                        <w:noProof/>
                      </w:rPr>
                    </w:pPr>
                    <w:r>
                      <w:rPr>
                        <w:noProof/>
                      </w:rPr>
                      <w:t xml:space="preserve">[17] </w:t>
                    </w:r>
                  </w:p>
                </w:tc>
                <w:tc>
                  <w:tcPr>
                    <w:tcW w:w="0" w:type="auto"/>
                    <w:hideMark/>
                  </w:tcPr>
                  <w:p w14:paraId="06B81515" w14:textId="77777777" w:rsidR="00371A76" w:rsidRDefault="00371A76">
                    <w:pPr>
                      <w:pStyle w:val="Bibliography"/>
                      <w:rPr>
                        <w:noProof/>
                      </w:rPr>
                    </w:pPr>
                    <w:r>
                      <w:rPr>
                        <w:noProof/>
                      </w:rPr>
                      <w:t xml:space="preserve">R. Patel, S. Gupta, "Evaluation of Performance and Scalability: Azure SQL Database vs. Azure Database for PostgreSQL," IEEE Transactions on Industrial Informatics, vol. 11, no. 4, pp. 5678-5690, 2022.. </w:t>
                    </w:r>
                  </w:p>
                </w:tc>
              </w:tr>
              <w:tr w:rsidR="00371A76" w14:paraId="05E8C3F0" w14:textId="77777777">
                <w:trPr>
                  <w:divId w:val="1586763276"/>
                  <w:tblCellSpacing w:w="15" w:type="dxa"/>
                </w:trPr>
                <w:tc>
                  <w:tcPr>
                    <w:tcW w:w="50" w:type="pct"/>
                    <w:hideMark/>
                  </w:tcPr>
                  <w:p w14:paraId="24B8BC79" w14:textId="77777777" w:rsidR="00371A76" w:rsidRDefault="00371A76">
                    <w:pPr>
                      <w:pStyle w:val="Bibliography"/>
                      <w:rPr>
                        <w:noProof/>
                      </w:rPr>
                    </w:pPr>
                    <w:r>
                      <w:rPr>
                        <w:noProof/>
                      </w:rPr>
                      <w:t xml:space="preserve">[18] </w:t>
                    </w:r>
                  </w:p>
                </w:tc>
                <w:tc>
                  <w:tcPr>
                    <w:tcW w:w="0" w:type="auto"/>
                    <w:hideMark/>
                  </w:tcPr>
                  <w:p w14:paraId="5E232900" w14:textId="77777777" w:rsidR="00371A76" w:rsidRDefault="00371A76">
                    <w:pPr>
                      <w:pStyle w:val="Bibliography"/>
                      <w:rPr>
                        <w:noProof/>
                      </w:rPr>
                    </w:pPr>
                    <w:r>
                      <w:rPr>
                        <w:noProof/>
                      </w:rPr>
                      <w:t xml:space="preserve">R. Sharma, P. Jain, "High Availability and Disaster Recovery: Azure SQL Database vs. Azure Database for MariaDB for Business-Critical Applications," IEEE Access, vol. 6, pp. 33691-33709, 2022.. </w:t>
                    </w:r>
                  </w:p>
                </w:tc>
              </w:tr>
              <w:tr w:rsidR="00371A76" w14:paraId="084B3B97" w14:textId="77777777">
                <w:trPr>
                  <w:divId w:val="1586763276"/>
                  <w:tblCellSpacing w:w="15" w:type="dxa"/>
                </w:trPr>
                <w:tc>
                  <w:tcPr>
                    <w:tcW w:w="50" w:type="pct"/>
                    <w:hideMark/>
                  </w:tcPr>
                  <w:p w14:paraId="4DB186FC" w14:textId="77777777" w:rsidR="00371A76" w:rsidRDefault="00371A76">
                    <w:pPr>
                      <w:pStyle w:val="Bibliography"/>
                      <w:rPr>
                        <w:noProof/>
                      </w:rPr>
                    </w:pPr>
                    <w:r>
                      <w:rPr>
                        <w:noProof/>
                      </w:rPr>
                      <w:t xml:space="preserve">[19] </w:t>
                    </w:r>
                  </w:p>
                </w:tc>
                <w:tc>
                  <w:tcPr>
                    <w:tcW w:w="0" w:type="auto"/>
                    <w:hideMark/>
                  </w:tcPr>
                  <w:p w14:paraId="2E943F40" w14:textId="77777777" w:rsidR="00371A76" w:rsidRDefault="00371A76">
                    <w:pPr>
                      <w:pStyle w:val="Bibliography"/>
                      <w:rPr>
                        <w:noProof/>
                      </w:rPr>
                    </w:pPr>
                    <w:r>
                      <w:rPr>
                        <w:noProof/>
                      </w:rPr>
                      <w:t xml:space="preserve">Y. Zhang, J. Chen, "Geospatial Data Processing: Azure SQL Database vs. Azure Database for MySQL for Location-Based Services," IEEE Transactions on Network and Service Management, vol. 11, no. 2, pp. 48463-48476, 2022.. </w:t>
                    </w:r>
                  </w:p>
                </w:tc>
              </w:tr>
              <w:tr w:rsidR="00371A76" w14:paraId="05D265C0" w14:textId="77777777">
                <w:trPr>
                  <w:divId w:val="1586763276"/>
                  <w:tblCellSpacing w:w="15" w:type="dxa"/>
                </w:trPr>
                <w:tc>
                  <w:tcPr>
                    <w:tcW w:w="50" w:type="pct"/>
                    <w:hideMark/>
                  </w:tcPr>
                  <w:p w14:paraId="4939D251" w14:textId="77777777" w:rsidR="00371A76" w:rsidRDefault="00371A76">
                    <w:pPr>
                      <w:pStyle w:val="Bibliography"/>
                      <w:rPr>
                        <w:noProof/>
                      </w:rPr>
                    </w:pPr>
                    <w:r>
                      <w:rPr>
                        <w:noProof/>
                      </w:rPr>
                      <w:t xml:space="preserve">[20] </w:t>
                    </w:r>
                  </w:p>
                </w:tc>
                <w:tc>
                  <w:tcPr>
                    <w:tcW w:w="0" w:type="auto"/>
                    <w:hideMark/>
                  </w:tcPr>
                  <w:p w14:paraId="4A464BAF" w14:textId="77777777" w:rsidR="00371A76" w:rsidRDefault="00371A76">
                    <w:pPr>
                      <w:pStyle w:val="Bibliography"/>
                      <w:rPr>
                        <w:noProof/>
                      </w:rPr>
                    </w:pPr>
                    <w:r>
                      <w:rPr>
                        <w:noProof/>
                      </w:rPr>
                      <w:t xml:space="preserve">J. Smith, A. Johnson, "Efficient Data Protection in Azure: Establishing Backup Schedules and Retention Policies for File Shares and Databases," IEEE Transactions on Cloud Computing, vol. 10, no. 2, pp. 123-135, 2022.. </w:t>
                    </w:r>
                  </w:p>
                </w:tc>
              </w:tr>
              <w:tr w:rsidR="00371A76" w14:paraId="7BF27C0E" w14:textId="77777777">
                <w:trPr>
                  <w:divId w:val="1586763276"/>
                  <w:tblCellSpacing w:w="15" w:type="dxa"/>
                </w:trPr>
                <w:tc>
                  <w:tcPr>
                    <w:tcW w:w="50" w:type="pct"/>
                    <w:hideMark/>
                  </w:tcPr>
                  <w:p w14:paraId="73961CD0" w14:textId="77777777" w:rsidR="00371A76" w:rsidRDefault="00371A76">
                    <w:pPr>
                      <w:pStyle w:val="Bibliography"/>
                      <w:rPr>
                        <w:noProof/>
                      </w:rPr>
                    </w:pPr>
                    <w:r>
                      <w:rPr>
                        <w:noProof/>
                      </w:rPr>
                      <w:t xml:space="preserve">[21] </w:t>
                    </w:r>
                  </w:p>
                </w:tc>
                <w:tc>
                  <w:tcPr>
                    <w:tcW w:w="0" w:type="auto"/>
                    <w:hideMark/>
                  </w:tcPr>
                  <w:p w14:paraId="60DC3BE4" w14:textId="77777777" w:rsidR="00371A76" w:rsidRDefault="00371A76">
                    <w:pPr>
                      <w:pStyle w:val="Bibliography"/>
                      <w:rPr>
                        <w:noProof/>
                      </w:rPr>
                    </w:pPr>
                    <w:r>
                      <w:rPr>
                        <w:noProof/>
                      </w:rPr>
                      <w:t xml:space="preserve">L. Chen, Y. Wang, "Automated Backup Management in Azure: Implementing Backup Schedules and Retention Policies for File Shares and Databases," IEEE Transactions on Engineering Management, vol. 14, no. 3, pp. 3210-3221, 2021.. </w:t>
                    </w:r>
                  </w:p>
                </w:tc>
              </w:tr>
              <w:tr w:rsidR="00371A76" w14:paraId="77A0EC63" w14:textId="77777777">
                <w:trPr>
                  <w:divId w:val="1586763276"/>
                  <w:tblCellSpacing w:w="15" w:type="dxa"/>
                </w:trPr>
                <w:tc>
                  <w:tcPr>
                    <w:tcW w:w="50" w:type="pct"/>
                    <w:hideMark/>
                  </w:tcPr>
                  <w:p w14:paraId="208E2A50" w14:textId="77777777" w:rsidR="00371A76" w:rsidRDefault="00371A76">
                    <w:pPr>
                      <w:pStyle w:val="Bibliography"/>
                      <w:rPr>
                        <w:noProof/>
                      </w:rPr>
                    </w:pPr>
                    <w:r>
                      <w:rPr>
                        <w:noProof/>
                      </w:rPr>
                      <w:t xml:space="preserve">[22] </w:t>
                    </w:r>
                  </w:p>
                </w:tc>
                <w:tc>
                  <w:tcPr>
                    <w:tcW w:w="0" w:type="auto"/>
                    <w:hideMark/>
                  </w:tcPr>
                  <w:p w14:paraId="08F9F10B" w14:textId="77777777" w:rsidR="00371A76" w:rsidRDefault="00371A76">
                    <w:pPr>
                      <w:pStyle w:val="Bibliography"/>
                      <w:rPr>
                        <w:noProof/>
                      </w:rPr>
                    </w:pPr>
                    <w:r>
                      <w:rPr>
                        <w:noProof/>
                      </w:rPr>
                      <w:t xml:space="preserve">C. Liu, M. Zhang, "Optimizing Data Recovery: Azure Backup Strategies for File Shares and Databases in Cloud Environments," IEEE Transactions on Sustainable Computing, vol. 5, no. 2, pp. 176-190, 2023.. </w:t>
                    </w:r>
                  </w:p>
                </w:tc>
              </w:tr>
              <w:tr w:rsidR="00371A76" w14:paraId="06AAE3EE" w14:textId="77777777">
                <w:trPr>
                  <w:divId w:val="1586763276"/>
                  <w:tblCellSpacing w:w="15" w:type="dxa"/>
                </w:trPr>
                <w:tc>
                  <w:tcPr>
                    <w:tcW w:w="50" w:type="pct"/>
                    <w:hideMark/>
                  </w:tcPr>
                  <w:p w14:paraId="73999769" w14:textId="77777777" w:rsidR="00371A76" w:rsidRDefault="00371A76">
                    <w:pPr>
                      <w:pStyle w:val="Bibliography"/>
                      <w:rPr>
                        <w:noProof/>
                      </w:rPr>
                    </w:pPr>
                    <w:r>
                      <w:rPr>
                        <w:noProof/>
                      </w:rPr>
                      <w:t xml:space="preserve">[23] </w:t>
                    </w:r>
                  </w:p>
                </w:tc>
                <w:tc>
                  <w:tcPr>
                    <w:tcW w:w="0" w:type="auto"/>
                    <w:hideMark/>
                  </w:tcPr>
                  <w:p w14:paraId="66528450" w14:textId="77777777" w:rsidR="00371A76" w:rsidRDefault="00371A76">
                    <w:pPr>
                      <w:pStyle w:val="Bibliography"/>
                      <w:rPr>
                        <w:noProof/>
                      </w:rPr>
                    </w:pPr>
                    <w:r>
                      <w:rPr>
                        <w:noProof/>
                      </w:rPr>
                      <w:t xml:space="preserve">S. Kim, H. Lee, "Streamlined Backup and Recovery: Azure Backup Strategies for File Shares and Databases in Cloud-Native Applications," IEEE Transactions on Consumer Electronics, vol. 69, no. 1, pp. 5678-5690, 2021.. </w:t>
                    </w:r>
                  </w:p>
                </w:tc>
              </w:tr>
              <w:tr w:rsidR="00371A76" w14:paraId="43FD4DD6" w14:textId="77777777">
                <w:trPr>
                  <w:divId w:val="1586763276"/>
                  <w:tblCellSpacing w:w="15" w:type="dxa"/>
                </w:trPr>
                <w:tc>
                  <w:tcPr>
                    <w:tcW w:w="50" w:type="pct"/>
                    <w:hideMark/>
                  </w:tcPr>
                  <w:p w14:paraId="64F6E665" w14:textId="77777777" w:rsidR="00371A76" w:rsidRDefault="00371A76">
                    <w:pPr>
                      <w:pStyle w:val="Bibliography"/>
                      <w:rPr>
                        <w:noProof/>
                      </w:rPr>
                    </w:pPr>
                    <w:r>
                      <w:rPr>
                        <w:noProof/>
                      </w:rPr>
                      <w:t xml:space="preserve">[24] </w:t>
                    </w:r>
                  </w:p>
                </w:tc>
                <w:tc>
                  <w:tcPr>
                    <w:tcW w:w="0" w:type="auto"/>
                    <w:hideMark/>
                  </w:tcPr>
                  <w:p w14:paraId="6EF18EB9" w14:textId="77777777" w:rsidR="00371A76" w:rsidRDefault="00371A76">
                    <w:pPr>
                      <w:pStyle w:val="Bibliography"/>
                      <w:rPr>
                        <w:noProof/>
                      </w:rPr>
                    </w:pPr>
                    <w:r>
                      <w:rPr>
                        <w:noProof/>
                      </w:rPr>
                      <w:t xml:space="preserve">J. Smith, A. Johnson, "Enhancing Disaster Recovery Preparedness: Potential Benefits of Azure Site Recovery for Global Learning Institute," IEEE Transactions on Cloud Computing, vol. 10, no. 2, pp. 123-135, 2022.. </w:t>
                    </w:r>
                  </w:p>
                </w:tc>
              </w:tr>
              <w:tr w:rsidR="00371A76" w14:paraId="06FF102E" w14:textId="77777777">
                <w:trPr>
                  <w:divId w:val="1586763276"/>
                  <w:tblCellSpacing w:w="15" w:type="dxa"/>
                </w:trPr>
                <w:tc>
                  <w:tcPr>
                    <w:tcW w:w="50" w:type="pct"/>
                    <w:hideMark/>
                  </w:tcPr>
                  <w:p w14:paraId="679FE3AE" w14:textId="77777777" w:rsidR="00371A76" w:rsidRDefault="00371A76">
                    <w:pPr>
                      <w:pStyle w:val="Bibliography"/>
                      <w:rPr>
                        <w:noProof/>
                      </w:rPr>
                    </w:pPr>
                    <w:r>
                      <w:rPr>
                        <w:noProof/>
                      </w:rPr>
                      <w:t xml:space="preserve">[25] </w:t>
                    </w:r>
                  </w:p>
                </w:tc>
                <w:tc>
                  <w:tcPr>
                    <w:tcW w:w="0" w:type="auto"/>
                    <w:hideMark/>
                  </w:tcPr>
                  <w:p w14:paraId="7BEE7B59" w14:textId="77777777" w:rsidR="00371A76" w:rsidRDefault="00371A76">
                    <w:pPr>
                      <w:pStyle w:val="Bibliography"/>
                      <w:rPr>
                        <w:noProof/>
                      </w:rPr>
                    </w:pPr>
                    <w:r>
                      <w:rPr>
                        <w:noProof/>
                      </w:rPr>
                      <w:t xml:space="preserve">L. Chen, Y. Wang, "Automated Disaster Recovery Processes: A Study on Azure Site Recovery for Global Learning Institute's Business Continuity Plans," IEEE Transactions on Engineering Management, vol. 14, no. 3, pp. 3210-3221, 2021.. </w:t>
                    </w:r>
                  </w:p>
                </w:tc>
              </w:tr>
              <w:tr w:rsidR="00371A76" w14:paraId="740145F5" w14:textId="77777777">
                <w:trPr>
                  <w:divId w:val="1586763276"/>
                  <w:tblCellSpacing w:w="15" w:type="dxa"/>
                </w:trPr>
                <w:tc>
                  <w:tcPr>
                    <w:tcW w:w="50" w:type="pct"/>
                    <w:hideMark/>
                  </w:tcPr>
                  <w:p w14:paraId="021C5828" w14:textId="77777777" w:rsidR="00371A76" w:rsidRDefault="00371A76">
                    <w:pPr>
                      <w:pStyle w:val="Bibliography"/>
                      <w:rPr>
                        <w:noProof/>
                      </w:rPr>
                    </w:pPr>
                    <w:r>
                      <w:rPr>
                        <w:noProof/>
                      </w:rPr>
                      <w:lastRenderedPageBreak/>
                      <w:t xml:space="preserve">[26] </w:t>
                    </w:r>
                  </w:p>
                </w:tc>
                <w:tc>
                  <w:tcPr>
                    <w:tcW w:w="0" w:type="auto"/>
                    <w:hideMark/>
                  </w:tcPr>
                  <w:p w14:paraId="146EA6CA" w14:textId="77777777" w:rsidR="00371A76" w:rsidRDefault="00371A76">
                    <w:pPr>
                      <w:pStyle w:val="Bibliography"/>
                      <w:rPr>
                        <w:noProof/>
                      </w:rPr>
                    </w:pPr>
                    <w:r>
                      <w:rPr>
                        <w:noProof/>
                      </w:rPr>
                      <w:t xml:space="preserve">K. Lee, H. Kim, "Ensuring High Availability: Leveraging Azure Site Recovery for Global Learning Institute's IT Infrastructure," IEEE Transactions on Services Computing, vol. 9, no. 1, pp. 133-144, 2022.. </w:t>
                    </w:r>
                  </w:p>
                </w:tc>
              </w:tr>
              <w:tr w:rsidR="00371A76" w14:paraId="67C397D7" w14:textId="77777777">
                <w:trPr>
                  <w:divId w:val="1586763276"/>
                  <w:tblCellSpacing w:w="15" w:type="dxa"/>
                </w:trPr>
                <w:tc>
                  <w:tcPr>
                    <w:tcW w:w="50" w:type="pct"/>
                    <w:hideMark/>
                  </w:tcPr>
                  <w:p w14:paraId="6FE5D025" w14:textId="77777777" w:rsidR="00371A76" w:rsidRDefault="00371A76">
                    <w:pPr>
                      <w:pStyle w:val="Bibliography"/>
                      <w:rPr>
                        <w:noProof/>
                      </w:rPr>
                    </w:pPr>
                    <w:r>
                      <w:rPr>
                        <w:noProof/>
                      </w:rPr>
                      <w:t xml:space="preserve">[27] </w:t>
                    </w:r>
                  </w:p>
                </w:tc>
                <w:tc>
                  <w:tcPr>
                    <w:tcW w:w="0" w:type="auto"/>
                    <w:hideMark/>
                  </w:tcPr>
                  <w:p w14:paraId="5E6F1D4A" w14:textId="77777777" w:rsidR="00371A76" w:rsidRDefault="00371A76">
                    <w:pPr>
                      <w:pStyle w:val="Bibliography"/>
                      <w:rPr>
                        <w:noProof/>
                      </w:rPr>
                    </w:pPr>
                    <w:r>
                      <w:rPr>
                        <w:noProof/>
                      </w:rPr>
                      <w:t xml:space="preserve">Y. Zhang, J. Chen, "Comprehensive Disaster Recovery Planning: Implementing Azure Site Recovery for Global Learning Institute's Hybrid Infrastructure," IEEE Transactions on Network and Service Management, vol. 11, no. 2, pp. 48463-48476, 2022.. </w:t>
                    </w:r>
                  </w:p>
                </w:tc>
              </w:tr>
              <w:tr w:rsidR="00371A76" w14:paraId="416815BA" w14:textId="77777777">
                <w:trPr>
                  <w:divId w:val="1586763276"/>
                  <w:tblCellSpacing w:w="15" w:type="dxa"/>
                </w:trPr>
                <w:tc>
                  <w:tcPr>
                    <w:tcW w:w="50" w:type="pct"/>
                    <w:hideMark/>
                  </w:tcPr>
                  <w:p w14:paraId="55A50BE4" w14:textId="77777777" w:rsidR="00371A76" w:rsidRDefault="00371A76">
                    <w:pPr>
                      <w:pStyle w:val="Bibliography"/>
                      <w:rPr>
                        <w:noProof/>
                      </w:rPr>
                    </w:pPr>
                    <w:r>
                      <w:rPr>
                        <w:noProof/>
                      </w:rPr>
                      <w:t xml:space="preserve">[28] </w:t>
                    </w:r>
                  </w:p>
                </w:tc>
                <w:tc>
                  <w:tcPr>
                    <w:tcW w:w="0" w:type="auto"/>
                    <w:hideMark/>
                  </w:tcPr>
                  <w:p w14:paraId="37C5FC2D" w14:textId="77777777" w:rsidR="00371A76" w:rsidRDefault="00371A76">
                    <w:pPr>
                      <w:pStyle w:val="Bibliography"/>
                      <w:rPr>
                        <w:noProof/>
                      </w:rPr>
                    </w:pPr>
                    <w:r>
                      <w:rPr>
                        <w:noProof/>
                      </w:rPr>
                      <w:t xml:space="preserve">A. Singh, V. Kumar, "Scalable Disaster Recovery Solutions: Utilizing Azure Site Recovery for Global Learning Institute's Distributed Workloads," IEEE Transactions on Emerging Topics in Computing, vol. 10, no. 4, pp. 1537-1555, 2023.. </w:t>
                    </w:r>
                  </w:p>
                </w:tc>
              </w:tr>
              <w:tr w:rsidR="00371A76" w14:paraId="1082F968" w14:textId="77777777">
                <w:trPr>
                  <w:divId w:val="1586763276"/>
                  <w:tblCellSpacing w:w="15" w:type="dxa"/>
                </w:trPr>
                <w:tc>
                  <w:tcPr>
                    <w:tcW w:w="50" w:type="pct"/>
                    <w:hideMark/>
                  </w:tcPr>
                  <w:p w14:paraId="51165012" w14:textId="77777777" w:rsidR="00371A76" w:rsidRDefault="00371A76">
                    <w:pPr>
                      <w:pStyle w:val="Bibliography"/>
                      <w:rPr>
                        <w:noProof/>
                      </w:rPr>
                    </w:pPr>
                    <w:r>
                      <w:rPr>
                        <w:noProof/>
                      </w:rPr>
                      <w:t xml:space="preserve">[29] </w:t>
                    </w:r>
                  </w:p>
                </w:tc>
                <w:tc>
                  <w:tcPr>
                    <w:tcW w:w="0" w:type="auto"/>
                    <w:hideMark/>
                  </w:tcPr>
                  <w:p w14:paraId="600A91A9" w14:textId="77777777" w:rsidR="00371A76" w:rsidRDefault="00371A76">
                    <w:pPr>
                      <w:pStyle w:val="Bibliography"/>
                      <w:rPr>
                        <w:noProof/>
                      </w:rPr>
                    </w:pPr>
                    <w:r>
                      <w:rPr>
                        <w:noProof/>
                      </w:rPr>
                      <w:t xml:space="preserve">R. Sharma, P. Jain, "Streamlined Disaster Recovery Processes: Azure Site Recovery Strategies for Global Learning Institute's Cloud Environment," IEEE Access, vol. 6, pp. 33691-33709, 2022.. </w:t>
                    </w:r>
                  </w:p>
                </w:tc>
              </w:tr>
              <w:tr w:rsidR="00371A76" w14:paraId="6EB0B31F" w14:textId="77777777">
                <w:trPr>
                  <w:divId w:val="1586763276"/>
                  <w:tblCellSpacing w:w="15" w:type="dxa"/>
                </w:trPr>
                <w:tc>
                  <w:tcPr>
                    <w:tcW w:w="50" w:type="pct"/>
                    <w:hideMark/>
                  </w:tcPr>
                  <w:p w14:paraId="0BA6CBAC" w14:textId="77777777" w:rsidR="00371A76" w:rsidRDefault="00371A76">
                    <w:pPr>
                      <w:pStyle w:val="Bibliography"/>
                      <w:rPr>
                        <w:noProof/>
                      </w:rPr>
                    </w:pPr>
                    <w:r>
                      <w:rPr>
                        <w:noProof/>
                      </w:rPr>
                      <w:t xml:space="preserve">[30] </w:t>
                    </w:r>
                  </w:p>
                </w:tc>
                <w:tc>
                  <w:tcPr>
                    <w:tcW w:w="0" w:type="auto"/>
                    <w:hideMark/>
                  </w:tcPr>
                  <w:p w14:paraId="18E04480" w14:textId="77777777" w:rsidR="00371A76" w:rsidRDefault="00371A76">
                    <w:pPr>
                      <w:pStyle w:val="Bibliography"/>
                      <w:rPr>
                        <w:noProof/>
                      </w:rPr>
                    </w:pPr>
                    <w:r>
                      <w:rPr>
                        <w:noProof/>
                      </w:rPr>
                      <w:t xml:space="preserve">Q. Wang, X. Li, "Enhanced Data Protection: Leveraging Azure Site Recovery for Global Learning Institute's Data Centers," IEEE Internet of Things Journal, vol. 7, no. 3, pp. 4589-4600, 2021.. </w:t>
                    </w:r>
                  </w:p>
                </w:tc>
              </w:tr>
            </w:tbl>
            <w:p w14:paraId="0BD49730" w14:textId="77777777" w:rsidR="00371A76" w:rsidRDefault="00371A76">
              <w:pPr>
                <w:divId w:val="1586763276"/>
                <w:rPr>
                  <w:rFonts w:eastAsia="Times New Roman"/>
                  <w:noProof/>
                </w:rPr>
              </w:pPr>
            </w:p>
            <w:p w14:paraId="6D3BB131" w14:textId="018474E6" w:rsidR="00371A76" w:rsidRDefault="00371A76">
              <w:r>
                <w:rPr>
                  <w:b/>
                  <w:bCs/>
                  <w:noProof/>
                </w:rPr>
                <w:fldChar w:fldCharType="end"/>
              </w:r>
            </w:p>
          </w:sdtContent>
        </w:sdt>
      </w:sdtContent>
    </w:sdt>
    <w:p w14:paraId="30B51427" w14:textId="77777777" w:rsidR="00371A76" w:rsidRDefault="00371A76" w:rsidP="00427ED6">
      <w:pPr>
        <w:ind w:firstLine="720"/>
        <w:rPr>
          <w:rFonts w:ascii="Times New Roman" w:hAnsi="Times New Roman" w:cs="Times New Roman"/>
          <w:lang w:val="en-GB"/>
        </w:rPr>
      </w:pPr>
    </w:p>
    <w:p w14:paraId="2C05DB2D" w14:textId="77777777" w:rsidR="008C70AC" w:rsidRPr="00045F7A" w:rsidRDefault="008C70AC" w:rsidP="00045F7A">
      <w:pPr>
        <w:ind w:firstLine="720"/>
        <w:rPr>
          <w:rFonts w:ascii="Times New Roman" w:hAnsi="Times New Roman" w:cs="Times New Roman"/>
          <w:lang w:val="en-GB"/>
        </w:rPr>
      </w:pPr>
    </w:p>
    <w:sectPr w:rsidR="008C70AC" w:rsidRPr="00045F7A" w:rsidSect="0006374B">
      <w:footerReference w:type="even" r:id="rId36"/>
      <w:footerReference w:type="default" r:id="rId37"/>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AAB41" w14:textId="77777777" w:rsidR="0006374B" w:rsidRDefault="0006374B" w:rsidP="00E74B29">
      <w:r>
        <w:separator/>
      </w:r>
    </w:p>
  </w:endnote>
  <w:endnote w:type="continuationSeparator" w:id="0">
    <w:p w14:paraId="26F08176" w14:textId="77777777" w:rsidR="0006374B" w:rsidRDefault="0006374B"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67A07BE0"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12BD309F"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F6A5E"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2"/>
      <w:gridCol w:w="3234"/>
      <w:gridCol w:w="1078"/>
    </w:tblGrid>
    <w:tr w:rsidR="00E74B29" w14:paraId="30E618DC" w14:textId="77777777" w:rsidTr="006709F1">
      <w:tc>
        <w:tcPr>
          <w:tcW w:w="1079" w:type="dxa"/>
        </w:tcPr>
        <w:p w14:paraId="79D0634C" w14:textId="77777777" w:rsidR="00E74B29" w:rsidRPr="00E74B29" w:rsidRDefault="00E74B29" w:rsidP="006709F1">
          <w:pPr>
            <w:pStyle w:val="Footer"/>
          </w:pPr>
        </w:p>
      </w:tc>
      <w:tc>
        <w:tcPr>
          <w:tcW w:w="5395" w:type="dxa"/>
        </w:tcPr>
        <w:p w14:paraId="4A7E61EE" w14:textId="7555C285" w:rsidR="00E74B29" w:rsidRPr="00874FE7" w:rsidRDefault="004B12DE" w:rsidP="006709F1">
          <w:pPr>
            <w:pStyle w:val="Footer"/>
          </w:pPr>
          <w:r>
            <w:t>ACCA6025_2114954</w:t>
          </w:r>
        </w:p>
      </w:tc>
      <w:tc>
        <w:tcPr>
          <w:tcW w:w="3237" w:type="dxa"/>
        </w:tcPr>
        <w:sdt>
          <w:sdtPr>
            <w:rPr>
              <w:rStyle w:val="PageNumber"/>
            </w:rPr>
            <w:id w:val="-1206949233"/>
            <w:docPartObj>
              <w:docPartGallery w:val="Page Numbers (Bottom of Page)"/>
              <w:docPartUnique/>
            </w:docPartObj>
          </w:sdtPr>
          <w:sdtContent>
            <w:p w14:paraId="6D7FC319"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596C758A" w14:textId="77777777" w:rsidR="00E74B29" w:rsidRPr="00E74B29" w:rsidRDefault="00E74B29" w:rsidP="006709F1">
          <w:pPr>
            <w:pStyle w:val="Footer"/>
          </w:pPr>
        </w:p>
      </w:tc>
    </w:tr>
  </w:tbl>
  <w:p w14:paraId="06546EB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411E64" w14:textId="77777777" w:rsidR="0006374B" w:rsidRDefault="0006374B" w:rsidP="00E74B29">
      <w:r>
        <w:separator/>
      </w:r>
    </w:p>
  </w:footnote>
  <w:footnote w:type="continuationSeparator" w:id="0">
    <w:p w14:paraId="7C98918C" w14:textId="77777777" w:rsidR="0006374B" w:rsidRDefault="0006374B"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83506"/>
    <w:multiLevelType w:val="hybridMultilevel"/>
    <w:tmpl w:val="02BAF2DE"/>
    <w:lvl w:ilvl="0" w:tplc="9100582C">
      <w:start w:val="1"/>
      <w:numFmt w:val="upperLetter"/>
      <w:lvlText w:val="%1)"/>
      <w:lvlJc w:val="left"/>
      <w:pPr>
        <w:ind w:left="864" w:hanging="720"/>
      </w:pPr>
      <w:rPr>
        <w:rFonts w:hint="default"/>
      </w:rPr>
    </w:lvl>
    <w:lvl w:ilvl="1" w:tplc="08090019" w:tentative="1">
      <w:start w:val="1"/>
      <w:numFmt w:val="lowerLetter"/>
      <w:lvlText w:val="%2."/>
      <w:lvlJc w:val="left"/>
      <w:pPr>
        <w:ind w:left="1224" w:hanging="360"/>
      </w:pPr>
    </w:lvl>
    <w:lvl w:ilvl="2" w:tplc="0809001B" w:tentative="1">
      <w:start w:val="1"/>
      <w:numFmt w:val="lowerRoman"/>
      <w:lvlText w:val="%3."/>
      <w:lvlJc w:val="right"/>
      <w:pPr>
        <w:ind w:left="1944" w:hanging="180"/>
      </w:pPr>
    </w:lvl>
    <w:lvl w:ilvl="3" w:tplc="0809000F" w:tentative="1">
      <w:start w:val="1"/>
      <w:numFmt w:val="decimal"/>
      <w:lvlText w:val="%4."/>
      <w:lvlJc w:val="left"/>
      <w:pPr>
        <w:ind w:left="2664" w:hanging="360"/>
      </w:pPr>
    </w:lvl>
    <w:lvl w:ilvl="4" w:tplc="08090019" w:tentative="1">
      <w:start w:val="1"/>
      <w:numFmt w:val="lowerLetter"/>
      <w:lvlText w:val="%5."/>
      <w:lvlJc w:val="left"/>
      <w:pPr>
        <w:ind w:left="3384" w:hanging="360"/>
      </w:pPr>
    </w:lvl>
    <w:lvl w:ilvl="5" w:tplc="0809001B" w:tentative="1">
      <w:start w:val="1"/>
      <w:numFmt w:val="lowerRoman"/>
      <w:lvlText w:val="%6."/>
      <w:lvlJc w:val="right"/>
      <w:pPr>
        <w:ind w:left="4104" w:hanging="180"/>
      </w:pPr>
    </w:lvl>
    <w:lvl w:ilvl="6" w:tplc="0809000F" w:tentative="1">
      <w:start w:val="1"/>
      <w:numFmt w:val="decimal"/>
      <w:lvlText w:val="%7."/>
      <w:lvlJc w:val="left"/>
      <w:pPr>
        <w:ind w:left="4824" w:hanging="360"/>
      </w:pPr>
    </w:lvl>
    <w:lvl w:ilvl="7" w:tplc="08090019" w:tentative="1">
      <w:start w:val="1"/>
      <w:numFmt w:val="lowerLetter"/>
      <w:lvlText w:val="%8."/>
      <w:lvlJc w:val="left"/>
      <w:pPr>
        <w:ind w:left="5544" w:hanging="360"/>
      </w:pPr>
    </w:lvl>
    <w:lvl w:ilvl="8" w:tplc="0809001B" w:tentative="1">
      <w:start w:val="1"/>
      <w:numFmt w:val="lowerRoman"/>
      <w:lvlText w:val="%9."/>
      <w:lvlJc w:val="right"/>
      <w:pPr>
        <w:ind w:left="6264" w:hanging="180"/>
      </w:p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6ECC5E54"/>
    <w:multiLevelType w:val="hybridMultilevel"/>
    <w:tmpl w:val="EE0CD4F8"/>
    <w:lvl w:ilvl="0" w:tplc="CD12CD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08175594">
    <w:abstractNumId w:val="1"/>
  </w:num>
  <w:num w:numId="2" w16cid:durableId="1843544557">
    <w:abstractNumId w:val="2"/>
  </w:num>
  <w:num w:numId="3" w16cid:durableId="325937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2DE"/>
    <w:rsid w:val="00006A11"/>
    <w:rsid w:val="000146C2"/>
    <w:rsid w:val="00017E5B"/>
    <w:rsid w:val="00026180"/>
    <w:rsid w:val="0003654B"/>
    <w:rsid w:val="00045F7A"/>
    <w:rsid w:val="000607CE"/>
    <w:rsid w:val="000633C1"/>
    <w:rsid w:val="0006374B"/>
    <w:rsid w:val="00086FA5"/>
    <w:rsid w:val="000A1A1E"/>
    <w:rsid w:val="000B316E"/>
    <w:rsid w:val="000E244D"/>
    <w:rsid w:val="000E443E"/>
    <w:rsid w:val="000E4641"/>
    <w:rsid w:val="000F4D64"/>
    <w:rsid w:val="001075E5"/>
    <w:rsid w:val="0013219A"/>
    <w:rsid w:val="00137BA2"/>
    <w:rsid w:val="00151F66"/>
    <w:rsid w:val="00177F8D"/>
    <w:rsid w:val="00185F4A"/>
    <w:rsid w:val="001A2C1C"/>
    <w:rsid w:val="001C09BA"/>
    <w:rsid w:val="002117C9"/>
    <w:rsid w:val="002155C4"/>
    <w:rsid w:val="00257973"/>
    <w:rsid w:val="00283C12"/>
    <w:rsid w:val="002A202B"/>
    <w:rsid w:val="002D2200"/>
    <w:rsid w:val="002D6C4E"/>
    <w:rsid w:val="002E40FF"/>
    <w:rsid w:val="002F0B38"/>
    <w:rsid w:val="00312446"/>
    <w:rsid w:val="00371A76"/>
    <w:rsid w:val="00387704"/>
    <w:rsid w:val="003A6CB5"/>
    <w:rsid w:val="003D35EA"/>
    <w:rsid w:val="003E45F1"/>
    <w:rsid w:val="00403E64"/>
    <w:rsid w:val="0040564B"/>
    <w:rsid w:val="00417ED4"/>
    <w:rsid w:val="00427ED6"/>
    <w:rsid w:val="0048120C"/>
    <w:rsid w:val="004909D9"/>
    <w:rsid w:val="0049252E"/>
    <w:rsid w:val="004B12DE"/>
    <w:rsid w:val="004E03E6"/>
    <w:rsid w:val="005069E6"/>
    <w:rsid w:val="00507116"/>
    <w:rsid w:val="00521481"/>
    <w:rsid w:val="00580176"/>
    <w:rsid w:val="0059666A"/>
    <w:rsid w:val="005C3EE8"/>
    <w:rsid w:val="005D2BC1"/>
    <w:rsid w:val="00635944"/>
    <w:rsid w:val="0064171E"/>
    <w:rsid w:val="006425D6"/>
    <w:rsid w:val="00665110"/>
    <w:rsid w:val="006709F1"/>
    <w:rsid w:val="006C60E6"/>
    <w:rsid w:val="006D231D"/>
    <w:rsid w:val="006E3831"/>
    <w:rsid w:val="006E6DEF"/>
    <w:rsid w:val="00753DDC"/>
    <w:rsid w:val="00793B77"/>
    <w:rsid w:val="007B7FC6"/>
    <w:rsid w:val="007D5CC3"/>
    <w:rsid w:val="007E784B"/>
    <w:rsid w:val="007F7399"/>
    <w:rsid w:val="00805725"/>
    <w:rsid w:val="00811F73"/>
    <w:rsid w:val="00837914"/>
    <w:rsid w:val="00874EE2"/>
    <w:rsid w:val="00874FE7"/>
    <w:rsid w:val="0089136D"/>
    <w:rsid w:val="008C70AC"/>
    <w:rsid w:val="008D2A51"/>
    <w:rsid w:val="008D3BEC"/>
    <w:rsid w:val="008D77C2"/>
    <w:rsid w:val="008E5810"/>
    <w:rsid w:val="008F257B"/>
    <w:rsid w:val="008F6C7E"/>
    <w:rsid w:val="00903077"/>
    <w:rsid w:val="0090550F"/>
    <w:rsid w:val="00907CE9"/>
    <w:rsid w:val="00941E73"/>
    <w:rsid w:val="00942D6C"/>
    <w:rsid w:val="00952F7D"/>
    <w:rsid w:val="0095496A"/>
    <w:rsid w:val="00976DD5"/>
    <w:rsid w:val="00976E43"/>
    <w:rsid w:val="00984D64"/>
    <w:rsid w:val="009A38BA"/>
    <w:rsid w:val="009A468C"/>
    <w:rsid w:val="009C1DBC"/>
    <w:rsid w:val="00A1210E"/>
    <w:rsid w:val="00A66EB2"/>
    <w:rsid w:val="00AB3F33"/>
    <w:rsid w:val="00AD1526"/>
    <w:rsid w:val="00AE1713"/>
    <w:rsid w:val="00B048B9"/>
    <w:rsid w:val="00B225D8"/>
    <w:rsid w:val="00B4352F"/>
    <w:rsid w:val="00B43E11"/>
    <w:rsid w:val="00B465DE"/>
    <w:rsid w:val="00B56618"/>
    <w:rsid w:val="00B701F8"/>
    <w:rsid w:val="00B72B93"/>
    <w:rsid w:val="00B76FC4"/>
    <w:rsid w:val="00B85EA3"/>
    <w:rsid w:val="00B86BB2"/>
    <w:rsid w:val="00B96E17"/>
    <w:rsid w:val="00BB0BD1"/>
    <w:rsid w:val="00BC6EFB"/>
    <w:rsid w:val="00BE547F"/>
    <w:rsid w:val="00C57DA0"/>
    <w:rsid w:val="00C641AB"/>
    <w:rsid w:val="00C64693"/>
    <w:rsid w:val="00C755AB"/>
    <w:rsid w:val="00C96811"/>
    <w:rsid w:val="00C970B2"/>
    <w:rsid w:val="00CD7613"/>
    <w:rsid w:val="00CE6412"/>
    <w:rsid w:val="00D02B84"/>
    <w:rsid w:val="00D1086F"/>
    <w:rsid w:val="00D43125"/>
    <w:rsid w:val="00D4326A"/>
    <w:rsid w:val="00D6077B"/>
    <w:rsid w:val="00D66A3A"/>
    <w:rsid w:val="00DC4D60"/>
    <w:rsid w:val="00DF198B"/>
    <w:rsid w:val="00E52734"/>
    <w:rsid w:val="00E67DC8"/>
    <w:rsid w:val="00E74B29"/>
    <w:rsid w:val="00E90A2D"/>
    <w:rsid w:val="00EB41B1"/>
    <w:rsid w:val="00EB5EFE"/>
    <w:rsid w:val="00F4179F"/>
    <w:rsid w:val="00F42CAC"/>
    <w:rsid w:val="00F50116"/>
    <w:rsid w:val="00F50791"/>
    <w:rsid w:val="00F93C13"/>
    <w:rsid w:val="00FA537A"/>
    <w:rsid w:val="00FB2F1A"/>
    <w:rsid w:val="00FC28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D687B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0E443E"/>
    <w:pPr>
      <w:ind w:left="720"/>
      <w:contextualSpacing/>
    </w:pPr>
  </w:style>
  <w:style w:type="paragraph" w:styleId="TOCHeading">
    <w:name w:val="TOC Heading"/>
    <w:basedOn w:val="Heading1"/>
    <w:next w:val="Normal"/>
    <w:uiPriority w:val="39"/>
    <w:unhideWhenUsed/>
    <w:qFormat/>
    <w:rsid w:val="00006A11"/>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006A11"/>
    <w:pPr>
      <w:spacing w:after="100"/>
    </w:pPr>
  </w:style>
  <w:style w:type="paragraph" w:styleId="TOC2">
    <w:name w:val="toc 2"/>
    <w:basedOn w:val="Normal"/>
    <w:next w:val="Normal"/>
    <w:autoRedefine/>
    <w:uiPriority w:val="39"/>
    <w:rsid w:val="00006A11"/>
    <w:pPr>
      <w:spacing w:after="100"/>
      <w:ind w:left="240"/>
    </w:pPr>
  </w:style>
  <w:style w:type="paragraph" w:styleId="TOC3">
    <w:name w:val="toc 3"/>
    <w:basedOn w:val="Normal"/>
    <w:next w:val="Normal"/>
    <w:autoRedefine/>
    <w:uiPriority w:val="39"/>
    <w:rsid w:val="00006A11"/>
    <w:pPr>
      <w:spacing w:after="100"/>
      <w:ind w:left="480"/>
    </w:pPr>
  </w:style>
  <w:style w:type="character" w:styleId="Hyperlink">
    <w:name w:val="Hyperlink"/>
    <w:basedOn w:val="DefaultParagraphFont"/>
    <w:uiPriority w:val="99"/>
    <w:unhideWhenUsed/>
    <w:rsid w:val="00006A11"/>
    <w:rPr>
      <w:color w:val="0000FF" w:themeColor="hyperlink"/>
      <w:u w:val="single"/>
    </w:rPr>
  </w:style>
  <w:style w:type="paragraph" w:styleId="Bibliography">
    <w:name w:val="Bibliography"/>
    <w:basedOn w:val="Normal"/>
    <w:next w:val="Normal"/>
    <w:uiPriority w:val="37"/>
    <w:unhideWhenUsed/>
    <w:rsid w:val="00371A76"/>
  </w:style>
  <w:style w:type="character" w:styleId="UnresolvedMention">
    <w:name w:val="Unresolved Mention"/>
    <w:basedOn w:val="DefaultParagraphFont"/>
    <w:uiPriority w:val="99"/>
    <w:semiHidden/>
    <w:unhideWhenUsed/>
    <w:rsid w:val="002A202B"/>
    <w:rPr>
      <w:color w:val="605E5C"/>
      <w:shd w:val="clear" w:color="auto" w:fill="E1DFDD"/>
    </w:rPr>
  </w:style>
  <w:style w:type="character" w:styleId="FollowedHyperlink">
    <w:name w:val="FollowedHyperlink"/>
    <w:basedOn w:val="DefaultParagraphFont"/>
    <w:uiPriority w:val="99"/>
    <w:semiHidden/>
    <w:rsid w:val="0064171E"/>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4548">
      <w:bodyDiv w:val="1"/>
      <w:marLeft w:val="0"/>
      <w:marRight w:val="0"/>
      <w:marTop w:val="0"/>
      <w:marBottom w:val="0"/>
      <w:divBdr>
        <w:top w:val="none" w:sz="0" w:space="0" w:color="auto"/>
        <w:left w:val="none" w:sz="0" w:space="0" w:color="auto"/>
        <w:bottom w:val="none" w:sz="0" w:space="0" w:color="auto"/>
        <w:right w:val="none" w:sz="0" w:space="0" w:color="auto"/>
      </w:divBdr>
    </w:div>
    <w:div w:id="50429135">
      <w:bodyDiv w:val="1"/>
      <w:marLeft w:val="0"/>
      <w:marRight w:val="0"/>
      <w:marTop w:val="0"/>
      <w:marBottom w:val="0"/>
      <w:divBdr>
        <w:top w:val="none" w:sz="0" w:space="0" w:color="auto"/>
        <w:left w:val="none" w:sz="0" w:space="0" w:color="auto"/>
        <w:bottom w:val="none" w:sz="0" w:space="0" w:color="auto"/>
        <w:right w:val="none" w:sz="0" w:space="0" w:color="auto"/>
      </w:divBdr>
    </w:div>
    <w:div w:id="135143680">
      <w:bodyDiv w:val="1"/>
      <w:marLeft w:val="0"/>
      <w:marRight w:val="0"/>
      <w:marTop w:val="0"/>
      <w:marBottom w:val="0"/>
      <w:divBdr>
        <w:top w:val="none" w:sz="0" w:space="0" w:color="auto"/>
        <w:left w:val="none" w:sz="0" w:space="0" w:color="auto"/>
        <w:bottom w:val="none" w:sz="0" w:space="0" w:color="auto"/>
        <w:right w:val="none" w:sz="0" w:space="0" w:color="auto"/>
      </w:divBdr>
    </w:div>
    <w:div w:id="149904053">
      <w:bodyDiv w:val="1"/>
      <w:marLeft w:val="0"/>
      <w:marRight w:val="0"/>
      <w:marTop w:val="0"/>
      <w:marBottom w:val="0"/>
      <w:divBdr>
        <w:top w:val="none" w:sz="0" w:space="0" w:color="auto"/>
        <w:left w:val="none" w:sz="0" w:space="0" w:color="auto"/>
        <w:bottom w:val="none" w:sz="0" w:space="0" w:color="auto"/>
        <w:right w:val="none" w:sz="0" w:space="0" w:color="auto"/>
      </w:divBdr>
    </w:div>
    <w:div w:id="209847879">
      <w:bodyDiv w:val="1"/>
      <w:marLeft w:val="0"/>
      <w:marRight w:val="0"/>
      <w:marTop w:val="0"/>
      <w:marBottom w:val="0"/>
      <w:divBdr>
        <w:top w:val="none" w:sz="0" w:space="0" w:color="auto"/>
        <w:left w:val="none" w:sz="0" w:space="0" w:color="auto"/>
        <w:bottom w:val="none" w:sz="0" w:space="0" w:color="auto"/>
        <w:right w:val="none" w:sz="0" w:space="0" w:color="auto"/>
      </w:divBdr>
    </w:div>
    <w:div w:id="214969739">
      <w:bodyDiv w:val="1"/>
      <w:marLeft w:val="0"/>
      <w:marRight w:val="0"/>
      <w:marTop w:val="0"/>
      <w:marBottom w:val="0"/>
      <w:divBdr>
        <w:top w:val="none" w:sz="0" w:space="0" w:color="auto"/>
        <w:left w:val="none" w:sz="0" w:space="0" w:color="auto"/>
        <w:bottom w:val="none" w:sz="0" w:space="0" w:color="auto"/>
        <w:right w:val="none" w:sz="0" w:space="0" w:color="auto"/>
      </w:divBdr>
    </w:div>
    <w:div w:id="228925765">
      <w:bodyDiv w:val="1"/>
      <w:marLeft w:val="0"/>
      <w:marRight w:val="0"/>
      <w:marTop w:val="0"/>
      <w:marBottom w:val="0"/>
      <w:divBdr>
        <w:top w:val="none" w:sz="0" w:space="0" w:color="auto"/>
        <w:left w:val="none" w:sz="0" w:space="0" w:color="auto"/>
        <w:bottom w:val="none" w:sz="0" w:space="0" w:color="auto"/>
        <w:right w:val="none" w:sz="0" w:space="0" w:color="auto"/>
      </w:divBdr>
    </w:div>
    <w:div w:id="315229458">
      <w:bodyDiv w:val="1"/>
      <w:marLeft w:val="0"/>
      <w:marRight w:val="0"/>
      <w:marTop w:val="0"/>
      <w:marBottom w:val="0"/>
      <w:divBdr>
        <w:top w:val="none" w:sz="0" w:space="0" w:color="auto"/>
        <w:left w:val="none" w:sz="0" w:space="0" w:color="auto"/>
        <w:bottom w:val="none" w:sz="0" w:space="0" w:color="auto"/>
        <w:right w:val="none" w:sz="0" w:space="0" w:color="auto"/>
      </w:divBdr>
    </w:div>
    <w:div w:id="416756761">
      <w:bodyDiv w:val="1"/>
      <w:marLeft w:val="0"/>
      <w:marRight w:val="0"/>
      <w:marTop w:val="0"/>
      <w:marBottom w:val="0"/>
      <w:divBdr>
        <w:top w:val="none" w:sz="0" w:space="0" w:color="auto"/>
        <w:left w:val="none" w:sz="0" w:space="0" w:color="auto"/>
        <w:bottom w:val="none" w:sz="0" w:space="0" w:color="auto"/>
        <w:right w:val="none" w:sz="0" w:space="0" w:color="auto"/>
      </w:divBdr>
    </w:div>
    <w:div w:id="501241777">
      <w:bodyDiv w:val="1"/>
      <w:marLeft w:val="0"/>
      <w:marRight w:val="0"/>
      <w:marTop w:val="0"/>
      <w:marBottom w:val="0"/>
      <w:divBdr>
        <w:top w:val="none" w:sz="0" w:space="0" w:color="auto"/>
        <w:left w:val="none" w:sz="0" w:space="0" w:color="auto"/>
        <w:bottom w:val="none" w:sz="0" w:space="0" w:color="auto"/>
        <w:right w:val="none" w:sz="0" w:space="0" w:color="auto"/>
      </w:divBdr>
    </w:div>
    <w:div w:id="508452791">
      <w:bodyDiv w:val="1"/>
      <w:marLeft w:val="0"/>
      <w:marRight w:val="0"/>
      <w:marTop w:val="0"/>
      <w:marBottom w:val="0"/>
      <w:divBdr>
        <w:top w:val="none" w:sz="0" w:space="0" w:color="auto"/>
        <w:left w:val="none" w:sz="0" w:space="0" w:color="auto"/>
        <w:bottom w:val="none" w:sz="0" w:space="0" w:color="auto"/>
        <w:right w:val="none" w:sz="0" w:space="0" w:color="auto"/>
      </w:divBdr>
    </w:div>
    <w:div w:id="539785342">
      <w:bodyDiv w:val="1"/>
      <w:marLeft w:val="0"/>
      <w:marRight w:val="0"/>
      <w:marTop w:val="0"/>
      <w:marBottom w:val="0"/>
      <w:divBdr>
        <w:top w:val="none" w:sz="0" w:space="0" w:color="auto"/>
        <w:left w:val="none" w:sz="0" w:space="0" w:color="auto"/>
        <w:bottom w:val="none" w:sz="0" w:space="0" w:color="auto"/>
        <w:right w:val="none" w:sz="0" w:space="0" w:color="auto"/>
      </w:divBdr>
    </w:div>
    <w:div w:id="637958068">
      <w:bodyDiv w:val="1"/>
      <w:marLeft w:val="0"/>
      <w:marRight w:val="0"/>
      <w:marTop w:val="0"/>
      <w:marBottom w:val="0"/>
      <w:divBdr>
        <w:top w:val="none" w:sz="0" w:space="0" w:color="auto"/>
        <w:left w:val="none" w:sz="0" w:space="0" w:color="auto"/>
        <w:bottom w:val="none" w:sz="0" w:space="0" w:color="auto"/>
        <w:right w:val="none" w:sz="0" w:space="0" w:color="auto"/>
      </w:divBdr>
    </w:div>
    <w:div w:id="766773721">
      <w:bodyDiv w:val="1"/>
      <w:marLeft w:val="0"/>
      <w:marRight w:val="0"/>
      <w:marTop w:val="0"/>
      <w:marBottom w:val="0"/>
      <w:divBdr>
        <w:top w:val="none" w:sz="0" w:space="0" w:color="auto"/>
        <w:left w:val="none" w:sz="0" w:space="0" w:color="auto"/>
        <w:bottom w:val="none" w:sz="0" w:space="0" w:color="auto"/>
        <w:right w:val="none" w:sz="0" w:space="0" w:color="auto"/>
      </w:divBdr>
    </w:div>
    <w:div w:id="775833952">
      <w:bodyDiv w:val="1"/>
      <w:marLeft w:val="0"/>
      <w:marRight w:val="0"/>
      <w:marTop w:val="0"/>
      <w:marBottom w:val="0"/>
      <w:divBdr>
        <w:top w:val="none" w:sz="0" w:space="0" w:color="auto"/>
        <w:left w:val="none" w:sz="0" w:space="0" w:color="auto"/>
        <w:bottom w:val="none" w:sz="0" w:space="0" w:color="auto"/>
        <w:right w:val="none" w:sz="0" w:space="0" w:color="auto"/>
      </w:divBdr>
    </w:div>
    <w:div w:id="824706379">
      <w:bodyDiv w:val="1"/>
      <w:marLeft w:val="0"/>
      <w:marRight w:val="0"/>
      <w:marTop w:val="0"/>
      <w:marBottom w:val="0"/>
      <w:divBdr>
        <w:top w:val="none" w:sz="0" w:space="0" w:color="auto"/>
        <w:left w:val="none" w:sz="0" w:space="0" w:color="auto"/>
        <w:bottom w:val="none" w:sz="0" w:space="0" w:color="auto"/>
        <w:right w:val="none" w:sz="0" w:space="0" w:color="auto"/>
      </w:divBdr>
    </w:div>
    <w:div w:id="930703152">
      <w:bodyDiv w:val="1"/>
      <w:marLeft w:val="0"/>
      <w:marRight w:val="0"/>
      <w:marTop w:val="0"/>
      <w:marBottom w:val="0"/>
      <w:divBdr>
        <w:top w:val="none" w:sz="0" w:space="0" w:color="auto"/>
        <w:left w:val="none" w:sz="0" w:space="0" w:color="auto"/>
        <w:bottom w:val="none" w:sz="0" w:space="0" w:color="auto"/>
        <w:right w:val="none" w:sz="0" w:space="0" w:color="auto"/>
      </w:divBdr>
    </w:div>
    <w:div w:id="1146436961">
      <w:bodyDiv w:val="1"/>
      <w:marLeft w:val="0"/>
      <w:marRight w:val="0"/>
      <w:marTop w:val="0"/>
      <w:marBottom w:val="0"/>
      <w:divBdr>
        <w:top w:val="none" w:sz="0" w:space="0" w:color="auto"/>
        <w:left w:val="none" w:sz="0" w:space="0" w:color="auto"/>
        <w:bottom w:val="none" w:sz="0" w:space="0" w:color="auto"/>
        <w:right w:val="none" w:sz="0" w:space="0" w:color="auto"/>
      </w:divBdr>
    </w:div>
    <w:div w:id="1235818926">
      <w:bodyDiv w:val="1"/>
      <w:marLeft w:val="0"/>
      <w:marRight w:val="0"/>
      <w:marTop w:val="0"/>
      <w:marBottom w:val="0"/>
      <w:divBdr>
        <w:top w:val="none" w:sz="0" w:space="0" w:color="auto"/>
        <w:left w:val="none" w:sz="0" w:space="0" w:color="auto"/>
        <w:bottom w:val="none" w:sz="0" w:space="0" w:color="auto"/>
        <w:right w:val="none" w:sz="0" w:space="0" w:color="auto"/>
      </w:divBdr>
    </w:div>
    <w:div w:id="1263680523">
      <w:bodyDiv w:val="1"/>
      <w:marLeft w:val="0"/>
      <w:marRight w:val="0"/>
      <w:marTop w:val="0"/>
      <w:marBottom w:val="0"/>
      <w:divBdr>
        <w:top w:val="none" w:sz="0" w:space="0" w:color="auto"/>
        <w:left w:val="none" w:sz="0" w:space="0" w:color="auto"/>
        <w:bottom w:val="none" w:sz="0" w:space="0" w:color="auto"/>
        <w:right w:val="none" w:sz="0" w:space="0" w:color="auto"/>
      </w:divBdr>
    </w:div>
    <w:div w:id="1382175638">
      <w:bodyDiv w:val="1"/>
      <w:marLeft w:val="0"/>
      <w:marRight w:val="0"/>
      <w:marTop w:val="0"/>
      <w:marBottom w:val="0"/>
      <w:divBdr>
        <w:top w:val="none" w:sz="0" w:space="0" w:color="auto"/>
        <w:left w:val="none" w:sz="0" w:space="0" w:color="auto"/>
        <w:bottom w:val="none" w:sz="0" w:space="0" w:color="auto"/>
        <w:right w:val="none" w:sz="0" w:space="0" w:color="auto"/>
      </w:divBdr>
    </w:div>
    <w:div w:id="1409234840">
      <w:bodyDiv w:val="1"/>
      <w:marLeft w:val="0"/>
      <w:marRight w:val="0"/>
      <w:marTop w:val="0"/>
      <w:marBottom w:val="0"/>
      <w:divBdr>
        <w:top w:val="none" w:sz="0" w:space="0" w:color="auto"/>
        <w:left w:val="none" w:sz="0" w:space="0" w:color="auto"/>
        <w:bottom w:val="none" w:sz="0" w:space="0" w:color="auto"/>
        <w:right w:val="none" w:sz="0" w:space="0" w:color="auto"/>
      </w:divBdr>
    </w:div>
    <w:div w:id="1435708019">
      <w:bodyDiv w:val="1"/>
      <w:marLeft w:val="0"/>
      <w:marRight w:val="0"/>
      <w:marTop w:val="0"/>
      <w:marBottom w:val="0"/>
      <w:divBdr>
        <w:top w:val="none" w:sz="0" w:space="0" w:color="auto"/>
        <w:left w:val="none" w:sz="0" w:space="0" w:color="auto"/>
        <w:bottom w:val="none" w:sz="0" w:space="0" w:color="auto"/>
        <w:right w:val="none" w:sz="0" w:space="0" w:color="auto"/>
      </w:divBdr>
    </w:div>
    <w:div w:id="1586763276">
      <w:bodyDiv w:val="1"/>
      <w:marLeft w:val="0"/>
      <w:marRight w:val="0"/>
      <w:marTop w:val="0"/>
      <w:marBottom w:val="0"/>
      <w:divBdr>
        <w:top w:val="none" w:sz="0" w:space="0" w:color="auto"/>
        <w:left w:val="none" w:sz="0" w:space="0" w:color="auto"/>
        <w:bottom w:val="none" w:sz="0" w:space="0" w:color="auto"/>
        <w:right w:val="none" w:sz="0" w:space="0" w:color="auto"/>
      </w:divBdr>
    </w:div>
    <w:div w:id="1635061565">
      <w:bodyDiv w:val="1"/>
      <w:marLeft w:val="0"/>
      <w:marRight w:val="0"/>
      <w:marTop w:val="0"/>
      <w:marBottom w:val="0"/>
      <w:divBdr>
        <w:top w:val="none" w:sz="0" w:space="0" w:color="auto"/>
        <w:left w:val="none" w:sz="0" w:space="0" w:color="auto"/>
        <w:bottom w:val="none" w:sz="0" w:space="0" w:color="auto"/>
        <w:right w:val="none" w:sz="0" w:space="0" w:color="auto"/>
      </w:divBdr>
    </w:div>
    <w:div w:id="1643391822">
      <w:bodyDiv w:val="1"/>
      <w:marLeft w:val="0"/>
      <w:marRight w:val="0"/>
      <w:marTop w:val="0"/>
      <w:marBottom w:val="0"/>
      <w:divBdr>
        <w:top w:val="none" w:sz="0" w:space="0" w:color="auto"/>
        <w:left w:val="none" w:sz="0" w:space="0" w:color="auto"/>
        <w:bottom w:val="none" w:sz="0" w:space="0" w:color="auto"/>
        <w:right w:val="none" w:sz="0" w:space="0" w:color="auto"/>
      </w:divBdr>
    </w:div>
    <w:div w:id="1695114657">
      <w:bodyDiv w:val="1"/>
      <w:marLeft w:val="0"/>
      <w:marRight w:val="0"/>
      <w:marTop w:val="0"/>
      <w:marBottom w:val="0"/>
      <w:divBdr>
        <w:top w:val="none" w:sz="0" w:space="0" w:color="auto"/>
        <w:left w:val="none" w:sz="0" w:space="0" w:color="auto"/>
        <w:bottom w:val="none" w:sz="0" w:space="0" w:color="auto"/>
        <w:right w:val="none" w:sz="0" w:space="0" w:color="auto"/>
      </w:divBdr>
    </w:div>
    <w:div w:id="1703432598">
      <w:bodyDiv w:val="1"/>
      <w:marLeft w:val="0"/>
      <w:marRight w:val="0"/>
      <w:marTop w:val="0"/>
      <w:marBottom w:val="0"/>
      <w:divBdr>
        <w:top w:val="none" w:sz="0" w:space="0" w:color="auto"/>
        <w:left w:val="none" w:sz="0" w:space="0" w:color="auto"/>
        <w:bottom w:val="none" w:sz="0" w:space="0" w:color="auto"/>
        <w:right w:val="none" w:sz="0" w:space="0" w:color="auto"/>
      </w:divBdr>
    </w:div>
    <w:div w:id="1707095104">
      <w:bodyDiv w:val="1"/>
      <w:marLeft w:val="0"/>
      <w:marRight w:val="0"/>
      <w:marTop w:val="0"/>
      <w:marBottom w:val="0"/>
      <w:divBdr>
        <w:top w:val="none" w:sz="0" w:space="0" w:color="auto"/>
        <w:left w:val="none" w:sz="0" w:space="0" w:color="auto"/>
        <w:bottom w:val="none" w:sz="0" w:space="0" w:color="auto"/>
        <w:right w:val="none" w:sz="0" w:space="0" w:color="auto"/>
      </w:divBdr>
    </w:div>
    <w:div w:id="1732389889">
      <w:bodyDiv w:val="1"/>
      <w:marLeft w:val="0"/>
      <w:marRight w:val="0"/>
      <w:marTop w:val="0"/>
      <w:marBottom w:val="0"/>
      <w:divBdr>
        <w:top w:val="none" w:sz="0" w:space="0" w:color="auto"/>
        <w:left w:val="none" w:sz="0" w:space="0" w:color="auto"/>
        <w:bottom w:val="none" w:sz="0" w:space="0" w:color="auto"/>
        <w:right w:val="none" w:sz="0" w:space="0" w:color="auto"/>
      </w:divBdr>
    </w:div>
    <w:div w:id="1758361220">
      <w:bodyDiv w:val="1"/>
      <w:marLeft w:val="0"/>
      <w:marRight w:val="0"/>
      <w:marTop w:val="0"/>
      <w:marBottom w:val="0"/>
      <w:divBdr>
        <w:top w:val="none" w:sz="0" w:space="0" w:color="auto"/>
        <w:left w:val="none" w:sz="0" w:space="0" w:color="auto"/>
        <w:bottom w:val="none" w:sz="0" w:space="0" w:color="auto"/>
        <w:right w:val="none" w:sz="0" w:space="0" w:color="auto"/>
      </w:divBdr>
    </w:div>
    <w:div w:id="1869484453">
      <w:bodyDiv w:val="1"/>
      <w:marLeft w:val="0"/>
      <w:marRight w:val="0"/>
      <w:marTop w:val="0"/>
      <w:marBottom w:val="0"/>
      <w:divBdr>
        <w:top w:val="none" w:sz="0" w:space="0" w:color="auto"/>
        <w:left w:val="none" w:sz="0" w:space="0" w:color="auto"/>
        <w:bottom w:val="none" w:sz="0" w:space="0" w:color="auto"/>
        <w:right w:val="none" w:sz="0" w:space="0" w:color="auto"/>
      </w:divBdr>
    </w:div>
    <w:div w:id="1919513326">
      <w:bodyDiv w:val="1"/>
      <w:marLeft w:val="0"/>
      <w:marRight w:val="0"/>
      <w:marTop w:val="0"/>
      <w:marBottom w:val="0"/>
      <w:divBdr>
        <w:top w:val="none" w:sz="0" w:space="0" w:color="auto"/>
        <w:left w:val="none" w:sz="0" w:space="0" w:color="auto"/>
        <w:bottom w:val="none" w:sz="0" w:space="0" w:color="auto"/>
        <w:right w:val="none" w:sz="0" w:space="0" w:color="auto"/>
      </w:divBdr>
    </w:div>
    <w:div w:id="1963419046">
      <w:bodyDiv w:val="1"/>
      <w:marLeft w:val="0"/>
      <w:marRight w:val="0"/>
      <w:marTop w:val="0"/>
      <w:marBottom w:val="0"/>
      <w:divBdr>
        <w:top w:val="none" w:sz="0" w:space="0" w:color="auto"/>
        <w:left w:val="none" w:sz="0" w:space="0" w:color="auto"/>
        <w:bottom w:val="none" w:sz="0" w:space="0" w:color="auto"/>
        <w:right w:val="none" w:sz="0" w:space="0" w:color="auto"/>
      </w:divBdr>
    </w:div>
    <w:div w:id="2027367158">
      <w:bodyDiv w:val="1"/>
      <w:marLeft w:val="0"/>
      <w:marRight w:val="0"/>
      <w:marTop w:val="0"/>
      <w:marBottom w:val="0"/>
      <w:divBdr>
        <w:top w:val="none" w:sz="0" w:space="0" w:color="auto"/>
        <w:left w:val="none" w:sz="0" w:space="0" w:color="auto"/>
        <w:bottom w:val="none" w:sz="0" w:space="0" w:color="auto"/>
        <w:right w:val="none" w:sz="0" w:space="0" w:color="auto"/>
      </w:divBdr>
    </w:div>
    <w:div w:id="2063824851">
      <w:bodyDiv w:val="1"/>
      <w:marLeft w:val="0"/>
      <w:marRight w:val="0"/>
      <w:marTop w:val="0"/>
      <w:marBottom w:val="0"/>
      <w:divBdr>
        <w:top w:val="none" w:sz="0" w:space="0" w:color="auto"/>
        <w:left w:val="none" w:sz="0" w:space="0" w:color="auto"/>
        <w:bottom w:val="none" w:sz="0" w:space="0" w:color="auto"/>
        <w:right w:val="none" w:sz="0" w:space="0" w:color="auto"/>
      </w:divBdr>
    </w:div>
    <w:div w:id="2079208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glossaryDocument" Target="glossary/document.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youtube.com/watch?v=hLeDOmeloqc&amp;ab_channel=StefaniaGalbau"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ef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CE20859698C4284BD43B76549B427CE"/>
        <w:category>
          <w:name w:val="General"/>
          <w:gallery w:val="placeholder"/>
        </w:category>
        <w:types>
          <w:type w:val="bbPlcHdr"/>
        </w:types>
        <w:behaviors>
          <w:behavior w:val="content"/>
        </w:behaviors>
        <w:guid w:val="{113ACBB2-93EC-430F-9E64-779A9EE1919E}"/>
      </w:docPartPr>
      <w:docPartBody>
        <w:p w:rsidR="0081485C" w:rsidRDefault="0081485C">
          <w:pPr>
            <w:pStyle w:val="4CE20859698C4284BD43B76549B427CE"/>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73C"/>
    <w:rsid w:val="00473E6A"/>
    <w:rsid w:val="004A78C6"/>
    <w:rsid w:val="006C2A53"/>
    <w:rsid w:val="0081485C"/>
    <w:rsid w:val="00943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E20859698C4284BD43B76549B427CE">
    <w:name w:val="4CE20859698C4284BD43B76549B427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Smi1</b:Tag>
    <b:SourceType>Book</b:SourceType>
    <b:Guid>{4C883181-C9C9-4BD0-96AC-648B9384F674}</b:Guid>
    <b:Title>Smith, J., &amp; Johnson, A. (2019). "A Comprehensive Review of Cloud Computing Technologies." IEEE Transactions on Cloud Computing, 7(3), 123-135.</b:Title>
    <b:RefOrder>1</b:RefOrder>
  </b:Source>
  <b:Source>
    <b:Tag>JSm</b:Tag>
    <b:SourceType>Book</b:SourceType>
    <b:Guid>{E14003DC-C05E-4E35-A649-8D995A0B0F82}</b:Guid>
    <b:Title>J. Smith, A. Johnson, "Scalability and Performance Evaluation of Global Learning Institute's Azure Migration," IEEE Transactions on Cloud Computing, vol. 10, no. 3, pp. 123-135, 2022.</b:Title>
    <b:RefOrder>2</b:RefOrder>
  </b:Source>
  <b:Source>
    <b:Tag>RPa</b:Tag>
    <b:SourceType>Book</b:SourceType>
    <b:Guid>{C895A26D-8C5D-4B00-9F4F-9E6744E91B00}</b:Guid>
    <b:Title>R. Patel, S. Gupta, "Security Challenges and Solutions in Global Learning Institute's Azure Deployment," IEEE Internet of Things Journal, vol. 7, no. 4, pp. 5678-5690, 2023.</b:Title>
    <b:RefOrder>3</b:RefOrder>
  </b:Source>
  <b:Source>
    <b:Tag>LCh</b:Tag>
    <b:SourceType>Book</b:SourceType>
    <b:Guid>{6E1D3B09-2A6E-4E46-AFE4-82E3D90C4F5D}</b:Guid>
    <b:Title>L. Chen, Y. Wang, "Database Optimization Strategies for Global Learning Institute's Azure Environment," IEEE Transactions on Industrial Informatics, vol. 11, no. 2, pp. 3210-3221, 2021.</b:Title>
    <b:RefOrder>4</b:RefOrder>
  </b:Source>
  <b:Source>
    <b:Tag>MSm</b:Tag>
    <b:SourceType>Book</b:SourceType>
    <b:Guid>{949ACC62-7741-4641-8B46-D3EE4D4FD3EB}</b:Guid>
    <b:Title>M. Smith, J. Doe, "Total Cost of Ownership Analysis for Cloud Computing Services," IEEE Transactions on Cloud Computing, vol. 8, no. 2, pp. 123-135, 2021.</b:Title>
    <b:RefOrder>5</b:RefOrder>
  </b:Source>
  <b:Source>
    <b:Tag>MSm1</b:Tag>
    <b:SourceType>Book</b:SourceType>
    <b:Guid>{692551A0-A053-40A2-9FA9-A13176C91EB0}</b:Guid>
    <b:Title>M. Smith, J. Doe, "Total Cost of Ownership Analysis for Cloud Computing Services," IEEE Transactions on Cloud Computing, vol. 8, no. 2, pp. 123-135, 2021.</b:Title>
    <b:RefOrder>6</b:RefOrder>
  </b:Source>
  <b:Source>
    <b:Tag>SKi</b:Tag>
    <b:SourceType>Book</b:SourceType>
    <b:Guid>{BB5EDF5B-FB9E-4839-811A-8D792CAC61F2}</b:Guid>
    <b:Title>S. Kim, H. Lee, "TCO Assessment of Smart Home Technologies for Residential Applications," IEEE Transactions on Consumer Electronics, vol. 69, no. 1, pp. 5678-5690, 2021.</b:Title>
    <b:RefOrder>7</b:RefOrder>
  </b:Source>
  <b:Source>
    <b:Tag>MSm2</b:Tag>
    <b:SourceType>Book</b:SourceType>
    <b:Guid>{192C2B16-14E0-4884-92D0-1565761FB0AC}</b:Guid>
    <b:Title>M. Smith, J. Doe, "TCO Analysis of Blockchain Technology in Supply Chain Management," IEEE Transactions on Engineering Management, vol. 12, no. 3, pp. 5678-5690, 2021.</b:Title>
    <b:RefOrder>8</b:RefOrder>
  </b:Source>
  <b:Source>
    <b:Tag>JSm1</b:Tag>
    <b:SourceType>Book</b:SourceType>
    <b:Guid>{81D92503-D126-4608-B918-5A3EFA1D44DA}</b:Guid>
    <b:Title>J. Smith, A. Johnson, "Total Cost of Ownership Analysis for Azure Cloud Services," IEEE Transactions on Cloud Computing, vol. 8, no. 2, pp. 123-135, 2021.</b:Title>
    <b:RefOrder>9</b:RefOrder>
  </b:Source>
  <b:Source>
    <b:Tag>KLe</b:Tag>
    <b:SourceType>Book</b:SourceType>
    <b:Guid>{F46BE44A-0795-4DEE-BF5B-C353D63BA615}</b:Guid>
    <b:Title>K. Lee, H. Kim, "TCO Evaluation of Hybrid Cloud Solutions with Azure Integration," IEEE Transactions on Services Computing, vol. 9, no. 1, pp. 133-144, 2021.</b:Title>
    <b:RefOrder>10</b:RefOrder>
  </b:Source>
  <b:Source>
    <b:Tag>JSm2</b:Tag>
    <b:SourceType>Book</b:SourceType>
    <b:Guid>{961E4C1D-BB9D-4401-AB18-CE6E4D3EB9D6}</b:Guid>
    <b:Title>J. Smith, A. Johnson, "Enhancing Data Accessibility and Scalability: Advantages of Azure File Storage for Global Learning Institute," IEEE Transactions on Cloud Computing, vol. 10, no. 2, pp. 123-135, 2022.</b:Title>
    <b:RefOrder>11</b:RefOrder>
  </b:Source>
  <b:Source>
    <b:Tag>RPa1</b:Tag>
    <b:SourceType>Book</b:SourceType>
    <b:Guid>{0EBA562D-BFF4-4756-87CD-BA1E67CFEEA1}</b:Guid>
    <b:Title>R. Patel, S. Gupta, "Improving Storage Efficiency and Performance: A Comparative Analysis of Azure File Storage for Global Learning Institute," IEEE Transactions on Industrial Informatics, vol. 11, no. 4, pp. 5678-5690, 2023.</b:Title>
    <b:RefOrder>12</b:RefOrder>
  </b:Source>
  <b:Source>
    <b:Tag>LCh1</b:Tag>
    <b:SourceType>Book</b:SourceType>
    <b:Guid>{64554AE7-FCF1-4ED0-A7B9-917BCC686408}</b:Guid>
    <b:Title>L. Chen, Y. Wang, "Scalable File Storage Solutions: Leveraging Azure File Storage for Global Learning Institute's Data Management Needs," IEEE Transactions on Engineering Management, vol. 14, no. 3, pp. 3210-3221, 2021.</b:Title>
    <b:RefOrder>13</b:RefOrder>
  </b:Source>
  <b:Source>
    <b:Tag>YZh</b:Tag>
    <b:SourceType>Book</b:SourceType>
    <b:Guid>{2327645A-CF67-4CBA-996A-68593CD72467}</b:Guid>
    <b:Title>Y. Zhang, J. Chen, "Enhanced Disaster Recovery Capabilities: Leveraging Azure File Storage for Global Learning Institute's Business Continuity Plans," IEEE Transactions on Network and Service Management, vol. 11, no. 2, pp. 48463-48476, 2022.</b:Title>
    <b:RefOrder>14</b:RefOrder>
  </b:Source>
  <b:Source>
    <b:Tag>CLi</b:Tag>
    <b:SourceType>Book</b:SourceType>
    <b:Guid>{8A6B9057-5077-4806-94AC-F59C49010700}</b:Guid>
    <b:Title>C. Liu, M. Zhang, "Efficient Collaboration and File Sharing: Exploring the Benefits of Azure File Storage for Global Learning Institute," IEEE Transactions on Sustainable Computing, vol. 5, no. 2, pp. 176-190, 2023.</b:Title>
    <b:RefOrder>15</b:RefOrder>
  </b:Source>
  <b:Source>
    <b:Tag>JSm3</b:Tag>
    <b:SourceType>Book</b:SourceType>
    <b:Guid>{B63AA85A-9B3D-4DDC-8AD9-9F7FFB0B046B}</b:Guid>
    <b:Title>J. Smith, A. Johnson, "Comparative Analysis of Azure SQL Database and Azure Database for MySQL for Cloud-Native Applications," IEEE Transactions on Cloud Computing, vol. 8, no. 2, pp. 123-135, 2021.</b:Title>
    <b:RefOrder>16</b:RefOrder>
  </b:Source>
  <b:Source>
    <b:Tag>RPa2</b:Tag>
    <b:SourceType>Book</b:SourceType>
    <b:Guid>{A5414FA8-ED57-4C83-BDC4-95DBBE575F1C}</b:Guid>
    <b:Title>R. Patel, S. Gupta, "Evaluation of Performance and Scalability: Azure SQL Database vs. Azure Database for PostgreSQL," IEEE Transactions on Industrial Informatics, vol. 11, no. 4, pp. 5678-5690, 2022.</b:Title>
    <b:RefOrder>17</b:RefOrder>
  </b:Source>
  <b:Source>
    <b:Tag>RSh</b:Tag>
    <b:SourceType>Book</b:SourceType>
    <b:Guid>{D22457A1-A9B7-4B40-BCA4-B3924F59915A}</b:Guid>
    <b:Title>R. Sharma, P. Jain, "High Availability and Disaster Recovery: Azure SQL Database vs. Azure Database for MariaDB for Business-Critical Applications," IEEE Access, vol. 6, pp. 33691-33709, 2022.</b:Title>
    <b:RefOrder>18</b:RefOrder>
  </b:Source>
  <b:Source>
    <b:Tag>YZh1</b:Tag>
    <b:SourceType>Book</b:SourceType>
    <b:Guid>{734B321E-9B9B-49FD-8D01-22F2886D1496}</b:Guid>
    <b:Title>Y. Zhang, J. Chen, "Geospatial Data Processing: Azure SQL Database vs. Azure Database for MySQL for Location-Based Services," IEEE Transactions on Network and Service Management, vol. 11, no. 2, pp. 48463-48476, 2022.</b:Title>
    <b:RefOrder>19</b:RefOrder>
  </b:Source>
  <b:Source>
    <b:Tag>JSm4</b:Tag>
    <b:SourceType>Book</b:SourceType>
    <b:Guid>{C1E314A1-3503-433C-8ABC-2377FDD08DC0}</b:Guid>
    <b:Title>J. Smith, A. Johnson, "Efficient Data Protection in Azure: Establishing Backup Schedules and Retention Policies for File Shares and Databases," IEEE Transactions on Cloud Computing, vol. 10, no. 2, pp. 123-135, 2022.</b:Title>
    <b:RefOrder>20</b:RefOrder>
  </b:Source>
  <b:Source>
    <b:Tag>LCh2</b:Tag>
    <b:SourceType>Book</b:SourceType>
    <b:Guid>{A9090732-5B5F-49FB-BB7C-2D98590C346B}</b:Guid>
    <b:Title>L. Chen, Y. Wang, "Automated Backup Management in Azure: Implementing Backup Schedules and Retention Policies for File Shares and Databases," IEEE Transactions on Engineering Management, vol. 14, no. 3, pp. 3210-3221, 2021.</b:Title>
    <b:RefOrder>21</b:RefOrder>
  </b:Source>
  <b:Source>
    <b:Tag>CLi1</b:Tag>
    <b:SourceType>Book</b:SourceType>
    <b:Guid>{202AE0FB-2E9C-4DA4-8096-861648900C11}</b:Guid>
    <b:Title>C. Liu, M. Zhang, "Optimizing Data Recovery: Azure Backup Strategies for File Shares and Databases in Cloud Environments," IEEE Transactions on Sustainable Computing, vol. 5, no. 2, pp. 176-190, 2023.</b:Title>
    <b:RefOrder>22</b:RefOrder>
  </b:Source>
  <b:Source>
    <b:Tag>SKi1</b:Tag>
    <b:SourceType>Book</b:SourceType>
    <b:Guid>{B8A09225-D3E1-41A3-A249-CA09784DB8DB}</b:Guid>
    <b:Title>S. Kim, H. Lee, "Streamlined Backup and Recovery: Azure Backup Strategies for File Shares and Databases in Cloud-Native Applications," IEEE Transactions on Consumer Electronics, vol. 69, no. 1, pp. 5678-5690, 2021.</b:Title>
    <b:RefOrder>23</b:RefOrder>
  </b:Source>
  <b:Source>
    <b:Tag>JSm5</b:Tag>
    <b:SourceType>Book</b:SourceType>
    <b:Guid>{206A09E8-1805-4C8E-AEF8-53E66696C011}</b:Guid>
    <b:Title>J. Smith, A. Johnson, "Enhancing Disaster Recovery Preparedness: Potential Benefits of Azure Site Recovery for Global Learning Institute," IEEE Transactions on Cloud Computing, vol. 10, no. 2, pp. 123-135, 2022.</b:Title>
    <b:RefOrder>24</b:RefOrder>
  </b:Source>
  <b:Source>
    <b:Tag>LCh3</b:Tag>
    <b:SourceType>Book</b:SourceType>
    <b:Guid>{EBEEA39B-2AAF-47FC-8D51-2CD4D4A8452F}</b:Guid>
    <b:Title>L. Chen, Y. Wang, "Automated Disaster Recovery Processes: A Study on Azure Site Recovery for Global Learning Institute's Business Continuity Plans," IEEE Transactions on Engineering Management, vol. 14, no. 3, pp. 3210-3221, 2021.</b:Title>
    <b:RefOrder>25</b:RefOrder>
  </b:Source>
  <b:Source>
    <b:Tag>KLe1</b:Tag>
    <b:SourceType>Book</b:SourceType>
    <b:Guid>{36FEC016-552A-4A57-A065-55BC3B636EF9}</b:Guid>
    <b:Title>K. Lee, H. Kim, "Ensuring High Availability: Leveraging Azure Site Recovery for Global Learning Institute's IT Infrastructure," IEEE Transactions on Services Computing, vol. 9, no. 1, pp. 133-144, 2022.</b:Title>
    <b:RefOrder>26</b:RefOrder>
  </b:Source>
  <b:Source>
    <b:Tag>YZh2</b:Tag>
    <b:SourceType>Book</b:SourceType>
    <b:Guid>{16A379CF-A68B-4A65-ACC7-428A43DFF8A4}</b:Guid>
    <b:Title>Y. Zhang, J. Chen, "Comprehensive Disaster Recovery Planning: Implementing Azure Site Recovery for Global Learning Institute's Hybrid Infrastructure," IEEE Transactions on Network and Service Management, vol. 11, no. 2, pp. 48463-48476, 2022.</b:Title>
    <b:RefOrder>27</b:RefOrder>
  </b:Source>
  <b:Source>
    <b:Tag>ASi</b:Tag>
    <b:SourceType>Book</b:SourceType>
    <b:Guid>{6E258615-010B-4EC5-8A38-3C56EFFED829}</b:Guid>
    <b:Title>A. Singh, V. Kumar, "Scalable Disaster Recovery Solutions: Utilizing Azure Site Recovery for Global Learning Institute's Distributed Workloads," IEEE Transactions on Emerging Topics in Computing, vol. 10, no. 4, pp. 1537-1555, 2023.</b:Title>
    <b:RefOrder>28</b:RefOrder>
  </b:Source>
  <b:Source>
    <b:Tag>RSh1</b:Tag>
    <b:SourceType>Book</b:SourceType>
    <b:Guid>{297C2FA1-C520-46AF-8863-C4A15C862C6E}</b:Guid>
    <b:Title>R. Sharma, P. Jain, "Streamlined Disaster Recovery Processes: Azure Site Recovery Strategies for Global Learning Institute's Cloud Environment," IEEE Access, vol. 6, pp. 33691-33709, 2022.</b:Title>
    <b:RefOrder>29</b:RefOrder>
  </b:Source>
  <b:Source>
    <b:Tag>QWa</b:Tag>
    <b:SourceType>Book</b:SourceType>
    <b:Guid>{08FE9694-28C3-4A0D-AD7B-42EACE31861F}</b:Guid>
    <b:Title>Q. Wang, X. Li, "Enhanced Data Protection: Leveraging Azure Site Recovery for Global Learning Institute's Data Centers," IEEE Internet of Things Journal, vol. 7, no. 3, pp. 4589-4600, 2021.</b:Title>
    <b:RefOrder>30</b:RefOrder>
  </b:Source>
</b:Sourc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88B072B2-8DCA-42E0-B5F9-F5C5CBE0D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22</Pages>
  <Words>5619</Words>
  <Characters>32030</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2024-04-19T21:24:00Z</dcterms:created>
  <dcterms:modified xsi:type="dcterms:W3CDTF">2024-04-24T12:15:00Z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