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3D5AD" w14:textId="16E73BA2" w:rsidR="0057187B" w:rsidRPr="001E4FD1" w:rsidRDefault="00073DDC" w:rsidP="001E4FD1">
      <w:pPr>
        <w:spacing w:line="360" w:lineRule="auto"/>
        <w:jc w:val="center"/>
        <w:rPr>
          <w:rFonts w:ascii="Times New Roman" w:hAnsi="Times New Roman" w:cs="Times New Roman"/>
          <w:sz w:val="28"/>
          <w:szCs w:val="28"/>
        </w:rPr>
      </w:pPr>
      <w:r w:rsidRPr="001E4FD1">
        <w:rPr>
          <w:rFonts w:ascii="Times New Roman" w:hAnsi="Times New Roman" w:cs="Times New Roman"/>
          <w:sz w:val="28"/>
          <w:szCs w:val="28"/>
        </w:rPr>
        <w:t>Sir Gawain and the Green Knight: A Fourteenth Century Poem</w:t>
      </w:r>
    </w:p>
    <w:p w14:paraId="6DE47E6C" w14:textId="35726DC4" w:rsidR="004A15B5" w:rsidRPr="0057187B" w:rsidRDefault="0057187B" w:rsidP="0057187B">
      <w:pPr>
        <w:spacing w:line="360" w:lineRule="auto"/>
        <w:rPr>
          <w:rFonts w:ascii="Times New Roman" w:hAnsi="Times New Roman" w:cs="Times New Roman"/>
          <w:sz w:val="24"/>
          <w:szCs w:val="24"/>
        </w:rPr>
      </w:pPr>
      <w:r w:rsidRPr="0057187B">
        <w:rPr>
          <w:rFonts w:ascii="Times New Roman" w:hAnsi="Times New Roman" w:cs="Times New Roman"/>
          <w:sz w:val="24"/>
          <w:szCs w:val="24"/>
        </w:rPr>
        <w:t>Sir Gawain and the Green Knight</w:t>
      </w:r>
      <w:r w:rsidR="00A27232">
        <w:rPr>
          <w:rFonts w:ascii="Times New Roman" w:hAnsi="Times New Roman" w:cs="Times New Roman"/>
          <w:sz w:val="24"/>
          <w:szCs w:val="24"/>
        </w:rPr>
        <w:t xml:space="preserve"> (SGGK)</w:t>
      </w:r>
      <w:r w:rsidRPr="0057187B">
        <w:rPr>
          <w:rFonts w:ascii="Times New Roman" w:hAnsi="Times New Roman" w:cs="Times New Roman"/>
          <w:sz w:val="24"/>
          <w:szCs w:val="24"/>
        </w:rPr>
        <w:t xml:space="preserve"> is a 14</w:t>
      </w:r>
      <w:r w:rsidRPr="0057187B">
        <w:rPr>
          <w:rFonts w:ascii="Times New Roman" w:hAnsi="Times New Roman" w:cs="Times New Roman"/>
          <w:sz w:val="24"/>
          <w:szCs w:val="24"/>
          <w:vertAlign w:val="superscript"/>
        </w:rPr>
        <w:t>th</w:t>
      </w:r>
      <w:r w:rsidRPr="0057187B">
        <w:rPr>
          <w:rFonts w:ascii="Times New Roman" w:hAnsi="Times New Roman" w:cs="Times New Roman"/>
          <w:sz w:val="24"/>
          <w:szCs w:val="24"/>
        </w:rPr>
        <w:t xml:space="preserve"> century poem written in Middle English. It is written in the alliterative</w:t>
      </w:r>
      <w:r>
        <w:rPr>
          <w:rFonts w:ascii="Times New Roman" w:hAnsi="Times New Roman" w:cs="Times New Roman"/>
          <w:sz w:val="24"/>
          <w:szCs w:val="24"/>
        </w:rPr>
        <w:t xml:space="preserve"> revival</w:t>
      </w:r>
      <w:r w:rsidRPr="0057187B">
        <w:rPr>
          <w:rFonts w:ascii="Times New Roman" w:hAnsi="Times New Roman" w:cs="Times New Roman"/>
          <w:sz w:val="24"/>
          <w:szCs w:val="24"/>
        </w:rPr>
        <w:t xml:space="preserve"> style, with 2530 lines organised into 101 stanzas</w:t>
      </w:r>
      <w:r>
        <w:rPr>
          <w:rFonts w:ascii="Times New Roman" w:hAnsi="Times New Roman" w:cs="Times New Roman"/>
          <w:sz w:val="24"/>
          <w:szCs w:val="24"/>
        </w:rPr>
        <w:t>.</w:t>
      </w:r>
      <w:r w:rsidR="006B3DB0">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The poem</w:t>
      </w:r>
      <w:r w:rsidR="00BA6F6E">
        <w:rPr>
          <w:rFonts w:ascii="Times New Roman" w:hAnsi="Times New Roman" w:cs="Times New Roman"/>
          <w:sz w:val="24"/>
          <w:szCs w:val="24"/>
        </w:rPr>
        <w:t xml:space="preserve"> utilises the bob-and-wheel structure, </w:t>
      </w:r>
      <w:r w:rsidR="00A27232">
        <w:rPr>
          <w:rFonts w:ascii="Times New Roman" w:hAnsi="Times New Roman" w:cs="Times New Roman"/>
          <w:sz w:val="24"/>
          <w:szCs w:val="24"/>
        </w:rPr>
        <w:t xml:space="preserve">a style </w:t>
      </w:r>
      <w:r w:rsidR="006B3DB0">
        <w:rPr>
          <w:rFonts w:ascii="Times New Roman" w:hAnsi="Times New Roman" w:cs="Times New Roman"/>
          <w:sz w:val="24"/>
          <w:szCs w:val="24"/>
        </w:rPr>
        <w:t>which adds drama and musicality to the narrative</w:t>
      </w:r>
      <w:r w:rsidRPr="0057187B">
        <w:rPr>
          <w:rFonts w:ascii="Times New Roman" w:hAnsi="Times New Roman" w:cs="Times New Roman"/>
          <w:sz w:val="24"/>
          <w:szCs w:val="24"/>
        </w:rPr>
        <w:t>.</w:t>
      </w:r>
      <w:r w:rsidR="00BA6F6E">
        <w:rPr>
          <w:rStyle w:val="FootnoteReference"/>
          <w:rFonts w:ascii="Times New Roman" w:hAnsi="Times New Roman" w:cs="Times New Roman"/>
          <w:sz w:val="24"/>
          <w:szCs w:val="24"/>
        </w:rPr>
        <w:footnoteReference w:id="2"/>
      </w:r>
      <w:r w:rsidRPr="0057187B">
        <w:rPr>
          <w:rFonts w:ascii="Times New Roman" w:hAnsi="Times New Roman" w:cs="Times New Roman"/>
          <w:sz w:val="24"/>
          <w:szCs w:val="24"/>
        </w:rPr>
        <w:t xml:space="preserve"> The poem is contained within the ‘Cotton Nero </w:t>
      </w:r>
      <w:proofErr w:type="spellStart"/>
      <w:r w:rsidRPr="0057187B">
        <w:rPr>
          <w:rFonts w:ascii="Times New Roman" w:hAnsi="Times New Roman" w:cs="Times New Roman"/>
          <w:sz w:val="24"/>
          <w:szCs w:val="24"/>
        </w:rPr>
        <w:t>A.x</w:t>
      </w:r>
      <w:proofErr w:type="spellEnd"/>
      <w:r w:rsidRPr="0057187B">
        <w:rPr>
          <w:rFonts w:ascii="Times New Roman" w:hAnsi="Times New Roman" w:cs="Times New Roman"/>
          <w:sz w:val="24"/>
          <w:szCs w:val="24"/>
        </w:rPr>
        <w:t>.’ manuscript, alongside three other poems: Pearl, Cleanliness and Patience.</w:t>
      </w:r>
      <w:r w:rsidR="003B6E97" w:rsidRPr="0057187B">
        <w:rPr>
          <w:rFonts w:ascii="Times New Roman" w:hAnsi="Times New Roman" w:cs="Times New Roman"/>
          <w:sz w:val="24"/>
          <w:szCs w:val="24"/>
        </w:rPr>
        <w:t xml:space="preserve"> </w:t>
      </w:r>
      <w:r w:rsidR="006B3DB0" w:rsidRPr="0057187B">
        <w:rPr>
          <w:rFonts w:ascii="Times New Roman" w:hAnsi="Times New Roman" w:cs="Times New Roman"/>
          <w:sz w:val="24"/>
          <w:szCs w:val="24"/>
        </w:rPr>
        <w:t xml:space="preserve">The manuscript contains four large capital letters, which are interpreted as breaks, or </w:t>
      </w:r>
      <w:proofErr w:type="spellStart"/>
      <w:r w:rsidR="006B3DB0" w:rsidRPr="0057187B">
        <w:rPr>
          <w:rFonts w:ascii="Times New Roman" w:hAnsi="Times New Roman" w:cs="Times New Roman"/>
          <w:sz w:val="24"/>
          <w:szCs w:val="24"/>
        </w:rPr>
        <w:t>fitts</w:t>
      </w:r>
      <w:proofErr w:type="spellEnd"/>
      <w:r w:rsidR="006B3DB0" w:rsidRPr="0057187B">
        <w:rPr>
          <w:rFonts w:ascii="Times New Roman" w:hAnsi="Times New Roman" w:cs="Times New Roman"/>
          <w:sz w:val="24"/>
          <w:szCs w:val="24"/>
        </w:rPr>
        <w:t xml:space="preserve">, splitting the poem into four sections. </w:t>
      </w:r>
      <w:r w:rsidRPr="0057187B">
        <w:rPr>
          <w:rFonts w:ascii="Times New Roman" w:hAnsi="Times New Roman" w:cs="Times New Roman"/>
          <w:sz w:val="24"/>
          <w:szCs w:val="24"/>
        </w:rPr>
        <w:t>The Gawain poet</w:t>
      </w:r>
      <w:r w:rsidR="001D2CE6">
        <w:rPr>
          <w:rFonts w:ascii="Times New Roman" w:hAnsi="Times New Roman" w:cs="Times New Roman"/>
          <w:sz w:val="24"/>
          <w:szCs w:val="24"/>
        </w:rPr>
        <w:t xml:space="preserve"> </w:t>
      </w:r>
      <w:r w:rsidRPr="0057187B">
        <w:rPr>
          <w:rFonts w:ascii="Times New Roman" w:hAnsi="Times New Roman" w:cs="Times New Roman"/>
          <w:sz w:val="24"/>
          <w:szCs w:val="24"/>
        </w:rPr>
        <w:t xml:space="preserve">is unknown, as are the date and place of creation, but scholars believe </w:t>
      </w:r>
      <w:r w:rsidR="001D2CE6">
        <w:rPr>
          <w:rFonts w:ascii="Times New Roman" w:hAnsi="Times New Roman" w:cs="Times New Roman"/>
          <w:sz w:val="24"/>
          <w:szCs w:val="24"/>
        </w:rPr>
        <w:t xml:space="preserve">it </w:t>
      </w:r>
      <w:r w:rsidRPr="0057187B">
        <w:rPr>
          <w:rFonts w:ascii="Times New Roman" w:hAnsi="Times New Roman" w:cs="Times New Roman"/>
          <w:sz w:val="24"/>
          <w:szCs w:val="24"/>
        </w:rPr>
        <w:t>dates to the late 14</w:t>
      </w:r>
      <w:r w:rsidRPr="0057187B">
        <w:rPr>
          <w:rFonts w:ascii="Times New Roman" w:hAnsi="Times New Roman" w:cs="Times New Roman"/>
          <w:sz w:val="24"/>
          <w:szCs w:val="24"/>
          <w:vertAlign w:val="superscript"/>
        </w:rPr>
        <w:t>th</w:t>
      </w:r>
      <w:r w:rsidRPr="0057187B">
        <w:rPr>
          <w:rFonts w:ascii="Times New Roman" w:hAnsi="Times New Roman" w:cs="Times New Roman"/>
          <w:sz w:val="24"/>
          <w:szCs w:val="24"/>
        </w:rPr>
        <w:t xml:space="preserve"> century </w:t>
      </w:r>
      <w:r w:rsidR="001D2CE6">
        <w:rPr>
          <w:rFonts w:ascii="Times New Roman" w:hAnsi="Times New Roman" w:cs="Times New Roman"/>
          <w:sz w:val="24"/>
          <w:szCs w:val="24"/>
        </w:rPr>
        <w:t>and was written in the</w:t>
      </w:r>
      <w:r w:rsidRPr="0057187B">
        <w:rPr>
          <w:rFonts w:ascii="Times New Roman" w:hAnsi="Times New Roman" w:cs="Times New Roman"/>
          <w:sz w:val="24"/>
          <w:szCs w:val="24"/>
        </w:rPr>
        <w:t xml:space="preserve"> West Midlands, possibly around Cheshire.</w:t>
      </w:r>
      <w:r w:rsidR="00073DDC">
        <w:rPr>
          <w:rFonts w:ascii="Times New Roman" w:hAnsi="Times New Roman" w:cs="Times New Roman"/>
          <w:sz w:val="24"/>
          <w:szCs w:val="24"/>
        </w:rPr>
        <w:t xml:space="preserve"> </w:t>
      </w:r>
      <w:r w:rsidRPr="0057187B">
        <w:rPr>
          <w:rFonts w:ascii="Times New Roman" w:hAnsi="Times New Roman" w:cs="Times New Roman"/>
          <w:sz w:val="24"/>
          <w:szCs w:val="24"/>
        </w:rPr>
        <w:t>SGGK is considered a masterpiece of mediaeval poetry.</w:t>
      </w:r>
      <w:r w:rsidR="000B6BF4">
        <w:rPr>
          <w:rStyle w:val="FootnoteReference"/>
          <w:rFonts w:ascii="Times New Roman" w:hAnsi="Times New Roman" w:cs="Times New Roman"/>
          <w:sz w:val="24"/>
          <w:szCs w:val="24"/>
        </w:rPr>
        <w:footnoteReference w:id="3"/>
      </w:r>
      <w:r w:rsidRPr="0057187B">
        <w:rPr>
          <w:rFonts w:ascii="Times New Roman" w:hAnsi="Times New Roman" w:cs="Times New Roman"/>
          <w:sz w:val="24"/>
          <w:szCs w:val="24"/>
        </w:rPr>
        <w:t xml:space="preserve"> </w:t>
      </w:r>
      <w:r w:rsidR="006A513A">
        <w:rPr>
          <w:rFonts w:ascii="Times New Roman" w:hAnsi="Times New Roman" w:cs="Times New Roman"/>
          <w:sz w:val="24"/>
          <w:szCs w:val="24"/>
        </w:rPr>
        <w:t xml:space="preserve">From Stone’s translation, the synopsis of SGGK is as follows: </w:t>
      </w:r>
    </w:p>
    <w:p w14:paraId="1BBCA056" w14:textId="656B5CFC" w:rsidR="0057187B" w:rsidRPr="0057187B" w:rsidRDefault="0057187B" w:rsidP="0057187B">
      <w:pPr>
        <w:spacing w:line="360" w:lineRule="auto"/>
        <w:rPr>
          <w:rFonts w:ascii="Times New Roman" w:hAnsi="Times New Roman" w:cs="Times New Roman"/>
          <w:sz w:val="24"/>
          <w:szCs w:val="24"/>
        </w:rPr>
      </w:pPr>
      <w:proofErr w:type="spellStart"/>
      <w:r w:rsidRPr="00790359">
        <w:rPr>
          <w:rFonts w:ascii="Times New Roman" w:hAnsi="Times New Roman" w:cs="Times New Roman"/>
          <w:i/>
          <w:iCs/>
          <w:sz w:val="24"/>
          <w:szCs w:val="24"/>
        </w:rPr>
        <w:t>Fitt</w:t>
      </w:r>
      <w:proofErr w:type="spellEnd"/>
      <w:r w:rsidRPr="00790359">
        <w:rPr>
          <w:rFonts w:ascii="Times New Roman" w:hAnsi="Times New Roman" w:cs="Times New Roman"/>
          <w:i/>
          <w:iCs/>
          <w:sz w:val="24"/>
          <w:szCs w:val="24"/>
        </w:rPr>
        <w:t xml:space="preserve"> 1</w:t>
      </w:r>
      <w:r w:rsidR="001A02CE" w:rsidRPr="00790359">
        <w:rPr>
          <w:rFonts w:ascii="Times New Roman" w:hAnsi="Times New Roman" w:cs="Times New Roman"/>
          <w:i/>
          <w:iCs/>
          <w:sz w:val="24"/>
          <w:szCs w:val="24"/>
        </w:rPr>
        <w:t>:</w:t>
      </w:r>
      <w:r w:rsidRPr="0057187B">
        <w:rPr>
          <w:rFonts w:ascii="Times New Roman" w:hAnsi="Times New Roman" w:cs="Times New Roman"/>
          <w:sz w:val="24"/>
          <w:szCs w:val="24"/>
        </w:rPr>
        <w:t xml:space="preserve"> </w:t>
      </w:r>
      <w:r w:rsidR="001A02CE">
        <w:rPr>
          <w:rFonts w:ascii="Times New Roman" w:hAnsi="Times New Roman" w:cs="Times New Roman"/>
          <w:sz w:val="24"/>
          <w:szCs w:val="24"/>
        </w:rPr>
        <w:t xml:space="preserve">SGGK </w:t>
      </w:r>
      <w:r w:rsidRPr="0057187B">
        <w:rPr>
          <w:rFonts w:ascii="Times New Roman" w:hAnsi="Times New Roman" w:cs="Times New Roman"/>
          <w:sz w:val="24"/>
          <w:szCs w:val="24"/>
        </w:rPr>
        <w:t xml:space="preserve">begins with a New Year’s celebration at Camelot. </w:t>
      </w:r>
      <w:r w:rsidR="001D2CE6">
        <w:rPr>
          <w:rFonts w:ascii="Times New Roman" w:hAnsi="Times New Roman" w:cs="Times New Roman"/>
          <w:sz w:val="24"/>
          <w:szCs w:val="24"/>
        </w:rPr>
        <w:t xml:space="preserve">It </w:t>
      </w:r>
      <w:r w:rsidRPr="0057187B">
        <w:rPr>
          <w:rFonts w:ascii="Times New Roman" w:hAnsi="Times New Roman" w:cs="Times New Roman"/>
          <w:sz w:val="24"/>
          <w:szCs w:val="24"/>
        </w:rPr>
        <w:t xml:space="preserve">introduces some of the main </w:t>
      </w:r>
      <w:r w:rsidR="001D2CE6" w:rsidRPr="0057187B">
        <w:rPr>
          <w:rFonts w:ascii="Times New Roman" w:hAnsi="Times New Roman" w:cs="Times New Roman"/>
          <w:sz w:val="24"/>
          <w:szCs w:val="24"/>
        </w:rPr>
        <w:t>characters and</w:t>
      </w:r>
      <w:r w:rsidRPr="0057187B">
        <w:rPr>
          <w:rFonts w:ascii="Times New Roman" w:hAnsi="Times New Roman" w:cs="Times New Roman"/>
          <w:sz w:val="24"/>
          <w:szCs w:val="24"/>
        </w:rPr>
        <w:t xml:space="preserve"> contextualises King Arthur and Camelot’s place in history. During the merriment, the Green Knight rides in wielding an axe, and challenges anyone present to strike him with it, on the condition that he will strike a return blow a year later. Sir Gawain, Arthur’s nephew, rushes to accept and cuts off the knight’s head. The knight</w:t>
      </w:r>
      <w:r w:rsidR="00A27232">
        <w:rPr>
          <w:rFonts w:ascii="Times New Roman" w:hAnsi="Times New Roman" w:cs="Times New Roman"/>
          <w:sz w:val="24"/>
          <w:szCs w:val="24"/>
        </w:rPr>
        <w:t xml:space="preserve"> </w:t>
      </w:r>
      <w:r w:rsidRPr="0057187B">
        <w:rPr>
          <w:rFonts w:ascii="Times New Roman" w:hAnsi="Times New Roman" w:cs="Times New Roman"/>
          <w:sz w:val="24"/>
          <w:szCs w:val="24"/>
        </w:rPr>
        <w:t xml:space="preserve">picks up his head and tells Gawain to meet him at the Green Chapel in a year, before leaving. </w:t>
      </w:r>
    </w:p>
    <w:p w14:paraId="2E5FC4CF" w14:textId="2616C754" w:rsidR="0057187B" w:rsidRPr="0057187B" w:rsidRDefault="0057187B" w:rsidP="0057187B">
      <w:pPr>
        <w:spacing w:line="360" w:lineRule="auto"/>
        <w:rPr>
          <w:rFonts w:ascii="Times New Roman" w:hAnsi="Times New Roman" w:cs="Times New Roman"/>
          <w:sz w:val="24"/>
          <w:szCs w:val="24"/>
        </w:rPr>
      </w:pPr>
      <w:proofErr w:type="spellStart"/>
      <w:r w:rsidRPr="00790359">
        <w:rPr>
          <w:rFonts w:ascii="Times New Roman" w:hAnsi="Times New Roman" w:cs="Times New Roman"/>
          <w:i/>
          <w:iCs/>
          <w:sz w:val="24"/>
          <w:szCs w:val="24"/>
        </w:rPr>
        <w:t>Fitt</w:t>
      </w:r>
      <w:proofErr w:type="spellEnd"/>
      <w:r w:rsidRPr="00790359">
        <w:rPr>
          <w:rFonts w:ascii="Times New Roman" w:hAnsi="Times New Roman" w:cs="Times New Roman"/>
          <w:i/>
          <w:iCs/>
          <w:sz w:val="24"/>
          <w:szCs w:val="24"/>
        </w:rPr>
        <w:t xml:space="preserve"> 2</w:t>
      </w:r>
      <w:r w:rsidR="00A27232" w:rsidRPr="00790359">
        <w:rPr>
          <w:rFonts w:ascii="Times New Roman" w:hAnsi="Times New Roman" w:cs="Times New Roman"/>
          <w:i/>
          <w:iCs/>
          <w:sz w:val="24"/>
          <w:szCs w:val="24"/>
        </w:rPr>
        <w:t>:</w:t>
      </w:r>
      <w:r w:rsidR="00A27232">
        <w:rPr>
          <w:rFonts w:ascii="Times New Roman" w:hAnsi="Times New Roman" w:cs="Times New Roman"/>
          <w:sz w:val="24"/>
          <w:szCs w:val="24"/>
        </w:rPr>
        <w:t xml:space="preserve"> </w:t>
      </w:r>
      <w:r w:rsidRPr="0057187B">
        <w:rPr>
          <w:rFonts w:ascii="Times New Roman" w:hAnsi="Times New Roman" w:cs="Times New Roman"/>
          <w:sz w:val="24"/>
          <w:szCs w:val="24"/>
        </w:rPr>
        <w:t xml:space="preserve">ten months later, Gawain sets off to meet his fate. </w:t>
      </w:r>
      <w:r w:rsidR="00A27232">
        <w:rPr>
          <w:rFonts w:ascii="Times New Roman" w:hAnsi="Times New Roman" w:cs="Times New Roman"/>
          <w:sz w:val="24"/>
          <w:szCs w:val="24"/>
        </w:rPr>
        <w:t>He j</w:t>
      </w:r>
      <w:r w:rsidRPr="0057187B">
        <w:rPr>
          <w:rFonts w:ascii="Times New Roman" w:hAnsi="Times New Roman" w:cs="Times New Roman"/>
          <w:sz w:val="24"/>
          <w:szCs w:val="24"/>
        </w:rPr>
        <w:t>ourney</w:t>
      </w:r>
      <w:r w:rsidR="00A27232">
        <w:rPr>
          <w:rFonts w:ascii="Times New Roman" w:hAnsi="Times New Roman" w:cs="Times New Roman"/>
          <w:sz w:val="24"/>
          <w:szCs w:val="24"/>
        </w:rPr>
        <w:t>s</w:t>
      </w:r>
      <w:r w:rsidRPr="0057187B">
        <w:rPr>
          <w:rFonts w:ascii="Times New Roman" w:hAnsi="Times New Roman" w:cs="Times New Roman"/>
          <w:sz w:val="24"/>
          <w:szCs w:val="24"/>
        </w:rPr>
        <w:t xml:space="preserve"> through Wales and into England where he finds a castle whose lord invites him to stay and res</w:t>
      </w:r>
      <w:r w:rsidR="00A27232">
        <w:rPr>
          <w:rFonts w:ascii="Times New Roman" w:hAnsi="Times New Roman" w:cs="Times New Roman"/>
          <w:sz w:val="24"/>
          <w:szCs w:val="24"/>
        </w:rPr>
        <w:t>t</w:t>
      </w:r>
      <w:r w:rsidRPr="0057187B">
        <w:rPr>
          <w:rFonts w:ascii="Times New Roman" w:hAnsi="Times New Roman" w:cs="Times New Roman"/>
          <w:sz w:val="24"/>
          <w:szCs w:val="24"/>
        </w:rPr>
        <w:t xml:space="preserve">. The Lord Bertilak proposes that he recuperate and be entertained by his wife while he hunts, and that at the end of each day, the two men will exchange what they have gained. </w:t>
      </w:r>
    </w:p>
    <w:p w14:paraId="2B0DF5B5" w14:textId="35855822" w:rsidR="0057187B" w:rsidRPr="0057187B" w:rsidRDefault="0057187B" w:rsidP="0057187B">
      <w:pPr>
        <w:spacing w:line="360" w:lineRule="auto"/>
        <w:rPr>
          <w:rFonts w:ascii="Times New Roman" w:hAnsi="Times New Roman" w:cs="Times New Roman"/>
          <w:sz w:val="24"/>
          <w:szCs w:val="24"/>
        </w:rPr>
      </w:pPr>
      <w:proofErr w:type="spellStart"/>
      <w:r w:rsidRPr="00790359">
        <w:rPr>
          <w:rFonts w:ascii="Times New Roman" w:hAnsi="Times New Roman" w:cs="Times New Roman"/>
          <w:i/>
          <w:iCs/>
          <w:sz w:val="24"/>
          <w:szCs w:val="24"/>
        </w:rPr>
        <w:t>Fitt</w:t>
      </w:r>
      <w:proofErr w:type="spellEnd"/>
      <w:r w:rsidRPr="00790359">
        <w:rPr>
          <w:rFonts w:ascii="Times New Roman" w:hAnsi="Times New Roman" w:cs="Times New Roman"/>
          <w:i/>
          <w:iCs/>
          <w:sz w:val="24"/>
          <w:szCs w:val="24"/>
        </w:rPr>
        <w:t xml:space="preserve"> 3</w:t>
      </w:r>
      <w:r w:rsidR="001D2CE6" w:rsidRPr="00790359">
        <w:rPr>
          <w:rFonts w:ascii="Times New Roman" w:hAnsi="Times New Roman" w:cs="Times New Roman"/>
          <w:i/>
          <w:iCs/>
          <w:sz w:val="24"/>
          <w:szCs w:val="24"/>
        </w:rPr>
        <w:t>:</w:t>
      </w:r>
      <w:r w:rsidR="001D2CE6">
        <w:rPr>
          <w:rFonts w:ascii="Times New Roman" w:hAnsi="Times New Roman" w:cs="Times New Roman"/>
          <w:sz w:val="24"/>
          <w:szCs w:val="24"/>
        </w:rPr>
        <w:t xml:space="preserve"> </w:t>
      </w:r>
      <w:r w:rsidRPr="0057187B">
        <w:rPr>
          <w:rFonts w:ascii="Times New Roman" w:hAnsi="Times New Roman" w:cs="Times New Roman"/>
          <w:sz w:val="24"/>
          <w:szCs w:val="24"/>
        </w:rPr>
        <w:t xml:space="preserve">Lord Bertilak </w:t>
      </w:r>
      <w:r w:rsidR="001D2CE6">
        <w:rPr>
          <w:rFonts w:ascii="Times New Roman" w:hAnsi="Times New Roman" w:cs="Times New Roman"/>
          <w:sz w:val="24"/>
          <w:szCs w:val="24"/>
        </w:rPr>
        <w:t>hunts</w:t>
      </w:r>
      <w:r w:rsidRPr="0057187B">
        <w:rPr>
          <w:rFonts w:ascii="Times New Roman" w:hAnsi="Times New Roman" w:cs="Times New Roman"/>
          <w:sz w:val="24"/>
          <w:szCs w:val="24"/>
        </w:rPr>
        <w:t xml:space="preserve"> deer, boar and fox, while Gawain and Lady Bertilak talk. The lady attempts to seduce Gawain, who gives only kisses, and dutifully gifts these to the lord at the end of each day. On the third day, Lady Bertilak offers Gawain a magical girdle that will protect him from harm. Gawain, fearing for his life, accepts, and does not share this with Lord Bertilak. </w:t>
      </w:r>
    </w:p>
    <w:p w14:paraId="5197DAEF" w14:textId="1707F6D9" w:rsidR="0057187B" w:rsidRPr="0057187B" w:rsidRDefault="0057187B" w:rsidP="0057187B">
      <w:pPr>
        <w:spacing w:line="360" w:lineRule="auto"/>
        <w:rPr>
          <w:rFonts w:ascii="Times New Roman" w:hAnsi="Times New Roman" w:cs="Times New Roman"/>
          <w:sz w:val="24"/>
          <w:szCs w:val="24"/>
        </w:rPr>
      </w:pPr>
      <w:proofErr w:type="spellStart"/>
      <w:r w:rsidRPr="00790359">
        <w:rPr>
          <w:rFonts w:ascii="Times New Roman" w:hAnsi="Times New Roman" w:cs="Times New Roman"/>
          <w:i/>
          <w:iCs/>
          <w:sz w:val="24"/>
          <w:szCs w:val="24"/>
        </w:rPr>
        <w:lastRenderedPageBreak/>
        <w:t>Fitt</w:t>
      </w:r>
      <w:proofErr w:type="spellEnd"/>
      <w:r w:rsidRPr="00790359">
        <w:rPr>
          <w:rFonts w:ascii="Times New Roman" w:hAnsi="Times New Roman" w:cs="Times New Roman"/>
          <w:i/>
          <w:iCs/>
          <w:sz w:val="24"/>
          <w:szCs w:val="24"/>
        </w:rPr>
        <w:t xml:space="preserve"> 4</w:t>
      </w:r>
      <w:r w:rsidR="00A27232" w:rsidRPr="00790359">
        <w:rPr>
          <w:rFonts w:ascii="Times New Roman" w:hAnsi="Times New Roman" w:cs="Times New Roman"/>
          <w:i/>
          <w:iCs/>
          <w:sz w:val="24"/>
          <w:szCs w:val="24"/>
        </w:rPr>
        <w:t>:</w:t>
      </w:r>
      <w:r w:rsidR="00A27232">
        <w:rPr>
          <w:rFonts w:ascii="Times New Roman" w:hAnsi="Times New Roman" w:cs="Times New Roman"/>
          <w:sz w:val="24"/>
          <w:szCs w:val="24"/>
        </w:rPr>
        <w:t xml:space="preserve"> </w:t>
      </w:r>
      <w:r w:rsidRPr="0057187B">
        <w:rPr>
          <w:rFonts w:ascii="Times New Roman" w:hAnsi="Times New Roman" w:cs="Times New Roman"/>
          <w:sz w:val="24"/>
          <w:szCs w:val="24"/>
        </w:rPr>
        <w:t>Gawain meet</w:t>
      </w:r>
      <w:r w:rsidR="00A27232">
        <w:rPr>
          <w:rFonts w:ascii="Times New Roman" w:hAnsi="Times New Roman" w:cs="Times New Roman"/>
          <w:sz w:val="24"/>
          <w:szCs w:val="24"/>
        </w:rPr>
        <w:t>s</w:t>
      </w:r>
      <w:r w:rsidRPr="0057187B">
        <w:rPr>
          <w:rFonts w:ascii="Times New Roman" w:hAnsi="Times New Roman" w:cs="Times New Roman"/>
          <w:sz w:val="24"/>
          <w:szCs w:val="24"/>
        </w:rPr>
        <w:t xml:space="preserve"> the Green Knight, who swings at him three times, just nicking his neck on the third. He explains that he is Lord Bertilak, and the two feinted blows were for the two times Gawain was honest, while the nick was for his dishonesty in not giving up the girdle. Gawain is shamed and wears the girdle home to show it. The court </w:t>
      </w:r>
      <w:r w:rsidR="000336F2">
        <w:rPr>
          <w:rFonts w:ascii="Times New Roman" w:hAnsi="Times New Roman" w:cs="Times New Roman"/>
          <w:sz w:val="24"/>
          <w:szCs w:val="24"/>
        </w:rPr>
        <w:t>receives Gawain as a hero.</w:t>
      </w:r>
      <w:r w:rsidR="001A02CE">
        <w:rPr>
          <w:rStyle w:val="FootnoteReference"/>
          <w:rFonts w:ascii="Times New Roman" w:hAnsi="Times New Roman" w:cs="Times New Roman"/>
          <w:sz w:val="24"/>
          <w:szCs w:val="24"/>
        </w:rPr>
        <w:footnoteReference w:id="4"/>
      </w:r>
      <w:r w:rsidR="000336F2">
        <w:rPr>
          <w:rFonts w:ascii="Times New Roman" w:hAnsi="Times New Roman" w:cs="Times New Roman"/>
          <w:sz w:val="24"/>
          <w:szCs w:val="24"/>
        </w:rPr>
        <w:t xml:space="preserve"> </w:t>
      </w:r>
      <w:r w:rsidRPr="0057187B">
        <w:rPr>
          <w:rFonts w:ascii="Times New Roman" w:hAnsi="Times New Roman" w:cs="Times New Roman"/>
          <w:sz w:val="24"/>
          <w:szCs w:val="24"/>
        </w:rPr>
        <w:t xml:space="preserve"> </w:t>
      </w:r>
    </w:p>
    <w:p w14:paraId="34619F00" w14:textId="4301E753" w:rsidR="0057187B" w:rsidRPr="0057187B" w:rsidRDefault="0057187B" w:rsidP="0057187B">
      <w:pPr>
        <w:spacing w:line="360" w:lineRule="auto"/>
        <w:rPr>
          <w:rFonts w:ascii="Times New Roman" w:hAnsi="Times New Roman" w:cs="Times New Roman"/>
          <w:sz w:val="24"/>
          <w:szCs w:val="24"/>
        </w:rPr>
      </w:pPr>
      <w:r w:rsidRPr="0057187B">
        <w:rPr>
          <w:rFonts w:ascii="Times New Roman" w:hAnsi="Times New Roman" w:cs="Times New Roman"/>
          <w:sz w:val="24"/>
          <w:szCs w:val="24"/>
        </w:rPr>
        <w:t>The poem is expertly crafted, making references to historical events to add context to Arthur and Camelot.</w:t>
      </w:r>
      <w:r w:rsidR="001A02CE">
        <w:rPr>
          <w:rStyle w:val="FootnoteReference"/>
          <w:rFonts w:ascii="Times New Roman" w:hAnsi="Times New Roman" w:cs="Times New Roman"/>
          <w:sz w:val="24"/>
          <w:szCs w:val="24"/>
        </w:rPr>
        <w:footnoteReference w:id="5"/>
      </w:r>
      <w:r w:rsidRPr="0057187B">
        <w:rPr>
          <w:rFonts w:ascii="Times New Roman" w:hAnsi="Times New Roman" w:cs="Times New Roman"/>
          <w:sz w:val="24"/>
          <w:szCs w:val="24"/>
        </w:rPr>
        <w:t xml:space="preserve"> It features Christian and Pagan motifs, the cycles of the seasons, adventure, romance and games, which were hugely popular in mediaeval literature and myth. The language used in SGGK is rich and emotive, with superb attention to detail given throughout. </w:t>
      </w:r>
      <w:r w:rsidR="000336F2">
        <w:rPr>
          <w:rFonts w:ascii="Times New Roman" w:hAnsi="Times New Roman" w:cs="Times New Roman"/>
          <w:sz w:val="24"/>
          <w:szCs w:val="24"/>
        </w:rPr>
        <w:t>Of the description of</w:t>
      </w:r>
      <w:r w:rsidRPr="0057187B">
        <w:rPr>
          <w:rFonts w:ascii="Times New Roman" w:hAnsi="Times New Roman" w:cs="Times New Roman"/>
          <w:sz w:val="24"/>
          <w:szCs w:val="24"/>
        </w:rPr>
        <w:t xml:space="preserve"> the Green Knight, Sadowski writes that some of the stanzas (lines 151-231) are ‘probably unrivalled in medi</w:t>
      </w:r>
      <w:r w:rsidR="001A02CE">
        <w:rPr>
          <w:rFonts w:ascii="Times New Roman" w:hAnsi="Times New Roman" w:cs="Times New Roman"/>
          <w:sz w:val="24"/>
          <w:szCs w:val="24"/>
        </w:rPr>
        <w:t>a</w:t>
      </w:r>
      <w:r w:rsidRPr="0057187B">
        <w:rPr>
          <w:rFonts w:ascii="Times New Roman" w:hAnsi="Times New Roman" w:cs="Times New Roman"/>
          <w:sz w:val="24"/>
          <w:szCs w:val="24"/>
        </w:rPr>
        <w:t>eval literature’.</w:t>
      </w:r>
      <w:r w:rsidRPr="0057187B">
        <w:rPr>
          <w:rStyle w:val="FootnoteReference"/>
          <w:rFonts w:ascii="Times New Roman" w:hAnsi="Times New Roman" w:cs="Times New Roman"/>
          <w:sz w:val="24"/>
          <w:szCs w:val="24"/>
        </w:rPr>
        <w:footnoteReference w:id="6"/>
      </w:r>
      <w:r w:rsidRPr="0057187B">
        <w:rPr>
          <w:rFonts w:ascii="Times New Roman" w:hAnsi="Times New Roman" w:cs="Times New Roman"/>
          <w:sz w:val="24"/>
          <w:szCs w:val="24"/>
        </w:rPr>
        <w:t xml:space="preserve"> To quote from Tolkien’s translation: ‘for there / his glance was as lightning bright / so did all that saw him swear / no man would have the might / they thought, his blows to bear.’</w:t>
      </w:r>
      <w:r w:rsidR="001A02CE">
        <w:rPr>
          <w:rStyle w:val="FootnoteReference"/>
          <w:rFonts w:ascii="Times New Roman" w:hAnsi="Times New Roman" w:cs="Times New Roman"/>
          <w:sz w:val="24"/>
          <w:szCs w:val="24"/>
        </w:rPr>
        <w:footnoteReference w:id="7"/>
      </w:r>
      <w:r w:rsidRPr="0057187B">
        <w:rPr>
          <w:rFonts w:ascii="Times New Roman" w:hAnsi="Times New Roman" w:cs="Times New Roman"/>
          <w:sz w:val="24"/>
          <w:szCs w:val="24"/>
        </w:rPr>
        <w:t xml:space="preserve"> </w:t>
      </w:r>
      <w:r w:rsidR="000336F2">
        <w:rPr>
          <w:rFonts w:ascii="Times New Roman" w:hAnsi="Times New Roman" w:cs="Times New Roman"/>
          <w:sz w:val="24"/>
          <w:szCs w:val="24"/>
        </w:rPr>
        <w:t>This stanza is a good example of the bob-and-wheel structure</w:t>
      </w:r>
      <w:r w:rsidR="001A02CE">
        <w:rPr>
          <w:rFonts w:ascii="Times New Roman" w:hAnsi="Times New Roman" w:cs="Times New Roman"/>
          <w:sz w:val="24"/>
          <w:szCs w:val="24"/>
        </w:rPr>
        <w:t xml:space="preserve"> mentioned earlier in the essay</w:t>
      </w:r>
      <w:r w:rsidR="000336F2">
        <w:rPr>
          <w:rFonts w:ascii="Times New Roman" w:hAnsi="Times New Roman" w:cs="Times New Roman"/>
          <w:sz w:val="24"/>
          <w:szCs w:val="24"/>
        </w:rPr>
        <w:t xml:space="preserve">. </w:t>
      </w:r>
    </w:p>
    <w:p w14:paraId="201DA515" w14:textId="3B144075" w:rsidR="0057187B" w:rsidRDefault="0057187B" w:rsidP="0057187B">
      <w:pPr>
        <w:spacing w:line="360" w:lineRule="auto"/>
        <w:rPr>
          <w:rStyle w:val="Emphasis"/>
          <w:rFonts w:ascii="Times New Roman" w:hAnsi="Times New Roman" w:cs="Times New Roman"/>
          <w:i w:val="0"/>
          <w:iCs w:val="0"/>
          <w:sz w:val="24"/>
          <w:szCs w:val="24"/>
          <w:shd w:val="clear" w:color="auto" w:fill="FFFFFF"/>
        </w:rPr>
      </w:pPr>
      <w:r w:rsidRPr="0057187B">
        <w:rPr>
          <w:rFonts w:ascii="Times New Roman" w:hAnsi="Times New Roman" w:cs="Times New Roman"/>
          <w:sz w:val="24"/>
          <w:szCs w:val="24"/>
        </w:rPr>
        <w:t xml:space="preserve"> Tolkien writes that the metre, style and language are different to Chaucer, the Gawain-poet’s presumed contemporary, and that these differences may be partly to blame for </w:t>
      </w:r>
      <w:r w:rsidR="000336F2">
        <w:rPr>
          <w:rFonts w:ascii="Times New Roman" w:hAnsi="Times New Roman" w:cs="Times New Roman"/>
          <w:sz w:val="24"/>
          <w:szCs w:val="24"/>
        </w:rPr>
        <w:t>his anonymity</w:t>
      </w:r>
      <w:r w:rsidRPr="0057187B">
        <w:rPr>
          <w:rFonts w:ascii="Times New Roman" w:hAnsi="Times New Roman" w:cs="Times New Roman"/>
          <w:sz w:val="24"/>
          <w:szCs w:val="24"/>
        </w:rPr>
        <w:t>.</w:t>
      </w:r>
      <w:r w:rsidR="001A02CE">
        <w:rPr>
          <w:rStyle w:val="FootnoteReference"/>
          <w:rFonts w:ascii="Times New Roman" w:hAnsi="Times New Roman" w:cs="Times New Roman"/>
          <w:sz w:val="24"/>
          <w:szCs w:val="24"/>
        </w:rPr>
        <w:footnoteReference w:id="8"/>
      </w:r>
      <w:r w:rsidRPr="0057187B">
        <w:rPr>
          <w:rFonts w:ascii="Times New Roman" w:hAnsi="Times New Roman" w:cs="Times New Roman"/>
          <w:sz w:val="24"/>
          <w:szCs w:val="24"/>
        </w:rPr>
        <w:t xml:space="preserve"> Stone concurs that the style of SGGK is quite different to contemporary romances, noting that it seems to be influenced by older Anglo-Saxon and Norse poetry.</w:t>
      </w:r>
      <w:r w:rsidR="001A02CE">
        <w:rPr>
          <w:rStyle w:val="FootnoteReference"/>
          <w:rFonts w:ascii="Times New Roman" w:hAnsi="Times New Roman" w:cs="Times New Roman"/>
          <w:sz w:val="24"/>
          <w:szCs w:val="24"/>
        </w:rPr>
        <w:footnoteReference w:id="9"/>
      </w:r>
      <w:r w:rsidRPr="0057187B">
        <w:rPr>
          <w:rFonts w:ascii="Times New Roman" w:hAnsi="Times New Roman" w:cs="Times New Roman"/>
          <w:sz w:val="24"/>
          <w:szCs w:val="24"/>
        </w:rPr>
        <w:t xml:space="preserve"> SGGK features many religious motifs, both Christian and Pagan, and this </w:t>
      </w:r>
      <w:r w:rsidR="00470EF3">
        <w:rPr>
          <w:rFonts w:ascii="Times New Roman" w:hAnsi="Times New Roman" w:cs="Times New Roman"/>
          <w:sz w:val="24"/>
          <w:szCs w:val="24"/>
        </w:rPr>
        <w:t xml:space="preserve">presents a </w:t>
      </w:r>
      <w:r w:rsidRPr="0057187B">
        <w:rPr>
          <w:rFonts w:ascii="Times New Roman" w:hAnsi="Times New Roman" w:cs="Times New Roman"/>
          <w:sz w:val="24"/>
          <w:szCs w:val="24"/>
        </w:rPr>
        <w:t>juxtaposition</w:t>
      </w:r>
      <w:r w:rsidR="00470EF3">
        <w:rPr>
          <w:rFonts w:ascii="Times New Roman" w:hAnsi="Times New Roman" w:cs="Times New Roman"/>
          <w:sz w:val="24"/>
          <w:szCs w:val="24"/>
        </w:rPr>
        <w:t>.</w:t>
      </w:r>
      <w:r w:rsidRPr="0057187B">
        <w:rPr>
          <w:rFonts w:ascii="Times New Roman" w:hAnsi="Times New Roman" w:cs="Times New Roman"/>
          <w:sz w:val="24"/>
          <w:szCs w:val="24"/>
        </w:rPr>
        <w:t xml:space="preserve"> Gawain is a Christian who wields a shield decorated with a pentangle, a Pagan symbol, and Lord Bertilak is a Christian who rejects most courtly norms, living </w:t>
      </w:r>
      <w:r w:rsidR="001A02CE">
        <w:rPr>
          <w:rFonts w:ascii="Times New Roman" w:hAnsi="Times New Roman" w:cs="Times New Roman"/>
          <w:sz w:val="24"/>
          <w:szCs w:val="24"/>
        </w:rPr>
        <w:t>meagrely</w:t>
      </w:r>
      <w:r w:rsidR="00470EF3">
        <w:rPr>
          <w:rFonts w:ascii="Times New Roman" w:hAnsi="Times New Roman" w:cs="Times New Roman"/>
          <w:sz w:val="24"/>
          <w:szCs w:val="24"/>
        </w:rPr>
        <w:t xml:space="preserve"> </w:t>
      </w:r>
      <w:r w:rsidRPr="0057187B">
        <w:rPr>
          <w:rFonts w:ascii="Times New Roman" w:hAnsi="Times New Roman" w:cs="Times New Roman"/>
          <w:sz w:val="24"/>
          <w:szCs w:val="24"/>
        </w:rPr>
        <w:t>in the wild</w:t>
      </w:r>
      <w:r w:rsidR="001A02CE">
        <w:rPr>
          <w:rFonts w:ascii="Times New Roman" w:hAnsi="Times New Roman" w:cs="Times New Roman"/>
          <w:sz w:val="24"/>
          <w:szCs w:val="24"/>
        </w:rPr>
        <w:t>s</w:t>
      </w:r>
      <w:r w:rsidR="00470EF3">
        <w:rPr>
          <w:rFonts w:ascii="Times New Roman" w:hAnsi="Times New Roman" w:cs="Times New Roman"/>
          <w:sz w:val="24"/>
          <w:szCs w:val="24"/>
        </w:rPr>
        <w:t>. This</w:t>
      </w:r>
      <w:r w:rsidRPr="0057187B">
        <w:rPr>
          <w:rFonts w:ascii="Times New Roman" w:hAnsi="Times New Roman" w:cs="Times New Roman"/>
          <w:sz w:val="24"/>
          <w:szCs w:val="24"/>
        </w:rPr>
        <w:t xml:space="preserve"> connects the story both with its contemporary, mostly Christian audience, and older traditions too. The tale of SGGK feels a lot older than it is because of these details, and this has led to some discussion among scholars on whether it could be older than the 14</w:t>
      </w:r>
      <w:r w:rsidRPr="0057187B">
        <w:rPr>
          <w:rFonts w:ascii="Times New Roman" w:hAnsi="Times New Roman" w:cs="Times New Roman"/>
          <w:sz w:val="24"/>
          <w:szCs w:val="24"/>
          <w:vertAlign w:val="superscript"/>
        </w:rPr>
        <w:t>th</w:t>
      </w:r>
      <w:r w:rsidRPr="0057187B">
        <w:rPr>
          <w:rFonts w:ascii="Times New Roman" w:hAnsi="Times New Roman" w:cs="Times New Roman"/>
          <w:sz w:val="24"/>
          <w:szCs w:val="24"/>
        </w:rPr>
        <w:t xml:space="preserve"> </w:t>
      </w:r>
      <w:r w:rsidRPr="0057187B">
        <w:rPr>
          <w:rFonts w:ascii="Times New Roman" w:hAnsi="Times New Roman" w:cs="Times New Roman"/>
          <w:sz w:val="24"/>
          <w:szCs w:val="24"/>
        </w:rPr>
        <w:lastRenderedPageBreak/>
        <w:t>century.</w:t>
      </w:r>
      <w:r w:rsidR="00D7376F">
        <w:rPr>
          <w:rStyle w:val="FootnoteReference"/>
          <w:rFonts w:ascii="Times New Roman" w:hAnsi="Times New Roman" w:cs="Times New Roman"/>
          <w:sz w:val="24"/>
          <w:szCs w:val="24"/>
        </w:rPr>
        <w:footnoteReference w:id="10"/>
      </w:r>
      <w:r w:rsidRPr="0057187B">
        <w:rPr>
          <w:rFonts w:ascii="Times New Roman" w:hAnsi="Times New Roman" w:cs="Times New Roman"/>
          <w:sz w:val="24"/>
          <w:szCs w:val="24"/>
        </w:rPr>
        <w:t xml:space="preserve"> The beheading mirrors older stories, such as the trials </w:t>
      </w:r>
      <w:proofErr w:type="spellStart"/>
      <w:r w:rsidRPr="0057187B">
        <w:rPr>
          <w:rStyle w:val="Emphasis"/>
          <w:rFonts w:ascii="Times New Roman" w:hAnsi="Times New Roman" w:cs="Times New Roman"/>
          <w:i w:val="0"/>
          <w:iCs w:val="0"/>
          <w:sz w:val="24"/>
          <w:szCs w:val="24"/>
          <w:shd w:val="clear" w:color="auto" w:fill="FFFFFF"/>
        </w:rPr>
        <w:t>Cú</w:t>
      </w:r>
      <w:proofErr w:type="spellEnd"/>
      <w:r w:rsidRPr="0057187B">
        <w:rPr>
          <w:rStyle w:val="Emphasis"/>
          <w:rFonts w:ascii="Times New Roman" w:hAnsi="Times New Roman" w:cs="Times New Roman"/>
          <w:i w:val="0"/>
          <w:iCs w:val="0"/>
          <w:sz w:val="24"/>
          <w:szCs w:val="24"/>
          <w:shd w:val="clear" w:color="auto" w:fill="FFFFFF"/>
        </w:rPr>
        <w:t xml:space="preserve"> </w:t>
      </w:r>
      <w:proofErr w:type="spellStart"/>
      <w:r w:rsidRPr="0057187B">
        <w:rPr>
          <w:rStyle w:val="Emphasis"/>
          <w:rFonts w:ascii="Times New Roman" w:hAnsi="Times New Roman" w:cs="Times New Roman"/>
          <w:i w:val="0"/>
          <w:iCs w:val="0"/>
          <w:sz w:val="24"/>
          <w:szCs w:val="24"/>
          <w:shd w:val="clear" w:color="auto" w:fill="FFFFFF"/>
        </w:rPr>
        <w:t>Chulainn</w:t>
      </w:r>
      <w:proofErr w:type="spellEnd"/>
      <w:r w:rsidRPr="0057187B">
        <w:rPr>
          <w:rStyle w:val="Emphasis"/>
          <w:rFonts w:ascii="Times New Roman" w:hAnsi="Times New Roman" w:cs="Times New Roman"/>
          <w:i w:val="0"/>
          <w:iCs w:val="0"/>
          <w:sz w:val="24"/>
          <w:szCs w:val="24"/>
          <w:shd w:val="clear" w:color="auto" w:fill="FFFFFF"/>
        </w:rPr>
        <w:t xml:space="preserve"> faced in </w:t>
      </w:r>
      <w:proofErr w:type="spellStart"/>
      <w:r w:rsidRPr="0057187B">
        <w:rPr>
          <w:rStyle w:val="Emphasis"/>
          <w:rFonts w:ascii="Times New Roman" w:hAnsi="Times New Roman" w:cs="Times New Roman"/>
          <w:i w:val="0"/>
          <w:iCs w:val="0"/>
          <w:sz w:val="24"/>
          <w:szCs w:val="24"/>
          <w:shd w:val="clear" w:color="auto" w:fill="FFFFFF"/>
        </w:rPr>
        <w:t>Bricriu’s</w:t>
      </w:r>
      <w:proofErr w:type="spellEnd"/>
      <w:r w:rsidRPr="0057187B">
        <w:rPr>
          <w:rStyle w:val="Emphasis"/>
          <w:rFonts w:ascii="Times New Roman" w:hAnsi="Times New Roman" w:cs="Times New Roman"/>
          <w:i w:val="0"/>
          <w:iCs w:val="0"/>
          <w:sz w:val="24"/>
          <w:szCs w:val="24"/>
          <w:shd w:val="clear" w:color="auto" w:fill="FFFFFF"/>
        </w:rPr>
        <w:t xml:space="preserve"> Feast</w:t>
      </w:r>
      <w:r>
        <w:rPr>
          <w:rStyle w:val="Emphasis"/>
          <w:rFonts w:ascii="Times New Roman" w:hAnsi="Times New Roman" w:cs="Times New Roman"/>
          <w:i w:val="0"/>
          <w:iCs w:val="0"/>
          <w:sz w:val="24"/>
          <w:szCs w:val="24"/>
          <w:shd w:val="clear" w:color="auto" w:fill="FFFFFF"/>
        </w:rPr>
        <w:t>, and Lancelot’s beheading trial in the 13</w:t>
      </w:r>
      <w:r w:rsidRPr="0057187B">
        <w:rPr>
          <w:rStyle w:val="Emphasis"/>
          <w:rFonts w:ascii="Times New Roman" w:hAnsi="Times New Roman" w:cs="Times New Roman"/>
          <w:i w:val="0"/>
          <w:iCs w:val="0"/>
          <w:sz w:val="24"/>
          <w:szCs w:val="24"/>
          <w:shd w:val="clear" w:color="auto" w:fill="FFFFFF"/>
          <w:vertAlign w:val="superscript"/>
        </w:rPr>
        <w:t>th</w:t>
      </w:r>
      <w:r>
        <w:rPr>
          <w:rStyle w:val="Emphasis"/>
          <w:rFonts w:ascii="Times New Roman" w:hAnsi="Times New Roman" w:cs="Times New Roman"/>
          <w:i w:val="0"/>
          <w:iCs w:val="0"/>
          <w:sz w:val="24"/>
          <w:szCs w:val="24"/>
          <w:shd w:val="clear" w:color="auto" w:fill="FFFFFF"/>
        </w:rPr>
        <w:t xml:space="preserve"> century </w:t>
      </w:r>
      <w:proofErr w:type="spellStart"/>
      <w:r>
        <w:rPr>
          <w:rStyle w:val="Emphasis"/>
          <w:rFonts w:ascii="Times New Roman" w:hAnsi="Times New Roman" w:cs="Times New Roman"/>
          <w:i w:val="0"/>
          <w:iCs w:val="0"/>
          <w:sz w:val="24"/>
          <w:szCs w:val="24"/>
          <w:shd w:val="clear" w:color="auto" w:fill="FFFFFF"/>
        </w:rPr>
        <w:t>Perlesvaut</w:t>
      </w:r>
      <w:proofErr w:type="spellEnd"/>
      <w:r w:rsidRPr="0057187B">
        <w:rPr>
          <w:rStyle w:val="Emphasis"/>
          <w:rFonts w:ascii="Times New Roman" w:hAnsi="Times New Roman" w:cs="Times New Roman"/>
          <w:i w:val="0"/>
          <w:iCs w:val="0"/>
          <w:sz w:val="24"/>
          <w:szCs w:val="24"/>
          <w:shd w:val="clear" w:color="auto" w:fill="FFFFFF"/>
        </w:rPr>
        <w:t>.</w:t>
      </w:r>
      <w:r w:rsidR="00D7376F">
        <w:rPr>
          <w:rStyle w:val="FootnoteReference"/>
          <w:rFonts w:ascii="Times New Roman" w:hAnsi="Times New Roman" w:cs="Times New Roman"/>
          <w:sz w:val="24"/>
          <w:szCs w:val="24"/>
          <w:shd w:val="clear" w:color="auto" w:fill="FFFFFF"/>
        </w:rPr>
        <w:footnoteReference w:id="11"/>
      </w:r>
      <w:r w:rsidRPr="0057187B">
        <w:rPr>
          <w:rStyle w:val="Emphasis"/>
          <w:rFonts w:ascii="Times New Roman" w:hAnsi="Times New Roman" w:cs="Times New Roman"/>
          <w:i w:val="0"/>
          <w:iCs w:val="0"/>
          <w:sz w:val="24"/>
          <w:szCs w:val="24"/>
          <w:shd w:val="clear" w:color="auto" w:fill="FFFFFF"/>
        </w:rPr>
        <w:t xml:space="preserve"> </w:t>
      </w:r>
    </w:p>
    <w:p w14:paraId="67CF3BCC" w14:textId="2DE673DF" w:rsidR="0057187B" w:rsidRPr="00731043" w:rsidRDefault="0057187B" w:rsidP="0057187B">
      <w:pPr>
        <w:spacing w:line="360" w:lineRule="auto"/>
        <w:rPr>
          <w:rFonts w:ascii="Times New Roman" w:hAnsi="Times New Roman" w:cs="Times New Roman"/>
          <w:sz w:val="24"/>
          <w:szCs w:val="24"/>
        </w:rPr>
      </w:pPr>
      <w:r w:rsidRPr="00731043">
        <w:rPr>
          <w:rFonts w:ascii="Times New Roman" w:hAnsi="Times New Roman" w:cs="Times New Roman"/>
          <w:sz w:val="24"/>
          <w:szCs w:val="24"/>
        </w:rPr>
        <w:t>SGGK carefully contrasts the extravagance and order of court life in Camelot with the evocative, raw wilderness of Wales and the Green Chapel.</w:t>
      </w:r>
      <w:r w:rsidRPr="00731043">
        <w:rPr>
          <w:rStyle w:val="FootnoteReference"/>
          <w:rFonts w:ascii="Times New Roman" w:hAnsi="Times New Roman" w:cs="Times New Roman"/>
          <w:sz w:val="24"/>
          <w:szCs w:val="24"/>
        </w:rPr>
        <w:footnoteReference w:id="12"/>
      </w:r>
      <w:r w:rsidRPr="00731043">
        <w:rPr>
          <w:rFonts w:ascii="Times New Roman" w:hAnsi="Times New Roman" w:cs="Times New Roman"/>
          <w:sz w:val="24"/>
          <w:szCs w:val="24"/>
        </w:rPr>
        <w:t xml:space="preserve"> This contrast in the external world mirrors the internal battle Gawain faces throughout the poem; that of the chivalric code and Christian ideals he lives by, </w:t>
      </w:r>
      <w:r w:rsidR="00470EF3">
        <w:rPr>
          <w:rFonts w:ascii="Times New Roman" w:hAnsi="Times New Roman" w:cs="Times New Roman"/>
          <w:sz w:val="24"/>
          <w:szCs w:val="24"/>
        </w:rPr>
        <w:t>with</w:t>
      </w:r>
      <w:r w:rsidRPr="00731043">
        <w:rPr>
          <w:rFonts w:ascii="Times New Roman" w:hAnsi="Times New Roman" w:cs="Times New Roman"/>
          <w:sz w:val="24"/>
          <w:szCs w:val="24"/>
        </w:rPr>
        <w:t xml:space="preserve"> his base emotional nature. Gawain is surprisingly relatable and relevant to this day, because it is a fundamental part of being human to be afraid, to be attracted to other people, to believe in magic and make mistakes. The mistakes made by Gawain throughout the poem – his hastiness in facing the Green Knight, his affair with Lady Bertilak and lies to Lord Bertilak, his acceptance of the green girdle – all make him human, in a story whose cast members are often supernaturally gifted. This humanness is what makes the tale of SGGK so well-renowned to this day. Gawain is shown to be vulnerable</w:t>
      </w:r>
      <w:r w:rsidR="00470EF3">
        <w:rPr>
          <w:rFonts w:ascii="Times New Roman" w:hAnsi="Times New Roman" w:cs="Times New Roman"/>
          <w:sz w:val="24"/>
          <w:szCs w:val="24"/>
        </w:rPr>
        <w:t>.</w:t>
      </w:r>
      <w:r w:rsidRPr="00731043">
        <w:rPr>
          <w:rFonts w:ascii="Times New Roman" w:hAnsi="Times New Roman" w:cs="Times New Roman"/>
          <w:sz w:val="24"/>
          <w:szCs w:val="24"/>
        </w:rPr>
        <w:t xml:space="preserve"> Woods </w:t>
      </w:r>
      <w:r w:rsidR="00470EF3">
        <w:rPr>
          <w:rFonts w:ascii="Times New Roman" w:hAnsi="Times New Roman" w:cs="Times New Roman"/>
          <w:sz w:val="24"/>
          <w:szCs w:val="24"/>
        </w:rPr>
        <w:t>writes</w:t>
      </w:r>
      <w:r w:rsidRPr="00731043">
        <w:rPr>
          <w:rFonts w:ascii="Times New Roman" w:hAnsi="Times New Roman" w:cs="Times New Roman"/>
          <w:sz w:val="24"/>
          <w:szCs w:val="24"/>
        </w:rPr>
        <w:t xml:space="preserve">: </w:t>
      </w:r>
    </w:p>
    <w:p w14:paraId="1435F76D" w14:textId="77777777" w:rsidR="0057187B" w:rsidRPr="00731043" w:rsidRDefault="0057187B" w:rsidP="0057187B">
      <w:pPr>
        <w:spacing w:line="360" w:lineRule="auto"/>
        <w:ind w:left="567"/>
        <w:rPr>
          <w:rFonts w:ascii="Times New Roman" w:hAnsi="Times New Roman" w:cs="Times New Roman"/>
          <w:sz w:val="24"/>
          <w:szCs w:val="24"/>
        </w:rPr>
      </w:pPr>
      <w:r w:rsidRPr="00731043">
        <w:rPr>
          <w:rFonts w:ascii="Times New Roman" w:hAnsi="Times New Roman" w:cs="Times New Roman"/>
          <w:sz w:val="24"/>
          <w:szCs w:val="24"/>
        </w:rPr>
        <w:t>The old debate over man - ape or angel? - is implicit in the romances, just as it is in beast fables and fabliaux, and certainly this poem, with its alternate settings of court and nature (the spaces), its frequent combinations of furs and silks (the surfaces), and its sustained interest in the pursuit of human quarry, is using that old issue as a pretext for asking "modern" (fourteenth-century) medieval people to reacquaint themselves with the challenges of their human nature.</w:t>
      </w:r>
      <w:r w:rsidRPr="00731043">
        <w:rPr>
          <w:rStyle w:val="FootnoteReference"/>
          <w:rFonts w:ascii="Times New Roman" w:hAnsi="Times New Roman" w:cs="Times New Roman"/>
          <w:sz w:val="24"/>
          <w:szCs w:val="24"/>
        </w:rPr>
        <w:footnoteReference w:id="13"/>
      </w:r>
    </w:p>
    <w:p w14:paraId="00FA41D8" w14:textId="5B2AC80E" w:rsidR="001E4FD1" w:rsidRDefault="00470EF3" w:rsidP="0057187B">
      <w:pPr>
        <w:spacing w:line="360" w:lineRule="auto"/>
        <w:rPr>
          <w:rFonts w:ascii="Times New Roman" w:hAnsi="Times New Roman" w:cs="Times New Roman"/>
          <w:sz w:val="24"/>
          <w:szCs w:val="24"/>
        </w:rPr>
      </w:pPr>
      <w:r>
        <w:rPr>
          <w:rFonts w:ascii="Times New Roman" w:hAnsi="Times New Roman" w:cs="Times New Roman"/>
          <w:sz w:val="24"/>
          <w:szCs w:val="24"/>
        </w:rPr>
        <w:t xml:space="preserve">Woods identifies </w:t>
      </w:r>
      <w:r w:rsidR="001D2CE6">
        <w:rPr>
          <w:rFonts w:ascii="Times New Roman" w:hAnsi="Times New Roman" w:cs="Times New Roman"/>
          <w:sz w:val="24"/>
          <w:szCs w:val="24"/>
        </w:rPr>
        <w:t xml:space="preserve">the central appeal of the poem, with its themes of man and nature, and opposition, both internal and external. These themes may account for why SGGK is still relevant today. </w:t>
      </w:r>
    </w:p>
    <w:p w14:paraId="1349AA5D" w14:textId="77777777" w:rsidR="001E4FD1" w:rsidRDefault="001E4FD1">
      <w:pPr>
        <w:rPr>
          <w:rFonts w:ascii="Times New Roman" w:hAnsi="Times New Roman" w:cs="Times New Roman"/>
          <w:sz w:val="24"/>
          <w:szCs w:val="24"/>
        </w:rPr>
      </w:pPr>
      <w:r>
        <w:rPr>
          <w:rFonts w:ascii="Times New Roman" w:hAnsi="Times New Roman" w:cs="Times New Roman"/>
          <w:sz w:val="24"/>
          <w:szCs w:val="24"/>
        </w:rPr>
        <w:br w:type="page"/>
      </w:r>
    </w:p>
    <w:p w14:paraId="2B3CEBB2" w14:textId="4DE2366C" w:rsidR="0057187B" w:rsidRPr="00F96D06" w:rsidRDefault="001E4FD1" w:rsidP="00F96D06">
      <w:pPr>
        <w:spacing w:line="360" w:lineRule="auto"/>
        <w:jc w:val="center"/>
        <w:rPr>
          <w:rFonts w:ascii="Times New Roman" w:hAnsi="Times New Roman" w:cs="Times New Roman"/>
          <w:sz w:val="28"/>
          <w:szCs w:val="28"/>
        </w:rPr>
      </w:pPr>
      <w:r w:rsidRPr="00F96D06">
        <w:rPr>
          <w:rFonts w:ascii="Times New Roman" w:hAnsi="Times New Roman" w:cs="Times New Roman"/>
          <w:sz w:val="28"/>
          <w:szCs w:val="28"/>
        </w:rPr>
        <w:lastRenderedPageBreak/>
        <w:t>Bibliography</w:t>
      </w:r>
    </w:p>
    <w:p w14:paraId="57F95A95" w14:textId="2A915F67" w:rsidR="000B6BF4" w:rsidRPr="000B6BF4" w:rsidRDefault="000B6BF4" w:rsidP="000B6BF4">
      <w:pPr>
        <w:pStyle w:val="Bibliography"/>
        <w:rPr>
          <w:rFonts w:ascii="Times New Roman" w:hAnsi="Times New Roman" w:cs="Times New Roman"/>
          <w:sz w:val="24"/>
        </w:rPr>
      </w:pPr>
      <w:r w:rsidRPr="000B6BF4">
        <w:rPr>
          <w:rFonts w:ascii="Times New Roman" w:hAnsi="Times New Roman" w:cs="Times New Roman"/>
          <w:sz w:val="24"/>
          <w:szCs w:val="24"/>
        </w:rPr>
        <w:t xml:space="preserve">Wheeler, L. Kip, </w:t>
      </w:r>
      <w:r w:rsidRPr="000B6BF4">
        <w:rPr>
          <w:rFonts w:ascii="Times New Roman" w:hAnsi="Times New Roman" w:cs="Times New Roman"/>
          <w:i/>
          <w:iCs/>
          <w:sz w:val="24"/>
          <w:szCs w:val="24"/>
        </w:rPr>
        <w:t>Bob-and-Wheel</w:t>
      </w:r>
      <w:r>
        <w:rPr>
          <w:i/>
          <w:iCs/>
        </w:rPr>
        <w:t xml:space="preserve"> </w:t>
      </w:r>
      <w:r w:rsidR="001E4FD1">
        <w:fldChar w:fldCharType="begin"/>
      </w:r>
      <w:r w:rsidR="001E4FD1">
        <w:instrText xml:space="preserve"> ADDIN ZOTERO_BIBL {"uncited":[],"omitted":[],"custom":[]} CSL_BIBLIOGRAPHY </w:instrText>
      </w:r>
      <w:r w:rsidR="001E4FD1">
        <w:fldChar w:fldCharType="separate"/>
      </w:r>
      <w:r w:rsidRPr="000B6BF4">
        <w:rPr>
          <w:rFonts w:ascii="Times New Roman" w:hAnsi="Times New Roman" w:cs="Times New Roman"/>
          <w:sz w:val="24"/>
        </w:rPr>
        <w:t>&lt;https://web.cn.edu/kwheeler/lit.bob-and-wheel.html&gt; [accessed 21 November 2023]</w:t>
      </w:r>
    </w:p>
    <w:p w14:paraId="1414E1B2" w14:textId="77777777" w:rsidR="000B6BF4" w:rsidRPr="000B6BF4" w:rsidRDefault="000B6BF4" w:rsidP="000B6BF4">
      <w:pPr>
        <w:pStyle w:val="Bibliography"/>
        <w:rPr>
          <w:rFonts w:ascii="Times New Roman" w:hAnsi="Times New Roman" w:cs="Times New Roman"/>
          <w:sz w:val="24"/>
        </w:rPr>
      </w:pPr>
      <w:r w:rsidRPr="000B6BF4">
        <w:rPr>
          <w:rFonts w:ascii="Times New Roman" w:hAnsi="Times New Roman" w:cs="Times New Roman"/>
          <w:sz w:val="24"/>
        </w:rPr>
        <w:t xml:space="preserve">Chism, Christine, </w:t>
      </w:r>
      <w:r w:rsidRPr="000B6BF4">
        <w:rPr>
          <w:rFonts w:ascii="Times New Roman" w:hAnsi="Times New Roman" w:cs="Times New Roman"/>
          <w:i/>
          <w:iCs/>
          <w:sz w:val="24"/>
        </w:rPr>
        <w:t>Alliterative Revivals</w:t>
      </w:r>
      <w:r w:rsidRPr="000B6BF4">
        <w:rPr>
          <w:rFonts w:ascii="Times New Roman" w:hAnsi="Times New Roman" w:cs="Times New Roman"/>
          <w:sz w:val="24"/>
        </w:rPr>
        <w:t xml:space="preserve"> (University of Pennsylvania Press, 2002) &lt;https://www.jstor.org/stable/j.ctt3fhcf9&gt; [accessed 13 November 2023]</w:t>
      </w:r>
    </w:p>
    <w:p w14:paraId="00231BCC" w14:textId="77777777" w:rsidR="000B6BF4" w:rsidRPr="000B6BF4" w:rsidRDefault="000B6BF4" w:rsidP="000B6BF4">
      <w:pPr>
        <w:pStyle w:val="Bibliography"/>
        <w:rPr>
          <w:rFonts w:ascii="Times New Roman" w:hAnsi="Times New Roman" w:cs="Times New Roman"/>
          <w:sz w:val="24"/>
        </w:rPr>
      </w:pPr>
      <w:r w:rsidRPr="000B6BF4">
        <w:rPr>
          <w:rFonts w:ascii="Times New Roman" w:hAnsi="Times New Roman" w:cs="Times New Roman"/>
          <w:sz w:val="24"/>
        </w:rPr>
        <w:t xml:space="preserve">Hall, Sam, ‘Conference Review: “Studies in Cotton Nero </w:t>
      </w:r>
      <w:proofErr w:type="spellStart"/>
      <w:r w:rsidRPr="000B6BF4">
        <w:rPr>
          <w:rFonts w:ascii="Times New Roman" w:hAnsi="Times New Roman" w:cs="Times New Roman"/>
          <w:sz w:val="24"/>
        </w:rPr>
        <w:t>a.x</w:t>
      </w:r>
      <w:proofErr w:type="spellEnd"/>
      <w:r w:rsidRPr="000B6BF4">
        <w:rPr>
          <w:rFonts w:ascii="Times New Roman" w:hAnsi="Times New Roman" w:cs="Times New Roman"/>
          <w:sz w:val="24"/>
        </w:rPr>
        <w:t xml:space="preserve">.”’, </w:t>
      </w:r>
      <w:r w:rsidRPr="000B6BF4">
        <w:rPr>
          <w:rFonts w:ascii="Times New Roman" w:hAnsi="Times New Roman" w:cs="Times New Roman"/>
          <w:i/>
          <w:iCs/>
          <w:sz w:val="24"/>
        </w:rPr>
        <w:t>Dandelion: Postgraduate Arts Journal and Research Network</w:t>
      </w:r>
      <w:r w:rsidRPr="000B6BF4">
        <w:rPr>
          <w:rFonts w:ascii="Times New Roman" w:hAnsi="Times New Roman" w:cs="Times New Roman"/>
          <w:sz w:val="24"/>
        </w:rPr>
        <w:t>, 2.1 (2011) &lt;https://doi.org/10.16995/ddl.241&gt;</w:t>
      </w:r>
    </w:p>
    <w:p w14:paraId="5DEE0214" w14:textId="699F84DD" w:rsidR="000B6BF4" w:rsidRPr="000B6BF4" w:rsidRDefault="000B6BF4" w:rsidP="000B6BF4">
      <w:pPr>
        <w:pStyle w:val="Bibliography"/>
        <w:rPr>
          <w:rFonts w:ascii="Times New Roman" w:hAnsi="Times New Roman" w:cs="Times New Roman"/>
          <w:sz w:val="24"/>
        </w:rPr>
      </w:pPr>
      <w:r>
        <w:rPr>
          <w:rFonts w:ascii="Times New Roman" w:hAnsi="Times New Roman" w:cs="Times New Roman"/>
          <w:sz w:val="24"/>
        </w:rPr>
        <w:t xml:space="preserve">Tracy, Larissa </w:t>
      </w:r>
      <w:r w:rsidRPr="000B6BF4">
        <w:rPr>
          <w:rFonts w:ascii="Times New Roman" w:hAnsi="Times New Roman" w:cs="Times New Roman"/>
          <w:sz w:val="24"/>
        </w:rPr>
        <w:t>‘</w:t>
      </w:r>
      <w:r>
        <w:rPr>
          <w:rFonts w:ascii="Times New Roman" w:hAnsi="Times New Roman" w:cs="Times New Roman"/>
          <w:sz w:val="24"/>
        </w:rPr>
        <w:t xml:space="preserve">"So he smote of hir </w:t>
      </w:r>
      <w:proofErr w:type="spellStart"/>
      <w:r>
        <w:rPr>
          <w:rFonts w:ascii="Times New Roman" w:hAnsi="Times New Roman" w:cs="Times New Roman"/>
          <w:sz w:val="24"/>
        </w:rPr>
        <w:t>hede</w:t>
      </w:r>
      <w:proofErr w:type="spellEnd"/>
      <w:r>
        <w:rPr>
          <w:rFonts w:ascii="Times New Roman" w:hAnsi="Times New Roman" w:cs="Times New Roman"/>
          <w:sz w:val="24"/>
        </w:rPr>
        <w:t xml:space="preserve"> by </w:t>
      </w:r>
      <w:proofErr w:type="spellStart"/>
      <w:r>
        <w:rPr>
          <w:rFonts w:ascii="Times New Roman" w:hAnsi="Times New Roman" w:cs="Times New Roman"/>
          <w:sz w:val="24"/>
        </w:rPr>
        <w:t>myssefortune</w:t>
      </w:r>
      <w:proofErr w:type="spellEnd"/>
      <w:r>
        <w:rPr>
          <w:rFonts w:ascii="Times New Roman" w:hAnsi="Times New Roman" w:cs="Times New Roman"/>
          <w:sz w:val="24"/>
        </w:rPr>
        <w:t>": The Real Price of the Beheading Game in SGGK and Malory</w:t>
      </w:r>
      <w:r w:rsidRPr="000B6BF4">
        <w:rPr>
          <w:rFonts w:ascii="Times New Roman" w:hAnsi="Times New Roman" w:cs="Times New Roman"/>
          <w:sz w:val="24"/>
        </w:rPr>
        <w:t xml:space="preserve">’, in </w:t>
      </w:r>
      <w:r w:rsidRPr="000B6BF4">
        <w:rPr>
          <w:rFonts w:ascii="Times New Roman" w:hAnsi="Times New Roman" w:cs="Times New Roman"/>
          <w:i/>
          <w:iCs/>
          <w:sz w:val="24"/>
        </w:rPr>
        <w:t>Heads Will Roll</w:t>
      </w:r>
      <w:r w:rsidR="002C3F5D">
        <w:rPr>
          <w:rFonts w:ascii="Times New Roman" w:hAnsi="Times New Roman" w:cs="Times New Roman"/>
          <w:sz w:val="24"/>
        </w:rPr>
        <w:t>, ed. by Jeff Massey</w:t>
      </w:r>
      <w:r w:rsidRPr="000B6BF4">
        <w:rPr>
          <w:rFonts w:ascii="Times New Roman" w:hAnsi="Times New Roman" w:cs="Times New Roman"/>
          <w:sz w:val="24"/>
        </w:rPr>
        <w:t xml:space="preserve"> (Brill, 2012) &lt;https://brill.com/display/title/20555&gt; [accessed 21 November 2023]</w:t>
      </w:r>
    </w:p>
    <w:p w14:paraId="0ED2901D" w14:textId="77777777" w:rsidR="000B6BF4" w:rsidRPr="000B6BF4" w:rsidRDefault="000B6BF4" w:rsidP="000B6BF4">
      <w:pPr>
        <w:pStyle w:val="Bibliography"/>
        <w:rPr>
          <w:rFonts w:ascii="Times New Roman" w:hAnsi="Times New Roman" w:cs="Times New Roman"/>
          <w:sz w:val="24"/>
        </w:rPr>
      </w:pPr>
      <w:r w:rsidRPr="000B6BF4">
        <w:rPr>
          <w:rFonts w:ascii="Times New Roman" w:hAnsi="Times New Roman" w:cs="Times New Roman"/>
          <w:sz w:val="24"/>
        </w:rPr>
        <w:t xml:space="preserve">Putter, Ad, ‘Francis Ingledew, Sir Gawain and the Green Knight and the Order of the Garter’, </w:t>
      </w:r>
      <w:r w:rsidRPr="000B6BF4">
        <w:rPr>
          <w:rFonts w:ascii="Times New Roman" w:hAnsi="Times New Roman" w:cs="Times New Roman"/>
          <w:i/>
          <w:iCs/>
          <w:sz w:val="24"/>
        </w:rPr>
        <w:t>Modern Philology</w:t>
      </w:r>
      <w:r w:rsidRPr="000B6BF4">
        <w:rPr>
          <w:rFonts w:ascii="Times New Roman" w:hAnsi="Times New Roman" w:cs="Times New Roman"/>
          <w:sz w:val="24"/>
        </w:rPr>
        <w:t>, 107.1 (2009), 128–30 &lt;https://doi.org/10.1086/605833&gt;</w:t>
      </w:r>
    </w:p>
    <w:p w14:paraId="3EEF580A" w14:textId="77777777" w:rsidR="000B6BF4" w:rsidRPr="000B6BF4" w:rsidRDefault="000B6BF4" w:rsidP="000B6BF4">
      <w:pPr>
        <w:pStyle w:val="Bibliography"/>
        <w:rPr>
          <w:rFonts w:ascii="Times New Roman" w:hAnsi="Times New Roman" w:cs="Times New Roman"/>
          <w:sz w:val="24"/>
        </w:rPr>
      </w:pPr>
      <w:r w:rsidRPr="000B6BF4">
        <w:rPr>
          <w:rFonts w:ascii="Times New Roman" w:hAnsi="Times New Roman" w:cs="Times New Roman"/>
          <w:sz w:val="24"/>
        </w:rPr>
        <w:t xml:space="preserve">Sadowski, Piotr, </w:t>
      </w:r>
      <w:r w:rsidRPr="000B6BF4">
        <w:rPr>
          <w:rFonts w:ascii="Times New Roman" w:hAnsi="Times New Roman" w:cs="Times New Roman"/>
          <w:i/>
          <w:iCs/>
          <w:sz w:val="24"/>
        </w:rPr>
        <w:t>The Knight on His Quest: Symbolic Patterns of Transition in Sir Gawain and the Green Knight</w:t>
      </w:r>
      <w:r w:rsidRPr="000B6BF4">
        <w:rPr>
          <w:rFonts w:ascii="Times New Roman" w:hAnsi="Times New Roman" w:cs="Times New Roman"/>
          <w:sz w:val="24"/>
        </w:rPr>
        <w:t xml:space="preserve"> (University of Delaware Press, 1996)</w:t>
      </w:r>
    </w:p>
    <w:p w14:paraId="7F11579D" w14:textId="68FBB55B" w:rsidR="000B6BF4" w:rsidRPr="000B6BF4" w:rsidRDefault="002C3F5D" w:rsidP="000B6BF4">
      <w:pPr>
        <w:pStyle w:val="Bibliography"/>
        <w:rPr>
          <w:rFonts w:ascii="Times New Roman" w:hAnsi="Times New Roman" w:cs="Times New Roman"/>
          <w:sz w:val="24"/>
        </w:rPr>
      </w:pPr>
      <w:r>
        <w:rPr>
          <w:rFonts w:ascii="Times New Roman" w:hAnsi="Times New Roman" w:cs="Times New Roman"/>
          <w:sz w:val="24"/>
        </w:rPr>
        <w:t>Cassidy, Seamus</w:t>
      </w:r>
      <w:r>
        <w:rPr>
          <w:rFonts w:ascii="Times New Roman" w:hAnsi="Times New Roman" w:cs="Times New Roman"/>
          <w:i/>
          <w:iCs/>
          <w:sz w:val="24"/>
        </w:rPr>
        <w:t xml:space="preserve">, Sir Gawain and the Green </w:t>
      </w:r>
      <w:proofErr w:type="gramStart"/>
      <w:r>
        <w:rPr>
          <w:rFonts w:ascii="Times New Roman" w:hAnsi="Times New Roman" w:cs="Times New Roman"/>
          <w:i/>
          <w:iCs/>
          <w:sz w:val="24"/>
        </w:rPr>
        <w:t xml:space="preserve">Knight </w:t>
      </w:r>
      <w:r w:rsidR="000B6BF4" w:rsidRPr="000B6BF4">
        <w:rPr>
          <w:rFonts w:ascii="Times New Roman" w:hAnsi="Times New Roman" w:cs="Times New Roman"/>
          <w:sz w:val="24"/>
        </w:rPr>
        <w:t xml:space="preserve"> &lt;</w:t>
      </w:r>
      <w:proofErr w:type="gramEnd"/>
      <w:r w:rsidR="000B6BF4" w:rsidRPr="000B6BF4">
        <w:rPr>
          <w:rFonts w:ascii="Times New Roman" w:hAnsi="Times New Roman" w:cs="Times New Roman"/>
          <w:sz w:val="24"/>
        </w:rPr>
        <w:t>https://mediakron.bc.edu/alliterativepoetry/sir-gawain-and-the-green-knight-1/manuscript-guide&gt; [accessed 31 October 2023]</w:t>
      </w:r>
    </w:p>
    <w:p w14:paraId="575B1606" w14:textId="77777777" w:rsidR="000B6BF4" w:rsidRPr="000B6BF4" w:rsidRDefault="000B6BF4" w:rsidP="000B6BF4">
      <w:pPr>
        <w:pStyle w:val="Bibliography"/>
        <w:rPr>
          <w:rFonts w:ascii="Times New Roman" w:hAnsi="Times New Roman" w:cs="Times New Roman"/>
          <w:sz w:val="24"/>
        </w:rPr>
      </w:pPr>
      <w:r w:rsidRPr="000B6BF4">
        <w:rPr>
          <w:rFonts w:ascii="Times New Roman" w:hAnsi="Times New Roman" w:cs="Times New Roman"/>
          <w:sz w:val="24"/>
        </w:rPr>
        <w:t xml:space="preserve">Stone, Brian, </w:t>
      </w:r>
      <w:r w:rsidRPr="000B6BF4">
        <w:rPr>
          <w:rFonts w:ascii="Times New Roman" w:hAnsi="Times New Roman" w:cs="Times New Roman"/>
          <w:i/>
          <w:iCs/>
          <w:sz w:val="24"/>
        </w:rPr>
        <w:t>Sir Gawain and the Green Knight</w:t>
      </w:r>
      <w:r w:rsidRPr="000B6BF4">
        <w:rPr>
          <w:rFonts w:ascii="Times New Roman" w:hAnsi="Times New Roman" w:cs="Times New Roman"/>
          <w:sz w:val="24"/>
        </w:rPr>
        <w:t>, trans. by Brian Stone (Harmondsworth: Penguin Books Ltd., 1959)</w:t>
      </w:r>
    </w:p>
    <w:p w14:paraId="5C68C4E9" w14:textId="77777777" w:rsidR="000B6BF4" w:rsidRPr="000B6BF4" w:rsidRDefault="000B6BF4" w:rsidP="000B6BF4">
      <w:pPr>
        <w:pStyle w:val="Bibliography"/>
        <w:rPr>
          <w:rFonts w:ascii="Times New Roman" w:hAnsi="Times New Roman" w:cs="Times New Roman"/>
          <w:sz w:val="24"/>
        </w:rPr>
      </w:pPr>
      <w:r w:rsidRPr="000B6BF4">
        <w:rPr>
          <w:rFonts w:ascii="Times New Roman" w:hAnsi="Times New Roman" w:cs="Times New Roman"/>
          <w:sz w:val="24"/>
        </w:rPr>
        <w:t xml:space="preserve">Tolkien, J. R. R., E. V. Gordon, and Norman Davis, </w:t>
      </w:r>
      <w:r w:rsidRPr="000B6BF4">
        <w:rPr>
          <w:rFonts w:ascii="Times New Roman" w:hAnsi="Times New Roman" w:cs="Times New Roman"/>
          <w:i/>
          <w:iCs/>
          <w:sz w:val="24"/>
        </w:rPr>
        <w:t>Sir Gawain and the Green Knight</w:t>
      </w:r>
      <w:r w:rsidRPr="000B6BF4">
        <w:rPr>
          <w:rFonts w:ascii="Times New Roman" w:hAnsi="Times New Roman" w:cs="Times New Roman"/>
          <w:sz w:val="24"/>
        </w:rPr>
        <w:t xml:space="preserve"> (OUP Oxford, 1967)</w:t>
      </w:r>
    </w:p>
    <w:p w14:paraId="3A570B97" w14:textId="77777777" w:rsidR="000B6BF4" w:rsidRPr="000B6BF4" w:rsidRDefault="000B6BF4" w:rsidP="000B6BF4">
      <w:pPr>
        <w:pStyle w:val="Bibliography"/>
        <w:rPr>
          <w:rFonts w:ascii="Times New Roman" w:hAnsi="Times New Roman" w:cs="Times New Roman"/>
          <w:sz w:val="24"/>
        </w:rPr>
      </w:pPr>
      <w:r w:rsidRPr="000B6BF4">
        <w:rPr>
          <w:rFonts w:ascii="Times New Roman" w:hAnsi="Times New Roman" w:cs="Times New Roman"/>
          <w:sz w:val="24"/>
        </w:rPr>
        <w:t xml:space="preserve">Woods, William F., ‘Nature and the Inner Man in “Sir Gawain and the Green Knight”’, </w:t>
      </w:r>
      <w:r w:rsidRPr="000B6BF4">
        <w:rPr>
          <w:rFonts w:ascii="Times New Roman" w:hAnsi="Times New Roman" w:cs="Times New Roman"/>
          <w:i/>
          <w:iCs/>
          <w:sz w:val="24"/>
        </w:rPr>
        <w:t>The Chaucer Review</w:t>
      </w:r>
      <w:r w:rsidRPr="000B6BF4">
        <w:rPr>
          <w:rFonts w:ascii="Times New Roman" w:hAnsi="Times New Roman" w:cs="Times New Roman"/>
          <w:sz w:val="24"/>
        </w:rPr>
        <w:t>, 36.3 (2002), 209–27</w:t>
      </w:r>
    </w:p>
    <w:p w14:paraId="36B04CEB" w14:textId="5338D9BA" w:rsidR="001E4FD1" w:rsidRPr="0057187B" w:rsidRDefault="001E4FD1" w:rsidP="0057187B">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sectPr w:rsidR="001E4FD1" w:rsidRPr="0057187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8B892" w14:textId="77777777" w:rsidR="00F8172B" w:rsidRDefault="00F8172B" w:rsidP="0057187B">
      <w:pPr>
        <w:spacing w:after="0" w:line="240" w:lineRule="auto"/>
      </w:pPr>
      <w:r>
        <w:separator/>
      </w:r>
    </w:p>
  </w:endnote>
  <w:endnote w:type="continuationSeparator" w:id="0">
    <w:p w14:paraId="48E3500C" w14:textId="77777777" w:rsidR="00F8172B" w:rsidRDefault="00F8172B" w:rsidP="00571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06D9A" w14:textId="77777777" w:rsidR="001E4FD1" w:rsidRDefault="001E4F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5D58" w14:textId="77777777" w:rsidR="001E4FD1" w:rsidRDefault="001E4F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E4821" w14:textId="77777777" w:rsidR="001E4FD1" w:rsidRDefault="001E4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B4D1D" w14:textId="77777777" w:rsidR="00F8172B" w:rsidRDefault="00F8172B" w:rsidP="0057187B">
      <w:pPr>
        <w:spacing w:after="0" w:line="240" w:lineRule="auto"/>
      </w:pPr>
      <w:r>
        <w:separator/>
      </w:r>
    </w:p>
  </w:footnote>
  <w:footnote w:type="continuationSeparator" w:id="0">
    <w:p w14:paraId="12843645" w14:textId="77777777" w:rsidR="00F8172B" w:rsidRDefault="00F8172B" w:rsidP="0057187B">
      <w:pPr>
        <w:spacing w:after="0" w:line="240" w:lineRule="auto"/>
      </w:pPr>
      <w:r>
        <w:continuationSeparator/>
      </w:r>
    </w:p>
  </w:footnote>
  <w:footnote w:id="1">
    <w:p w14:paraId="1B794893" w14:textId="38991D4A" w:rsidR="006B3DB0" w:rsidRDefault="006B3DB0">
      <w:pPr>
        <w:pStyle w:val="FootnoteText"/>
      </w:pPr>
      <w:r>
        <w:rPr>
          <w:rStyle w:val="FootnoteReference"/>
        </w:rPr>
        <w:footnoteRef/>
      </w:r>
      <w:r>
        <w:t xml:space="preserve"> </w:t>
      </w:r>
      <w:r w:rsidR="003B6E97">
        <w:t xml:space="preserve">Seamus Cassidy, </w:t>
      </w:r>
      <w:r>
        <w:fldChar w:fldCharType="begin"/>
      </w:r>
      <w:r>
        <w:instrText xml:space="preserve"> ADDIN ZOTERO_ITEM CSL_CITATION {"citationID":"1xyXkCT5","properties":{"formattedCitation":"\\uc0\\u8216{}Sir Gawain and the Green Knight | Middle English Alliterative Poetry\\uc0\\u8217{} &lt;https://mediakron.bc.edu/alliterativepoetry/sir-gawain-and-the-green-knight-1/manuscript-guide&gt; [accessed 31 October 2023].","plainCitation":"‘Sir Gawain and the Green Knight | Middle English Alliterative Poetry’ &lt;https://mediakron.bc.edu/alliterativepoetry/sir-gawain-and-the-green-knight-1/manuscript-guide&gt; [accessed 31 October 2023].","noteIndex":1},"citationItems":[{"id":44,"uris":["http://zotero.org/users/local/VhgDsqkD/items/4HFYKKKE"],"itemData":{"id":44,"type":"webpage","title":"Sir Gawain and the Green Knight | Middle English Alliterative Poetry","URL":"https://mediakron.bc.edu/alliterativepoetry/sir-gawain-and-the-green-knight-1/manuscript-guide","accessed":{"date-parts":[["2023",10,31]]}}}],"schema":"https://github.com/citation-style-language/schema/raw/master/csl-citation.json"} </w:instrText>
      </w:r>
      <w:r>
        <w:fldChar w:fldCharType="separate"/>
      </w:r>
      <w:r w:rsidR="003B6E97">
        <w:rPr>
          <w:rFonts w:ascii="Calibri" w:hAnsi="Calibri" w:cs="Calibri"/>
          <w:i/>
          <w:iCs/>
          <w:kern w:val="0"/>
          <w:szCs w:val="24"/>
        </w:rPr>
        <w:t>Sir Gawain and the Green Knight</w:t>
      </w:r>
      <w:r w:rsidRPr="006B3DB0">
        <w:rPr>
          <w:rFonts w:ascii="Calibri" w:hAnsi="Calibri" w:cs="Calibri"/>
          <w:kern w:val="0"/>
          <w:szCs w:val="24"/>
        </w:rPr>
        <w:t xml:space="preserve"> &lt;https://mediakron.bc.edu/alliterativepoetry/sir-gawain-and-the-green-knight-1/manuscript-guide&gt; [accessed 31 October 2023].</w:t>
      </w:r>
      <w:r>
        <w:fldChar w:fldCharType="end"/>
      </w:r>
    </w:p>
  </w:footnote>
  <w:footnote w:id="2">
    <w:p w14:paraId="7C2DC410" w14:textId="4A6DE67F" w:rsidR="00BA6F6E" w:rsidRDefault="00BA6F6E">
      <w:pPr>
        <w:pStyle w:val="FootnoteText"/>
      </w:pPr>
      <w:r>
        <w:rPr>
          <w:rStyle w:val="FootnoteReference"/>
        </w:rPr>
        <w:footnoteRef/>
      </w:r>
      <w:r>
        <w:t xml:space="preserve"> </w:t>
      </w:r>
      <w:r w:rsidR="005D3C82">
        <w:t xml:space="preserve">L. Kip Wheeler, </w:t>
      </w:r>
      <w:r>
        <w:fldChar w:fldCharType="begin"/>
      </w:r>
      <w:r w:rsidR="00073DDC">
        <w:instrText xml:space="preserve"> ADDIN ZOTERO_ITEM CSL_CITATION {"citationID":"q8h2ZXBE","properties":{"formattedCitation":"\\uc0\\u8216{}Bob-and-Wheel\\uc0\\u8217{} &lt;https://web.cn.edu/kwheeler/lit.bob-and-wheel.html&gt; [accessed 21 November 2023].","plainCitation":"‘Bob-and-Wheel’ &lt;https://web.cn.edu/kwheeler/lit.bob-and-wheel.html&gt; [accessed 21 November 2023].","noteIndex":2},"citationItems":[{"id":56,"uris":["http://zotero.org/users/local/VhgDsqkD/items/FSTF9DDE"],"itemData":{"id":56,"type":"webpage","title":"Bob-and-Wheel","URL":"https://web.cn.edu/kwheeler/lit.bob-and-wheel.html","accessed":{"date-parts":[["2023",11,21]]}}}],"schema":"https://github.com/citation-style-language/schema/raw/master/csl-citation.json"} </w:instrText>
      </w:r>
      <w:r>
        <w:fldChar w:fldCharType="separate"/>
      </w:r>
      <w:r w:rsidR="005D3C82">
        <w:rPr>
          <w:rFonts w:ascii="Calibri" w:hAnsi="Calibri" w:cs="Calibri"/>
          <w:i/>
          <w:iCs/>
          <w:kern w:val="0"/>
          <w:szCs w:val="24"/>
        </w:rPr>
        <w:t>Bob-and-Wheel</w:t>
      </w:r>
      <w:r w:rsidRPr="00BA6F6E">
        <w:rPr>
          <w:rFonts w:ascii="Calibri" w:hAnsi="Calibri" w:cs="Calibri"/>
          <w:kern w:val="0"/>
          <w:szCs w:val="24"/>
        </w:rPr>
        <w:t xml:space="preserve"> &lt;https://web.cn.edu/kwheeler/lit.bob-and-wheel.html&gt; [accessed 21 November 2023].</w:t>
      </w:r>
      <w:r>
        <w:fldChar w:fldCharType="end"/>
      </w:r>
      <w:r w:rsidR="005D3C82">
        <w:t xml:space="preserve"> </w:t>
      </w:r>
    </w:p>
  </w:footnote>
  <w:footnote w:id="3">
    <w:p w14:paraId="01E9BAAB" w14:textId="17C075DF" w:rsidR="000B6BF4" w:rsidRDefault="000B6BF4">
      <w:pPr>
        <w:pStyle w:val="FootnoteText"/>
      </w:pPr>
      <w:r>
        <w:rPr>
          <w:rStyle w:val="FootnoteReference"/>
        </w:rPr>
        <w:footnoteRef/>
      </w:r>
      <w:r>
        <w:t xml:space="preserve"> </w:t>
      </w:r>
      <w:r>
        <w:fldChar w:fldCharType="begin"/>
      </w:r>
      <w:r>
        <w:instrText xml:space="preserve"> ADDIN ZOTERO_ITEM CSL_CITATION {"citationID":"g9IhBNNo","properties":{"formattedCitation":"Sam Hall, \\uc0\\u8216{}Conference Review: \\uc0\\u8220{}Studies in Cotton Nero a.x.\\uc0\\u8221{}\\uc0\\u8217{}, {\\i{}Dandelion: Postgraduate Arts Journal and Research Network}, 2.1 (2011) &lt;https://doi.org/10.16995/ddl.241&gt;.","plainCitation":"Sam Hall, ‘Conference Review: “Studies in Cotton Nero a.x.”’, Dandelion: Postgraduate Arts Journal and Research Network, 2.1 (2011) &lt;https://doi.org/10.16995/ddl.241&gt;.","noteIndex":3},"citationItems":[{"id":62,"uris":["http://zotero.org/users/local/VhgDsqkD/items/MZHF26V7"],"itemData":{"id":62,"type":"article-journal","container-title":"Dandelion: Postgraduate Arts Journal and Research Network","DOI":"10.16995/ddl.241","ISSN":"2048-1322","issue":"1","language":"None","note":"number: 1\npublisher: Birkbeck, University of London","source":"dandelionjournal.org","title":"Conference Review: 'Studies in Cotton Nero a.x.'","title-short":"Conference Review","URL":"https://dandelionjournal.org/article/id/241/","volume":"2","author":[{"family":"Hall","given":"Sam"}],"accessed":{"date-parts":[["2023",11,21]]},"issued":{"date-parts":[["2011",1,28]]}}}],"schema":"https://github.com/citation-style-language/schema/raw/master/csl-citation.json"} </w:instrText>
      </w:r>
      <w:r>
        <w:fldChar w:fldCharType="separate"/>
      </w:r>
      <w:r w:rsidRPr="000B6BF4">
        <w:rPr>
          <w:rFonts w:ascii="Calibri" w:hAnsi="Calibri" w:cs="Calibri"/>
          <w:kern w:val="0"/>
          <w:szCs w:val="24"/>
        </w:rPr>
        <w:t xml:space="preserve">Sam Hall, ‘Conference Review: “Studies in Cotton Nero </w:t>
      </w:r>
      <w:proofErr w:type="spellStart"/>
      <w:r w:rsidRPr="000B6BF4">
        <w:rPr>
          <w:rFonts w:ascii="Calibri" w:hAnsi="Calibri" w:cs="Calibri"/>
          <w:kern w:val="0"/>
          <w:szCs w:val="24"/>
        </w:rPr>
        <w:t>a.x</w:t>
      </w:r>
      <w:proofErr w:type="spellEnd"/>
      <w:r w:rsidRPr="000B6BF4">
        <w:rPr>
          <w:rFonts w:ascii="Calibri" w:hAnsi="Calibri" w:cs="Calibri"/>
          <w:kern w:val="0"/>
          <w:szCs w:val="24"/>
        </w:rPr>
        <w:t xml:space="preserve">.”’, </w:t>
      </w:r>
      <w:r w:rsidRPr="000B6BF4">
        <w:rPr>
          <w:rFonts w:ascii="Calibri" w:hAnsi="Calibri" w:cs="Calibri"/>
          <w:i/>
          <w:iCs/>
          <w:kern w:val="0"/>
          <w:szCs w:val="24"/>
        </w:rPr>
        <w:t>Dandelion: Postgraduate Arts Journal and Research Network</w:t>
      </w:r>
      <w:r w:rsidRPr="000B6BF4">
        <w:rPr>
          <w:rFonts w:ascii="Calibri" w:hAnsi="Calibri" w:cs="Calibri"/>
          <w:kern w:val="0"/>
          <w:szCs w:val="24"/>
        </w:rPr>
        <w:t>, 2.1 (2011) &lt;https://doi.org/10.16995/ddl.241&gt;.</w:t>
      </w:r>
      <w:r>
        <w:fldChar w:fldCharType="end"/>
      </w:r>
    </w:p>
  </w:footnote>
  <w:footnote w:id="4">
    <w:p w14:paraId="27958E71" w14:textId="4162F2B9" w:rsidR="001A02CE" w:rsidRDefault="001A02CE">
      <w:pPr>
        <w:pStyle w:val="FootnoteText"/>
      </w:pPr>
      <w:r>
        <w:rPr>
          <w:rStyle w:val="FootnoteReference"/>
        </w:rPr>
        <w:footnoteRef/>
      </w:r>
      <w:r>
        <w:t xml:space="preserve"> </w:t>
      </w:r>
      <w:r w:rsidR="003B6E97">
        <w:t xml:space="preserve">Brian Stone, </w:t>
      </w:r>
      <w:r>
        <w:fldChar w:fldCharType="begin"/>
      </w:r>
      <w:r w:rsidR="000B6BF4">
        <w:instrText xml:space="preserve"> ADDIN ZOTERO_ITEM CSL_CITATION {"citationID":"uBFFZMKC","properties":{"formattedCitation":"Brian Stone, {\\i{}Sir Gawain and the Green Knight}, trans. by Brian Stone (Harmondsworth: Penguin Books Ltd., 1959).","plainCitation":"Brian Stone, Sir Gawain and the Green Knight, trans. by Brian Stone (Harmondsworth: Penguin Books Ltd., 1959).","dontUpdate":true,"noteIndex":4},"citationItems":[{"id":1,"uris":["http://zotero.org/users/local/VhgDsqkD/items/XV4CKJE2"],"itemData":{"id":1,"type":"book","event-place":"Harmondsworth","publisher":"Penguin Books Ltd.","publisher-place":"Harmondsworth","title":"Sir Gawain and the Green Knight","translator":[{"family":"Stone","given":"Brian"}],"author":[{"family":"Stone","given":"Brian"}],"issued":{"date-parts":[["1959"]]}}}],"schema":"https://github.com/citation-style-language/schema/raw/master/csl-citation.json"} </w:instrText>
      </w:r>
      <w:r>
        <w:fldChar w:fldCharType="separate"/>
      </w:r>
      <w:r w:rsidRPr="001A02CE">
        <w:rPr>
          <w:rFonts w:ascii="Calibri" w:hAnsi="Calibri" w:cs="Calibri"/>
          <w:i/>
          <w:iCs/>
          <w:kern w:val="0"/>
          <w:szCs w:val="24"/>
        </w:rPr>
        <w:t>Sir Gawain and the Green Knight</w:t>
      </w:r>
      <w:r w:rsidRPr="001A02CE">
        <w:rPr>
          <w:rFonts w:ascii="Calibri" w:hAnsi="Calibri" w:cs="Calibri"/>
          <w:kern w:val="0"/>
          <w:szCs w:val="24"/>
        </w:rPr>
        <w:t>, trans. by Brian Stone (Harmondsworth: Penguin Books Ltd., 1959).</w:t>
      </w:r>
      <w:r>
        <w:fldChar w:fldCharType="end"/>
      </w:r>
    </w:p>
  </w:footnote>
  <w:footnote w:id="5">
    <w:p w14:paraId="0D6139D3" w14:textId="4457923A" w:rsidR="001A02CE" w:rsidRDefault="001A02CE">
      <w:pPr>
        <w:pStyle w:val="FootnoteText"/>
      </w:pPr>
      <w:r>
        <w:rPr>
          <w:rStyle w:val="FootnoteReference"/>
        </w:rPr>
        <w:footnoteRef/>
      </w:r>
      <w:r>
        <w:t xml:space="preserve"> </w:t>
      </w:r>
      <w:r>
        <w:fldChar w:fldCharType="begin"/>
      </w:r>
      <w:r>
        <w:instrText xml:space="preserve"> ADDIN ZOTERO_ITEM CSL_CITATION {"citationID":"o9ReJhwe","properties":{"formattedCitation":"Christine Chism, {\\i{}Alliterative Revivals} (University of Pennsylvania Press, 2002) &lt;https://www.jstor.org/stable/j.ctt3fhcf9&gt; [accessed 13 November 2023].","plainCitation":"Christine Chism, Alliterative Revivals (University of Pennsylvania Press, 2002) &lt;https://www.jstor.org/stable/j.ctt3fhcf9&gt; [accessed 13 November 2023].","noteIndex":6},"citationItems":[{"id":54,"uris":["http://zotero.org/users/local/VhgDsqkD/items/KHU342VG"],"itemData":{"id":54,"type":"book","abstract":"&lt;i&gt;Alliterative Revivals&lt;/i&gt;  is the first full-length study of the sophisticated historical consciousness of late medieval\nalliterative romance. Drawing from historicism, feminism,\nperformance studies, and postcolonial theory, Christine Chism\nargues that these poems animate British history by reviving and\nacknowledging potentially threatening figures from the medieval\npast-pagan judges, primeval giants, Greek knights, Jewish\nforefathers, Egyptian sorcerers, and dead ancestors. In addressing the ways alliterative poems centralize history-the dangerous but\nprofitable commerce of the present with the past-Chism's book\nshifts the emphasis from the philological questions that have\npreoccupied studies of alliterative romance and offers a new\nargument about the uses of alliterative poetry, how it appealed to its original producers and audiences, and why it deserves attention now.\n\n &lt;i&gt;Alliterative Revivals&lt;/i&gt;  examines eight poems: &lt;em&gt;St.\nErkenwald&lt;/em&gt;,  &lt;i&gt;Sir Gawain and the Green Knight&lt;/i&gt; ,  &lt;i&gt;The Wars of Alexander&lt;/i&gt; ,  &lt;i&gt;The Siege of Jerusalem&lt;/i&gt; , the\nalliterative  &lt;i&gt;Morte Arthure&lt;/i&gt; , &lt;em&gt;De Tribus Regibus\nMortuis&lt;/em&gt;,  &lt;i&gt;The Awntyrs off Arthure&lt;/i&gt; , and &lt;em&gt;Somer\nSunday&lt;/em&gt;. Chism both historicizes these texts and argues that\nthey are themselves obsessed with history, dramatizing encounters between the ancient past and the medieval present as a way for\nfourteenth-century contemporaries to examine and rethink a range of ideologies.\n\nThese poems project contemporary conflicts into vivid, vast, and\nspectacular historical theaters in order to reimagine the complex relations between monarchy and nobility, ecclesiastical authority and lay piety, courtly and provincial culture, western Christendom and its easterly others, and the living and their dead progenitors. In this, alliterative romance joins hands with other late\nfourteenth-century literary texts that make trouble at the borders of aristocratic culture.","ISBN":"978-0-8122-3655-2","publisher":"University of Pennsylvania Press","source":"JSTOR","title":"Alliterative Revivals","URL":"https://www.jstor.org/stable/j.ctt3fhcf9","author":[{"family":"Chism","given":"Christine"}],"accessed":{"date-parts":[["2023",11,13]]},"issued":{"date-parts":[["2002"]]}}}],"schema":"https://github.com/citation-style-language/schema/raw/master/csl-citation.json"} </w:instrText>
      </w:r>
      <w:r>
        <w:fldChar w:fldCharType="separate"/>
      </w:r>
      <w:r w:rsidRPr="001A02CE">
        <w:rPr>
          <w:rFonts w:ascii="Calibri" w:hAnsi="Calibri" w:cs="Calibri"/>
          <w:kern w:val="0"/>
          <w:szCs w:val="24"/>
        </w:rPr>
        <w:t xml:space="preserve">Christine Chism, </w:t>
      </w:r>
      <w:r w:rsidRPr="001A02CE">
        <w:rPr>
          <w:rFonts w:ascii="Calibri" w:hAnsi="Calibri" w:cs="Calibri"/>
          <w:i/>
          <w:iCs/>
          <w:kern w:val="0"/>
          <w:szCs w:val="24"/>
        </w:rPr>
        <w:t>Alliterative Revivals</w:t>
      </w:r>
      <w:r w:rsidRPr="001A02CE">
        <w:rPr>
          <w:rFonts w:ascii="Calibri" w:hAnsi="Calibri" w:cs="Calibri"/>
          <w:kern w:val="0"/>
          <w:szCs w:val="24"/>
        </w:rPr>
        <w:t xml:space="preserve"> (University of Pennsylvania Press, 2002) &lt;https://www.jstor.org/stable/j.ctt3fhcf9&gt; [accessed 13 November 2023].</w:t>
      </w:r>
      <w:r>
        <w:fldChar w:fldCharType="end"/>
      </w:r>
    </w:p>
  </w:footnote>
  <w:footnote w:id="6">
    <w:p w14:paraId="10C39A3C" w14:textId="307AB506" w:rsidR="0057187B" w:rsidRDefault="0057187B" w:rsidP="0057187B">
      <w:pPr>
        <w:pStyle w:val="FootnoteText"/>
      </w:pPr>
      <w:r>
        <w:rPr>
          <w:rStyle w:val="FootnoteReference"/>
        </w:rPr>
        <w:footnoteRef/>
      </w:r>
      <w:r>
        <w:t xml:space="preserve"> </w:t>
      </w:r>
      <w:r>
        <w:fldChar w:fldCharType="begin"/>
      </w:r>
      <w:r w:rsidR="00073DDC">
        <w:instrText xml:space="preserve"> ADDIN ZOTERO_ITEM CSL_CITATION {"citationID":"ESFYoT2i","properties":{"formattedCitation":"Piotr Sadowski, {\\i{}The Knight on His Quest: Symbolic Patterns of Transition in Sir Gawain and the Green Knight} (University of Delaware Press, 1996).","plainCitation":"Piotr Sadowski, The Knight on His Quest: Symbolic Patterns of Transition in Sir Gawain and the Green Knight (University of Delaware Press, 1996).","noteIndex":4},"citationItems":[{"id":45,"uris":["http://zotero.org/users/local/VhgDsqkD/items/YF6YS79E"],"itemData":{"id":45,"type":"book","abstract":"This book offers an integrated interpretative analysis of the major thematic aspects of the English fourteenth-century romance Sir Gawain and the Green Knight. The chief aim of author Piotr Sadowski is to look at the contents of the narrative in their entirety and to take full advantage of the poem's exceptional and widely praised harmony of structure and design. Within that design, Sadowski focuses on the poem's presentation of the main protagonist and his adventures, seen first of all as a generalized metaphor of the human life understood as a spiritual quest, and, in a more historical sense, as an expression and critique of certain ideals, values, and anxieties that characterized the late medieval institutions of the court, chivalry, and the Church. Sadowski built the interpretive framework of Sir Gawain from an eclectic theoretical base that he believes is most valuable and useful in approaching medieval literature. The main focus of the study remains the literary text itself, created by an author who communicates his view of the world through the poem.","ISBN":"978-0-87413-580-0","language":"en","note":"Google-Books-ID: RNFqRs3Ccp4C","number-of-pages":"298","publisher":"University of Delaware Press","source":"Google Books","title":"The Knight on His Quest: Symbolic Patterns of Transition in Sir Gawain and the Green Knight","title-short":"The Knight on His Quest","author":[{"family":"Sadowski","given":"Piotr"}],"issued":{"date-parts":[["1996"]]}}}],"schema":"https://github.com/citation-style-language/schema/raw/master/csl-citation.json"} </w:instrText>
      </w:r>
      <w:r>
        <w:fldChar w:fldCharType="separate"/>
      </w:r>
      <w:r w:rsidRPr="00EB553F">
        <w:rPr>
          <w:rFonts w:ascii="Calibri" w:hAnsi="Calibri" w:cs="Calibri"/>
          <w:kern w:val="0"/>
          <w:szCs w:val="24"/>
        </w:rPr>
        <w:t xml:space="preserve">Piotr Sadowski, </w:t>
      </w:r>
      <w:r w:rsidRPr="00EB553F">
        <w:rPr>
          <w:rFonts w:ascii="Calibri" w:hAnsi="Calibri" w:cs="Calibri"/>
          <w:i/>
          <w:iCs/>
          <w:kern w:val="0"/>
          <w:szCs w:val="24"/>
        </w:rPr>
        <w:t>The Knight on His Quest: Symbolic Patterns of Transition in Sir Gawain and the Green Knight</w:t>
      </w:r>
      <w:r w:rsidRPr="00EB553F">
        <w:rPr>
          <w:rFonts w:ascii="Calibri" w:hAnsi="Calibri" w:cs="Calibri"/>
          <w:kern w:val="0"/>
          <w:szCs w:val="24"/>
        </w:rPr>
        <w:t xml:space="preserve"> (University of Delaware Press, 1996).</w:t>
      </w:r>
      <w:r>
        <w:fldChar w:fldCharType="end"/>
      </w:r>
    </w:p>
  </w:footnote>
  <w:footnote w:id="7">
    <w:p w14:paraId="2DF8C4EB" w14:textId="27528106" w:rsidR="001A02CE" w:rsidRDefault="001A02CE">
      <w:pPr>
        <w:pStyle w:val="FootnoteText"/>
      </w:pPr>
      <w:r>
        <w:rPr>
          <w:rStyle w:val="FootnoteReference"/>
        </w:rPr>
        <w:footnoteRef/>
      </w:r>
      <w:r>
        <w:t xml:space="preserve"> </w:t>
      </w:r>
      <w:r>
        <w:fldChar w:fldCharType="begin"/>
      </w:r>
      <w:r w:rsidR="000B6BF4">
        <w:instrText xml:space="preserve"> ADDIN ZOTERO_ITEM CSL_CITATION {"citationID":"eeafEsgV","properties":{"formattedCitation":"J. R. R. Tolkien, E. V. Gordon, and Norman Davis, {\\i{}Sir Gawain and the Green Knight} (OUP Oxford, 1967).","plainCitation":"J. R. R. Tolkien, E. V. Gordon, and Norman Davis, Sir Gawain and the Green Knight (OUP Oxford, 1967).","noteIndex":7},"citationItems":[{"id":37,"uris":["http://zotero.org/users/local/VhgDsqkD/items/PNTYMWBY"],"itemData":{"id":37,"type":"book","abstract":"Three epic poems from 14th century England speak of life during the age of chivalry. Translated from medieval English. Copyright © Libri GmbH. All rights reserved.","ISBN":"978-0-19-811486-4","language":"en","note":"Google-Books-ID: z9ELD1auNGwC","number-of-pages":"263","publisher":"OUP Oxford","source":"Google Books","title":"Sir Gawain and the Green Knight","author":[{"family":"Tolkien","given":"J. R. R."},{"family":"Gordon","given":"E. V."},{"family":"Davis","given":"Norman"}],"issued":{"date-parts":[["1967",1,25]]}}}],"schema":"https://github.com/citation-style-language/schema/raw/master/csl-citation.json"} </w:instrText>
      </w:r>
      <w:r>
        <w:fldChar w:fldCharType="separate"/>
      </w:r>
      <w:r w:rsidRPr="001A02CE">
        <w:rPr>
          <w:rFonts w:ascii="Calibri" w:hAnsi="Calibri" w:cs="Calibri"/>
          <w:kern w:val="0"/>
          <w:szCs w:val="24"/>
        </w:rPr>
        <w:t xml:space="preserve">J. R. R. Tolkien, E. V. Gordon, and Norman Davis, </w:t>
      </w:r>
      <w:r w:rsidRPr="001A02CE">
        <w:rPr>
          <w:rFonts w:ascii="Calibri" w:hAnsi="Calibri" w:cs="Calibri"/>
          <w:i/>
          <w:iCs/>
          <w:kern w:val="0"/>
          <w:szCs w:val="24"/>
        </w:rPr>
        <w:t>Sir Gawain and the Green Knight</w:t>
      </w:r>
      <w:r w:rsidRPr="001A02CE">
        <w:rPr>
          <w:rFonts w:ascii="Calibri" w:hAnsi="Calibri" w:cs="Calibri"/>
          <w:kern w:val="0"/>
          <w:szCs w:val="24"/>
        </w:rPr>
        <w:t xml:space="preserve"> (OUP Oxford, 1967).</w:t>
      </w:r>
      <w:r>
        <w:fldChar w:fldCharType="end"/>
      </w:r>
    </w:p>
  </w:footnote>
  <w:footnote w:id="8">
    <w:p w14:paraId="54848276" w14:textId="218C02EB" w:rsidR="001A02CE" w:rsidRDefault="001A02CE">
      <w:pPr>
        <w:pStyle w:val="FootnoteText"/>
      </w:pPr>
      <w:r>
        <w:rPr>
          <w:rStyle w:val="FootnoteReference"/>
        </w:rPr>
        <w:footnoteRef/>
      </w:r>
      <w:r>
        <w:t xml:space="preserve"> </w:t>
      </w:r>
      <w:r>
        <w:fldChar w:fldCharType="begin"/>
      </w:r>
      <w:r w:rsidR="000B6BF4">
        <w:instrText xml:space="preserve"> ADDIN ZOTERO_ITEM CSL_CITATION {"citationID":"ccAgCu72","properties":{"formattedCitation":"Tolkien, Gordon, and Davis.","plainCitation":"Tolkien, Gordon, and Davis.","noteIndex":8},"citationItems":[{"id":37,"uris":["http://zotero.org/users/local/VhgDsqkD/items/PNTYMWBY"],"itemData":{"id":37,"type":"book","abstract":"Three epic poems from 14th century England speak of life during the age of chivalry. Translated from medieval English. Copyright © Libri GmbH. All rights reserved.","ISBN":"978-0-19-811486-4","language":"en","note":"Google-Books-ID: z9ELD1auNGwC","number-of-pages":"263","publisher":"OUP Oxford","source":"Google Books","title":"Sir Gawain and the Green Knight","author":[{"family":"Tolkien","given":"J. R. R."},{"family":"Gordon","given":"E. V."},{"family":"Davis","given":"Norman"}],"issued":{"date-parts":[["1967",1,25]]}}}],"schema":"https://github.com/citation-style-language/schema/raw/master/csl-citation.json"} </w:instrText>
      </w:r>
      <w:r>
        <w:fldChar w:fldCharType="separate"/>
      </w:r>
      <w:r w:rsidRPr="001A02CE">
        <w:rPr>
          <w:rFonts w:ascii="Calibri" w:hAnsi="Calibri" w:cs="Calibri"/>
        </w:rPr>
        <w:t>Tolkien, Gordon, and Davis.</w:t>
      </w:r>
      <w:r>
        <w:fldChar w:fldCharType="end"/>
      </w:r>
      <w:r w:rsidR="004006AD">
        <w:t xml:space="preserve"> </w:t>
      </w:r>
    </w:p>
  </w:footnote>
  <w:footnote w:id="9">
    <w:p w14:paraId="61E59806" w14:textId="573D31EC" w:rsidR="001A02CE" w:rsidRDefault="001A02CE">
      <w:pPr>
        <w:pStyle w:val="FootnoteText"/>
      </w:pPr>
      <w:r>
        <w:rPr>
          <w:rStyle w:val="FootnoteReference"/>
        </w:rPr>
        <w:footnoteRef/>
      </w:r>
      <w:r>
        <w:t xml:space="preserve"> </w:t>
      </w:r>
      <w:r>
        <w:fldChar w:fldCharType="begin"/>
      </w:r>
      <w:r w:rsidR="000B6BF4">
        <w:instrText xml:space="preserve"> ADDIN ZOTERO_ITEM CSL_CITATION {"citationID":"yVNhwIAi","properties":{"formattedCitation":"Stone.","plainCitation":"Stone.","noteIndex":9},"citationItems":[{"id":1,"uris":["http://zotero.org/users/local/VhgDsqkD/items/XV4CKJE2"],"itemData":{"id":1,"type":"book","event-place":"Harmondsworth","publisher":"Penguin Books Ltd.","publisher-place":"Harmondsworth","title":"Sir Gawain and the Green Knight","translator":[{"family":"Stone","given":"Brian"}],"author":[{"family":"Stone","given":"Brian"}],"issued":{"date-parts":[["1959"]]}}}],"schema":"https://github.com/citation-style-language/schema/raw/master/csl-citation.json"} </w:instrText>
      </w:r>
      <w:r>
        <w:fldChar w:fldCharType="separate"/>
      </w:r>
      <w:r w:rsidRPr="001A02CE">
        <w:rPr>
          <w:rFonts w:ascii="Calibri" w:hAnsi="Calibri" w:cs="Calibri"/>
        </w:rPr>
        <w:t>Stone.</w:t>
      </w:r>
      <w:r>
        <w:fldChar w:fldCharType="end"/>
      </w:r>
    </w:p>
  </w:footnote>
  <w:footnote w:id="10">
    <w:p w14:paraId="12F99229" w14:textId="6DB5794A" w:rsidR="00D7376F" w:rsidRDefault="00D7376F">
      <w:pPr>
        <w:pStyle w:val="FootnoteText"/>
      </w:pPr>
      <w:r>
        <w:rPr>
          <w:rStyle w:val="FootnoteReference"/>
        </w:rPr>
        <w:footnoteRef/>
      </w:r>
      <w:r>
        <w:t xml:space="preserve"> </w:t>
      </w:r>
      <w:r>
        <w:fldChar w:fldCharType="begin"/>
      </w:r>
      <w:r>
        <w:instrText xml:space="preserve"> ADDIN ZOTERO_ITEM CSL_CITATION {"citationID":"0mmn5hKP","properties":{"formattedCitation":"Ad Putter, \\uc0\\u8216{}Francis Ingledew, Sir Gawain and the Green Knight and the Order of the Garter\\uc0\\u8217{}, {\\i{}Modern Philology}, 107.1 (2009), 128\\uc0\\u8211{}30 &lt;https://doi.org/10.1086/605833&gt;.","plainCitation":"Ad Putter, ‘Francis Ingledew, Sir Gawain and the Green Knight and the Order of the Garter’, Modern Philology, 107.1 (2009), 128–30 &lt;https://doi.org/10.1086/605833&gt;.","noteIndex":11},"citationItems":[{"id":68,"uris":["http://zotero.org/users/local/VhgDsqkD/items/C69R76GZ"],"itemData":{"id":68,"type":"article-journal","container-title":"Modern Philology","DOI":"10.1086/605833","ISSN":"0026-8232","issue":"1","note":"publisher: The University of Chicago Press","page":"128-130","source":"journals.uchicago.edu (Atypon)","title":"Francis Ingledew, Sir Gawain and the Green Knight and the Order of the Garter","volume":"107","author":[{"family":"Putter","given":"Ad"}],"issued":{"date-parts":[["2009",8]]}}}],"schema":"https://github.com/citation-style-language/schema/raw/master/csl-citation.json"} </w:instrText>
      </w:r>
      <w:r>
        <w:fldChar w:fldCharType="separate"/>
      </w:r>
      <w:r w:rsidRPr="00D7376F">
        <w:rPr>
          <w:rFonts w:ascii="Calibri" w:hAnsi="Calibri" w:cs="Calibri"/>
          <w:kern w:val="0"/>
          <w:szCs w:val="24"/>
        </w:rPr>
        <w:t xml:space="preserve">Ad Putter, ‘Francis Ingledew, Sir Gawain and the Green Knight and the Order of the Garter’, </w:t>
      </w:r>
      <w:r w:rsidRPr="00D7376F">
        <w:rPr>
          <w:rFonts w:ascii="Calibri" w:hAnsi="Calibri" w:cs="Calibri"/>
          <w:i/>
          <w:iCs/>
          <w:kern w:val="0"/>
          <w:szCs w:val="24"/>
        </w:rPr>
        <w:t>Modern Philology</w:t>
      </w:r>
      <w:r w:rsidRPr="00D7376F">
        <w:rPr>
          <w:rFonts w:ascii="Calibri" w:hAnsi="Calibri" w:cs="Calibri"/>
          <w:kern w:val="0"/>
          <w:szCs w:val="24"/>
        </w:rPr>
        <w:t>, 107.1 (2009), 128–30 &lt;https://doi.org/10.1086/605833&gt;.</w:t>
      </w:r>
      <w:r>
        <w:fldChar w:fldCharType="end"/>
      </w:r>
    </w:p>
  </w:footnote>
  <w:footnote w:id="11">
    <w:p w14:paraId="245AAB1D" w14:textId="5440F642" w:rsidR="00D7376F" w:rsidRDefault="00D7376F">
      <w:pPr>
        <w:pStyle w:val="FootnoteText"/>
      </w:pPr>
      <w:r>
        <w:rPr>
          <w:rStyle w:val="FootnoteReference"/>
        </w:rPr>
        <w:footnoteRef/>
      </w:r>
      <w:r>
        <w:t xml:space="preserve"> </w:t>
      </w:r>
      <w:r w:rsidR="003B6E97">
        <w:t xml:space="preserve">Larissa Tracy, </w:t>
      </w:r>
      <w:r>
        <w:fldChar w:fldCharType="begin"/>
      </w:r>
      <w:r>
        <w:instrText xml:space="preserve"> ADDIN ZOTERO_ITEM CSL_CITATION {"citationID":"iW0hUER0","properties":{"formattedCitation":"\\uc0\\u8216{}Heads Will Roll: Decapitation in the Medieval and Early Modern Imagination\\uc0\\u8217{}, in {\\i{}Heads Will Roll} (Brill, 2012) &lt;https://brill.com/display/title/20555&gt; [accessed 21 November 2023].","plainCitation":"‘Heads Will Roll: Decapitation in the Medieval and Early Modern Imagination’, in Heads Will Roll (Brill, 2012) &lt;https://brill.com/display/title/20555&gt; [accessed 21 November 2023].","noteIndex":11},"citationItems":[{"id":64,"uris":["http://zotero.org/users/local/VhgDsqkD/items/GJHY2Y3A"],"itemData":{"id":64,"type":"chapter","container-title":"Heads Will Roll","ISBN":"978-90-04-22228-1","language":"en","publisher":"Brill","source":"brill-com.ezproxy.uwtsd.ac.uk","title":"Heads Will Roll: Decapitation in the Medieval and Early Modern Imagination","title-short":"Heads Will Roll","URL":"https://brill.com/display/title/20555","accessed":{"date-parts":[["2023",11,21]]},"issued":{"date-parts":[["2012",1,20]]}}}],"schema":"https://github.com/citation-style-language/schema/raw/master/csl-citation.json"} </w:instrText>
      </w:r>
      <w:r>
        <w:fldChar w:fldCharType="separate"/>
      </w:r>
      <w:r w:rsidRPr="00D7376F">
        <w:rPr>
          <w:rFonts w:ascii="Calibri" w:hAnsi="Calibri" w:cs="Calibri"/>
          <w:kern w:val="0"/>
          <w:szCs w:val="24"/>
        </w:rPr>
        <w:t>‘</w:t>
      </w:r>
      <w:r w:rsidR="002C3F5D">
        <w:rPr>
          <w:rFonts w:ascii="Calibri" w:hAnsi="Calibri" w:cs="Calibri"/>
          <w:kern w:val="0"/>
          <w:szCs w:val="24"/>
        </w:rPr>
        <w:t xml:space="preserve">"So he smote of hir </w:t>
      </w:r>
      <w:proofErr w:type="spellStart"/>
      <w:r w:rsidR="002C3F5D">
        <w:rPr>
          <w:rFonts w:ascii="Calibri" w:hAnsi="Calibri" w:cs="Calibri"/>
          <w:kern w:val="0"/>
          <w:szCs w:val="24"/>
        </w:rPr>
        <w:t>hede</w:t>
      </w:r>
      <w:proofErr w:type="spellEnd"/>
      <w:r w:rsidR="002C3F5D">
        <w:rPr>
          <w:rFonts w:ascii="Calibri" w:hAnsi="Calibri" w:cs="Calibri"/>
          <w:kern w:val="0"/>
          <w:szCs w:val="24"/>
        </w:rPr>
        <w:t xml:space="preserve"> by </w:t>
      </w:r>
      <w:proofErr w:type="spellStart"/>
      <w:r w:rsidR="002C3F5D">
        <w:rPr>
          <w:rFonts w:ascii="Calibri" w:hAnsi="Calibri" w:cs="Calibri"/>
          <w:kern w:val="0"/>
          <w:szCs w:val="24"/>
        </w:rPr>
        <w:t>myssefortune</w:t>
      </w:r>
      <w:proofErr w:type="spellEnd"/>
      <w:r w:rsidR="002C3F5D">
        <w:rPr>
          <w:rFonts w:ascii="Calibri" w:hAnsi="Calibri" w:cs="Calibri"/>
          <w:kern w:val="0"/>
          <w:szCs w:val="24"/>
        </w:rPr>
        <w:t>": The Real Price of the Beheading Game in SGGK and Malory</w:t>
      </w:r>
      <w:r w:rsidRPr="00D7376F">
        <w:rPr>
          <w:rFonts w:ascii="Calibri" w:hAnsi="Calibri" w:cs="Calibri"/>
          <w:kern w:val="0"/>
          <w:szCs w:val="24"/>
        </w:rPr>
        <w:t xml:space="preserve">’, in </w:t>
      </w:r>
      <w:r w:rsidRPr="00D7376F">
        <w:rPr>
          <w:rFonts w:ascii="Calibri" w:hAnsi="Calibri" w:cs="Calibri"/>
          <w:i/>
          <w:iCs/>
          <w:kern w:val="0"/>
          <w:szCs w:val="24"/>
        </w:rPr>
        <w:t>Heads Will Roll</w:t>
      </w:r>
      <w:r w:rsidR="002C3F5D">
        <w:rPr>
          <w:rFonts w:ascii="Calibri" w:hAnsi="Calibri" w:cs="Calibri"/>
          <w:kern w:val="0"/>
          <w:szCs w:val="24"/>
        </w:rPr>
        <w:t>, ed. by Jeff Massey</w:t>
      </w:r>
      <w:r w:rsidRPr="00D7376F">
        <w:rPr>
          <w:rFonts w:ascii="Calibri" w:hAnsi="Calibri" w:cs="Calibri"/>
          <w:kern w:val="0"/>
          <w:szCs w:val="24"/>
        </w:rPr>
        <w:t xml:space="preserve"> (Brill, 2012) &lt;https://brill.com/display/title/20555&gt; [accessed 21 November 2023].</w:t>
      </w:r>
      <w:r>
        <w:fldChar w:fldCharType="end"/>
      </w:r>
    </w:p>
  </w:footnote>
  <w:footnote w:id="12">
    <w:p w14:paraId="4206642C" w14:textId="7E17908F" w:rsidR="0057187B" w:rsidRDefault="0057187B" w:rsidP="0057187B">
      <w:pPr>
        <w:pStyle w:val="FootnoteText"/>
      </w:pPr>
      <w:r>
        <w:rPr>
          <w:rStyle w:val="FootnoteReference"/>
        </w:rPr>
        <w:footnoteRef/>
      </w:r>
      <w:r>
        <w:t xml:space="preserve"> </w:t>
      </w:r>
      <w:r>
        <w:fldChar w:fldCharType="begin"/>
      </w:r>
      <w:r w:rsidR="000B6BF4">
        <w:instrText xml:space="preserve"> ADDIN ZOTERO_ITEM CSL_CITATION {"citationID":"4Selgujk","properties":{"formattedCitation":"William F. Woods, \\uc0\\u8216{}Nature and the Inner Man in \\uc0\\u8220{}Sir Gawain and the Green Knight\\uc0\\u8221{}\\uc0\\u8217{}, {\\i{}The Chaucer Review}, 36.3 (2002), 209\\uc0\\u8211{}27.","plainCitation":"William F. Woods, ‘Nature and the Inner Man in “Sir Gawain and the Green Knight”’, The Chaucer Review, 36.3 (2002), 209–27.","noteIndex":12},"citationItems":[{"id":41,"uris":["http://zotero.org/users/local/VhgDsqkD/items/U2BSNTEL"],"itemData":{"id":41,"type":"article-journal","container-title":"The Chaucer Review","ISSN":"0009-2002","issue":"3","note":"publisher: Penn State University Press","page":"209-227","source":"JSTOR","title":"Nature and the Inner Man in \"Sir Gawain and the Green Knight\"","volume":"36","author":[{"family":"Woods","given":"William F."}],"issued":{"date-parts":[["2002"]]}}}],"schema":"https://github.com/citation-style-language/schema/raw/master/csl-citation.json"} </w:instrText>
      </w:r>
      <w:r>
        <w:fldChar w:fldCharType="separate"/>
      </w:r>
      <w:r w:rsidRPr="00EB553F">
        <w:rPr>
          <w:rFonts w:ascii="Calibri" w:hAnsi="Calibri" w:cs="Calibri"/>
          <w:kern w:val="0"/>
          <w:szCs w:val="24"/>
        </w:rPr>
        <w:t xml:space="preserve">William F. Woods, ‘Nature and the Inner Man in “Sir Gawain and the Green Knight”’, </w:t>
      </w:r>
      <w:r w:rsidRPr="00EB553F">
        <w:rPr>
          <w:rFonts w:ascii="Calibri" w:hAnsi="Calibri" w:cs="Calibri"/>
          <w:i/>
          <w:iCs/>
          <w:kern w:val="0"/>
          <w:szCs w:val="24"/>
        </w:rPr>
        <w:t>The Chaucer Review</w:t>
      </w:r>
      <w:r w:rsidRPr="00EB553F">
        <w:rPr>
          <w:rFonts w:ascii="Calibri" w:hAnsi="Calibri" w:cs="Calibri"/>
          <w:kern w:val="0"/>
          <w:szCs w:val="24"/>
        </w:rPr>
        <w:t>, 36.3 (2002), 209–27.</w:t>
      </w:r>
      <w:r>
        <w:fldChar w:fldCharType="end"/>
      </w:r>
    </w:p>
  </w:footnote>
  <w:footnote w:id="13">
    <w:p w14:paraId="0A3DD650" w14:textId="1F463CBD" w:rsidR="0057187B" w:rsidRDefault="0057187B" w:rsidP="0057187B">
      <w:pPr>
        <w:pStyle w:val="FootnoteText"/>
      </w:pPr>
      <w:r>
        <w:rPr>
          <w:rStyle w:val="FootnoteReference"/>
        </w:rPr>
        <w:footnoteRef/>
      </w:r>
      <w:r>
        <w:t xml:space="preserve"> </w:t>
      </w:r>
      <w:r>
        <w:fldChar w:fldCharType="begin"/>
      </w:r>
      <w:r w:rsidR="000B6BF4">
        <w:instrText xml:space="preserve"> ADDIN ZOTERO_ITEM CSL_CITATION {"citationID":"tEsx137n","properties":{"formattedCitation":"Woods.","plainCitation":"Woods.","noteIndex":13},"citationItems":[{"id":41,"uris":["http://zotero.org/users/local/VhgDsqkD/items/U2BSNTEL"],"itemData":{"id":41,"type":"article-journal","container-title":"The Chaucer Review","ISSN":"0009-2002","issue":"3","note":"publisher: Penn State University Press","page":"209-227","source":"JSTOR","title":"Nature and the Inner Man in \"Sir Gawain and the Green Knight\"","volume":"36","author":[{"family":"Woods","given":"William F."}],"issued":{"date-parts":[["2002"]]}}}],"schema":"https://github.com/citation-style-language/schema/raw/master/csl-citation.json"} </w:instrText>
      </w:r>
      <w:r>
        <w:fldChar w:fldCharType="separate"/>
      </w:r>
      <w:r w:rsidRPr="00EB553F">
        <w:rPr>
          <w:rFonts w:ascii="Calibri" w:hAnsi="Calibri" w:cs="Calibri"/>
        </w:rPr>
        <w:t>Woods.</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58A16" w14:textId="77777777" w:rsidR="001E4FD1" w:rsidRDefault="001E4F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F6F1B" w14:textId="77777777" w:rsidR="001E4FD1" w:rsidRDefault="001E4F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EA578" w14:textId="77777777" w:rsidR="001E4FD1" w:rsidRDefault="001E4F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7B"/>
    <w:rsid w:val="000336F2"/>
    <w:rsid w:val="00056C5F"/>
    <w:rsid w:val="00073DDC"/>
    <w:rsid w:val="000B3EC2"/>
    <w:rsid w:val="000B6BF4"/>
    <w:rsid w:val="001A02CE"/>
    <w:rsid w:val="001D2CE6"/>
    <w:rsid w:val="001E4FD1"/>
    <w:rsid w:val="002C3F5D"/>
    <w:rsid w:val="003B6E97"/>
    <w:rsid w:val="004006AD"/>
    <w:rsid w:val="00470EF3"/>
    <w:rsid w:val="004A15B5"/>
    <w:rsid w:val="0057187B"/>
    <w:rsid w:val="005D3C82"/>
    <w:rsid w:val="006A513A"/>
    <w:rsid w:val="006B3DB0"/>
    <w:rsid w:val="00790359"/>
    <w:rsid w:val="00A27232"/>
    <w:rsid w:val="00BA6F6E"/>
    <w:rsid w:val="00CC1E4B"/>
    <w:rsid w:val="00D7376F"/>
    <w:rsid w:val="00E744A5"/>
    <w:rsid w:val="00F8172B"/>
    <w:rsid w:val="00F96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32C81"/>
  <w15:chartTrackingRefBased/>
  <w15:docId w15:val="{6F2CD1FD-8C7D-452C-A635-92C449CB2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8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7187B"/>
    <w:rPr>
      <w:sz w:val="16"/>
      <w:szCs w:val="16"/>
    </w:rPr>
  </w:style>
  <w:style w:type="paragraph" w:styleId="CommentText">
    <w:name w:val="annotation text"/>
    <w:basedOn w:val="Normal"/>
    <w:link w:val="CommentTextChar"/>
    <w:uiPriority w:val="99"/>
    <w:unhideWhenUsed/>
    <w:rsid w:val="0057187B"/>
    <w:pPr>
      <w:spacing w:line="240" w:lineRule="auto"/>
    </w:pPr>
    <w:rPr>
      <w:sz w:val="20"/>
      <w:szCs w:val="20"/>
    </w:rPr>
  </w:style>
  <w:style w:type="character" w:customStyle="1" w:styleId="CommentTextChar">
    <w:name w:val="Comment Text Char"/>
    <w:basedOn w:val="DefaultParagraphFont"/>
    <w:link w:val="CommentText"/>
    <w:uiPriority w:val="99"/>
    <w:rsid w:val="0057187B"/>
    <w:rPr>
      <w:sz w:val="20"/>
      <w:szCs w:val="20"/>
    </w:rPr>
  </w:style>
  <w:style w:type="paragraph" w:styleId="FootnoteText">
    <w:name w:val="footnote text"/>
    <w:basedOn w:val="Normal"/>
    <w:link w:val="FootnoteTextChar"/>
    <w:uiPriority w:val="99"/>
    <w:semiHidden/>
    <w:unhideWhenUsed/>
    <w:rsid w:val="005718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187B"/>
    <w:rPr>
      <w:sz w:val="20"/>
      <w:szCs w:val="20"/>
    </w:rPr>
  </w:style>
  <w:style w:type="character" w:styleId="FootnoteReference">
    <w:name w:val="footnote reference"/>
    <w:basedOn w:val="DefaultParagraphFont"/>
    <w:uiPriority w:val="99"/>
    <w:semiHidden/>
    <w:unhideWhenUsed/>
    <w:rsid w:val="0057187B"/>
    <w:rPr>
      <w:vertAlign w:val="superscript"/>
    </w:rPr>
  </w:style>
  <w:style w:type="character" w:styleId="Emphasis">
    <w:name w:val="Emphasis"/>
    <w:basedOn w:val="DefaultParagraphFont"/>
    <w:uiPriority w:val="20"/>
    <w:qFormat/>
    <w:rsid w:val="0057187B"/>
    <w:rPr>
      <w:i/>
      <w:iCs/>
    </w:rPr>
  </w:style>
  <w:style w:type="paragraph" w:styleId="CommentSubject">
    <w:name w:val="annotation subject"/>
    <w:basedOn w:val="CommentText"/>
    <w:next w:val="CommentText"/>
    <w:link w:val="CommentSubjectChar"/>
    <w:uiPriority w:val="99"/>
    <w:semiHidden/>
    <w:unhideWhenUsed/>
    <w:rsid w:val="0057187B"/>
    <w:rPr>
      <w:b/>
      <w:bCs/>
    </w:rPr>
  </w:style>
  <w:style w:type="character" w:customStyle="1" w:styleId="CommentSubjectChar">
    <w:name w:val="Comment Subject Char"/>
    <w:basedOn w:val="CommentTextChar"/>
    <w:link w:val="CommentSubject"/>
    <w:uiPriority w:val="99"/>
    <w:semiHidden/>
    <w:rsid w:val="0057187B"/>
    <w:rPr>
      <w:b/>
      <w:bCs/>
      <w:sz w:val="20"/>
      <w:szCs w:val="20"/>
    </w:rPr>
  </w:style>
  <w:style w:type="paragraph" w:styleId="Bibliography">
    <w:name w:val="Bibliography"/>
    <w:basedOn w:val="Normal"/>
    <w:next w:val="Normal"/>
    <w:uiPriority w:val="37"/>
    <w:unhideWhenUsed/>
    <w:rsid w:val="001E4FD1"/>
    <w:pPr>
      <w:spacing w:after="240" w:line="240" w:lineRule="auto"/>
      <w:ind w:left="720" w:hanging="720"/>
    </w:pPr>
  </w:style>
  <w:style w:type="paragraph" w:styleId="Header">
    <w:name w:val="header"/>
    <w:basedOn w:val="Normal"/>
    <w:link w:val="HeaderChar"/>
    <w:uiPriority w:val="99"/>
    <w:unhideWhenUsed/>
    <w:rsid w:val="001E4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FD1"/>
  </w:style>
  <w:style w:type="paragraph" w:styleId="Footer">
    <w:name w:val="footer"/>
    <w:basedOn w:val="Normal"/>
    <w:link w:val="FooterChar"/>
    <w:uiPriority w:val="99"/>
    <w:unhideWhenUsed/>
    <w:rsid w:val="001E4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4</Pages>
  <Words>1132</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7</cp:revision>
  <dcterms:created xsi:type="dcterms:W3CDTF">2023-11-21T13:13:00Z</dcterms:created>
  <dcterms:modified xsi:type="dcterms:W3CDTF">2023-11-21T23:15:00Z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id="f455hjPA"/&gt;&lt;style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