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636D3" w14:textId="664E7DE4" w:rsidR="00110957" w:rsidRDefault="00BC638F">
      <w:pPr>
        <w:rPr>
          <w:b/>
          <w:bCs/>
          <w:sz w:val="32"/>
          <w:szCs w:val="32"/>
        </w:rPr>
      </w:pPr>
      <w:r w:rsidRPr="00955532">
        <w:rPr>
          <w:b/>
          <w:bCs/>
          <w:sz w:val="32"/>
          <w:szCs w:val="32"/>
        </w:rPr>
        <w:t>Digital Transformation Abstracts</w:t>
      </w:r>
    </w:p>
    <w:p w14:paraId="6C407023" w14:textId="4CC5ED92" w:rsidR="004012D7" w:rsidRDefault="004012D7">
      <w:pPr>
        <w:rPr>
          <w:b/>
          <w:bCs/>
          <w:sz w:val="24"/>
          <w:szCs w:val="24"/>
        </w:rPr>
      </w:pPr>
      <w:r w:rsidRPr="00324DB8">
        <w:rPr>
          <w:b/>
          <w:bCs/>
          <w:sz w:val="24"/>
          <w:szCs w:val="24"/>
        </w:rPr>
        <w:t>11-03-23</w:t>
      </w:r>
    </w:p>
    <w:p w14:paraId="6037CF75" w14:textId="77777777" w:rsidR="00324DB8" w:rsidRPr="00324DB8" w:rsidRDefault="00324DB8">
      <w:pPr>
        <w:rPr>
          <w:b/>
          <w:bCs/>
          <w:sz w:val="24"/>
          <w:szCs w:val="24"/>
        </w:rPr>
      </w:pPr>
    </w:p>
    <w:p w14:paraId="4BE0960A" w14:textId="7FA43850" w:rsidR="00324DB8" w:rsidRPr="00324DB8" w:rsidRDefault="00324DB8" w:rsidP="00324DB8">
      <w:pPr>
        <w:shd w:val="clear" w:color="auto" w:fill="FFFFFF"/>
        <w:spacing w:after="0" w:line="240" w:lineRule="auto"/>
        <w:rPr>
          <w:rFonts w:ascii="Arial" w:eastAsia="Times New Roman" w:hAnsi="Arial" w:cs="Arial"/>
          <w:color w:val="222222"/>
          <w:sz w:val="24"/>
          <w:szCs w:val="24"/>
          <w:lang w:eastAsia="en-GB"/>
        </w:rPr>
      </w:pPr>
      <w:r w:rsidRPr="00324DB8">
        <w:rPr>
          <w:rFonts w:ascii="Arial" w:eastAsia="Times New Roman" w:hAnsi="Arial" w:cs="Arial"/>
          <w:color w:val="222222"/>
          <w:sz w:val="24"/>
          <w:szCs w:val="24"/>
          <w:lang w:eastAsia="en-GB"/>
        </w:rPr>
        <w:t>Gabriele Contessa</w:t>
      </w:r>
      <w:r w:rsidRPr="00324DB8">
        <w:rPr>
          <w:rFonts w:ascii="Arial" w:eastAsia="Times New Roman" w:hAnsi="Arial" w:cs="Arial"/>
          <w:color w:val="222222"/>
          <w:sz w:val="24"/>
          <w:szCs w:val="24"/>
          <w:lang w:eastAsia="en-GB"/>
        </w:rPr>
        <w:t xml:space="preserve"> (2022) </w:t>
      </w:r>
      <w:r w:rsidRPr="00324DB8">
        <w:rPr>
          <w:rFonts w:ascii="Arial" w:eastAsia="Times New Roman" w:hAnsi="Arial" w:cs="Arial"/>
          <w:color w:val="222222"/>
          <w:sz w:val="24"/>
          <w:szCs w:val="24"/>
          <w:lang w:eastAsia="en-GB"/>
        </w:rPr>
        <w:t xml:space="preserve">The Robot Apocalypse Is Already </w:t>
      </w:r>
      <w:proofErr w:type="spellStart"/>
      <w:r w:rsidRPr="00324DB8">
        <w:rPr>
          <w:rFonts w:ascii="Arial" w:eastAsia="Times New Roman" w:hAnsi="Arial" w:cs="Arial"/>
          <w:color w:val="222222"/>
          <w:sz w:val="24"/>
          <w:szCs w:val="24"/>
          <w:lang w:eastAsia="en-GB"/>
        </w:rPr>
        <w:t>Here</w:t>
      </w:r>
      <w:r w:rsidRPr="00324DB8">
        <w:rPr>
          <w:rFonts w:ascii="Arial" w:eastAsia="Times New Roman" w:hAnsi="Arial" w:cs="Arial"/>
          <w:color w:val="222222"/>
          <w:sz w:val="24"/>
          <w:szCs w:val="24"/>
          <w:lang w:eastAsia="en-GB"/>
        </w:rPr>
        <w:t>.</w:t>
      </w:r>
      <w:hyperlink r:id="rId4" w:history="1">
        <w:r w:rsidRPr="00324DB8">
          <w:rPr>
            <w:rFonts w:ascii="Arial" w:eastAsia="Times New Roman" w:hAnsi="Arial" w:cs="Arial"/>
            <w:color w:val="1E1A6D"/>
            <w:kern w:val="36"/>
            <w:sz w:val="24"/>
            <w:szCs w:val="24"/>
            <w:lang w:eastAsia="en-GB"/>
          </w:rPr>
          <w:t>The</w:t>
        </w:r>
        <w:proofErr w:type="spellEnd"/>
        <w:r w:rsidRPr="00324DB8">
          <w:rPr>
            <w:rFonts w:ascii="Arial" w:eastAsia="Times New Roman" w:hAnsi="Arial" w:cs="Arial"/>
            <w:color w:val="1E1A6D"/>
            <w:kern w:val="36"/>
            <w:sz w:val="24"/>
            <w:szCs w:val="24"/>
            <w:lang w:eastAsia="en-GB"/>
          </w:rPr>
          <w:t xml:space="preserve"> Philosophers' Magazine</w:t>
        </w:r>
      </w:hyperlink>
      <w:r w:rsidRPr="00324DB8">
        <w:rPr>
          <w:rFonts w:ascii="Arial" w:eastAsia="Times New Roman" w:hAnsi="Arial" w:cs="Arial"/>
          <w:color w:val="1E1A6D"/>
          <w:sz w:val="24"/>
          <w:szCs w:val="24"/>
          <w:lang w:eastAsia="en-GB"/>
        </w:rPr>
        <w:t xml:space="preserve">. </w:t>
      </w:r>
      <w:r w:rsidRPr="00324DB8">
        <w:rPr>
          <w:rFonts w:ascii="Arial" w:eastAsia="Times New Roman" w:hAnsi="Arial" w:cs="Arial"/>
          <w:color w:val="1E1A6D"/>
          <w:sz w:val="24"/>
          <w:szCs w:val="24"/>
          <w:lang w:eastAsia="en-GB"/>
        </w:rPr>
        <w:t>Issue 96, 1st Quarter</w:t>
      </w:r>
      <w:r w:rsidRPr="00324DB8">
        <w:rPr>
          <w:rFonts w:ascii="Arial" w:eastAsia="Times New Roman" w:hAnsi="Arial" w:cs="Arial"/>
          <w:color w:val="1E1A6D"/>
          <w:sz w:val="24"/>
          <w:szCs w:val="24"/>
          <w:lang w:eastAsia="en-GB"/>
        </w:rPr>
        <w:t xml:space="preserve">, </w:t>
      </w:r>
      <w:r w:rsidRPr="00324DB8">
        <w:rPr>
          <w:rFonts w:ascii="Arial" w:eastAsia="Times New Roman" w:hAnsi="Arial" w:cs="Arial"/>
          <w:color w:val="222222"/>
          <w:sz w:val="24"/>
          <w:szCs w:val="24"/>
          <w:lang w:eastAsia="en-GB"/>
        </w:rPr>
        <w:t>Pages 54-58</w:t>
      </w:r>
      <w:r w:rsidRPr="00324DB8">
        <w:rPr>
          <w:rFonts w:ascii="Arial" w:eastAsia="Times New Roman" w:hAnsi="Arial" w:cs="Arial"/>
          <w:color w:val="222222"/>
          <w:sz w:val="24"/>
          <w:szCs w:val="24"/>
          <w:lang w:eastAsia="en-GB"/>
        </w:rPr>
        <w:t xml:space="preserve">. </w:t>
      </w:r>
      <w:hyperlink r:id="rId5" w:history="1">
        <w:r w:rsidRPr="00324DB8">
          <w:rPr>
            <w:rStyle w:val="Hyperlink"/>
            <w:rFonts w:ascii="Arial" w:eastAsia="Times New Roman" w:hAnsi="Arial" w:cs="Arial"/>
            <w:sz w:val="24"/>
            <w:szCs w:val="24"/>
            <w:lang w:eastAsia="en-GB"/>
          </w:rPr>
          <w:t>https://doi.org/10.5840/tpm20229612</w:t>
        </w:r>
      </w:hyperlink>
      <w:r w:rsidRPr="00324DB8">
        <w:rPr>
          <w:rFonts w:ascii="Arial" w:eastAsia="Times New Roman" w:hAnsi="Arial" w:cs="Arial"/>
          <w:color w:val="1E1A6D"/>
          <w:sz w:val="24"/>
          <w:szCs w:val="24"/>
          <w:lang w:eastAsia="en-GB"/>
        </w:rPr>
        <w:t xml:space="preserve"> </w:t>
      </w:r>
    </w:p>
    <w:p w14:paraId="03CB1625" w14:textId="1140E74E" w:rsidR="004012D7" w:rsidRDefault="004012D7">
      <w:pPr>
        <w:rPr>
          <w:b/>
          <w:bCs/>
          <w:sz w:val="32"/>
          <w:szCs w:val="32"/>
        </w:rPr>
      </w:pPr>
      <w:r>
        <w:rPr>
          <w:noProof/>
        </w:rPr>
        <w:drawing>
          <wp:inline distT="0" distB="0" distL="0" distR="0" wp14:anchorId="01F662E6" wp14:editId="43702ECB">
            <wp:extent cx="5730875" cy="6362063"/>
            <wp:effectExtent l="0" t="0" r="3175" b="1270"/>
            <wp:docPr id="8" name="Picture 8" descr="Document is being load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ocument is being loade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41313" cy="6373650"/>
                    </a:xfrm>
                    <a:prstGeom prst="rect">
                      <a:avLst/>
                    </a:prstGeom>
                    <a:noFill/>
                    <a:ln>
                      <a:noFill/>
                    </a:ln>
                  </pic:spPr>
                </pic:pic>
              </a:graphicData>
            </a:graphic>
          </wp:inline>
        </w:drawing>
      </w:r>
    </w:p>
    <w:p w14:paraId="79A35182" w14:textId="4F1FF4A3" w:rsidR="004012D7" w:rsidRDefault="004012D7" w:rsidP="004012D7">
      <w:pPr>
        <w:shd w:val="clear" w:color="auto" w:fill="FFFFFF"/>
        <w:spacing w:after="0" w:line="240" w:lineRule="auto"/>
        <w:rPr>
          <w:rFonts w:ascii="Arial" w:eastAsia="Times New Roman" w:hAnsi="Arial" w:cs="Arial"/>
          <w:color w:val="222222"/>
          <w:sz w:val="18"/>
          <w:szCs w:val="18"/>
          <w:lang w:eastAsia="en-GB"/>
        </w:rPr>
      </w:pPr>
      <w:r w:rsidRPr="004012D7">
        <w:rPr>
          <w:rFonts w:ascii="Arial" w:eastAsia="Times New Roman" w:hAnsi="Arial" w:cs="Arial"/>
          <w:noProof/>
          <w:color w:val="1E1A6D"/>
          <w:sz w:val="18"/>
          <w:szCs w:val="18"/>
          <w:lang w:eastAsia="en-GB"/>
        </w:rPr>
        <w:lastRenderedPageBreak/>
        <w:drawing>
          <wp:inline distT="0" distB="0" distL="0" distR="0" wp14:anchorId="5BA5030C" wp14:editId="4AAFA37E">
            <wp:extent cx="1318260" cy="1333500"/>
            <wp:effectExtent l="0" t="0" r="0" b="0"/>
            <wp:docPr id="7" name="Picture 7" descr="Cover of The Philosophers' Magazine">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ver of The Philosophers' Magazine">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18260" cy="1333500"/>
                    </a:xfrm>
                    <a:prstGeom prst="rect">
                      <a:avLst/>
                    </a:prstGeom>
                    <a:noFill/>
                    <a:ln>
                      <a:noFill/>
                    </a:ln>
                  </pic:spPr>
                </pic:pic>
              </a:graphicData>
            </a:graphic>
          </wp:inline>
        </w:drawing>
      </w:r>
    </w:p>
    <w:p w14:paraId="17F8DF38" w14:textId="77777777" w:rsidR="004012D7" w:rsidRPr="004012D7" w:rsidRDefault="004012D7" w:rsidP="004012D7">
      <w:pPr>
        <w:shd w:val="clear" w:color="auto" w:fill="FFFFFF"/>
        <w:spacing w:after="0" w:line="240" w:lineRule="auto"/>
        <w:rPr>
          <w:rFonts w:ascii="Arial" w:eastAsia="Times New Roman" w:hAnsi="Arial" w:cs="Arial"/>
          <w:color w:val="222222"/>
          <w:sz w:val="18"/>
          <w:szCs w:val="18"/>
          <w:lang w:eastAsia="en-GB"/>
        </w:rPr>
      </w:pPr>
    </w:p>
    <w:p w14:paraId="589AC7E8" w14:textId="7D8A2833" w:rsidR="004012D7" w:rsidRPr="004012D7" w:rsidRDefault="004012D7" w:rsidP="004012D7">
      <w:pPr>
        <w:shd w:val="clear" w:color="auto" w:fill="FFFFFF"/>
        <w:spacing w:after="75" w:line="240" w:lineRule="auto"/>
        <w:outlineLvl w:val="0"/>
        <w:rPr>
          <w:rFonts w:ascii="Arial" w:eastAsia="Times New Roman" w:hAnsi="Arial" w:cs="Arial"/>
          <w:color w:val="1E1A6D"/>
          <w:kern w:val="36"/>
          <w:sz w:val="24"/>
          <w:szCs w:val="24"/>
          <w:lang w:eastAsia="en-GB"/>
        </w:rPr>
      </w:pPr>
      <w:r w:rsidRPr="004012D7">
        <w:rPr>
          <w:rFonts w:ascii="Arial" w:eastAsia="Times New Roman" w:hAnsi="Arial" w:cs="Arial"/>
          <w:color w:val="222222"/>
          <w:sz w:val="24"/>
          <w:szCs w:val="24"/>
          <w:lang w:eastAsia="en-GB"/>
        </w:rPr>
        <w:t xml:space="preserve">Woodrow </w:t>
      </w:r>
      <w:proofErr w:type="spellStart"/>
      <w:r w:rsidRPr="004012D7">
        <w:rPr>
          <w:rFonts w:ascii="Arial" w:eastAsia="Times New Roman" w:hAnsi="Arial" w:cs="Arial"/>
          <w:color w:val="222222"/>
          <w:sz w:val="24"/>
          <w:szCs w:val="24"/>
          <w:lang w:eastAsia="en-GB"/>
        </w:rPr>
        <w:t>Harzig</w:t>
      </w:r>
      <w:proofErr w:type="spellEnd"/>
      <w:r w:rsidRPr="004012D7">
        <w:rPr>
          <w:rFonts w:ascii="Arial" w:eastAsia="Times New Roman" w:hAnsi="Arial" w:cs="Arial"/>
          <w:color w:val="222222"/>
          <w:sz w:val="24"/>
          <w:szCs w:val="24"/>
          <w:lang w:eastAsia="en-GB"/>
        </w:rPr>
        <w:t>, Evan Selinger</w:t>
      </w:r>
      <w:r w:rsidRPr="004012D7">
        <w:rPr>
          <w:rFonts w:ascii="Arial" w:eastAsia="Times New Roman" w:hAnsi="Arial" w:cs="Arial"/>
          <w:color w:val="222222"/>
          <w:sz w:val="24"/>
          <w:szCs w:val="24"/>
          <w:lang w:eastAsia="en-GB"/>
        </w:rPr>
        <w:t xml:space="preserve"> (2022) </w:t>
      </w:r>
      <w:r w:rsidRPr="004012D7">
        <w:rPr>
          <w:rFonts w:ascii="Arial" w:eastAsia="Times New Roman" w:hAnsi="Arial" w:cs="Arial"/>
          <w:color w:val="222222"/>
          <w:sz w:val="24"/>
          <w:szCs w:val="24"/>
          <w:lang w:eastAsia="en-GB"/>
        </w:rPr>
        <w:t>Facial Recognition As Oppressive Technology</w:t>
      </w:r>
      <w:r w:rsidRPr="004012D7">
        <w:rPr>
          <w:rFonts w:ascii="Arial" w:eastAsia="Times New Roman" w:hAnsi="Arial" w:cs="Arial"/>
          <w:color w:val="222222"/>
          <w:sz w:val="24"/>
          <w:szCs w:val="24"/>
          <w:lang w:eastAsia="en-GB"/>
        </w:rPr>
        <w:t xml:space="preserve">. </w:t>
      </w:r>
      <w:hyperlink r:id="rId9" w:history="1">
        <w:r w:rsidRPr="004012D7">
          <w:rPr>
            <w:rFonts w:ascii="Arial" w:eastAsia="Times New Roman" w:hAnsi="Arial" w:cs="Arial"/>
            <w:i/>
            <w:iCs/>
            <w:color w:val="1E1A6D"/>
            <w:kern w:val="36"/>
            <w:sz w:val="24"/>
            <w:szCs w:val="24"/>
            <w:lang w:eastAsia="en-GB"/>
          </w:rPr>
          <w:t>The Philosophers' Magazine</w:t>
        </w:r>
      </w:hyperlink>
      <w:r w:rsidRPr="004012D7">
        <w:rPr>
          <w:rFonts w:ascii="Arial" w:eastAsia="Times New Roman" w:hAnsi="Arial" w:cs="Arial"/>
          <w:color w:val="1E1A6D"/>
          <w:kern w:val="36"/>
          <w:sz w:val="24"/>
          <w:szCs w:val="24"/>
          <w:lang w:eastAsia="en-GB"/>
        </w:rPr>
        <w:t xml:space="preserve"> </w:t>
      </w:r>
      <w:r w:rsidRPr="004012D7">
        <w:rPr>
          <w:rFonts w:ascii="Arial" w:eastAsia="Times New Roman" w:hAnsi="Arial" w:cs="Arial"/>
          <w:color w:val="1E1A6D"/>
          <w:sz w:val="24"/>
          <w:szCs w:val="24"/>
          <w:lang w:eastAsia="en-GB"/>
        </w:rPr>
        <w:t>Issue 98, 4th Quarter</w:t>
      </w:r>
      <w:r w:rsidRPr="004012D7">
        <w:rPr>
          <w:rFonts w:ascii="Arial" w:eastAsia="Times New Roman" w:hAnsi="Arial" w:cs="Arial"/>
          <w:color w:val="1E1A6D"/>
          <w:kern w:val="36"/>
          <w:sz w:val="24"/>
          <w:szCs w:val="24"/>
          <w:lang w:eastAsia="en-GB"/>
        </w:rPr>
        <w:t xml:space="preserve">. </w:t>
      </w:r>
      <w:r w:rsidRPr="004012D7">
        <w:rPr>
          <w:rFonts w:ascii="Arial" w:eastAsia="Times New Roman" w:hAnsi="Arial" w:cs="Arial"/>
          <w:color w:val="222222"/>
          <w:sz w:val="24"/>
          <w:szCs w:val="24"/>
          <w:lang w:eastAsia="en-GB"/>
        </w:rPr>
        <w:t>Pages 82-88</w:t>
      </w:r>
      <w:r w:rsidRPr="004012D7">
        <w:rPr>
          <w:rFonts w:ascii="Arial" w:eastAsia="Times New Roman" w:hAnsi="Arial" w:cs="Arial"/>
          <w:color w:val="1E1A6D"/>
          <w:kern w:val="36"/>
          <w:sz w:val="24"/>
          <w:szCs w:val="24"/>
          <w:lang w:eastAsia="en-GB"/>
        </w:rPr>
        <w:t xml:space="preserve"> </w:t>
      </w:r>
      <w:hyperlink r:id="rId10" w:history="1">
        <w:r w:rsidRPr="004012D7">
          <w:rPr>
            <w:rStyle w:val="Hyperlink"/>
            <w:rFonts w:ascii="Arial" w:eastAsia="Times New Roman" w:hAnsi="Arial" w:cs="Arial"/>
            <w:sz w:val="24"/>
            <w:szCs w:val="24"/>
            <w:lang w:eastAsia="en-GB"/>
          </w:rPr>
          <w:t>https://doi.org/10.5840/tpm20229869</w:t>
        </w:r>
      </w:hyperlink>
    </w:p>
    <w:p w14:paraId="36BCA2E6" w14:textId="77777777" w:rsidR="004012D7" w:rsidRPr="00955532" w:rsidRDefault="004012D7">
      <w:pPr>
        <w:rPr>
          <w:b/>
          <w:bCs/>
          <w:sz w:val="32"/>
          <w:szCs w:val="32"/>
        </w:rPr>
      </w:pPr>
    </w:p>
    <w:p w14:paraId="44CB6950" w14:textId="3B0C1E3B" w:rsidR="004012D7" w:rsidRDefault="004012D7">
      <w:pPr>
        <w:rPr>
          <w:b/>
          <w:bCs/>
        </w:rPr>
      </w:pPr>
      <w:r>
        <w:rPr>
          <w:noProof/>
        </w:rPr>
        <w:drawing>
          <wp:inline distT="0" distB="0" distL="0" distR="0" wp14:anchorId="5AF07FE5" wp14:editId="29730922">
            <wp:extent cx="5730875" cy="5455398"/>
            <wp:effectExtent l="0" t="0" r="3175" b="0"/>
            <wp:docPr id="6" name="Picture 6" descr="Document is being load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ocument is being loaded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9427" cy="5463539"/>
                    </a:xfrm>
                    <a:prstGeom prst="rect">
                      <a:avLst/>
                    </a:prstGeom>
                    <a:noFill/>
                    <a:ln>
                      <a:noFill/>
                    </a:ln>
                  </pic:spPr>
                </pic:pic>
              </a:graphicData>
            </a:graphic>
          </wp:inline>
        </w:drawing>
      </w:r>
    </w:p>
    <w:p w14:paraId="2805F7AE" w14:textId="77777777" w:rsidR="004012D7" w:rsidRDefault="004012D7">
      <w:pPr>
        <w:rPr>
          <w:b/>
          <w:bCs/>
        </w:rPr>
      </w:pPr>
    </w:p>
    <w:p w14:paraId="0747BB5B" w14:textId="4A93ED5D" w:rsidR="0065681E" w:rsidRDefault="0065681E">
      <w:pPr>
        <w:rPr>
          <w:b/>
          <w:bCs/>
        </w:rPr>
      </w:pPr>
      <w:r>
        <w:rPr>
          <w:b/>
          <w:bCs/>
        </w:rPr>
        <w:t>10-03-23</w:t>
      </w:r>
    </w:p>
    <w:p w14:paraId="12F66BB6" w14:textId="77777777" w:rsidR="005E7904" w:rsidRPr="005E7904" w:rsidRDefault="00000000" w:rsidP="005E7904">
      <w:pPr>
        <w:spacing w:after="0" w:line="240" w:lineRule="auto"/>
        <w:textAlignment w:val="center"/>
        <w:outlineLvl w:val="1"/>
        <w:rPr>
          <w:rFonts w:ascii="Arial" w:eastAsia="Times New Roman" w:hAnsi="Arial" w:cs="Arial"/>
          <w:color w:val="2E2E2E"/>
          <w:sz w:val="28"/>
          <w:szCs w:val="28"/>
          <w:lang w:eastAsia="en-GB"/>
        </w:rPr>
      </w:pPr>
      <w:hyperlink r:id="rId12" w:tooltip="Go to Digital Business on ScienceDirect" w:history="1">
        <w:r w:rsidR="005E7904" w:rsidRPr="005E7904">
          <w:rPr>
            <w:rFonts w:ascii="Arial" w:eastAsia="Times New Roman" w:hAnsi="Arial" w:cs="Arial"/>
            <w:color w:val="2E2E2E"/>
            <w:sz w:val="28"/>
            <w:szCs w:val="28"/>
            <w:lang w:eastAsia="en-GB"/>
          </w:rPr>
          <w:br/>
          <w:t>Digital Business</w:t>
        </w:r>
      </w:hyperlink>
    </w:p>
    <w:p w14:paraId="128ED41A" w14:textId="77777777" w:rsidR="005E7904" w:rsidRPr="005E7904" w:rsidRDefault="00000000" w:rsidP="005E7904">
      <w:pPr>
        <w:spacing w:after="100" w:line="240" w:lineRule="auto"/>
        <w:textAlignment w:val="center"/>
        <w:rPr>
          <w:rFonts w:ascii="Arial" w:eastAsia="Times New Roman" w:hAnsi="Arial" w:cs="Arial"/>
          <w:color w:val="2E2E2E"/>
          <w:sz w:val="28"/>
          <w:szCs w:val="28"/>
          <w:lang w:eastAsia="en-GB"/>
        </w:rPr>
      </w:pPr>
      <w:hyperlink r:id="rId13" w:tooltip="Go to table of contents for this volume/issue" w:history="1">
        <w:r w:rsidR="005E7904" w:rsidRPr="005E7904">
          <w:rPr>
            <w:rFonts w:ascii="Arial" w:eastAsia="Times New Roman" w:hAnsi="Arial" w:cs="Arial"/>
            <w:color w:val="007398"/>
            <w:sz w:val="28"/>
            <w:szCs w:val="28"/>
            <w:lang w:eastAsia="en-GB"/>
          </w:rPr>
          <w:t>Volume 2, Issue 2</w:t>
        </w:r>
      </w:hyperlink>
      <w:r w:rsidR="005E7904" w:rsidRPr="005E7904">
        <w:rPr>
          <w:rFonts w:ascii="Arial" w:eastAsia="Times New Roman" w:hAnsi="Arial" w:cs="Arial"/>
          <w:color w:val="2E2E2E"/>
          <w:sz w:val="28"/>
          <w:szCs w:val="28"/>
          <w:lang w:eastAsia="en-GB"/>
        </w:rPr>
        <w:t>, 2022, 100019</w:t>
      </w:r>
    </w:p>
    <w:p w14:paraId="0C6B98A7" w14:textId="77777777" w:rsidR="005E7904" w:rsidRPr="005E7904" w:rsidRDefault="005E7904" w:rsidP="005E7904">
      <w:pPr>
        <w:spacing w:after="120" w:line="240" w:lineRule="auto"/>
        <w:textAlignment w:val="top"/>
        <w:rPr>
          <w:rFonts w:ascii="Arial" w:eastAsia="Times New Roman" w:hAnsi="Arial" w:cs="Arial"/>
          <w:color w:val="2E2E2E"/>
          <w:sz w:val="28"/>
          <w:szCs w:val="28"/>
          <w:lang w:eastAsia="en-GB"/>
        </w:rPr>
      </w:pPr>
      <w:r w:rsidRPr="005E7904">
        <w:rPr>
          <w:rFonts w:ascii="Arial" w:eastAsia="Times New Roman" w:hAnsi="Arial" w:cs="Arial"/>
          <w:noProof/>
          <w:color w:val="007398"/>
          <w:sz w:val="28"/>
          <w:szCs w:val="28"/>
          <w:lang w:eastAsia="en-GB"/>
        </w:rPr>
        <w:drawing>
          <wp:inline distT="0" distB="0" distL="0" distR="0" wp14:anchorId="4A026B56" wp14:editId="59DCA5D2">
            <wp:extent cx="1074420" cy="1432560"/>
            <wp:effectExtent l="0" t="0" r="0" b="0"/>
            <wp:docPr id="1" name="Picture 1" descr="Digital Business">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Busines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074420" cy="1432560"/>
                    </a:xfrm>
                    <a:prstGeom prst="rect">
                      <a:avLst/>
                    </a:prstGeom>
                    <a:noFill/>
                    <a:ln>
                      <a:noFill/>
                    </a:ln>
                  </pic:spPr>
                </pic:pic>
              </a:graphicData>
            </a:graphic>
          </wp:inline>
        </w:drawing>
      </w:r>
    </w:p>
    <w:p w14:paraId="16CC02C8" w14:textId="77777777" w:rsidR="005E7904" w:rsidRPr="005E7904" w:rsidRDefault="005E7904" w:rsidP="005E7904">
      <w:pPr>
        <w:spacing w:after="0" w:line="240" w:lineRule="auto"/>
        <w:outlineLvl w:val="0"/>
        <w:rPr>
          <w:rFonts w:ascii="Georgia" w:eastAsia="Times New Roman" w:hAnsi="Georgia" w:cs="Times New Roman"/>
          <w:color w:val="2E2E2E"/>
          <w:kern w:val="36"/>
          <w:sz w:val="28"/>
          <w:szCs w:val="28"/>
          <w:lang w:eastAsia="en-GB"/>
        </w:rPr>
      </w:pPr>
      <w:r w:rsidRPr="005E7904">
        <w:rPr>
          <w:rFonts w:ascii="Georgia" w:eastAsia="Times New Roman" w:hAnsi="Georgia" w:cs="Times New Roman"/>
          <w:color w:val="2E2E2E"/>
          <w:kern w:val="36"/>
          <w:sz w:val="28"/>
          <w:szCs w:val="28"/>
          <w:lang w:eastAsia="en-GB"/>
        </w:rPr>
        <w:t>Mastering the digital transformation through organizational capabilities: A conceptual framework</w:t>
      </w:r>
    </w:p>
    <w:p w14:paraId="2B936A68" w14:textId="1FB36027" w:rsidR="005E7904" w:rsidRPr="005E7904" w:rsidRDefault="005E7904" w:rsidP="005E7904">
      <w:pPr>
        <w:spacing w:after="0" w:line="240" w:lineRule="auto"/>
        <w:rPr>
          <w:rFonts w:ascii="Arial" w:eastAsia="Times New Roman" w:hAnsi="Arial" w:cs="Arial"/>
          <w:color w:val="2E2E2E"/>
          <w:sz w:val="30"/>
          <w:szCs w:val="30"/>
          <w:lang w:eastAsia="en-GB"/>
        </w:rPr>
      </w:pPr>
      <w:r w:rsidRPr="005E7904">
        <w:rPr>
          <w:rFonts w:ascii="Arial" w:eastAsia="Times New Roman" w:hAnsi="Arial" w:cs="Arial"/>
          <w:color w:val="2E2E2E"/>
          <w:sz w:val="30"/>
          <w:szCs w:val="30"/>
          <w:lang w:eastAsia="en-GB"/>
        </w:rPr>
        <w:t>Jens Konopik </w:t>
      </w:r>
      <w:r w:rsidRPr="005E7904">
        <w:rPr>
          <w:rFonts w:ascii="Arial" w:eastAsia="Times New Roman" w:hAnsi="Arial" w:cs="Arial"/>
          <w:color w:val="2E2E2E"/>
          <w:sz w:val="18"/>
          <w:szCs w:val="18"/>
          <w:vertAlign w:val="superscript"/>
          <w:lang w:eastAsia="en-GB"/>
        </w:rPr>
        <w:t>a</w:t>
      </w:r>
      <w:r w:rsidRPr="005E7904">
        <w:rPr>
          <w:rFonts w:ascii="Arial" w:eastAsia="Times New Roman" w:hAnsi="Arial" w:cs="Arial"/>
          <w:color w:val="2E2E2E"/>
          <w:sz w:val="30"/>
          <w:szCs w:val="30"/>
          <w:lang w:eastAsia="en-GB"/>
        </w:rPr>
        <w:t>, Christoph Jahn </w:t>
      </w:r>
      <w:r w:rsidRPr="005E7904">
        <w:rPr>
          <w:rFonts w:ascii="Arial" w:eastAsia="Times New Roman" w:hAnsi="Arial" w:cs="Arial"/>
          <w:color w:val="2E2E2E"/>
          <w:sz w:val="18"/>
          <w:szCs w:val="18"/>
          <w:vertAlign w:val="superscript"/>
          <w:lang w:eastAsia="en-GB"/>
        </w:rPr>
        <w:t>a</w:t>
      </w:r>
      <w:r w:rsidRPr="005E7904">
        <w:rPr>
          <w:rFonts w:ascii="Arial" w:eastAsia="Times New Roman" w:hAnsi="Arial" w:cs="Arial"/>
          <w:color w:val="2E2E2E"/>
          <w:sz w:val="30"/>
          <w:szCs w:val="30"/>
          <w:lang w:eastAsia="en-GB"/>
        </w:rPr>
        <w:t>, Tassilo Schuster </w:t>
      </w:r>
      <w:r w:rsidRPr="005E7904">
        <w:rPr>
          <w:rFonts w:ascii="Arial" w:eastAsia="Times New Roman" w:hAnsi="Arial" w:cs="Arial"/>
          <w:color w:val="2E2E2E"/>
          <w:sz w:val="18"/>
          <w:szCs w:val="18"/>
          <w:vertAlign w:val="superscript"/>
          <w:lang w:eastAsia="en-GB"/>
        </w:rPr>
        <w:t>a</w:t>
      </w:r>
      <w:r w:rsidRPr="005E7904">
        <w:rPr>
          <w:rFonts w:ascii="Arial" w:eastAsia="Times New Roman" w:hAnsi="Arial" w:cs="Arial"/>
          <w:color w:val="2E2E2E"/>
          <w:sz w:val="30"/>
          <w:szCs w:val="30"/>
          <w:lang w:eastAsia="en-GB"/>
        </w:rPr>
        <w:t>, Nadja Hoßbach </w:t>
      </w:r>
      <w:r w:rsidRPr="005E7904">
        <w:rPr>
          <w:rFonts w:ascii="Arial" w:eastAsia="Times New Roman" w:hAnsi="Arial" w:cs="Arial"/>
          <w:color w:val="2E2E2E"/>
          <w:sz w:val="18"/>
          <w:szCs w:val="18"/>
          <w:vertAlign w:val="superscript"/>
          <w:lang w:eastAsia="en-GB"/>
        </w:rPr>
        <w:t>a</w:t>
      </w:r>
      <w:r w:rsidRPr="005E7904">
        <w:rPr>
          <w:rFonts w:ascii="Arial" w:eastAsia="Times New Roman" w:hAnsi="Arial" w:cs="Arial"/>
          <w:color w:val="2E2E2E"/>
          <w:sz w:val="30"/>
          <w:szCs w:val="30"/>
          <w:lang w:eastAsia="en-GB"/>
        </w:rPr>
        <w:t>, Alexander Pflaum </w:t>
      </w:r>
      <w:r w:rsidRPr="005E7904">
        <w:rPr>
          <w:rFonts w:ascii="Arial" w:eastAsia="Times New Roman" w:hAnsi="Arial" w:cs="Arial"/>
          <w:color w:val="2E2E2E"/>
          <w:sz w:val="18"/>
          <w:szCs w:val="18"/>
          <w:vertAlign w:val="superscript"/>
          <w:lang w:eastAsia="en-GB"/>
        </w:rPr>
        <w:t>b</w:t>
      </w:r>
    </w:p>
    <w:p w14:paraId="3FFE7614" w14:textId="51B3EEE7" w:rsidR="00716783" w:rsidRDefault="005E7904">
      <w:pPr>
        <w:rPr>
          <w:b/>
          <w:bCs/>
        </w:rPr>
      </w:pPr>
      <w:r>
        <w:rPr>
          <w:rFonts w:ascii="Roboto" w:hAnsi="Roboto"/>
          <w:color w:val="111111"/>
          <w:sz w:val="21"/>
          <w:szCs w:val="21"/>
          <w:shd w:val="clear" w:color="auto" w:fill="FFFFFF"/>
        </w:rPr>
        <w:t>As digital transformation is changing entire industries, organizations are struggling to keep up with these changes. Scholars are viewing organizational capabilities as a central mean for organizations to master digital transformation. Based on a comprehensive literature review, this study identifies a broad set of relevant organizational capabilities and introduces a conceptual framework in which organizational capabilities are clustered into seven relevant themes for managing digital transformation. These capabilities are then embedded in the logic of the dynamic capability theory, highlighting the development of organizational capabilities throughout the digital transformation process. The results reveal that a differentiated perspective on the digital transformation process is beneficial to account for changing needs of organizational capabilities during the transformation process. Just as organizations themselves change during the process, various capabilities at different time points are needed to support and enable organizations during digital transformation. The developed conceptual framework gives organizations guidance for the development of organizational capabilities throughout the digital transformation process.</w:t>
      </w:r>
    </w:p>
    <w:p w14:paraId="600F4CFC" w14:textId="45793295" w:rsidR="008B2CFD" w:rsidRDefault="008B2CFD">
      <w:r w:rsidRPr="008B2CFD">
        <w:rPr>
          <w:rFonts w:ascii="Open Sans" w:hAnsi="Open Sans" w:cs="Open Sans"/>
          <w:sz w:val="27"/>
          <w:szCs w:val="27"/>
          <w:shd w:val="clear" w:color="auto" w:fill="FFFFFF"/>
        </w:rPr>
        <w:t>(2023), "Toward effective digital transformation: The role of organizational capabilities", </w:t>
      </w:r>
      <w:hyperlink r:id="rId15" w:history="1">
        <w:r w:rsidRPr="008B2CFD">
          <w:rPr>
            <w:rFonts w:ascii="Open Sans" w:hAnsi="Open Sans" w:cs="Open Sans"/>
            <w:i/>
            <w:iCs/>
            <w:color w:val="007377"/>
            <w:sz w:val="27"/>
            <w:szCs w:val="27"/>
            <w:u w:val="single"/>
          </w:rPr>
          <w:t>Strategic Direction</w:t>
        </w:r>
      </w:hyperlink>
      <w:r w:rsidRPr="008B2CFD">
        <w:rPr>
          <w:rFonts w:ascii="Open Sans" w:hAnsi="Open Sans" w:cs="Open Sans"/>
          <w:sz w:val="27"/>
          <w:szCs w:val="27"/>
          <w:shd w:val="clear" w:color="auto" w:fill="FFFFFF"/>
        </w:rPr>
        <w:t>, Vol. 39 No. 2, pp. 39-42. </w:t>
      </w:r>
      <w:hyperlink r:id="rId16" w:tooltip="DOI: https://doi.org/10.1108/SD-12-2022-0161" w:history="1">
        <w:r w:rsidRPr="008B2CFD">
          <w:rPr>
            <w:rFonts w:ascii="Open Sans" w:hAnsi="Open Sans" w:cs="Open Sans"/>
            <w:color w:val="007377"/>
            <w:sz w:val="27"/>
            <w:szCs w:val="27"/>
            <w:u w:val="single"/>
            <w:shd w:val="clear" w:color="auto" w:fill="FFFFFF"/>
          </w:rPr>
          <w:t>https://doi.org/10.1108/SD-12-2022-0161</w:t>
        </w:r>
      </w:hyperlink>
    </w:p>
    <w:p w14:paraId="5BB7FCE1" w14:textId="2F8A226F" w:rsidR="008B2CFD" w:rsidRDefault="008B2CFD" w:rsidP="008B2CFD">
      <w:pPr>
        <w:shd w:val="clear" w:color="auto" w:fill="FFFFFF"/>
        <w:spacing w:after="0" w:line="240" w:lineRule="auto"/>
        <w:rPr>
          <w:rFonts w:ascii="Open Sans" w:eastAsia="Times New Roman" w:hAnsi="Open Sans" w:cs="Open Sans"/>
          <w:sz w:val="27"/>
          <w:szCs w:val="27"/>
          <w:lang w:eastAsia="en-GB"/>
        </w:rPr>
      </w:pPr>
      <w:r w:rsidRPr="008B2CFD">
        <w:rPr>
          <w:rFonts w:ascii="Open Sans" w:eastAsia="Times New Roman" w:hAnsi="Open Sans" w:cs="Open Sans"/>
          <w:sz w:val="27"/>
          <w:szCs w:val="27"/>
          <w:lang w:eastAsia="en-GB"/>
        </w:rPr>
        <w:t>This paper aims to review the latest management developments across the globe and pinpoint practical implications from cutting-edge research and case studies.</w:t>
      </w:r>
    </w:p>
    <w:p w14:paraId="6157BF29" w14:textId="77777777" w:rsidR="008B2CFD" w:rsidRPr="008B2CFD" w:rsidRDefault="008B2CFD" w:rsidP="008B2CFD">
      <w:pPr>
        <w:shd w:val="clear" w:color="auto" w:fill="FFFFFF"/>
        <w:spacing w:after="0" w:line="240" w:lineRule="auto"/>
        <w:rPr>
          <w:rFonts w:ascii="Open Sans" w:eastAsia="Times New Roman" w:hAnsi="Open Sans" w:cs="Open Sans"/>
          <w:sz w:val="27"/>
          <w:szCs w:val="27"/>
          <w:lang w:eastAsia="en-GB"/>
        </w:rPr>
      </w:pPr>
    </w:p>
    <w:p w14:paraId="40681033" w14:textId="77777777" w:rsidR="008B2CFD" w:rsidRPr="008B2CFD" w:rsidRDefault="008B2CFD" w:rsidP="008B2CFD">
      <w:pPr>
        <w:shd w:val="clear" w:color="auto" w:fill="FFFFFF"/>
        <w:spacing w:after="0" w:line="240" w:lineRule="auto"/>
        <w:rPr>
          <w:rFonts w:ascii="Open Sans" w:eastAsia="Times New Roman" w:hAnsi="Open Sans" w:cs="Open Sans"/>
          <w:sz w:val="27"/>
          <w:szCs w:val="27"/>
          <w:lang w:eastAsia="en-GB"/>
        </w:rPr>
      </w:pPr>
      <w:r w:rsidRPr="008B2CFD">
        <w:rPr>
          <w:rFonts w:ascii="Open Sans" w:eastAsia="Times New Roman" w:hAnsi="Open Sans" w:cs="Open Sans"/>
          <w:sz w:val="27"/>
          <w:szCs w:val="27"/>
          <w:lang w:eastAsia="en-GB"/>
        </w:rPr>
        <w:t>This briefing is prepared by an independent writer who adds their own impartial comments and places the articles in context.</w:t>
      </w:r>
    </w:p>
    <w:p w14:paraId="47988685" w14:textId="77777777" w:rsidR="008B2CFD" w:rsidRDefault="008B2CFD" w:rsidP="008B2CFD">
      <w:pPr>
        <w:shd w:val="clear" w:color="auto" w:fill="FFFFFF"/>
        <w:spacing w:after="0" w:line="240" w:lineRule="auto"/>
        <w:rPr>
          <w:rFonts w:ascii="Open Sans" w:eastAsia="Times New Roman" w:hAnsi="Open Sans" w:cs="Open Sans"/>
          <w:sz w:val="27"/>
          <w:szCs w:val="27"/>
          <w:lang w:eastAsia="en-GB"/>
        </w:rPr>
      </w:pPr>
      <w:r w:rsidRPr="008B2CFD">
        <w:rPr>
          <w:rFonts w:ascii="Open Sans" w:eastAsia="Times New Roman" w:hAnsi="Open Sans" w:cs="Open Sans"/>
          <w:sz w:val="27"/>
          <w:szCs w:val="27"/>
          <w:lang w:eastAsia="en-GB"/>
        </w:rPr>
        <w:t xml:space="preserve">Organizations and other entities that achieve digital transformation (DT) become better positioned to meet emerging challenges in the digital age. </w:t>
      </w:r>
    </w:p>
    <w:p w14:paraId="2237AD3A" w14:textId="77777777" w:rsidR="008B2CFD" w:rsidRDefault="008B2CFD" w:rsidP="008B2CFD">
      <w:pPr>
        <w:shd w:val="clear" w:color="auto" w:fill="FFFFFF"/>
        <w:spacing w:after="0" w:line="240" w:lineRule="auto"/>
        <w:rPr>
          <w:rFonts w:ascii="Open Sans" w:eastAsia="Times New Roman" w:hAnsi="Open Sans" w:cs="Open Sans"/>
          <w:sz w:val="27"/>
          <w:szCs w:val="27"/>
          <w:lang w:eastAsia="en-GB"/>
        </w:rPr>
      </w:pPr>
    </w:p>
    <w:p w14:paraId="4E83A353" w14:textId="416D8943" w:rsidR="008B2CFD" w:rsidRPr="008B2CFD" w:rsidRDefault="008B2CFD" w:rsidP="008B2CFD">
      <w:pPr>
        <w:shd w:val="clear" w:color="auto" w:fill="FFFFFF"/>
        <w:spacing w:after="0" w:line="240" w:lineRule="auto"/>
        <w:rPr>
          <w:rFonts w:ascii="Open Sans" w:eastAsia="Times New Roman" w:hAnsi="Open Sans" w:cs="Open Sans"/>
          <w:sz w:val="27"/>
          <w:szCs w:val="27"/>
          <w:lang w:eastAsia="en-GB"/>
        </w:rPr>
      </w:pPr>
      <w:r w:rsidRPr="008B2CFD">
        <w:rPr>
          <w:rFonts w:ascii="Open Sans" w:eastAsia="Times New Roman" w:hAnsi="Open Sans" w:cs="Open Sans"/>
          <w:sz w:val="27"/>
          <w:szCs w:val="27"/>
          <w:lang w:eastAsia="en-GB"/>
        </w:rPr>
        <w:lastRenderedPageBreak/>
        <w:t>Different organizational capabilities that include an appropriate organizational culture, a workforce equipped with digital skills, modern ICT infrastructure, effective knowledge management and strong leadership support are critical if DT is to prove successful.</w:t>
      </w:r>
    </w:p>
    <w:p w14:paraId="79CDB96A" w14:textId="77777777" w:rsidR="008B2CFD" w:rsidRDefault="008B2CFD" w:rsidP="008B2CFD">
      <w:pPr>
        <w:shd w:val="clear" w:color="auto" w:fill="FFFFFF"/>
        <w:spacing w:after="0" w:line="240" w:lineRule="auto"/>
        <w:rPr>
          <w:rFonts w:ascii="Open Sans" w:eastAsia="Times New Roman" w:hAnsi="Open Sans" w:cs="Open Sans"/>
          <w:sz w:val="27"/>
          <w:szCs w:val="27"/>
          <w:lang w:eastAsia="en-GB"/>
        </w:rPr>
      </w:pPr>
    </w:p>
    <w:p w14:paraId="26B958A3" w14:textId="7E4D62A1" w:rsidR="008B2CFD" w:rsidRPr="008B2CFD" w:rsidRDefault="008B2CFD" w:rsidP="008B2CFD">
      <w:pPr>
        <w:shd w:val="clear" w:color="auto" w:fill="FFFFFF"/>
        <w:spacing w:after="0" w:line="240" w:lineRule="auto"/>
        <w:rPr>
          <w:rFonts w:ascii="Open Sans" w:eastAsia="Times New Roman" w:hAnsi="Open Sans" w:cs="Open Sans"/>
          <w:sz w:val="27"/>
          <w:szCs w:val="27"/>
          <w:lang w:eastAsia="en-GB"/>
        </w:rPr>
      </w:pPr>
      <w:r w:rsidRPr="008B2CFD">
        <w:rPr>
          <w:rFonts w:ascii="Open Sans" w:eastAsia="Times New Roman" w:hAnsi="Open Sans" w:cs="Open Sans"/>
          <w:sz w:val="27"/>
          <w:szCs w:val="27"/>
          <w:lang w:eastAsia="en-GB"/>
        </w:rPr>
        <w:t>The briefing saves busy executives, strategists and researchers hours of reading time by selecting only the very best, most pertinent information and presenting it in a condensed and easy-to-digest format.</w:t>
      </w:r>
    </w:p>
    <w:p w14:paraId="55966142" w14:textId="77777777" w:rsidR="008B2CFD" w:rsidRDefault="008B2CFD">
      <w:pPr>
        <w:rPr>
          <w:b/>
          <w:bCs/>
        </w:rPr>
      </w:pPr>
    </w:p>
    <w:p w14:paraId="2504AF4B" w14:textId="77777777" w:rsidR="008B2CFD" w:rsidRDefault="008B2CFD">
      <w:pPr>
        <w:rPr>
          <w:b/>
          <w:bCs/>
        </w:rPr>
      </w:pPr>
    </w:p>
    <w:p w14:paraId="2B0CECD5" w14:textId="40D3CDAA" w:rsidR="008B2CFD" w:rsidRDefault="00000000">
      <w:pPr>
        <w:rPr>
          <w:b/>
          <w:bCs/>
        </w:rPr>
      </w:pPr>
      <w:hyperlink r:id="rId17" w:history="1">
        <w:r w:rsidR="008B2CFD" w:rsidRPr="00F47E99">
          <w:rPr>
            <w:rStyle w:val="Hyperlink"/>
            <w:b/>
            <w:bCs/>
          </w:rPr>
          <w:t>https://www.bcg.com/capabilities/digital-technology-data/digital-transformation/overview?utm_source=search&amp;utm_medium=cpc&amp;utm_campaign=digital&amp;utm_description=paid&amp;utm_topic=digital_transformation&amp;utm_geo=global&amp;utm_content=digital_transformation_group&amp;gclid=Cj0KCQiAx6ugBhCcARIsAGNmMbjB7hYs7exEfOEcOb5UwtI7kNBLeSzehce0A5P5Y4VGXA7ciepCZqgaAqLpEALw_wcB</w:t>
        </w:r>
      </w:hyperlink>
      <w:r w:rsidR="008B2CFD">
        <w:rPr>
          <w:b/>
          <w:bCs/>
        </w:rPr>
        <w:t xml:space="preserve"> </w:t>
      </w:r>
    </w:p>
    <w:p w14:paraId="1885DA89" w14:textId="0BA039C4" w:rsidR="008B2CFD" w:rsidRDefault="008B2CFD">
      <w:pPr>
        <w:rPr>
          <w:b/>
          <w:bCs/>
        </w:rPr>
      </w:pPr>
      <w:r>
        <w:rPr>
          <w:noProof/>
        </w:rPr>
        <w:drawing>
          <wp:inline distT="0" distB="0" distL="0" distR="0" wp14:anchorId="1CD4C330" wp14:editId="3F48EAB4">
            <wp:extent cx="5731510" cy="3000723"/>
            <wp:effectExtent l="0" t="0" r="2540" b="9525"/>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000723"/>
                    </a:xfrm>
                    <a:prstGeom prst="rect">
                      <a:avLst/>
                    </a:prstGeom>
                    <a:noFill/>
                    <a:ln>
                      <a:noFill/>
                    </a:ln>
                  </pic:spPr>
                </pic:pic>
              </a:graphicData>
            </a:graphic>
          </wp:inline>
        </w:drawing>
      </w:r>
    </w:p>
    <w:p w14:paraId="213F15AB" w14:textId="77777777" w:rsidR="008B2CFD" w:rsidRDefault="008B2CFD">
      <w:pPr>
        <w:rPr>
          <w:b/>
          <w:bCs/>
        </w:rPr>
      </w:pPr>
    </w:p>
    <w:p w14:paraId="48C83588" w14:textId="6B60DEF8" w:rsidR="008B2CFD" w:rsidRDefault="008B2CFD">
      <w:pPr>
        <w:rPr>
          <w:b/>
          <w:bCs/>
        </w:rPr>
      </w:pPr>
    </w:p>
    <w:p w14:paraId="65BB9D5B" w14:textId="77777777" w:rsidR="008B2CFD" w:rsidRDefault="008B2CFD">
      <w:pPr>
        <w:rPr>
          <w:b/>
          <w:bCs/>
        </w:rPr>
      </w:pPr>
    </w:p>
    <w:p w14:paraId="00F136E2" w14:textId="40778D7D" w:rsidR="00BA04C2" w:rsidRDefault="00BA04C2">
      <w:pPr>
        <w:rPr>
          <w:rFonts w:ascii="Verdana" w:hAnsi="Verdana"/>
          <w:color w:val="555555"/>
          <w:sz w:val="18"/>
          <w:szCs w:val="18"/>
          <w:shd w:val="clear" w:color="auto" w:fill="FFFFFF"/>
        </w:rPr>
      </w:pPr>
      <w:r>
        <w:rPr>
          <w:rFonts w:ascii="Verdana" w:hAnsi="Verdana"/>
          <w:color w:val="555555"/>
          <w:sz w:val="18"/>
          <w:szCs w:val="18"/>
          <w:shd w:val="clear" w:color="auto" w:fill="FFFFFF"/>
        </w:rPr>
        <w:t>TORTORELLA, G., PRASHAR, A., ANTONY, J., MAC CAWLEY, A.F., VASSOLO, R. and SONY, M., 2023. Role of leadership in the digitalisation of manufacturing organisations: IMS. </w:t>
      </w:r>
      <w:r>
        <w:rPr>
          <w:rFonts w:ascii="Verdana" w:hAnsi="Verdana"/>
          <w:i/>
          <w:iCs/>
          <w:color w:val="555555"/>
          <w:sz w:val="18"/>
          <w:szCs w:val="18"/>
          <w:shd w:val="clear" w:color="auto" w:fill="FFFFFF"/>
        </w:rPr>
        <w:t>Journal of Manufacturing Technology Management, </w:t>
      </w:r>
      <w:r>
        <w:rPr>
          <w:rFonts w:ascii="Verdana" w:hAnsi="Verdana"/>
          <w:b/>
          <w:bCs/>
          <w:color w:val="555555"/>
          <w:sz w:val="18"/>
          <w:szCs w:val="18"/>
          <w:shd w:val="clear" w:color="auto" w:fill="FFFFFF"/>
        </w:rPr>
        <w:t>34</w:t>
      </w:r>
      <w:r>
        <w:rPr>
          <w:rFonts w:ascii="Verdana" w:hAnsi="Verdana"/>
          <w:color w:val="555555"/>
          <w:sz w:val="18"/>
          <w:szCs w:val="18"/>
          <w:shd w:val="clear" w:color="auto" w:fill="FFFFFF"/>
        </w:rPr>
        <w:t>(2), pp. 315-336.</w:t>
      </w:r>
    </w:p>
    <w:p w14:paraId="4C163957" w14:textId="77777777" w:rsidR="00BA04C2" w:rsidRDefault="00BA04C2" w:rsidP="00BA04C2">
      <w:pPr>
        <w:pStyle w:val="NormalWeb"/>
        <w:shd w:val="clear" w:color="auto" w:fill="FFFFFF"/>
        <w:spacing w:before="0" w:beforeAutospacing="0" w:after="360" w:afterAutospacing="0"/>
        <w:rPr>
          <w:rFonts w:ascii="Roboto" w:hAnsi="Roboto"/>
          <w:color w:val="555555"/>
          <w:sz w:val="21"/>
          <w:szCs w:val="21"/>
        </w:rPr>
      </w:pPr>
      <w:r>
        <w:rPr>
          <w:rFonts w:ascii="Roboto" w:hAnsi="Roboto"/>
          <w:color w:val="555555"/>
          <w:sz w:val="21"/>
          <w:szCs w:val="21"/>
        </w:rPr>
        <w:t>This study examines the moderating role of </w:t>
      </w:r>
      <w:r>
        <w:rPr>
          <w:rStyle w:val="hit"/>
          <w:rFonts w:ascii="Roboto" w:hAnsi="Roboto"/>
          <w:color w:val="000000"/>
          <w:sz w:val="21"/>
          <w:szCs w:val="21"/>
          <w:shd w:val="clear" w:color="auto" w:fill="D2F4FC"/>
        </w:rPr>
        <w:t>leadership</w:t>
      </w:r>
      <w:r>
        <w:rPr>
          <w:rFonts w:ascii="Roboto" w:hAnsi="Roboto"/>
          <w:color w:val="555555"/>
          <w:sz w:val="21"/>
          <w:szCs w:val="21"/>
        </w:rPr>
        <w:t> behaviours on the relationship between Industry 4.0 (I4.0) maturity and operational performance in manufacturers.</w:t>
      </w:r>
    </w:p>
    <w:p w14:paraId="73F66A1F" w14:textId="13F08824" w:rsidR="00BA04C2" w:rsidRDefault="00BA04C2" w:rsidP="00BA04C2">
      <w:pPr>
        <w:pStyle w:val="NormalWeb"/>
        <w:shd w:val="clear" w:color="auto" w:fill="FFFFFF"/>
        <w:spacing w:before="0" w:beforeAutospacing="0" w:after="360" w:afterAutospacing="0"/>
        <w:rPr>
          <w:rFonts w:ascii="Roboto" w:hAnsi="Roboto"/>
          <w:color w:val="555555"/>
          <w:sz w:val="21"/>
          <w:szCs w:val="21"/>
        </w:rPr>
      </w:pPr>
      <w:r>
        <w:rPr>
          <w:rFonts w:ascii="Roboto" w:hAnsi="Roboto"/>
          <w:color w:val="555555"/>
          <w:sz w:val="21"/>
          <w:szCs w:val="21"/>
        </w:rPr>
        <w:t xml:space="preserve">For that, 189 leaders from manufacturing organisations located in India and Brazil that are undergoing I4.0 implementation were surveyed. The collected data was analysed using </w:t>
      </w:r>
      <w:r>
        <w:rPr>
          <w:rFonts w:ascii="Roboto" w:hAnsi="Roboto"/>
          <w:color w:val="555555"/>
          <w:sz w:val="21"/>
          <w:szCs w:val="21"/>
        </w:rPr>
        <w:lastRenderedPageBreak/>
        <w:t>multivariate data techniques, which allowed to verify the validity of our research hypotheses. This study was grounded on the concepts from the socio-technical systems (STS) theory.</w:t>
      </w:r>
    </w:p>
    <w:p w14:paraId="4F522C42" w14:textId="77777777" w:rsidR="00BA04C2" w:rsidRDefault="00BA04C2" w:rsidP="00BA04C2">
      <w:pPr>
        <w:pStyle w:val="NormalWeb"/>
        <w:shd w:val="clear" w:color="auto" w:fill="FFFFFF"/>
        <w:spacing w:before="0" w:beforeAutospacing="0" w:after="360" w:afterAutospacing="0"/>
        <w:rPr>
          <w:rFonts w:ascii="Roboto" w:hAnsi="Roboto"/>
          <w:color w:val="555555"/>
          <w:sz w:val="21"/>
          <w:szCs w:val="21"/>
        </w:rPr>
      </w:pPr>
      <w:r>
        <w:rPr>
          <w:rFonts w:ascii="Roboto" w:hAnsi="Roboto"/>
          <w:color w:val="555555"/>
          <w:sz w:val="21"/>
          <w:szCs w:val="21"/>
        </w:rPr>
        <w:t>The findings indicated that task-oriented </w:t>
      </w:r>
      <w:r>
        <w:rPr>
          <w:rStyle w:val="hit"/>
          <w:rFonts w:ascii="Roboto" w:hAnsi="Roboto"/>
          <w:color w:val="000000"/>
          <w:sz w:val="21"/>
          <w:szCs w:val="21"/>
          <w:shd w:val="clear" w:color="auto" w:fill="D2F4FC"/>
        </w:rPr>
        <w:t>leadership</w:t>
      </w:r>
      <w:r>
        <w:rPr>
          <w:rFonts w:ascii="Roboto" w:hAnsi="Roboto"/>
          <w:color w:val="555555"/>
          <w:sz w:val="21"/>
          <w:szCs w:val="21"/>
        </w:rPr>
        <w:t> behaviours positively moderate the relationship between technologies for digitalisation and operational performance. A similar effect was found for the interaction between change-oriented </w:t>
      </w:r>
      <w:r>
        <w:rPr>
          <w:rStyle w:val="hit"/>
          <w:rFonts w:ascii="Roboto" w:hAnsi="Roboto"/>
          <w:color w:val="000000"/>
          <w:sz w:val="21"/>
          <w:szCs w:val="21"/>
          <w:shd w:val="clear" w:color="auto" w:fill="D2F4FC"/>
        </w:rPr>
        <w:t>leadership</w:t>
      </w:r>
      <w:r>
        <w:rPr>
          <w:rFonts w:ascii="Roboto" w:hAnsi="Roboto"/>
          <w:color w:val="555555"/>
          <w:sz w:val="21"/>
          <w:szCs w:val="21"/>
        </w:rPr>
        <w:t> behaviours and strategy for digitalisation. In turn, the moderating effects of relations-oriented and change-oriented </w:t>
      </w:r>
      <w:r>
        <w:rPr>
          <w:rStyle w:val="hit"/>
          <w:rFonts w:ascii="Roboto" w:hAnsi="Roboto"/>
          <w:color w:val="000000"/>
          <w:sz w:val="21"/>
          <w:szCs w:val="21"/>
          <w:shd w:val="clear" w:color="auto" w:fill="D2F4FC"/>
        </w:rPr>
        <w:t>leadership</w:t>
      </w:r>
      <w:r>
        <w:rPr>
          <w:rFonts w:ascii="Roboto" w:hAnsi="Roboto"/>
          <w:color w:val="555555"/>
          <w:sz w:val="21"/>
          <w:szCs w:val="21"/>
        </w:rPr>
        <w:t> behaviours were negative when considering the I4.0 maturity dimensions of employee and culture for digitalisation and technology for digitalisation, respectively.</w:t>
      </w:r>
    </w:p>
    <w:p w14:paraId="1ADEBD2F" w14:textId="77777777" w:rsidR="00BA04C2" w:rsidRDefault="00BA04C2" w:rsidP="00BA04C2">
      <w:pPr>
        <w:pStyle w:val="NormalWeb"/>
        <w:shd w:val="clear" w:color="auto" w:fill="FFFFFF"/>
        <w:spacing w:before="0" w:beforeAutospacing="0" w:after="360" w:afterAutospacing="0"/>
        <w:rPr>
          <w:rFonts w:ascii="Roboto" w:hAnsi="Roboto"/>
          <w:color w:val="555555"/>
          <w:sz w:val="21"/>
          <w:szCs w:val="21"/>
        </w:rPr>
      </w:pPr>
      <w:r>
        <w:rPr>
          <w:rFonts w:ascii="Roboto" w:hAnsi="Roboto"/>
          <w:color w:val="555555"/>
          <w:sz w:val="21"/>
          <w:szCs w:val="21"/>
        </w:rPr>
        <w:t>This study offers arguments to better understand the role of leaders' behaviours in the digitalisation of organisations. Changing behaviours is usually a long-term and time-consuming activity. The identification of the </w:t>
      </w:r>
      <w:r>
        <w:rPr>
          <w:rStyle w:val="hit"/>
          <w:rFonts w:ascii="Roboto" w:hAnsi="Roboto"/>
          <w:color w:val="000000"/>
          <w:sz w:val="21"/>
          <w:szCs w:val="21"/>
          <w:shd w:val="clear" w:color="auto" w:fill="D2F4FC"/>
        </w:rPr>
        <w:t>leadership</w:t>
      </w:r>
      <w:r>
        <w:rPr>
          <w:rFonts w:ascii="Roboto" w:hAnsi="Roboto"/>
          <w:color w:val="555555"/>
          <w:sz w:val="21"/>
          <w:szCs w:val="21"/>
        </w:rPr>
        <w:t> behaviours that are more likely to support digitalisation allows companies to anticipate potential issues and prioritise efforts to assertively develop leaders.</w:t>
      </w:r>
    </w:p>
    <w:p w14:paraId="01874A6D" w14:textId="3A160A02" w:rsidR="00BA04C2" w:rsidRDefault="008B2CFD">
      <w:pPr>
        <w:rPr>
          <w:rFonts w:ascii="Verdana" w:hAnsi="Verdana"/>
          <w:color w:val="555555"/>
          <w:sz w:val="18"/>
          <w:szCs w:val="18"/>
          <w:shd w:val="clear" w:color="auto" w:fill="FFFFFF"/>
        </w:rPr>
      </w:pPr>
      <w:r>
        <w:rPr>
          <w:rFonts w:ascii="Verdana" w:hAnsi="Verdana"/>
          <w:color w:val="555555"/>
          <w:sz w:val="18"/>
          <w:szCs w:val="18"/>
          <w:shd w:val="clear" w:color="auto" w:fill="FFFFFF"/>
        </w:rPr>
        <w:t>Toward effective digital transformation: The role of organizational capabilities. 2023. </w:t>
      </w:r>
      <w:r>
        <w:rPr>
          <w:rFonts w:ascii="Verdana" w:hAnsi="Verdana"/>
          <w:i/>
          <w:iCs/>
          <w:color w:val="555555"/>
          <w:sz w:val="18"/>
          <w:szCs w:val="18"/>
          <w:shd w:val="clear" w:color="auto" w:fill="FFFFFF"/>
        </w:rPr>
        <w:t>Strategic Direction, </w:t>
      </w:r>
      <w:r>
        <w:rPr>
          <w:rFonts w:ascii="Verdana" w:hAnsi="Verdana"/>
          <w:b/>
          <w:bCs/>
          <w:color w:val="555555"/>
          <w:sz w:val="18"/>
          <w:szCs w:val="18"/>
          <w:shd w:val="clear" w:color="auto" w:fill="FFFFFF"/>
        </w:rPr>
        <w:t>39</w:t>
      </w:r>
      <w:r>
        <w:rPr>
          <w:rFonts w:ascii="Verdana" w:hAnsi="Verdana"/>
          <w:color w:val="555555"/>
          <w:sz w:val="18"/>
          <w:szCs w:val="18"/>
          <w:shd w:val="clear" w:color="auto" w:fill="FFFFFF"/>
        </w:rPr>
        <w:t>(2), pp. 39-42.</w:t>
      </w:r>
    </w:p>
    <w:p w14:paraId="7A8ACB7C" w14:textId="77777777" w:rsidR="008B2CFD" w:rsidRDefault="008B2CFD">
      <w:pPr>
        <w:rPr>
          <w:rFonts w:ascii="Verdana" w:hAnsi="Verdana"/>
          <w:color w:val="555555"/>
          <w:sz w:val="18"/>
          <w:szCs w:val="18"/>
          <w:shd w:val="clear" w:color="auto" w:fill="FFFFFF"/>
        </w:rPr>
      </w:pPr>
    </w:p>
    <w:p w14:paraId="62A7791A" w14:textId="40D33439" w:rsidR="00CC0D2D" w:rsidRDefault="000B6497">
      <w:pPr>
        <w:rPr>
          <w:rFonts w:ascii="Verdana" w:hAnsi="Verdana"/>
          <w:color w:val="555555"/>
          <w:sz w:val="18"/>
          <w:szCs w:val="18"/>
          <w:shd w:val="clear" w:color="auto" w:fill="FFFFFF"/>
        </w:rPr>
      </w:pPr>
      <w:r>
        <w:rPr>
          <w:rFonts w:ascii="Verdana" w:hAnsi="Verdana"/>
          <w:color w:val="555555"/>
          <w:sz w:val="18"/>
          <w:szCs w:val="18"/>
          <w:shd w:val="clear" w:color="auto" w:fill="FFFFFF"/>
        </w:rPr>
        <w:t>LEE, W.C. and BERNARD CHENG, Y.T., 2023. Workplace learning strategies, enablers, and challenges in the context of digital innovation. </w:t>
      </w:r>
      <w:r>
        <w:rPr>
          <w:rFonts w:ascii="Verdana" w:hAnsi="Verdana"/>
          <w:i/>
          <w:iCs/>
          <w:color w:val="555555"/>
          <w:sz w:val="18"/>
          <w:szCs w:val="18"/>
          <w:shd w:val="clear" w:color="auto" w:fill="FFFFFF"/>
        </w:rPr>
        <w:t>Journal of Workplace Learning, </w:t>
      </w:r>
      <w:r>
        <w:rPr>
          <w:rFonts w:ascii="Verdana" w:hAnsi="Verdana"/>
          <w:b/>
          <w:bCs/>
          <w:color w:val="555555"/>
          <w:sz w:val="18"/>
          <w:szCs w:val="18"/>
          <w:shd w:val="clear" w:color="auto" w:fill="FFFFFF"/>
        </w:rPr>
        <w:t>35</w:t>
      </w:r>
      <w:r>
        <w:rPr>
          <w:rFonts w:ascii="Verdana" w:hAnsi="Verdana"/>
          <w:color w:val="555555"/>
          <w:sz w:val="18"/>
          <w:szCs w:val="18"/>
          <w:shd w:val="clear" w:color="auto" w:fill="FFFFFF"/>
        </w:rPr>
        <w:t>(2), pp. 192-209.</w:t>
      </w:r>
    </w:p>
    <w:p w14:paraId="4E2932A8" w14:textId="77777777" w:rsidR="000B6497" w:rsidRDefault="000B6497" w:rsidP="000B6497">
      <w:pPr>
        <w:pStyle w:val="NormalWeb"/>
        <w:shd w:val="clear" w:color="auto" w:fill="FFFFFF"/>
        <w:spacing w:before="0" w:beforeAutospacing="0" w:after="360" w:afterAutospacing="0"/>
        <w:rPr>
          <w:rFonts w:ascii="Roboto" w:hAnsi="Roboto"/>
          <w:color w:val="555555"/>
          <w:sz w:val="21"/>
          <w:szCs w:val="21"/>
        </w:rPr>
      </w:pPr>
      <w:r>
        <w:rPr>
          <w:rFonts w:ascii="Roboto" w:hAnsi="Roboto"/>
          <w:color w:val="555555"/>
          <w:sz w:val="21"/>
          <w:szCs w:val="21"/>
        </w:rPr>
        <w:t>The purpose of this study is to scrutinise individual learning strategies in their workplace when they were experiencing </w:t>
      </w:r>
      <w:r>
        <w:rPr>
          <w:rStyle w:val="hit"/>
          <w:rFonts w:ascii="Roboto" w:hAnsi="Roboto"/>
          <w:color w:val="000000"/>
          <w:sz w:val="21"/>
          <w:szCs w:val="21"/>
          <w:shd w:val="clear" w:color="auto" w:fill="D2F4FC"/>
        </w:rPr>
        <w:t>digital</w:t>
      </w:r>
      <w:r>
        <w:rPr>
          <w:rFonts w:ascii="Roboto" w:hAnsi="Roboto"/>
          <w:color w:val="555555"/>
          <w:sz w:val="21"/>
          <w:szCs w:val="21"/>
        </w:rPr>
        <w:t> innovation. Moreover, the respective enablers and challenges of each category of strategies were explored to conceptualise supporting features needed in the </w:t>
      </w:r>
      <w:r>
        <w:rPr>
          <w:rStyle w:val="hit"/>
          <w:rFonts w:ascii="Roboto" w:hAnsi="Roboto"/>
          <w:color w:val="000000"/>
          <w:sz w:val="21"/>
          <w:szCs w:val="21"/>
          <w:shd w:val="clear" w:color="auto" w:fill="D2F4FC"/>
        </w:rPr>
        <w:t>digital</w:t>
      </w:r>
      <w:r>
        <w:rPr>
          <w:rFonts w:ascii="Roboto" w:hAnsi="Roboto"/>
          <w:color w:val="555555"/>
          <w:sz w:val="21"/>
          <w:szCs w:val="21"/>
        </w:rPr>
        <w:t> learning environment.</w:t>
      </w:r>
    </w:p>
    <w:p w14:paraId="36270A06" w14:textId="77777777" w:rsidR="000B6497" w:rsidRDefault="000B6497" w:rsidP="000B6497">
      <w:pPr>
        <w:pStyle w:val="NormalWeb"/>
        <w:shd w:val="clear" w:color="auto" w:fill="FFFFFF"/>
        <w:spacing w:before="0" w:beforeAutospacing="0" w:after="360" w:afterAutospacing="0"/>
        <w:rPr>
          <w:rFonts w:ascii="Roboto" w:hAnsi="Roboto"/>
          <w:color w:val="555555"/>
          <w:sz w:val="21"/>
          <w:szCs w:val="21"/>
        </w:rPr>
      </w:pPr>
      <w:r>
        <w:rPr>
          <w:rFonts w:ascii="Roboto" w:hAnsi="Roboto"/>
          <w:color w:val="555555"/>
          <w:sz w:val="21"/>
          <w:szCs w:val="21"/>
        </w:rPr>
        <w:t>This study adopts a qualitative inquiry to understand employees’ workplace learning strategies and the respective enablers, and challenges in each category of strategies. Twenty employees across different industries were interviewed, and a two-cycle inductive coding analysis was adopted to identify the categories of learning strategies.</w:t>
      </w:r>
    </w:p>
    <w:p w14:paraId="47BA5E4C" w14:textId="77777777" w:rsidR="000B6497" w:rsidRDefault="000B6497" w:rsidP="000B6497">
      <w:pPr>
        <w:pStyle w:val="NormalWeb"/>
        <w:shd w:val="clear" w:color="auto" w:fill="FFFFFF"/>
        <w:spacing w:before="0" w:beforeAutospacing="0" w:after="360" w:afterAutospacing="0"/>
        <w:rPr>
          <w:rFonts w:ascii="Roboto" w:hAnsi="Roboto"/>
          <w:color w:val="555555"/>
          <w:sz w:val="21"/>
          <w:szCs w:val="21"/>
        </w:rPr>
      </w:pPr>
      <w:r>
        <w:rPr>
          <w:rFonts w:ascii="Roboto" w:hAnsi="Roboto"/>
          <w:color w:val="555555"/>
          <w:sz w:val="21"/>
          <w:szCs w:val="21"/>
        </w:rPr>
        <w:t>Four categories of workplace learning strategies were identified: self-driven, social-leveraged, enterprise-oriented and information and technology-enhanced (IT-enhanced) strategies. Enablers and challenges of each category were also presented in this study.</w:t>
      </w:r>
    </w:p>
    <w:p w14:paraId="16E20262" w14:textId="77777777" w:rsidR="000B6497" w:rsidRDefault="000B6497" w:rsidP="000B6497">
      <w:pPr>
        <w:pStyle w:val="NormalWeb"/>
        <w:shd w:val="clear" w:color="auto" w:fill="FFFFFF"/>
        <w:spacing w:before="0" w:beforeAutospacing="0" w:after="360" w:afterAutospacing="0"/>
        <w:rPr>
          <w:rFonts w:ascii="Roboto" w:hAnsi="Roboto"/>
          <w:color w:val="555555"/>
          <w:sz w:val="21"/>
          <w:szCs w:val="21"/>
        </w:rPr>
      </w:pPr>
      <w:r>
        <w:rPr>
          <w:rFonts w:ascii="Roboto" w:hAnsi="Roboto"/>
          <w:color w:val="555555"/>
          <w:sz w:val="21"/>
          <w:szCs w:val="21"/>
        </w:rPr>
        <w:t>The findings provide insights for individuals to establish a repertoire of learning strategies. The inadequate use of IT-enhanced strategies is additionally addressed.</w:t>
      </w:r>
    </w:p>
    <w:p w14:paraId="572F0817" w14:textId="77777777" w:rsidR="000B6497" w:rsidRDefault="000B6497" w:rsidP="000B6497">
      <w:pPr>
        <w:pStyle w:val="NormalWeb"/>
        <w:shd w:val="clear" w:color="auto" w:fill="FFFFFF"/>
        <w:spacing w:before="0" w:beforeAutospacing="0" w:after="360" w:afterAutospacing="0"/>
        <w:rPr>
          <w:rFonts w:ascii="Roboto" w:hAnsi="Roboto"/>
          <w:color w:val="555555"/>
          <w:sz w:val="21"/>
          <w:szCs w:val="21"/>
        </w:rPr>
      </w:pPr>
      <w:r>
        <w:rPr>
          <w:rFonts w:ascii="Roboto" w:hAnsi="Roboto"/>
          <w:color w:val="555555"/>
          <w:sz w:val="21"/>
          <w:szCs w:val="21"/>
        </w:rPr>
        <w:t>This study examined workplace learning strategies in the context of </w:t>
      </w:r>
      <w:r>
        <w:rPr>
          <w:rStyle w:val="hit"/>
          <w:rFonts w:ascii="Roboto" w:hAnsi="Roboto"/>
          <w:color w:val="000000"/>
          <w:sz w:val="21"/>
          <w:szCs w:val="21"/>
          <w:shd w:val="clear" w:color="auto" w:fill="D2F4FC"/>
        </w:rPr>
        <w:t>digital</w:t>
      </w:r>
      <w:r>
        <w:rPr>
          <w:rFonts w:ascii="Roboto" w:hAnsi="Roboto"/>
          <w:color w:val="555555"/>
          <w:sz w:val="21"/>
          <w:szCs w:val="21"/>
        </w:rPr>
        <w:t> innovation. Based on the empirical findings and existing literature, this study proposes a framework with the supporting features for a </w:t>
      </w:r>
      <w:r>
        <w:rPr>
          <w:rStyle w:val="hit"/>
          <w:rFonts w:ascii="Roboto" w:hAnsi="Roboto"/>
          <w:color w:val="000000"/>
          <w:sz w:val="21"/>
          <w:szCs w:val="21"/>
          <w:shd w:val="clear" w:color="auto" w:fill="D2F4FC"/>
        </w:rPr>
        <w:t>digital</w:t>
      </w:r>
      <w:r>
        <w:rPr>
          <w:rFonts w:ascii="Roboto" w:hAnsi="Roboto"/>
          <w:color w:val="555555"/>
          <w:sz w:val="21"/>
          <w:szCs w:val="21"/>
        </w:rPr>
        <w:t> learning environment.</w:t>
      </w:r>
    </w:p>
    <w:p w14:paraId="4DF83F14" w14:textId="77777777" w:rsidR="00CC0D2D" w:rsidRDefault="00CC0D2D">
      <w:pPr>
        <w:rPr>
          <w:rFonts w:ascii="Verdana" w:hAnsi="Verdana"/>
          <w:color w:val="555555"/>
          <w:sz w:val="18"/>
          <w:szCs w:val="18"/>
          <w:shd w:val="clear" w:color="auto" w:fill="FFFFFF"/>
        </w:rPr>
      </w:pPr>
    </w:p>
    <w:p w14:paraId="6A35FBB9" w14:textId="4DDDB868" w:rsidR="00CC0D2D" w:rsidRDefault="00CC0D2D">
      <w:pPr>
        <w:rPr>
          <w:rFonts w:ascii="Verdana" w:hAnsi="Verdana"/>
          <w:color w:val="555555"/>
          <w:sz w:val="18"/>
          <w:szCs w:val="18"/>
          <w:shd w:val="clear" w:color="auto" w:fill="FFFFFF"/>
        </w:rPr>
      </w:pPr>
      <w:r>
        <w:rPr>
          <w:rFonts w:ascii="Verdana" w:hAnsi="Verdana"/>
          <w:color w:val="555555"/>
          <w:sz w:val="18"/>
          <w:szCs w:val="18"/>
          <w:shd w:val="clear" w:color="auto" w:fill="FFFFFF"/>
        </w:rPr>
        <w:t>DEMIR, M. and GÜNAYDIN, Y., 2023. A digital job application reference: how do social media posts affect the recruitment process? </w:t>
      </w:r>
      <w:r>
        <w:rPr>
          <w:rFonts w:ascii="Verdana" w:hAnsi="Verdana"/>
          <w:i/>
          <w:iCs/>
          <w:color w:val="555555"/>
          <w:sz w:val="18"/>
          <w:szCs w:val="18"/>
          <w:shd w:val="clear" w:color="auto" w:fill="FFFFFF"/>
        </w:rPr>
        <w:t>Employee Relations, </w:t>
      </w:r>
      <w:r>
        <w:rPr>
          <w:rFonts w:ascii="Verdana" w:hAnsi="Verdana"/>
          <w:b/>
          <w:bCs/>
          <w:color w:val="555555"/>
          <w:sz w:val="18"/>
          <w:szCs w:val="18"/>
          <w:shd w:val="clear" w:color="auto" w:fill="FFFFFF"/>
        </w:rPr>
        <w:t>45</w:t>
      </w:r>
      <w:r>
        <w:rPr>
          <w:rFonts w:ascii="Verdana" w:hAnsi="Verdana"/>
          <w:color w:val="555555"/>
          <w:sz w:val="18"/>
          <w:szCs w:val="18"/>
          <w:shd w:val="clear" w:color="auto" w:fill="FFFFFF"/>
        </w:rPr>
        <w:t>(2), pp. 457-477.</w:t>
      </w:r>
    </w:p>
    <w:p w14:paraId="5F80C803" w14:textId="77777777" w:rsidR="00CC0D2D" w:rsidRPr="00CC0D2D" w:rsidRDefault="00CC0D2D" w:rsidP="00CC0D2D">
      <w:pPr>
        <w:shd w:val="clear" w:color="auto" w:fill="FFFFFF"/>
        <w:spacing w:after="360" w:line="240" w:lineRule="auto"/>
        <w:rPr>
          <w:rFonts w:ascii="Roboto" w:eastAsia="Times New Roman" w:hAnsi="Roboto" w:cs="Times New Roman"/>
          <w:color w:val="555555"/>
          <w:sz w:val="21"/>
          <w:szCs w:val="21"/>
          <w:lang w:eastAsia="en-GB"/>
        </w:rPr>
      </w:pPr>
      <w:r w:rsidRPr="00CC0D2D">
        <w:rPr>
          <w:rFonts w:ascii="Roboto" w:eastAsia="Times New Roman" w:hAnsi="Roboto" w:cs="Times New Roman"/>
          <w:color w:val="555555"/>
          <w:sz w:val="21"/>
          <w:szCs w:val="21"/>
          <w:lang w:eastAsia="en-GB"/>
        </w:rPr>
        <w:t>This study aims to determine the influence of candidate employees' social media accounts (SMAs) on human resource (HR) professionals' hiring decisions as a job application reference in the tourism industry.</w:t>
      </w:r>
    </w:p>
    <w:p w14:paraId="61EDD8B9" w14:textId="77777777" w:rsidR="00CC0D2D" w:rsidRPr="00CC0D2D" w:rsidRDefault="00CC0D2D" w:rsidP="00CC0D2D">
      <w:pPr>
        <w:shd w:val="clear" w:color="auto" w:fill="FFFFFF"/>
        <w:spacing w:after="360" w:line="240" w:lineRule="auto"/>
        <w:rPr>
          <w:rFonts w:ascii="Roboto" w:eastAsia="Times New Roman" w:hAnsi="Roboto" w:cs="Times New Roman"/>
          <w:color w:val="555555"/>
          <w:sz w:val="21"/>
          <w:szCs w:val="21"/>
          <w:lang w:eastAsia="en-GB"/>
        </w:rPr>
      </w:pPr>
      <w:r w:rsidRPr="00CC0D2D">
        <w:rPr>
          <w:rFonts w:ascii="Roboto" w:eastAsia="Times New Roman" w:hAnsi="Roboto" w:cs="Times New Roman"/>
          <w:color w:val="555555"/>
          <w:sz w:val="21"/>
          <w:szCs w:val="21"/>
          <w:lang w:eastAsia="en-GB"/>
        </w:rPr>
        <w:lastRenderedPageBreak/>
        <w:t xml:space="preserve">Using a qualitative approach, semi-structured interviews were conducted in tourism businesses, such as hotels, travel agencies, restaurants, bars, and ground-handling service companies. In-depth, open-ended interviews with 16 questions were conducted to gather data face to face between October 15 and December 20, 2021, with 38 HR professionals. The research questions were </w:t>
      </w:r>
      <w:proofErr w:type="spellStart"/>
      <w:r w:rsidRPr="00CC0D2D">
        <w:rPr>
          <w:rFonts w:ascii="Roboto" w:eastAsia="Times New Roman" w:hAnsi="Roboto" w:cs="Times New Roman"/>
          <w:color w:val="555555"/>
          <w:sz w:val="21"/>
          <w:szCs w:val="21"/>
          <w:lang w:eastAsia="en-GB"/>
        </w:rPr>
        <w:t>analyzed</w:t>
      </w:r>
      <w:proofErr w:type="spellEnd"/>
      <w:r w:rsidRPr="00CC0D2D">
        <w:rPr>
          <w:rFonts w:ascii="Roboto" w:eastAsia="Times New Roman" w:hAnsi="Roboto" w:cs="Times New Roman"/>
          <w:color w:val="555555"/>
          <w:sz w:val="21"/>
          <w:szCs w:val="21"/>
          <w:lang w:eastAsia="en-GB"/>
        </w:rPr>
        <w:t xml:space="preserve"> using thematic analysis and discussed under three main themes.</w:t>
      </w:r>
    </w:p>
    <w:p w14:paraId="376A2355" w14:textId="77777777" w:rsidR="00CC0D2D" w:rsidRPr="00CC0D2D" w:rsidRDefault="00CC0D2D" w:rsidP="00CC0D2D">
      <w:pPr>
        <w:shd w:val="clear" w:color="auto" w:fill="FFFFFF"/>
        <w:spacing w:after="360" w:line="240" w:lineRule="auto"/>
        <w:rPr>
          <w:rFonts w:ascii="Roboto" w:eastAsia="Times New Roman" w:hAnsi="Roboto" w:cs="Times New Roman"/>
          <w:color w:val="555555"/>
          <w:sz w:val="21"/>
          <w:szCs w:val="21"/>
          <w:lang w:eastAsia="en-GB"/>
        </w:rPr>
      </w:pPr>
      <w:r w:rsidRPr="00CC0D2D">
        <w:rPr>
          <w:rFonts w:ascii="Roboto" w:eastAsia="Times New Roman" w:hAnsi="Roboto" w:cs="Times New Roman"/>
          <w:color w:val="555555"/>
          <w:sz w:val="21"/>
          <w:szCs w:val="21"/>
          <w:lang w:eastAsia="en-GB"/>
        </w:rPr>
        <w:t>The findings of this study showed that HR managers in the tourism industry generally prefer to examine candidates' SMAs rather than traditional references because they can quickly and cheaply screen many applicants.</w:t>
      </w:r>
    </w:p>
    <w:p w14:paraId="17052A68" w14:textId="77777777" w:rsidR="00CC0D2D" w:rsidRPr="00CC0D2D" w:rsidRDefault="00CC0D2D" w:rsidP="00CC0D2D">
      <w:pPr>
        <w:shd w:val="clear" w:color="auto" w:fill="FFFFFF"/>
        <w:spacing w:after="360" w:line="240" w:lineRule="auto"/>
        <w:rPr>
          <w:rFonts w:ascii="Roboto" w:eastAsia="Times New Roman" w:hAnsi="Roboto" w:cs="Times New Roman"/>
          <w:color w:val="555555"/>
          <w:sz w:val="21"/>
          <w:szCs w:val="21"/>
          <w:lang w:eastAsia="en-GB"/>
        </w:rPr>
      </w:pPr>
      <w:r w:rsidRPr="00CC0D2D">
        <w:rPr>
          <w:rFonts w:ascii="Roboto" w:eastAsia="Times New Roman" w:hAnsi="Roboto" w:cs="Times New Roman"/>
          <w:color w:val="555555"/>
          <w:sz w:val="21"/>
          <w:szCs w:val="21"/>
          <w:lang w:eastAsia="en-GB"/>
        </w:rPr>
        <w:t>Social media (SM) is increasingly used as a crucial channel in recruitment within organizations. This paper contributes by filling a gap in HR management, which empirical studies on the influence of job applicant's SMAs on recruiters' hiring decisions have been limited so far.</w:t>
      </w:r>
    </w:p>
    <w:p w14:paraId="306679CB" w14:textId="77777777" w:rsidR="00CC0D2D" w:rsidRDefault="00CC0D2D">
      <w:pPr>
        <w:rPr>
          <w:b/>
          <w:bCs/>
        </w:rPr>
      </w:pPr>
    </w:p>
    <w:p w14:paraId="2CBCABC2" w14:textId="4AA879A5" w:rsidR="00CC0D2D" w:rsidRDefault="00CC0D2D">
      <w:pPr>
        <w:rPr>
          <w:rFonts w:ascii="Verdana" w:hAnsi="Verdana"/>
          <w:color w:val="555555"/>
          <w:sz w:val="18"/>
          <w:szCs w:val="18"/>
          <w:shd w:val="clear" w:color="auto" w:fill="FFFFFF"/>
        </w:rPr>
      </w:pPr>
      <w:r>
        <w:rPr>
          <w:rFonts w:ascii="Verdana" w:hAnsi="Verdana"/>
          <w:color w:val="555555"/>
          <w:sz w:val="18"/>
          <w:szCs w:val="18"/>
          <w:shd w:val="clear" w:color="auto" w:fill="FFFFFF"/>
        </w:rPr>
        <w:t>ODEH, R.B.M., BADER, Y.O., JARADAT, M.O., MASA'DEH, R. and MUHAMMAD, T.A., 2023. The transformational leadership role in achieving organizational resilience through adaptive cultures: the case of Dubai service sector. </w:t>
      </w:r>
      <w:r>
        <w:rPr>
          <w:rFonts w:ascii="Verdana" w:hAnsi="Verdana"/>
          <w:i/>
          <w:iCs/>
          <w:color w:val="555555"/>
          <w:sz w:val="18"/>
          <w:szCs w:val="18"/>
          <w:shd w:val="clear" w:color="auto" w:fill="FFFFFF"/>
        </w:rPr>
        <w:t>International Journal of Productivity and Performance Management, </w:t>
      </w:r>
      <w:r>
        <w:rPr>
          <w:rFonts w:ascii="Verdana" w:hAnsi="Verdana"/>
          <w:b/>
          <w:bCs/>
          <w:color w:val="555555"/>
          <w:sz w:val="18"/>
          <w:szCs w:val="18"/>
          <w:shd w:val="clear" w:color="auto" w:fill="FFFFFF"/>
        </w:rPr>
        <w:t>72</w:t>
      </w:r>
      <w:r>
        <w:rPr>
          <w:rFonts w:ascii="Verdana" w:hAnsi="Verdana"/>
          <w:color w:val="555555"/>
          <w:sz w:val="18"/>
          <w:szCs w:val="18"/>
          <w:shd w:val="clear" w:color="auto" w:fill="FFFFFF"/>
        </w:rPr>
        <w:t>(2), pp. 440-468.</w:t>
      </w:r>
    </w:p>
    <w:p w14:paraId="6CC3ACA3" w14:textId="77777777" w:rsidR="00CC0D2D" w:rsidRPr="00CC0D2D" w:rsidRDefault="00CC0D2D" w:rsidP="00CC0D2D">
      <w:pPr>
        <w:shd w:val="clear" w:color="auto" w:fill="FFFFFF"/>
        <w:spacing w:after="360" w:line="240" w:lineRule="auto"/>
        <w:rPr>
          <w:rFonts w:ascii="Roboto" w:eastAsia="Times New Roman" w:hAnsi="Roboto" w:cs="Times New Roman"/>
          <w:color w:val="555555"/>
          <w:sz w:val="21"/>
          <w:szCs w:val="21"/>
          <w:lang w:eastAsia="en-GB"/>
        </w:rPr>
      </w:pPr>
      <w:r w:rsidRPr="00CC0D2D">
        <w:rPr>
          <w:rFonts w:ascii="Roboto" w:eastAsia="Times New Roman" w:hAnsi="Roboto" w:cs="Times New Roman"/>
          <w:color w:val="555555"/>
          <w:sz w:val="21"/>
          <w:szCs w:val="21"/>
          <w:lang w:eastAsia="en-GB"/>
        </w:rPr>
        <w:br/>
        <w:t>This empirical research draws on the existing theory of transformational leadership, adaptive culture and organizational resilience, and investigates the effect of the elected TQM leadership style “transformational leadership” through the mediating effect of adaptive culture on organizational resilience, that is the key of survival during crises like the recent COVID-19 pandemic, which has severely impacted the business globally.</w:t>
      </w:r>
    </w:p>
    <w:p w14:paraId="70115615" w14:textId="77777777" w:rsidR="00CC0D2D" w:rsidRPr="00CC0D2D" w:rsidRDefault="00CC0D2D" w:rsidP="00CC0D2D">
      <w:pPr>
        <w:shd w:val="clear" w:color="auto" w:fill="FFFFFF"/>
        <w:spacing w:after="360" w:line="240" w:lineRule="auto"/>
        <w:rPr>
          <w:rFonts w:ascii="Roboto" w:eastAsia="Times New Roman" w:hAnsi="Roboto" w:cs="Times New Roman"/>
          <w:color w:val="555555"/>
          <w:sz w:val="21"/>
          <w:szCs w:val="21"/>
          <w:lang w:eastAsia="en-GB"/>
        </w:rPr>
      </w:pPr>
      <w:r w:rsidRPr="00CC0D2D">
        <w:rPr>
          <w:rFonts w:ascii="Roboto" w:eastAsia="Times New Roman" w:hAnsi="Roboto" w:cs="Times New Roman"/>
          <w:color w:val="555555"/>
          <w:sz w:val="21"/>
          <w:szCs w:val="21"/>
          <w:lang w:eastAsia="en-GB"/>
        </w:rPr>
        <w:t>This study exploited a cross-sectional online questionnaire of a random sample of Dubai service firms, with the unit of analysis being at the firm level. In total, 379 usable responses were received. Regression analysis was conducted to test hypotheses.</w:t>
      </w:r>
    </w:p>
    <w:p w14:paraId="1B978DAC" w14:textId="77777777" w:rsidR="00CC0D2D" w:rsidRPr="00CC0D2D" w:rsidRDefault="00CC0D2D" w:rsidP="00CC0D2D">
      <w:pPr>
        <w:shd w:val="clear" w:color="auto" w:fill="FFFFFF"/>
        <w:spacing w:after="360" w:line="240" w:lineRule="auto"/>
        <w:rPr>
          <w:rFonts w:ascii="Roboto" w:eastAsia="Times New Roman" w:hAnsi="Roboto" w:cs="Times New Roman"/>
          <w:color w:val="555555"/>
          <w:sz w:val="21"/>
          <w:szCs w:val="21"/>
          <w:lang w:eastAsia="en-GB"/>
        </w:rPr>
      </w:pPr>
      <w:r w:rsidRPr="00CC0D2D">
        <w:rPr>
          <w:rFonts w:ascii="Roboto" w:eastAsia="Times New Roman" w:hAnsi="Roboto" w:cs="Times New Roman"/>
          <w:color w:val="555555"/>
          <w:sz w:val="21"/>
          <w:szCs w:val="21"/>
          <w:lang w:eastAsia="en-GB"/>
        </w:rPr>
        <w:t>The overall findings of this study supported that transformational leadership is positively associated with both adaptive culture and firm's resilience and significantly impacts them. Adaptive culture was found partially mediating the effect of transformational leadership on organizational resilience.</w:t>
      </w:r>
    </w:p>
    <w:p w14:paraId="1A4A0D6F" w14:textId="77777777" w:rsidR="00CC0D2D" w:rsidRPr="00CC0D2D" w:rsidRDefault="00CC0D2D" w:rsidP="00CC0D2D">
      <w:pPr>
        <w:shd w:val="clear" w:color="auto" w:fill="FFFFFF"/>
        <w:spacing w:after="360" w:line="240" w:lineRule="auto"/>
        <w:rPr>
          <w:rFonts w:ascii="Roboto" w:eastAsia="Times New Roman" w:hAnsi="Roboto" w:cs="Times New Roman"/>
          <w:color w:val="555555"/>
          <w:sz w:val="21"/>
          <w:szCs w:val="21"/>
          <w:lang w:eastAsia="en-GB"/>
        </w:rPr>
      </w:pPr>
      <w:r w:rsidRPr="00CC0D2D">
        <w:rPr>
          <w:rFonts w:ascii="Roboto" w:eastAsia="Times New Roman" w:hAnsi="Roboto" w:cs="Times New Roman"/>
          <w:color w:val="555555"/>
          <w:sz w:val="21"/>
          <w:szCs w:val="21"/>
          <w:lang w:eastAsia="en-GB"/>
        </w:rPr>
        <w:t>The research findings provide important insights to practitioners (managers and leaders) to better improve their transformational qualities, as these qualities are expected to improve the organizational adaptive cultures and capacity of resilience.</w:t>
      </w:r>
    </w:p>
    <w:p w14:paraId="0129AEB6" w14:textId="77777777" w:rsidR="00CC0D2D" w:rsidRPr="00CC0D2D" w:rsidRDefault="00CC0D2D" w:rsidP="00CC0D2D">
      <w:pPr>
        <w:shd w:val="clear" w:color="auto" w:fill="FFFFFF"/>
        <w:spacing w:after="360" w:line="240" w:lineRule="auto"/>
        <w:rPr>
          <w:rFonts w:ascii="Roboto" w:eastAsia="Times New Roman" w:hAnsi="Roboto" w:cs="Times New Roman"/>
          <w:color w:val="555555"/>
          <w:sz w:val="21"/>
          <w:szCs w:val="21"/>
          <w:lang w:eastAsia="en-GB"/>
        </w:rPr>
      </w:pPr>
      <w:r w:rsidRPr="00CC0D2D">
        <w:rPr>
          <w:rFonts w:ascii="Roboto" w:eastAsia="Times New Roman" w:hAnsi="Roboto" w:cs="Times New Roman"/>
          <w:color w:val="555555"/>
          <w:sz w:val="21"/>
          <w:szCs w:val="21"/>
          <w:lang w:eastAsia="en-GB"/>
        </w:rPr>
        <w:t>To the best of the authors' knowledge, this is one of the first studies to examine the transformational leadership effect on organizational adaptive culture and firm's resilience. This investigation expands the boundaries of leadership style theory into new arenas, attempting to partially address the identified knowledge gap in this vein.</w:t>
      </w:r>
    </w:p>
    <w:p w14:paraId="3C4F78D2" w14:textId="77777777" w:rsidR="00CC0D2D" w:rsidRDefault="00CC0D2D">
      <w:pPr>
        <w:rPr>
          <w:b/>
          <w:bCs/>
        </w:rPr>
      </w:pPr>
    </w:p>
    <w:p w14:paraId="2FDE3B15" w14:textId="77777777" w:rsidR="00081C6E" w:rsidRPr="00081C6E" w:rsidRDefault="00081C6E" w:rsidP="00081C6E">
      <w:pPr>
        <w:spacing w:after="0" w:line="240" w:lineRule="auto"/>
        <w:outlineLvl w:val="0"/>
        <w:rPr>
          <w:rFonts w:ascii="Georgia" w:eastAsia="Times New Roman" w:hAnsi="Georgia" w:cs="Times New Roman"/>
          <w:color w:val="2E2E2E"/>
          <w:kern w:val="36"/>
          <w:sz w:val="48"/>
          <w:szCs w:val="48"/>
          <w:lang w:eastAsia="en-GB"/>
        </w:rPr>
      </w:pPr>
      <w:bookmarkStart w:id="0" w:name="_Hlk129349810"/>
      <w:r w:rsidRPr="00081C6E">
        <w:rPr>
          <w:rFonts w:ascii="Georgia" w:eastAsia="Times New Roman" w:hAnsi="Georgia" w:cs="Times New Roman"/>
          <w:color w:val="2E2E2E"/>
          <w:kern w:val="36"/>
          <w:sz w:val="48"/>
          <w:szCs w:val="48"/>
          <w:lang w:eastAsia="en-GB"/>
        </w:rPr>
        <w:lastRenderedPageBreak/>
        <w:t xml:space="preserve">Leading teams in the digital age: Four perspectives on technology and what they mean for leading </w:t>
      </w:r>
      <w:proofErr w:type="gramStart"/>
      <w:r w:rsidRPr="00081C6E">
        <w:rPr>
          <w:rFonts w:ascii="Georgia" w:eastAsia="Times New Roman" w:hAnsi="Georgia" w:cs="Times New Roman"/>
          <w:color w:val="2E2E2E"/>
          <w:kern w:val="36"/>
          <w:sz w:val="48"/>
          <w:szCs w:val="48"/>
          <w:lang w:eastAsia="en-GB"/>
        </w:rPr>
        <w:t>teams</w:t>
      </w:r>
      <w:proofErr w:type="gramEnd"/>
    </w:p>
    <w:p w14:paraId="7B8D55E3" w14:textId="25EA3E6D" w:rsidR="00081C6E" w:rsidRDefault="00081C6E" w:rsidP="00081C6E">
      <w:pPr>
        <w:spacing w:after="0" w:line="240" w:lineRule="auto"/>
        <w:rPr>
          <w:rFonts w:ascii="Arial" w:eastAsia="Times New Roman" w:hAnsi="Arial" w:cs="Arial"/>
          <w:color w:val="2E2E2E"/>
          <w:sz w:val="30"/>
          <w:szCs w:val="30"/>
          <w:lang w:eastAsia="en-GB"/>
        </w:rPr>
      </w:pPr>
      <w:r w:rsidRPr="00081C6E">
        <w:rPr>
          <w:rFonts w:ascii="Arial" w:eastAsia="Times New Roman" w:hAnsi="Arial" w:cs="Arial"/>
          <w:color w:val="2E2E2E"/>
          <w:sz w:val="30"/>
          <w:szCs w:val="30"/>
          <w:lang w:eastAsia="en-GB"/>
        </w:rPr>
        <w:t>Lindsay Larson, Leslie A. </w:t>
      </w:r>
      <w:proofErr w:type="spellStart"/>
      <w:r w:rsidRPr="00081C6E">
        <w:rPr>
          <w:rFonts w:ascii="Arial" w:eastAsia="Times New Roman" w:hAnsi="Arial" w:cs="Arial"/>
          <w:color w:val="2E2E2E"/>
          <w:sz w:val="30"/>
          <w:szCs w:val="30"/>
          <w:lang w:eastAsia="en-GB"/>
        </w:rPr>
        <w:t>DeChurch</w:t>
      </w:r>
      <w:proofErr w:type="spellEnd"/>
    </w:p>
    <w:p w14:paraId="198100A9" w14:textId="6136BEA8" w:rsidR="00081C6E" w:rsidRPr="00081C6E" w:rsidRDefault="00000000" w:rsidP="00081C6E">
      <w:pPr>
        <w:spacing w:after="0" w:line="240" w:lineRule="auto"/>
        <w:outlineLvl w:val="1"/>
        <w:rPr>
          <w:rFonts w:ascii="Arial" w:eastAsia="Times New Roman" w:hAnsi="Arial" w:cs="Arial"/>
          <w:color w:val="2E2E2E"/>
          <w:sz w:val="36"/>
          <w:szCs w:val="36"/>
          <w:lang w:eastAsia="en-GB"/>
        </w:rPr>
      </w:pPr>
      <w:hyperlink r:id="rId19" w:tooltip="Go to The Leadership Quarterly on ScienceDirect" w:history="1">
        <w:r w:rsidR="00081C6E" w:rsidRPr="00081C6E">
          <w:rPr>
            <w:rFonts w:ascii="Arial" w:eastAsia="Times New Roman" w:hAnsi="Arial" w:cs="Arial"/>
            <w:color w:val="2E2E2E"/>
            <w:sz w:val="36"/>
            <w:szCs w:val="36"/>
            <w:lang w:eastAsia="en-GB"/>
          </w:rPr>
          <w:t>The Leadership Quarterly</w:t>
        </w:r>
      </w:hyperlink>
      <w:r w:rsidR="00081C6E">
        <w:rPr>
          <w:rFonts w:ascii="Arial" w:eastAsia="Times New Roman" w:hAnsi="Arial" w:cs="Arial"/>
          <w:color w:val="2E2E2E"/>
          <w:sz w:val="36"/>
          <w:szCs w:val="36"/>
          <w:lang w:eastAsia="en-GB"/>
        </w:rPr>
        <w:t xml:space="preserve"> </w:t>
      </w:r>
      <w:hyperlink r:id="rId20" w:tooltip="Go to table of contents for this volume/issue" w:history="1">
        <w:r w:rsidR="00081C6E" w:rsidRPr="00081C6E">
          <w:rPr>
            <w:rFonts w:ascii="Arial" w:eastAsia="Times New Roman" w:hAnsi="Arial" w:cs="Arial"/>
            <w:color w:val="007398"/>
            <w:sz w:val="24"/>
            <w:szCs w:val="24"/>
            <w:lang w:eastAsia="en-GB"/>
          </w:rPr>
          <w:t>Volume 31, Issue 1</w:t>
        </w:r>
      </w:hyperlink>
      <w:r w:rsidR="00081C6E" w:rsidRPr="00081C6E">
        <w:rPr>
          <w:rFonts w:ascii="Arial" w:eastAsia="Times New Roman" w:hAnsi="Arial" w:cs="Arial"/>
          <w:color w:val="2E2E2E"/>
          <w:sz w:val="24"/>
          <w:szCs w:val="24"/>
          <w:lang w:eastAsia="en-GB"/>
        </w:rPr>
        <w:t>, February 2020, 101377</w:t>
      </w:r>
    </w:p>
    <w:p w14:paraId="0FB9894B" w14:textId="6E73D36B" w:rsidR="00081C6E" w:rsidRPr="00081C6E" w:rsidRDefault="00081C6E" w:rsidP="00081C6E">
      <w:pPr>
        <w:spacing w:after="0" w:line="240" w:lineRule="auto"/>
        <w:rPr>
          <w:rFonts w:ascii="Arial" w:eastAsia="Times New Roman" w:hAnsi="Arial" w:cs="Arial"/>
          <w:color w:val="2E2E2E"/>
          <w:sz w:val="30"/>
          <w:szCs w:val="30"/>
          <w:lang w:eastAsia="en-GB"/>
        </w:rPr>
      </w:pPr>
    </w:p>
    <w:p w14:paraId="2CA800C2" w14:textId="08970D6A" w:rsidR="00081C6E" w:rsidRPr="00081C6E" w:rsidRDefault="00000000" w:rsidP="00081C6E">
      <w:pPr>
        <w:spacing w:after="120" w:line="240" w:lineRule="auto"/>
        <w:rPr>
          <w:rFonts w:ascii="Arial" w:eastAsia="Times New Roman" w:hAnsi="Arial" w:cs="Arial"/>
          <w:color w:val="2E2E2E"/>
          <w:sz w:val="24"/>
          <w:szCs w:val="24"/>
          <w:lang w:eastAsia="en-GB"/>
        </w:rPr>
      </w:pPr>
      <w:hyperlink r:id="rId21" w:tgtFrame="_blank" w:tooltip="Persistent link using digital object identifier" w:history="1">
        <w:r w:rsidR="00081C6E" w:rsidRPr="00081C6E">
          <w:rPr>
            <w:rFonts w:ascii="Arial" w:eastAsia="Times New Roman" w:hAnsi="Arial" w:cs="Arial"/>
            <w:color w:val="007398"/>
            <w:sz w:val="24"/>
            <w:szCs w:val="24"/>
            <w:lang w:eastAsia="en-GB"/>
          </w:rPr>
          <w:t>https://doi.org/10.1016/j.leaqua.2019.101377</w:t>
        </w:r>
      </w:hyperlink>
    </w:p>
    <w:p w14:paraId="159CD052" w14:textId="24B0C5FB" w:rsidR="001B6894" w:rsidRDefault="00081C6E">
      <w:pPr>
        <w:rPr>
          <w:b/>
          <w:bCs/>
        </w:rPr>
      </w:pPr>
      <w:r>
        <w:rPr>
          <w:rFonts w:ascii="Georgia" w:hAnsi="Georgia"/>
          <w:color w:val="2E2E2E"/>
        </w:rPr>
        <w:t xml:space="preserve">Digital technologies are changing the nature of teamwork in ways that have important implications for leadership. Though conceptually rich and multi-disciplinary, much of the burgeoning work on technology has not been fully integrated into the leadership literature. To fill this gap, we organize existing work on leadership and technology, outlining four perspectives: (1) technology as context, (2) technology as </w:t>
      </w:r>
      <w:proofErr w:type="spellStart"/>
      <w:r>
        <w:rPr>
          <w:rFonts w:ascii="Georgia" w:hAnsi="Georgia"/>
          <w:color w:val="2E2E2E"/>
        </w:rPr>
        <w:t>sociomaterial</w:t>
      </w:r>
      <w:proofErr w:type="spellEnd"/>
      <w:r>
        <w:rPr>
          <w:rFonts w:ascii="Georgia" w:hAnsi="Georgia"/>
          <w:color w:val="2E2E2E"/>
        </w:rPr>
        <w:t>, (3) technology as creation medium, and (4) technology as teammate. Each technology perspective makes assumptions about how technologies affect teams and the needs for team leadership. Within each perspective, we detail current work on leading teams. This section takes us from virtual teams to new vistas posed by leading online communities, crowds, peer production groups, flash teams, human-robot teams, and human-artificial intelligence teams. We identify 12 leadership implications arising from the ways digital technologies affect organizing. We then leverage our review to identify directions for future leadership research and practice.</w:t>
      </w:r>
    </w:p>
    <w:bookmarkEnd w:id="0"/>
    <w:p w14:paraId="01D35ADD" w14:textId="0DDBD4C5" w:rsidR="00EF4294" w:rsidRDefault="001B6894">
      <w:pPr>
        <w:rPr>
          <w:rFonts w:ascii="Verdana" w:hAnsi="Verdana"/>
          <w:color w:val="555555"/>
          <w:sz w:val="18"/>
          <w:szCs w:val="18"/>
          <w:shd w:val="clear" w:color="auto" w:fill="FFFFFF"/>
        </w:rPr>
      </w:pPr>
      <w:r>
        <w:rPr>
          <w:rFonts w:ascii="Verdana" w:hAnsi="Verdana"/>
          <w:color w:val="555555"/>
          <w:sz w:val="18"/>
          <w:szCs w:val="18"/>
          <w:shd w:val="clear" w:color="auto" w:fill="FFFFFF"/>
        </w:rPr>
        <w:t xml:space="preserve">FECIORU, C., 2022. Digital leadership – a totally new approach or just another change management fad? A brief literature </w:t>
      </w:r>
      <w:proofErr w:type="gramStart"/>
      <w:r>
        <w:rPr>
          <w:rFonts w:ascii="Verdana" w:hAnsi="Verdana"/>
          <w:color w:val="555555"/>
          <w:sz w:val="18"/>
          <w:szCs w:val="18"/>
          <w:shd w:val="clear" w:color="auto" w:fill="FFFFFF"/>
        </w:rPr>
        <w:t>review</w:t>
      </w:r>
      <w:proofErr w:type="gramEnd"/>
      <w:r>
        <w:rPr>
          <w:rFonts w:ascii="Verdana" w:hAnsi="Verdana"/>
          <w:color w:val="555555"/>
          <w:sz w:val="18"/>
          <w:szCs w:val="18"/>
          <w:shd w:val="clear" w:color="auto" w:fill="FFFFFF"/>
        </w:rPr>
        <w:t>. </w:t>
      </w:r>
      <w:r>
        <w:rPr>
          <w:rFonts w:ascii="Verdana" w:hAnsi="Verdana"/>
          <w:i/>
          <w:iCs/>
          <w:color w:val="555555"/>
          <w:sz w:val="18"/>
          <w:szCs w:val="18"/>
          <w:shd w:val="clear" w:color="auto" w:fill="FFFFFF"/>
        </w:rPr>
        <w:t>Manager, </w:t>
      </w:r>
      <w:r>
        <w:rPr>
          <w:rFonts w:ascii="Verdana" w:hAnsi="Verdana"/>
          <w:color w:val="555555"/>
          <w:sz w:val="18"/>
          <w:szCs w:val="18"/>
          <w:shd w:val="clear" w:color="auto" w:fill="FFFFFF"/>
        </w:rPr>
        <w:t>(35), pp. 7-15.</w:t>
      </w:r>
    </w:p>
    <w:p w14:paraId="635302E1" w14:textId="209A303A" w:rsidR="00EF4294" w:rsidRDefault="001B6894">
      <w:pPr>
        <w:rPr>
          <w:rFonts w:ascii="Verdana" w:hAnsi="Verdana"/>
          <w:color w:val="555555"/>
          <w:sz w:val="18"/>
          <w:szCs w:val="18"/>
          <w:shd w:val="clear" w:color="auto" w:fill="FFFFFF"/>
        </w:rPr>
      </w:pPr>
      <w:r>
        <w:rPr>
          <w:rStyle w:val="hit"/>
          <w:color w:val="000000"/>
          <w:shd w:val="clear" w:color="auto" w:fill="D2F4FC"/>
        </w:rPr>
        <w:t>Digital</w:t>
      </w:r>
      <w:r>
        <w:rPr>
          <w:rFonts w:ascii="Roboto" w:hAnsi="Roboto"/>
          <w:color w:val="555555"/>
          <w:sz w:val="21"/>
          <w:szCs w:val="21"/>
          <w:shd w:val="clear" w:color="auto" w:fill="FFFFFF"/>
        </w:rPr>
        <w:t> transformation and </w:t>
      </w:r>
      <w:r>
        <w:rPr>
          <w:rStyle w:val="hit"/>
          <w:color w:val="000000"/>
          <w:shd w:val="clear" w:color="auto" w:fill="D2F4FC"/>
        </w:rPr>
        <w:t>digital</w:t>
      </w:r>
      <w:r>
        <w:rPr>
          <w:rFonts w:ascii="Roboto" w:hAnsi="Roboto"/>
          <w:color w:val="555555"/>
          <w:sz w:val="21"/>
          <w:szCs w:val="21"/>
          <w:shd w:val="clear" w:color="auto" w:fill="FFFFFF"/>
        </w:rPr>
        <w:t> </w:t>
      </w:r>
      <w:r>
        <w:rPr>
          <w:rStyle w:val="hit"/>
          <w:color w:val="000000"/>
          <w:shd w:val="clear" w:color="auto" w:fill="D2F4FC"/>
        </w:rPr>
        <w:t>leadership</w:t>
      </w:r>
      <w:r>
        <w:rPr>
          <w:rFonts w:ascii="Roboto" w:hAnsi="Roboto"/>
          <w:color w:val="555555"/>
          <w:sz w:val="21"/>
          <w:szCs w:val="21"/>
          <w:shd w:val="clear" w:color="auto" w:fill="FFFFFF"/>
        </w:rPr>
        <w:t xml:space="preserve"> are </w:t>
      </w:r>
      <w:proofErr w:type="spellStart"/>
      <w:r>
        <w:rPr>
          <w:rFonts w:ascii="Roboto" w:hAnsi="Roboto"/>
          <w:color w:val="555555"/>
          <w:sz w:val="21"/>
          <w:szCs w:val="21"/>
          <w:shd w:val="clear" w:color="auto" w:fill="FFFFFF"/>
        </w:rPr>
        <w:t>ubiqutous</w:t>
      </w:r>
      <w:proofErr w:type="spellEnd"/>
      <w:r>
        <w:rPr>
          <w:rFonts w:ascii="Roboto" w:hAnsi="Roboto"/>
          <w:color w:val="555555"/>
          <w:sz w:val="21"/>
          <w:szCs w:val="21"/>
          <w:shd w:val="clear" w:color="auto" w:fill="FFFFFF"/>
        </w:rPr>
        <w:t xml:space="preserve"> terms that have recently invaded the public space in TV shows, in business press, also in academic books and articles. The term transformation in itself is not new -for decades now consulting companies and academics have coined terms like corporate transformation or „business process re-engineering" (Hammer, 1990) to brand and to customize some specific organizational interventions' frameworks used on commercial basis. Data collected so far suggests that </w:t>
      </w:r>
      <w:r>
        <w:rPr>
          <w:rStyle w:val="hit"/>
          <w:color w:val="000000"/>
          <w:shd w:val="clear" w:color="auto" w:fill="D2F4FC"/>
        </w:rPr>
        <w:t>digital</w:t>
      </w:r>
      <w:r>
        <w:rPr>
          <w:rFonts w:ascii="Roboto" w:hAnsi="Roboto"/>
          <w:color w:val="555555"/>
          <w:sz w:val="21"/>
          <w:szCs w:val="21"/>
          <w:shd w:val="clear" w:color="auto" w:fill="FFFFFF"/>
        </w:rPr>
        <w:t> transformation is not fundamentally different from the </w:t>
      </w:r>
      <w:r>
        <w:rPr>
          <w:rStyle w:val="hit"/>
          <w:color w:val="000000"/>
          <w:shd w:val="clear" w:color="auto" w:fill="D2F4FC"/>
        </w:rPr>
        <w:t>change</w:t>
      </w:r>
      <w:r>
        <w:rPr>
          <w:rFonts w:ascii="Roboto" w:hAnsi="Roboto"/>
          <w:color w:val="555555"/>
          <w:sz w:val="21"/>
          <w:szCs w:val="21"/>
          <w:shd w:val="clear" w:color="auto" w:fill="FFFFFF"/>
        </w:rPr>
        <w:t> management interventions that were so popular before the 1990s and even more so in the 1990s. What is different is the massive presence and impact of the technology in every aspect of organizations today. As noted by David Rogers from Columbia University, „</w:t>
      </w:r>
      <w:r>
        <w:rPr>
          <w:rStyle w:val="hit"/>
          <w:color w:val="000000"/>
          <w:shd w:val="clear" w:color="auto" w:fill="D2F4FC"/>
        </w:rPr>
        <w:t>Digital</w:t>
      </w:r>
      <w:r>
        <w:rPr>
          <w:rFonts w:ascii="Roboto" w:hAnsi="Roboto"/>
          <w:color w:val="555555"/>
          <w:sz w:val="21"/>
          <w:szCs w:val="21"/>
          <w:shd w:val="clear" w:color="auto" w:fill="FFFFFF"/>
        </w:rPr>
        <w:t> transformation is fundamentally not about technology but about strategy" (Rogers, 2016, pp. 239)</w:t>
      </w:r>
    </w:p>
    <w:p w14:paraId="6CC3FE3A" w14:textId="2451706E" w:rsidR="00EF4294" w:rsidRDefault="00EF4294">
      <w:pPr>
        <w:rPr>
          <w:rFonts w:ascii="Verdana" w:hAnsi="Verdana"/>
          <w:color w:val="555555"/>
          <w:sz w:val="18"/>
          <w:szCs w:val="18"/>
          <w:shd w:val="clear" w:color="auto" w:fill="FFFFFF"/>
        </w:rPr>
      </w:pPr>
      <w:r>
        <w:rPr>
          <w:rFonts w:ascii="Verdana" w:hAnsi="Verdana"/>
          <w:color w:val="555555"/>
          <w:sz w:val="18"/>
          <w:szCs w:val="18"/>
          <w:shd w:val="clear" w:color="auto" w:fill="FFFFFF"/>
        </w:rPr>
        <w:t>KLEIN, M., 2020. LEADERSHIP CHARACTERISTICS IN THE ERA OF DIGITAL TRANSFORMATION. </w:t>
      </w:r>
      <w:r>
        <w:rPr>
          <w:rFonts w:ascii="Verdana" w:hAnsi="Verdana"/>
          <w:i/>
          <w:iCs/>
          <w:color w:val="555555"/>
          <w:sz w:val="18"/>
          <w:szCs w:val="18"/>
          <w:shd w:val="clear" w:color="auto" w:fill="FFFFFF"/>
        </w:rPr>
        <w:t>Business &amp; Management Studies: An International Journal, </w:t>
      </w:r>
      <w:r>
        <w:rPr>
          <w:rFonts w:ascii="Verdana" w:hAnsi="Verdana"/>
          <w:b/>
          <w:bCs/>
          <w:color w:val="555555"/>
          <w:sz w:val="18"/>
          <w:szCs w:val="18"/>
          <w:shd w:val="clear" w:color="auto" w:fill="FFFFFF"/>
        </w:rPr>
        <w:t>8</w:t>
      </w:r>
      <w:r>
        <w:rPr>
          <w:rFonts w:ascii="Verdana" w:hAnsi="Verdana"/>
          <w:color w:val="555555"/>
          <w:sz w:val="18"/>
          <w:szCs w:val="18"/>
          <w:shd w:val="clear" w:color="auto" w:fill="FFFFFF"/>
        </w:rPr>
        <w:t>(1), pp. 883-902.</w:t>
      </w:r>
    </w:p>
    <w:p w14:paraId="6F67EC85" w14:textId="390053C5" w:rsidR="00EF4294" w:rsidRDefault="00EF4294">
      <w:pPr>
        <w:rPr>
          <w:b/>
          <w:bCs/>
        </w:rPr>
      </w:pPr>
      <w:r>
        <w:rPr>
          <w:rStyle w:val="hit"/>
          <w:color w:val="000000"/>
          <w:shd w:val="clear" w:color="auto" w:fill="D2F4FC"/>
        </w:rPr>
        <w:t>Digital</w:t>
      </w:r>
      <w:r>
        <w:rPr>
          <w:rFonts w:ascii="Roboto" w:hAnsi="Roboto"/>
          <w:color w:val="555555"/>
          <w:sz w:val="21"/>
          <w:szCs w:val="21"/>
          <w:shd w:val="clear" w:color="auto" w:fill="FFFFFF"/>
        </w:rPr>
        <w:t> transformation provoked by Industry 4.0 should not be just seen as a technological issue, it causes also fundamental </w:t>
      </w:r>
      <w:r>
        <w:rPr>
          <w:rStyle w:val="hit"/>
          <w:color w:val="000000"/>
          <w:shd w:val="clear" w:color="auto" w:fill="D2F4FC"/>
        </w:rPr>
        <w:t>changes</w:t>
      </w:r>
      <w:r>
        <w:rPr>
          <w:rFonts w:ascii="Roboto" w:hAnsi="Roboto"/>
          <w:color w:val="555555"/>
          <w:sz w:val="21"/>
          <w:szCs w:val="21"/>
          <w:shd w:val="clear" w:color="auto" w:fill="FFFFFF"/>
        </w:rPr>
        <w:t> in processes and in organizations of companies. Notably a new understanding of </w:t>
      </w:r>
      <w:r>
        <w:rPr>
          <w:rStyle w:val="hit"/>
          <w:color w:val="000000"/>
          <w:shd w:val="clear" w:color="auto" w:fill="D2F4FC"/>
        </w:rPr>
        <w:t>leadership</w:t>
      </w:r>
      <w:r>
        <w:rPr>
          <w:rFonts w:ascii="Roboto" w:hAnsi="Roboto"/>
          <w:color w:val="555555"/>
          <w:sz w:val="21"/>
          <w:szCs w:val="21"/>
          <w:shd w:val="clear" w:color="auto" w:fill="FFFFFF"/>
        </w:rPr>
        <w:t> can be counted on to them. The so-called “</w:t>
      </w:r>
      <w:r>
        <w:rPr>
          <w:rStyle w:val="hit"/>
          <w:color w:val="000000"/>
          <w:shd w:val="clear" w:color="auto" w:fill="D2F4FC"/>
        </w:rPr>
        <w:t>digital</w:t>
      </w:r>
      <w:r>
        <w:rPr>
          <w:rFonts w:ascii="Roboto" w:hAnsi="Roboto"/>
          <w:color w:val="555555"/>
          <w:sz w:val="21"/>
          <w:szCs w:val="21"/>
          <w:shd w:val="clear" w:color="auto" w:fill="FFFFFF"/>
        </w:rPr>
        <w:t> leaders” are expected to act rapidly and flexible in networked and distributed organization structures on the one hand and on the other hand they have to manage the </w:t>
      </w:r>
      <w:r>
        <w:rPr>
          <w:rStyle w:val="hit"/>
          <w:color w:val="000000"/>
          <w:shd w:val="clear" w:color="auto" w:fill="D2F4FC"/>
        </w:rPr>
        <w:t>digital</w:t>
      </w:r>
      <w:r>
        <w:rPr>
          <w:rFonts w:ascii="Roboto" w:hAnsi="Roboto"/>
          <w:color w:val="555555"/>
          <w:sz w:val="21"/>
          <w:szCs w:val="21"/>
          <w:shd w:val="clear" w:color="auto" w:fill="FFFFFF"/>
        </w:rPr>
        <w:t> transformation of the organization. Since most of the companies are still in the beginning of their </w:t>
      </w:r>
      <w:r>
        <w:rPr>
          <w:rStyle w:val="hit"/>
          <w:color w:val="000000"/>
          <w:shd w:val="clear" w:color="auto" w:fill="D2F4FC"/>
        </w:rPr>
        <w:t>digital</w:t>
      </w:r>
      <w:r>
        <w:rPr>
          <w:rFonts w:ascii="Roboto" w:hAnsi="Roboto"/>
          <w:color w:val="555555"/>
          <w:sz w:val="21"/>
          <w:szCs w:val="21"/>
          <w:shd w:val="clear" w:color="auto" w:fill="FFFFFF"/>
        </w:rPr>
        <w:t> transformation, there is a lack of a common understanding and a standard model of </w:t>
      </w:r>
      <w:r>
        <w:rPr>
          <w:rStyle w:val="hit"/>
          <w:color w:val="000000"/>
          <w:shd w:val="clear" w:color="auto" w:fill="D2F4FC"/>
        </w:rPr>
        <w:t>digital</w:t>
      </w:r>
      <w:r>
        <w:rPr>
          <w:rFonts w:ascii="Roboto" w:hAnsi="Roboto"/>
          <w:color w:val="555555"/>
          <w:sz w:val="21"/>
          <w:szCs w:val="21"/>
          <w:shd w:val="clear" w:color="auto" w:fill="FFFFFF"/>
        </w:rPr>
        <w:t> </w:t>
      </w:r>
      <w:r>
        <w:rPr>
          <w:rStyle w:val="hit"/>
          <w:color w:val="000000"/>
          <w:shd w:val="clear" w:color="auto" w:fill="D2F4FC"/>
        </w:rPr>
        <w:t>leadership</w:t>
      </w:r>
      <w:r>
        <w:rPr>
          <w:rFonts w:ascii="Roboto" w:hAnsi="Roboto"/>
          <w:color w:val="555555"/>
          <w:sz w:val="21"/>
          <w:szCs w:val="21"/>
          <w:shd w:val="clear" w:color="auto" w:fill="FFFFFF"/>
        </w:rPr>
        <w:t>. Most of the existing research works are visionary and predict the requirements for </w:t>
      </w:r>
      <w:r>
        <w:rPr>
          <w:rStyle w:val="hit"/>
          <w:color w:val="000000"/>
          <w:shd w:val="clear" w:color="auto" w:fill="D2F4FC"/>
        </w:rPr>
        <w:t>digital</w:t>
      </w:r>
      <w:r>
        <w:rPr>
          <w:rFonts w:ascii="Roboto" w:hAnsi="Roboto"/>
          <w:color w:val="555555"/>
          <w:sz w:val="21"/>
          <w:szCs w:val="21"/>
          <w:shd w:val="clear" w:color="auto" w:fill="FFFFFF"/>
        </w:rPr>
        <w:t> </w:t>
      </w:r>
      <w:r>
        <w:rPr>
          <w:rStyle w:val="hit"/>
          <w:color w:val="000000"/>
          <w:shd w:val="clear" w:color="auto" w:fill="D2F4FC"/>
        </w:rPr>
        <w:t>leadership</w:t>
      </w:r>
      <w:r>
        <w:rPr>
          <w:rFonts w:ascii="Roboto" w:hAnsi="Roboto"/>
          <w:color w:val="555555"/>
          <w:sz w:val="21"/>
          <w:szCs w:val="21"/>
          <w:shd w:val="clear" w:color="auto" w:fill="FFFFFF"/>
        </w:rPr>
        <w:t> on anticipated technological, economical and organizational </w:t>
      </w:r>
      <w:r>
        <w:rPr>
          <w:rStyle w:val="hit"/>
          <w:color w:val="000000"/>
          <w:shd w:val="clear" w:color="auto" w:fill="D2F4FC"/>
        </w:rPr>
        <w:t>changes</w:t>
      </w:r>
      <w:r>
        <w:rPr>
          <w:rFonts w:ascii="Roboto" w:hAnsi="Roboto"/>
          <w:color w:val="555555"/>
          <w:sz w:val="21"/>
          <w:szCs w:val="21"/>
          <w:shd w:val="clear" w:color="auto" w:fill="FFFFFF"/>
        </w:rPr>
        <w:t>; only few of them report about </w:t>
      </w:r>
      <w:r>
        <w:rPr>
          <w:rStyle w:val="hit"/>
          <w:color w:val="000000"/>
          <w:shd w:val="clear" w:color="auto" w:fill="D2F4FC"/>
        </w:rPr>
        <w:t>changes</w:t>
      </w:r>
      <w:r>
        <w:rPr>
          <w:rFonts w:ascii="Roboto" w:hAnsi="Roboto"/>
          <w:color w:val="555555"/>
          <w:sz w:val="21"/>
          <w:szCs w:val="21"/>
          <w:shd w:val="clear" w:color="auto" w:fill="FFFFFF"/>
        </w:rPr>
        <w:t> in </w:t>
      </w:r>
      <w:r>
        <w:rPr>
          <w:rStyle w:val="hit"/>
          <w:color w:val="000000"/>
          <w:shd w:val="clear" w:color="auto" w:fill="D2F4FC"/>
        </w:rPr>
        <w:t>leadership</w:t>
      </w:r>
      <w:r>
        <w:rPr>
          <w:rFonts w:ascii="Roboto" w:hAnsi="Roboto"/>
          <w:color w:val="555555"/>
          <w:sz w:val="21"/>
          <w:szCs w:val="21"/>
          <w:shd w:val="clear" w:color="auto" w:fill="FFFFFF"/>
        </w:rPr>
        <w:t xml:space="preserve"> based on </w:t>
      </w:r>
      <w:r>
        <w:rPr>
          <w:rFonts w:ascii="Roboto" w:hAnsi="Roboto"/>
          <w:color w:val="555555"/>
          <w:sz w:val="21"/>
          <w:szCs w:val="21"/>
          <w:shd w:val="clear" w:color="auto" w:fill="FFFFFF"/>
        </w:rPr>
        <w:lastRenderedPageBreak/>
        <w:t>implemented cases. The objective of this study is to sum up main characteristics of the </w:t>
      </w:r>
      <w:r>
        <w:rPr>
          <w:rStyle w:val="hit"/>
          <w:color w:val="000000"/>
          <w:shd w:val="clear" w:color="auto" w:fill="D2F4FC"/>
        </w:rPr>
        <w:t>leadership</w:t>
      </w:r>
      <w:r>
        <w:rPr>
          <w:rFonts w:ascii="Roboto" w:hAnsi="Roboto"/>
          <w:color w:val="555555"/>
          <w:sz w:val="21"/>
          <w:szCs w:val="21"/>
          <w:shd w:val="clear" w:color="auto" w:fill="FFFFFF"/>
        </w:rPr>
        <w:t> in the era of </w:t>
      </w:r>
      <w:r>
        <w:rPr>
          <w:rStyle w:val="hit"/>
          <w:color w:val="000000"/>
          <w:shd w:val="clear" w:color="auto" w:fill="D2F4FC"/>
        </w:rPr>
        <w:t>digital</w:t>
      </w:r>
      <w:r>
        <w:rPr>
          <w:rFonts w:ascii="Roboto" w:hAnsi="Roboto"/>
          <w:color w:val="555555"/>
          <w:sz w:val="21"/>
          <w:szCs w:val="21"/>
          <w:shd w:val="clear" w:color="auto" w:fill="FFFFFF"/>
        </w:rPr>
        <w:t> transformation by applying content analysis of literature review as the method.</w:t>
      </w:r>
    </w:p>
    <w:p w14:paraId="447BBF3F" w14:textId="56EF4030" w:rsidR="008D0B71" w:rsidRDefault="008D0B71">
      <w:pPr>
        <w:rPr>
          <w:rFonts w:ascii="Verdana" w:hAnsi="Verdana"/>
          <w:color w:val="555555"/>
          <w:sz w:val="18"/>
          <w:szCs w:val="18"/>
          <w:shd w:val="clear" w:color="auto" w:fill="FFFFFF"/>
        </w:rPr>
      </w:pPr>
      <w:r>
        <w:rPr>
          <w:rFonts w:ascii="Verdana" w:hAnsi="Verdana"/>
          <w:color w:val="555555"/>
          <w:sz w:val="18"/>
          <w:szCs w:val="18"/>
          <w:shd w:val="clear" w:color="auto" w:fill="FFFFFF"/>
        </w:rPr>
        <w:t>SADARIC, A. and ŠKERLAVAJ, M., 2023. Giving Sense to Change Leadership: Towards a Narrative-Based Process Model. </w:t>
      </w:r>
      <w:r>
        <w:rPr>
          <w:rFonts w:ascii="Verdana" w:hAnsi="Verdana"/>
          <w:i/>
          <w:iCs/>
          <w:color w:val="555555"/>
          <w:sz w:val="18"/>
          <w:szCs w:val="18"/>
          <w:shd w:val="clear" w:color="auto" w:fill="FFFFFF"/>
        </w:rPr>
        <w:t>Economic and Business Review, </w:t>
      </w:r>
      <w:r>
        <w:rPr>
          <w:rFonts w:ascii="Verdana" w:hAnsi="Verdana"/>
          <w:b/>
          <w:bCs/>
          <w:color w:val="555555"/>
          <w:sz w:val="18"/>
          <w:szCs w:val="18"/>
          <w:shd w:val="clear" w:color="auto" w:fill="FFFFFF"/>
        </w:rPr>
        <w:t>25</w:t>
      </w:r>
      <w:r>
        <w:rPr>
          <w:rFonts w:ascii="Verdana" w:hAnsi="Verdana"/>
          <w:color w:val="555555"/>
          <w:sz w:val="18"/>
          <w:szCs w:val="18"/>
          <w:shd w:val="clear" w:color="auto" w:fill="FFFFFF"/>
        </w:rPr>
        <w:t>(1), pp. 41-63.</w:t>
      </w:r>
    </w:p>
    <w:p w14:paraId="337E4968" w14:textId="3A7F6027" w:rsidR="008D0B71" w:rsidRDefault="008D0B71">
      <w:pPr>
        <w:rPr>
          <w:b/>
          <w:bCs/>
        </w:rPr>
      </w:pPr>
      <w:r>
        <w:rPr>
          <w:rFonts w:ascii="Roboto" w:hAnsi="Roboto"/>
          <w:color w:val="555555"/>
          <w:sz w:val="21"/>
          <w:szCs w:val="21"/>
          <w:shd w:val="clear" w:color="auto" w:fill="FFFFFF"/>
        </w:rPr>
        <w:t xml:space="preserve">Introduction: Recent studies on change agency and organizational change failure have significantly broadened the organizational </w:t>
      </w:r>
      <w:proofErr w:type="spellStart"/>
      <w:r>
        <w:rPr>
          <w:rFonts w:ascii="Roboto" w:hAnsi="Roboto"/>
          <w:color w:val="555555"/>
          <w:sz w:val="21"/>
          <w:szCs w:val="21"/>
          <w:shd w:val="clear" w:color="auto" w:fill="FFFFFF"/>
        </w:rPr>
        <w:t>behavior</w:t>
      </w:r>
      <w:proofErr w:type="spellEnd"/>
      <w:r>
        <w:rPr>
          <w:rFonts w:ascii="Roboto" w:hAnsi="Roboto"/>
          <w:color w:val="555555"/>
          <w:sz w:val="21"/>
          <w:szCs w:val="21"/>
          <w:shd w:val="clear" w:color="auto" w:fill="FFFFFF"/>
        </w:rPr>
        <w:t xml:space="preserve"> perspective on individual change experiences, however, the underlying mechanism for change leaders' influential </w:t>
      </w:r>
      <w:proofErr w:type="spellStart"/>
      <w:r>
        <w:rPr>
          <w:rFonts w:ascii="Roboto" w:hAnsi="Roboto"/>
          <w:color w:val="555555"/>
          <w:sz w:val="21"/>
          <w:szCs w:val="21"/>
          <w:shd w:val="clear" w:color="auto" w:fill="FFFFFF"/>
        </w:rPr>
        <w:t>behavior</w:t>
      </w:r>
      <w:proofErr w:type="spellEnd"/>
      <w:r>
        <w:rPr>
          <w:rFonts w:ascii="Roboto" w:hAnsi="Roboto"/>
          <w:color w:val="555555"/>
          <w:sz w:val="21"/>
          <w:szCs w:val="21"/>
          <w:shd w:val="clear" w:color="auto" w:fill="FFFFFF"/>
        </w:rPr>
        <w:t xml:space="preserve"> remains a relatively underspecified area. Objectives: Our central theoretical contribution focuses on the ways in which linking the findings from different research areas that deal with storytelling and persuasive communication can contribute to understanding the underlying mechanism of change leaders' influential </w:t>
      </w:r>
      <w:proofErr w:type="spellStart"/>
      <w:r>
        <w:rPr>
          <w:rFonts w:ascii="Roboto" w:hAnsi="Roboto"/>
          <w:color w:val="555555"/>
          <w:sz w:val="21"/>
          <w:szCs w:val="21"/>
          <w:shd w:val="clear" w:color="auto" w:fill="FFFFFF"/>
        </w:rPr>
        <w:t>behavior</w:t>
      </w:r>
      <w:proofErr w:type="spellEnd"/>
      <w:r>
        <w:rPr>
          <w:rFonts w:ascii="Roboto" w:hAnsi="Roboto"/>
          <w:color w:val="555555"/>
          <w:sz w:val="21"/>
          <w:szCs w:val="21"/>
          <w:shd w:val="clear" w:color="auto" w:fill="FFFFFF"/>
        </w:rPr>
        <w:t>. Methods: We examine the various strands of research in management concerned with change </w:t>
      </w:r>
      <w:r>
        <w:rPr>
          <w:rStyle w:val="hit"/>
          <w:color w:val="000000"/>
          <w:shd w:val="clear" w:color="auto" w:fill="D2F4FC"/>
        </w:rPr>
        <w:t>leadership</w:t>
      </w:r>
      <w:r>
        <w:rPr>
          <w:rFonts w:ascii="Roboto" w:hAnsi="Roboto"/>
          <w:color w:val="555555"/>
          <w:sz w:val="21"/>
          <w:szCs w:val="21"/>
          <w:shd w:val="clear" w:color="auto" w:fill="FFFFFF"/>
        </w:rPr>
        <w:t xml:space="preserve"> and persuasive communication, and propose a multidisciplinary perspective from developmental psychology, linguistics, political science, consumer psychology, and religious studies. Results: Our approach draws on the key theoretical perspectives from the social cognitive theory and commensurable interdisciplinary findings as the basis for a narrative-based process model of change leaders' influential </w:t>
      </w:r>
      <w:proofErr w:type="spellStart"/>
      <w:r>
        <w:rPr>
          <w:rFonts w:ascii="Roboto" w:hAnsi="Roboto"/>
          <w:color w:val="555555"/>
          <w:sz w:val="21"/>
          <w:szCs w:val="21"/>
          <w:shd w:val="clear" w:color="auto" w:fill="FFFFFF"/>
        </w:rPr>
        <w:t>behavior</w:t>
      </w:r>
      <w:proofErr w:type="spellEnd"/>
      <w:r>
        <w:rPr>
          <w:rFonts w:ascii="Roboto" w:hAnsi="Roboto"/>
          <w:color w:val="555555"/>
          <w:sz w:val="21"/>
          <w:szCs w:val="21"/>
          <w:shd w:val="clear" w:color="auto" w:fill="FFFFFF"/>
        </w:rPr>
        <w:t xml:space="preserve">. Our model includes propositions about the change leader's interpretation of ideological change as well as the change leader's process of sensemaking and </w:t>
      </w:r>
      <w:proofErr w:type="spellStart"/>
      <w:r>
        <w:rPr>
          <w:rFonts w:ascii="Roboto" w:hAnsi="Roboto"/>
          <w:color w:val="555555"/>
          <w:sz w:val="21"/>
          <w:szCs w:val="21"/>
          <w:shd w:val="clear" w:color="auto" w:fill="FFFFFF"/>
        </w:rPr>
        <w:t>sensegiving</w:t>
      </w:r>
      <w:proofErr w:type="spellEnd"/>
      <w:r>
        <w:rPr>
          <w:rFonts w:ascii="Roboto" w:hAnsi="Roboto"/>
          <w:color w:val="555555"/>
          <w:sz w:val="21"/>
          <w:szCs w:val="21"/>
          <w:shd w:val="clear" w:color="auto" w:fill="FFFFFF"/>
        </w:rPr>
        <w:t>. Conclusion: We argue that the change leader's persuasive communication efforts are based on the leader's narrative intelligence and influence, which promote the change recipient's attachment formation.</w:t>
      </w:r>
    </w:p>
    <w:p w14:paraId="63E07FDF" w14:textId="5B20A2B6" w:rsidR="005C16F8" w:rsidRDefault="005C16F8">
      <w:pPr>
        <w:rPr>
          <w:rFonts w:ascii="Verdana" w:hAnsi="Verdana"/>
          <w:color w:val="555555"/>
          <w:sz w:val="18"/>
          <w:szCs w:val="18"/>
          <w:shd w:val="clear" w:color="auto" w:fill="FFFFFF"/>
        </w:rPr>
      </w:pPr>
      <w:r>
        <w:rPr>
          <w:rFonts w:ascii="Verdana" w:hAnsi="Verdana"/>
          <w:color w:val="555555"/>
          <w:sz w:val="18"/>
          <w:szCs w:val="18"/>
          <w:shd w:val="clear" w:color="auto" w:fill="FFFFFF"/>
        </w:rPr>
        <w:t>DEWIE, T.W., RAHMAN, Z., A’RASY FAHRULLAH, MUHAMMAD FAJAR, W.R., IKA DIYAH, C.A. and KAUTSAR, A., 2022. A study of artificial intelligence on employee performance and work engagement: the moderating role of change leadership. </w:t>
      </w:r>
      <w:r>
        <w:rPr>
          <w:rFonts w:ascii="Verdana" w:hAnsi="Verdana"/>
          <w:i/>
          <w:iCs/>
          <w:color w:val="555555"/>
          <w:sz w:val="18"/>
          <w:szCs w:val="18"/>
          <w:shd w:val="clear" w:color="auto" w:fill="FFFFFF"/>
        </w:rPr>
        <w:t>International Journal of Manpower, </w:t>
      </w:r>
      <w:r>
        <w:rPr>
          <w:rFonts w:ascii="Verdana" w:hAnsi="Verdana"/>
          <w:b/>
          <w:bCs/>
          <w:color w:val="555555"/>
          <w:sz w:val="18"/>
          <w:szCs w:val="18"/>
          <w:shd w:val="clear" w:color="auto" w:fill="FFFFFF"/>
        </w:rPr>
        <w:t>43</w:t>
      </w:r>
      <w:r>
        <w:rPr>
          <w:rFonts w:ascii="Verdana" w:hAnsi="Verdana"/>
          <w:color w:val="555555"/>
          <w:sz w:val="18"/>
          <w:szCs w:val="18"/>
          <w:shd w:val="clear" w:color="auto" w:fill="FFFFFF"/>
        </w:rPr>
        <w:t>(2), pp. 486-512.</w:t>
      </w:r>
    </w:p>
    <w:p w14:paraId="180FEB02" w14:textId="77777777" w:rsidR="005C16F8" w:rsidRPr="005C16F8" w:rsidRDefault="005C16F8" w:rsidP="005C16F8">
      <w:pPr>
        <w:shd w:val="clear" w:color="auto" w:fill="FFFFFF"/>
        <w:spacing w:after="360" w:line="240" w:lineRule="auto"/>
        <w:rPr>
          <w:rFonts w:ascii="Roboto" w:eastAsia="Times New Roman" w:hAnsi="Roboto" w:cs="Times New Roman"/>
          <w:color w:val="555555"/>
          <w:sz w:val="21"/>
          <w:szCs w:val="21"/>
          <w:lang w:eastAsia="en-GB"/>
        </w:rPr>
      </w:pPr>
      <w:r w:rsidRPr="005C16F8">
        <w:rPr>
          <w:rFonts w:ascii="Roboto" w:eastAsia="Times New Roman" w:hAnsi="Roboto" w:cs="Times New Roman"/>
          <w:color w:val="555555"/>
          <w:sz w:val="21"/>
          <w:szCs w:val="21"/>
          <w:lang w:eastAsia="en-GB"/>
        </w:rPr>
        <w:t>This paper aims to explore employee perceptions of companies engaged in services and banking of the role of change </w:t>
      </w:r>
      <w:r w:rsidRPr="005C16F8">
        <w:rPr>
          <w:rFonts w:ascii="Roboto" w:eastAsia="Times New Roman" w:hAnsi="Roboto" w:cs="Times New Roman"/>
          <w:color w:val="000000"/>
          <w:sz w:val="21"/>
          <w:szCs w:val="21"/>
          <w:shd w:val="clear" w:color="auto" w:fill="D2F4FC"/>
          <w:lang w:eastAsia="en-GB"/>
        </w:rPr>
        <w:t>leadership</w:t>
      </w:r>
      <w:r w:rsidRPr="005C16F8">
        <w:rPr>
          <w:rFonts w:ascii="Roboto" w:eastAsia="Times New Roman" w:hAnsi="Roboto" w:cs="Times New Roman"/>
          <w:color w:val="555555"/>
          <w:sz w:val="21"/>
          <w:szCs w:val="21"/>
          <w:lang w:eastAsia="en-GB"/>
        </w:rPr>
        <w:t> on the application of artificial intelligence (AI) that will impact the performance and work engagement in conditions that are experiencing rapid changes.</w:t>
      </w:r>
    </w:p>
    <w:p w14:paraId="0734E6D8" w14:textId="77777777" w:rsidR="005C16F8" w:rsidRPr="005C16F8" w:rsidRDefault="005C16F8" w:rsidP="005C16F8">
      <w:pPr>
        <w:shd w:val="clear" w:color="auto" w:fill="FFFFFF"/>
        <w:spacing w:after="360" w:line="240" w:lineRule="auto"/>
        <w:rPr>
          <w:rFonts w:ascii="Roboto" w:eastAsia="Times New Roman" w:hAnsi="Roboto" w:cs="Times New Roman"/>
          <w:color w:val="555555"/>
          <w:sz w:val="21"/>
          <w:szCs w:val="21"/>
          <w:lang w:eastAsia="en-GB"/>
        </w:rPr>
      </w:pPr>
      <w:r w:rsidRPr="005C16F8">
        <w:rPr>
          <w:rFonts w:ascii="Roboto" w:eastAsia="Times New Roman" w:hAnsi="Roboto" w:cs="Times New Roman"/>
          <w:color w:val="555555"/>
          <w:sz w:val="21"/>
          <w:szCs w:val="21"/>
          <w:lang w:eastAsia="en-GB"/>
        </w:rPr>
        <w:t xml:space="preserve">This study has used a quantitative research approach, and data analysis uses an approach structural equation </w:t>
      </w:r>
      <w:proofErr w:type="spellStart"/>
      <w:r w:rsidRPr="005C16F8">
        <w:rPr>
          <w:rFonts w:ascii="Roboto" w:eastAsia="Times New Roman" w:hAnsi="Roboto" w:cs="Times New Roman"/>
          <w:color w:val="555555"/>
          <w:sz w:val="21"/>
          <w:szCs w:val="21"/>
          <w:lang w:eastAsia="en-GB"/>
        </w:rPr>
        <w:t>modeling</w:t>
      </w:r>
      <w:proofErr w:type="spellEnd"/>
      <w:r w:rsidRPr="005C16F8">
        <w:rPr>
          <w:rFonts w:ascii="Roboto" w:eastAsia="Times New Roman" w:hAnsi="Roboto" w:cs="Times New Roman"/>
          <w:color w:val="555555"/>
          <w:sz w:val="21"/>
          <w:szCs w:val="21"/>
          <w:lang w:eastAsia="en-GB"/>
        </w:rPr>
        <w:t xml:space="preserve"> (SEM) supported by program computer software AMOS 22.0. A total of 357 respondents were involved in this study, but only 254 were qualified. In this study, the respondent is an employee of companies engaged in the services and banking sector in the East Java, Indonesia region.</w:t>
      </w:r>
    </w:p>
    <w:p w14:paraId="3D6F3251" w14:textId="77777777" w:rsidR="005C16F8" w:rsidRPr="005C16F8" w:rsidRDefault="005C16F8" w:rsidP="005C16F8">
      <w:pPr>
        <w:shd w:val="clear" w:color="auto" w:fill="FFFFFF"/>
        <w:spacing w:after="360" w:line="240" w:lineRule="auto"/>
        <w:rPr>
          <w:rFonts w:ascii="Roboto" w:eastAsia="Times New Roman" w:hAnsi="Roboto" w:cs="Times New Roman"/>
          <w:color w:val="555555"/>
          <w:sz w:val="21"/>
          <w:szCs w:val="21"/>
          <w:lang w:eastAsia="en-GB"/>
        </w:rPr>
      </w:pPr>
      <w:r w:rsidRPr="005C16F8">
        <w:rPr>
          <w:rFonts w:ascii="Roboto" w:eastAsia="Times New Roman" w:hAnsi="Roboto" w:cs="Times New Roman"/>
          <w:color w:val="555555"/>
          <w:sz w:val="21"/>
          <w:szCs w:val="21"/>
          <w:lang w:eastAsia="en-GB"/>
        </w:rPr>
        <w:t>The results reveal that AI has a significant positive effect on employee performance and work engagement. Change </w:t>
      </w:r>
      <w:r w:rsidRPr="005C16F8">
        <w:rPr>
          <w:rFonts w:ascii="Roboto" w:eastAsia="Times New Roman" w:hAnsi="Roboto" w:cs="Times New Roman"/>
          <w:color w:val="000000"/>
          <w:sz w:val="21"/>
          <w:szCs w:val="21"/>
          <w:shd w:val="clear" w:color="auto" w:fill="D2F4FC"/>
          <w:lang w:eastAsia="en-GB"/>
        </w:rPr>
        <w:t>leadership</w:t>
      </w:r>
      <w:r w:rsidRPr="005C16F8">
        <w:rPr>
          <w:rFonts w:ascii="Roboto" w:eastAsia="Times New Roman" w:hAnsi="Roboto" w:cs="Times New Roman"/>
          <w:color w:val="555555"/>
          <w:sz w:val="21"/>
          <w:szCs w:val="21"/>
          <w:lang w:eastAsia="en-GB"/>
        </w:rPr>
        <w:t> positively moderates the influence of AI on employee performance and work engagement.</w:t>
      </w:r>
    </w:p>
    <w:p w14:paraId="0A55AA4A" w14:textId="77777777" w:rsidR="005C16F8" w:rsidRPr="005C16F8" w:rsidRDefault="005C16F8" w:rsidP="005C16F8">
      <w:pPr>
        <w:shd w:val="clear" w:color="auto" w:fill="FFFFFF"/>
        <w:spacing w:after="360" w:line="240" w:lineRule="auto"/>
        <w:rPr>
          <w:rFonts w:ascii="Roboto" w:eastAsia="Times New Roman" w:hAnsi="Roboto" w:cs="Times New Roman"/>
          <w:color w:val="555555"/>
          <w:sz w:val="21"/>
          <w:szCs w:val="21"/>
          <w:lang w:eastAsia="en-GB"/>
        </w:rPr>
      </w:pPr>
      <w:r w:rsidRPr="005C16F8">
        <w:rPr>
          <w:rFonts w:ascii="Roboto" w:eastAsia="Times New Roman" w:hAnsi="Roboto" w:cs="Times New Roman"/>
          <w:color w:val="555555"/>
          <w:sz w:val="21"/>
          <w:szCs w:val="21"/>
          <w:lang w:eastAsia="en-GB"/>
        </w:rPr>
        <w:t>The development of this model has a novelty by including the moderating variable of the role of change </w:t>
      </w:r>
      <w:r w:rsidRPr="005C16F8">
        <w:rPr>
          <w:rFonts w:ascii="Roboto" w:eastAsia="Times New Roman" w:hAnsi="Roboto" w:cs="Times New Roman"/>
          <w:color w:val="000000"/>
          <w:sz w:val="21"/>
          <w:szCs w:val="21"/>
          <w:shd w:val="clear" w:color="auto" w:fill="D2F4FC"/>
          <w:lang w:eastAsia="en-GB"/>
        </w:rPr>
        <w:t>leadership</w:t>
      </w:r>
      <w:r w:rsidRPr="005C16F8">
        <w:rPr>
          <w:rFonts w:ascii="Roboto" w:eastAsia="Times New Roman" w:hAnsi="Roboto" w:cs="Times New Roman"/>
          <w:color w:val="555555"/>
          <w:sz w:val="21"/>
          <w:szCs w:val="21"/>
          <w:lang w:eastAsia="en-GB"/>
        </w:rPr>
        <w:t> because, in conditions that are experiencing rapid changes, the role of leaders is essential. After all, leaders are decision-makers in the organization. The development of this concept focuses on studies of companies engaged in services and banking. Employee performance is an essential determinant in the organization because it will improve organizational performance. In addition, the application of AI in organizations will experience turmoil, so that the critical role of leaders is needed to achieve success with employee work engagement</w:t>
      </w:r>
    </w:p>
    <w:p w14:paraId="4750D75F" w14:textId="77777777" w:rsidR="005C16F8" w:rsidRDefault="005C16F8">
      <w:pPr>
        <w:rPr>
          <w:rFonts w:ascii="Verdana" w:hAnsi="Verdana"/>
          <w:color w:val="555555"/>
          <w:sz w:val="18"/>
          <w:szCs w:val="18"/>
          <w:shd w:val="clear" w:color="auto" w:fill="FFFFFF"/>
        </w:rPr>
      </w:pPr>
    </w:p>
    <w:p w14:paraId="19599B0B" w14:textId="369683F3" w:rsidR="005C16F8" w:rsidRDefault="005C16F8">
      <w:pPr>
        <w:rPr>
          <w:rFonts w:ascii="Roboto" w:hAnsi="Roboto"/>
          <w:color w:val="555555"/>
          <w:sz w:val="21"/>
          <w:szCs w:val="21"/>
          <w:shd w:val="clear" w:color="auto" w:fill="FFFFFF"/>
        </w:rPr>
      </w:pPr>
      <w:r>
        <w:rPr>
          <w:rFonts w:ascii="Verdana" w:hAnsi="Verdana"/>
          <w:color w:val="555555"/>
          <w:sz w:val="18"/>
          <w:szCs w:val="18"/>
          <w:shd w:val="clear" w:color="auto" w:fill="FFFFFF"/>
        </w:rPr>
        <w:lastRenderedPageBreak/>
        <w:t>ABDALLAH, Y.O., SHEHAB, E. and AL-ASHAAB, A., 2022. Developing a digital transformation process in the manufacturing sector: Egyptian case study. </w:t>
      </w:r>
      <w:r>
        <w:rPr>
          <w:rFonts w:ascii="Verdana" w:hAnsi="Verdana"/>
          <w:i/>
          <w:iCs/>
          <w:color w:val="555555"/>
          <w:sz w:val="18"/>
          <w:szCs w:val="18"/>
          <w:shd w:val="clear" w:color="auto" w:fill="FFFFFF"/>
        </w:rPr>
        <w:t>Information Systems and eBusiness Management, </w:t>
      </w:r>
      <w:r>
        <w:rPr>
          <w:rFonts w:ascii="Verdana" w:hAnsi="Verdana"/>
          <w:b/>
          <w:bCs/>
          <w:color w:val="555555"/>
          <w:sz w:val="18"/>
          <w:szCs w:val="18"/>
          <w:shd w:val="clear" w:color="auto" w:fill="FFFFFF"/>
        </w:rPr>
        <w:t>20</w:t>
      </w:r>
      <w:r>
        <w:rPr>
          <w:rFonts w:ascii="Verdana" w:hAnsi="Verdana"/>
          <w:color w:val="555555"/>
          <w:sz w:val="18"/>
          <w:szCs w:val="18"/>
          <w:shd w:val="clear" w:color="auto" w:fill="FFFFFF"/>
        </w:rPr>
        <w:t>(3), pp. 613-630.</w:t>
      </w:r>
    </w:p>
    <w:p w14:paraId="4762D874" w14:textId="77777777" w:rsidR="005C16F8" w:rsidRDefault="005C16F8">
      <w:pPr>
        <w:rPr>
          <w:rFonts w:ascii="Roboto" w:hAnsi="Roboto"/>
          <w:color w:val="555555"/>
          <w:sz w:val="21"/>
          <w:szCs w:val="21"/>
          <w:shd w:val="clear" w:color="auto" w:fill="FFFFFF"/>
        </w:rPr>
      </w:pPr>
    </w:p>
    <w:p w14:paraId="1E33DC7B" w14:textId="1D9DBCDB" w:rsidR="005C16F8" w:rsidRDefault="005C16F8">
      <w:pPr>
        <w:rPr>
          <w:rFonts w:ascii="Verdana" w:hAnsi="Verdana"/>
          <w:color w:val="555555"/>
          <w:sz w:val="18"/>
          <w:szCs w:val="18"/>
          <w:shd w:val="clear" w:color="auto" w:fill="FFFFFF"/>
        </w:rPr>
      </w:pPr>
      <w:r>
        <w:rPr>
          <w:rFonts w:ascii="Roboto" w:hAnsi="Roboto"/>
          <w:color w:val="555555"/>
          <w:sz w:val="21"/>
          <w:szCs w:val="21"/>
          <w:shd w:val="clear" w:color="auto" w:fill="FFFFFF"/>
        </w:rPr>
        <w:t>Digital transformation is of crucial importance in the manufacturing industry, especially after the COVID-19 pandemic because of the increasing need for remote working and socially distanced workplaces. However, there is a lack of a clear and well-defined process to implement digital transformation in manufacturing. This paper aims to identify the most critical stages to implementing digital transformation in the manufacturing sector. Twenty-one structured interviews with experienced specialists in digitalisation in the manufacturing sector in the Egyptian economy were held and used the Best–Worst Method to analyse the data as an analysis tool for a multiple criteria decision making (MCDM) approach. The digital transformation process comprises eight stages covering technology, management, communications, and customer elements. The main contribution of this work stage is the balance between the different elements of digital transformation—digital technologies, </w:t>
      </w:r>
      <w:r>
        <w:rPr>
          <w:rStyle w:val="hit"/>
          <w:color w:val="000000"/>
          <w:shd w:val="clear" w:color="auto" w:fill="D2F4FC"/>
        </w:rPr>
        <w:t>leadership</w:t>
      </w:r>
      <w:r>
        <w:rPr>
          <w:rFonts w:ascii="Roboto" w:hAnsi="Roboto"/>
          <w:color w:val="555555"/>
          <w:sz w:val="21"/>
          <w:szCs w:val="21"/>
          <w:shd w:val="clear" w:color="auto" w:fill="FFFFFF"/>
        </w:rPr>
        <w:t> and strategy, people and business processes—to create an integrated 8-step process of digital transformation in the manufacturing sector of developing economies such as the Egyptian economy.</w:t>
      </w:r>
    </w:p>
    <w:p w14:paraId="38DFA913" w14:textId="77777777" w:rsidR="005C16F8" w:rsidRDefault="005C16F8">
      <w:pPr>
        <w:rPr>
          <w:rFonts w:ascii="Verdana" w:hAnsi="Verdana"/>
          <w:color w:val="555555"/>
          <w:sz w:val="18"/>
          <w:szCs w:val="18"/>
          <w:shd w:val="clear" w:color="auto" w:fill="FFFFFF"/>
        </w:rPr>
      </w:pPr>
    </w:p>
    <w:p w14:paraId="3FC2F209" w14:textId="469E102F" w:rsidR="006A0199" w:rsidRDefault="006A0199">
      <w:pPr>
        <w:rPr>
          <w:rFonts w:ascii="Verdana" w:hAnsi="Verdana"/>
          <w:color w:val="555555"/>
          <w:sz w:val="18"/>
          <w:szCs w:val="18"/>
          <w:shd w:val="clear" w:color="auto" w:fill="FFFFFF"/>
        </w:rPr>
      </w:pPr>
      <w:r>
        <w:rPr>
          <w:rFonts w:ascii="Verdana" w:hAnsi="Verdana"/>
          <w:color w:val="555555"/>
          <w:sz w:val="18"/>
          <w:szCs w:val="18"/>
          <w:shd w:val="clear" w:color="auto" w:fill="FFFFFF"/>
        </w:rPr>
        <w:t>KATHLEEN, M.P., 2021. Navigating the digital revolution and crisis times: humanitarian and innovation-inspired leadership through the pandemic. </w:t>
      </w:r>
      <w:r>
        <w:rPr>
          <w:rFonts w:ascii="Verdana" w:hAnsi="Verdana"/>
          <w:i/>
          <w:iCs/>
          <w:color w:val="555555"/>
          <w:sz w:val="18"/>
          <w:szCs w:val="18"/>
          <w:shd w:val="clear" w:color="auto" w:fill="FFFFFF"/>
        </w:rPr>
        <w:t>Journal of Strategy and Management, </w:t>
      </w:r>
      <w:r>
        <w:rPr>
          <w:rFonts w:ascii="Verdana" w:hAnsi="Verdana"/>
          <w:b/>
          <w:bCs/>
          <w:color w:val="555555"/>
          <w:sz w:val="18"/>
          <w:szCs w:val="18"/>
          <w:shd w:val="clear" w:color="auto" w:fill="FFFFFF"/>
        </w:rPr>
        <w:t>14</w:t>
      </w:r>
      <w:r>
        <w:rPr>
          <w:rFonts w:ascii="Verdana" w:hAnsi="Verdana"/>
          <w:color w:val="555555"/>
          <w:sz w:val="18"/>
          <w:szCs w:val="18"/>
          <w:shd w:val="clear" w:color="auto" w:fill="FFFFFF"/>
        </w:rPr>
        <w:t>(3), pp. 360-377.</w:t>
      </w:r>
    </w:p>
    <w:p w14:paraId="76DAAE4E" w14:textId="77777777" w:rsidR="006A0199" w:rsidRPr="006A0199" w:rsidRDefault="006A0199" w:rsidP="006A0199">
      <w:pPr>
        <w:shd w:val="clear" w:color="auto" w:fill="FFFFFF"/>
        <w:spacing w:after="360" w:line="240" w:lineRule="auto"/>
        <w:rPr>
          <w:rFonts w:ascii="Roboto" w:eastAsia="Times New Roman" w:hAnsi="Roboto" w:cs="Times New Roman"/>
          <w:color w:val="555555"/>
          <w:sz w:val="21"/>
          <w:szCs w:val="21"/>
          <w:lang w:eastAsia="en-GB"/>
        </w:rPr>
      </w:pPr>
      <w:r w:rsidRPr="006A0199">
        <w:rPr>
          <w:rFonts w:ascii="Roboto" w:eastAsia="Times New Roman" w:hAnsi="Roboto" w:cs="Times New Roman"/>
          <w:color w:val="555555"/>
          <w:sz w:val="21"/>
          <w:szCs w:val="21"/>
          <w:lang w:eastAsia="en-GB"/>
        </w:rPr>
        <w:t>This article examines the </w:t>
      </w:r>
      <w:r w:rsidRPr="006A0199">
        <w:rPr>
          <w:rFonts w:ascii="Roboto" w:eastAsia="Times New Roman" w:hAnsi="Roboto" w:cs="Times New Roman"/>
          <w:color w:val="000000"/>
          <w:sz w:val="21"/>
          <w:szCs w:val="21"/>
          <w:shd w:val="clear" w:color="auto" w:fill="D2F4FC"/>
          <w:lang w:eastAsia="en-GB"/>
        </w:rPr>
        <w:t>leadership</w:t>
      </w:r>
      <w:r w:rsidRPr="006A0199">
        <w:rPr>
          <w:rFonts w:ascii="Roboto" w:eastAsia="Times New Roman" w:hAnsi="Roboto" w:cs="Times New Roman"/>
          <w:color w:val="555555"/>
          <w:sz w:val="21"/>
          <w:szCs w:val="21"/>
          <w:lang w:eastAsia="en-GB"/>
        </w:rPr>
        <w:t> vision, values and vigilance of an emerging markets logistics firm in managing customer and humanitarian concerns and critical supply chains during the COVID-19 pandemic. The study explores how an emerging markets firm has contributed to global supply chain mobility and vaccine distribution in the pandemic – keeping cargo moving – drawing on vision, values and vigilance, including attention to the innovation momentum of the firm.</w:t>
      </w:r>
    </w:p>
    <w:p w14:paraId="2FE6F5F9" w14:textId="77777777" w:rsidR="006A0199" w:rsidRPr="006A0199" w:rsidRDefault="006A0199" w:rsidP="006A0199">
      <w:pPr>
        <w:shd w:val="clear" w:color="auto" w:fill="FFFFFF"/>
        <w:spacing w:after="360" w:line="240" w:lineRule="auto"/>
        <w:rPr>
          <w:rFonts w:ascii="Roboto" w:eastAsia="Times New Roman" w:hAnsi="Roboto" w:cs="Times New Roman"/>
          <w:color w:val="555555"/>
          <w:sz w:val="21"/>
          <w:szCs w:val="21"/>
          <w:lang w:eastAsia="en-GB"/>
        </w:rPr>
      </w:pPr>
      <w:r w:rsidRPr="006A0199">
        <w:rPr>
          <w:rFonts w:ascii="Roboto" w:eastAsia="Times New Roman" w:hAnsi="Roboto" w:cs="Times New Roman"/>
          <w:color w:val="555555"/>
          <w:sz w:val="21"/>
          <w:szCs w:val="21"/>
          <w:lang w:eastAsia="en-GB"/>
        </w:rPr>
        <w:t xml:space="preserve">The article concentrates on an exemplar firm, leader and management team to illustrate challenges of helmsmanship during the pandemic for an emerging markets firm, Agility, that operates worldwide in numerous developed and developing economy markets. The article develops a case study </w:t>
      </w:r>
      <w:proofErr w:type="spellStart"/>
      <w:r w:rsidRPr="006A0199">
        <w:rPr>
          <w:rFonts w:ascii="Roboto" w:eastAsia="Times New Roman" w:hAnsi="Roboto" w:cs="Times New Roman"/>
          <w:color w:val="555555"/>
          <w:sz w:val="21"/>
          <w:szCs w:val="21"/>
          <w:lang w:eastAsia="en-GB"/>
        </w:rPr>
        <w:t>analyzing</w:t>
      </w:r>
      <w:proofErr w:type="spellEnd"/>
      <w:r w:rsidRPr="006A0199">
        <w:rPr>
          <w:rFonts w:ascii="Roboto" w:eastAsia="Times New Roman" w:hAnsi="Roboto" w:cs="Times New Roman"/>
          <w:color w:val="555555"/>
          <w:sz w:val="21"/>
          <w:szCs w:val="21"/>
          <w:lang w:eastAsia="en-GB"/>
        </w:rPr>
        <w:t xml:space="preserve"> how Agility has met the simultaneous challenges for innovation and transformation in the digital revolution and navigation through the crisis times of the global pandemic. The analysis derives from direct management communications, corporate documents and media sources.</w:t>
      </w:r>
    </w:p>
    <w:p w14:paraId="55B9D754" w14:textId="77777777" w:rsidR="006A0199" w:rsidRPr="006A0199" w:rsidRDefault="006A0199" w:rsidP="006A0199">
      <w:pPr>
        <w:shd w:val="clear" w:color="auto" w:fill="FFFFFF"/>
        <w:spacing w:after="360" w:line="240" w:lineRule="auto"/>
        <w:rPr>
          <w:rFonts w:ascii="Roboto" w:eastAsia="Times New Roman" w:hAnsi="Roboto" w:cs="Times New Roman"/>
          <w:color w:val="555555"/>
          <w:sz w:val="21"/>
          <w:szCs w:val="21"/>
          <w:lang w:eastAsia="en-GB"/>
        </w:rPr>
      </w:pPr>
      <w:r w:rsidRPr="006A0199">
        <w:rPr>
          <w:rFonts w:ascii="Roboto" w:eastAsia="Times New Roman" w:hAnsi="Roboto" w:cs="Times New Roman"/>
          <w:color w:val="555555"/>
          <w:sz w:val="21"/>
          <w:szCs w:val="21"/>
          <w:lang w:eastAsia="en-GB"/>
        </w:rPr>
        <w:t>The vision, values and vigilance of the </w:t>
      </w:r>
      <w:r w:rsidRPr="006A0199">
        <w:rPr>
          <w:rFonts w:ascii="Roboto" w:eastAsia="Times New Roman" w:hAnsi="Roboto" w:cs="Times New Roman"/>
          <w:color w:val="000000"/>
          <w:sz w:val="21"/>
          <w:szCs w:val="21"/>
          <w:shd w:val="clear" w:color="auto" w:fill="D2F4FC"/>
          <w:lang w:eastAsia="en-GB"/>
        </w:rPr>
        <w:t>leadership</w:t>
      </w:r>
      <w:r w:rsidRPr="006A0199">
        <w:rPr>
          <w:rFonts w:ascii="Roboto" w:eastAsia="Times New Roman" w:hAnsi="Roboto" w:cs="Times New Roman"/>
          <w:color w:val="555555"/>
          <w:sz w:val="21"/>
          <w:szCs w:val="21"/>
          <w:lang w:eastAsia="en-GB"/>
        </w:rPr>
        <w:t>, with emphasis on digital innovations and disruptions, digital supply chains, humanitarian partnerships, focusing both globally and on emerging markets, and nurturing smaller as well as larger businesses, have enabled the firm to thrive. Given the importance of global supply chains during COVID-19, Agility is a pivotal example of partnering with governments and pharmaceutical companies worldwide in delivering the new array of vaccines, as well as personal protective equipment and other medical supplies, in the battle against the pandemic. Agility in addition illustrates the </w:t>
      </w:r>
      <w:r w:rsidRPr="006A0199">
        <w:rPr>
          <w:rFonts w:ascii="Roboto" w:eastAsia="Times New Roman" w:hAnsi="Roboto" w:cs="Times New Roman"/>
          <w:color w:val="000000"/>
          <w:sz w:val="21"/>
          <w:szCs w:val="21"/>
          <w:shd w:val="clear" w:color="auto" w:fill="D2F4FC"/>
          <w:lang w:eastAsia="en-GB"/>
        </w:rPr>
        <w:t>strategic</w:t>
      </w:r>
      <w:r w:rsidRPr="006A0199">
        <w:rPr>
          <w:rFonts w:ascii="Roboto" w:eastAsia="Times New Roman" w:hAnsi="Roboto" w:cs="Times New Roman"/>
          <w:color w:val="555555"/>
          <w:sz w:val="21"/>
          <w:szCs w:val="21"/>
          <w:lang w:eastAsia="en-GB"/>
        </w:rPr>
        <w:t> value of partnering with other logistics firms in humanitarian collaborations as well as in business strategy transactions.</w:t>
      </w:r>
    </w:p>
    <w:p w14:paraId="262F8D23" w14:textId="77777777" w:rsidR="006A0199" w:rsidRPr="006A0199" w:rsidRDefault="006A0199" w:rsidP="006A0199">
      <w:pPr>
        <w:shd w:val="clear" w:color="auto" w:fill="FFFFFF"/>
        <w:spacing w:after="360" w:line="240" w:lineRule="auto"/>
        <w:rPr>
          <w:rFonts w:ascii="Roboto" w:eastAsia="Times New Roman" w:hAnsi="Roboto" w:cs="Times New Roman"/>
          <w:color w:val="555555"/>
          <w:sz w:val="21"/>
          <w:szCs w:val="21"/>
          <w:lang w:eastAsia="en-GB"/>
        </w:rPr>
      </w:pPr>
      <w:r w:rsidRPr="006A0199">
        <w:rPr>
          <w:rFonts w:ascii="Roboto" w:eastAsia="Times New Roman" w:hAnsi="Roboto" w:cs="Times New Roman"/>
          <w:color w:val="555555"/>
          <w:sz w:val="21"/>
          <w:szCs w:val="21"/>
          <w:lang w:eastAsia="en-GB"/>
        </w:rPr>
        <w:t>The article contributes to the emergent research stream on </w:t>
      </w:r>
      <w:r w:rsidRPr="006A0199">
        <w:rPr>
          <w:rFonts w:ascii="Roboto" w:eastAsia="Times New Roman" w:hAnsi="Roboto" w:cs="Times New Roman"/>
          <w:color w:val="000000"/>
          <w:sz w:val="21"/>
          <w:szCs w:val="21"/>
          <w:shd w:val="clear" w:color="auto" w:fill="D2F4FC"/>
          <w:lang w:eastAsia="en-GB"/>
        </w:rPr>
        <w:t>leadership</w:t>
      </w:r>
      <w:r w:rsidRPr="006A0199">
        <w:rPr>
          <w:rFonts w:ascii="Roboto" w:eastAsia="Times New Roman" w:hAnsi="Roboto" w:cs="Times New Roman"/>
          <w:color w:val="555555"/>
          <w:sz w:val="21"/>
          <w:szCs w:val="21"/>
          <w:lang w:eastAsia="en-GB"/>
        </w:rPr>
        <w:t xml:space="preserve">, innovation and internationalization in the Arabian Gulf Cooperation Council and Middle East North Africa (GCC/MENA) region and more generally on the strengths and proficiencies of emerging market firms and leaders. Future research could examine additional firms, industries or regions of the </w:t>
      </w:r>
      <w:r w:rsidRPr="006A0199">
        <w:rPr>
          <w:rFonts w:ascii="Roboto" w:eastAsia="Times New Roman" w:hAnsi="Roboto" w:cs="Times New Roman"/>
          <w:color w:val="555555"/>
          <w:sz w:val="21"/>
          <w:szCs w:val="21"/>
          <w:lang w:eastAsia="en-GB"/>
        </w:rPr>
        <w:lastRenderedPageBreak/>
        <w:t>world during the pandemic or other crisis contexts. Further data sources and analyses can be used in validating and extending the findings.</w:t>
      </w:r>
    </w:p>
    <w:p w14:paraId="66E206B7" w14:textId="77777777" w:rsidR="006A0199" w:rsidRPr="006A0199" w:rsidRDefault="006A0199" w:rsidP="006A0199">
      <w:pPr>
        <w:shd w:val="clear" w:color="auto" w:fill="FFFFFF"/>
        <w:spacing w:after="360" w:line="240" w:lineRule="auto"/>
        <w:rPr>
          <w:rFonts w:ascii="Roboto" w:eastAsia="Times New Roman" w:hAnsi="Roboto" w:cs="Times New Roman"/>
          <w:color w:val="555555"/>
          <w:sz w:val="21"/>
          <w:szCs w:val="21"/>
          <w:lang w:eastAsia="en-GB"/>
        </w:rPr>
      </w:pPr>
      <w:r w:rsidRPr="006A0199">
        <w:rPr>
          <w:rFonts w:ascii="Roboto" w:eastAsia="Times New Roman" w:hAnsi="Roboto" w:cs="Times New Roman"/>
          <w:color w:val="555555"/>
          <w:sz w:val="21"/>
          <w:szCs w:val="21"/>
          <w:lang w:eastAsia="en-GB"/>
        </w:rPr>
        <w:t>Digital supply chains, humanitarian partnerships and an emphasis on digital communications, storage and transportation innovations can benefit firms from all regions of the world during the global pandemic and other crises, as well as in normal operations.</w:t>
      </w:r>
    </w:p>
    <w:p w14:paraId="187B207B" w14:textId="77777777" w:rsidR="006A0199" w:rsidRPr="006A0199" w:rsidRDefault="006A0199" w:rsidP="006A0199">
      <w:pPr>
        <w:shd w:val="clear" w:color="auto" w:fill="FFFFFF"/>
        <w:spacing w:after="360" w:line="240" w:lineRule="auto"/>
        <w:rPr>
          <w:rFonts w:ascii="Roboto" w:eastAsia="Times New Roman" w:hAnsi="Roboto" w:cs="Times New Roman"/>
          <w:color w:val="555555"/>
          <w:sz w:val="21"/>
          <w:szCs w:val="21"/>
          <w:lang w:eastAsia="en-GB"/>
        </w:rPr>
      </w:pPr>
      <w:r w:rsidRPr="006A0199">
        <w:rPr>
          <w:rFonts w:ascii="Roboto" w:eastAsia="Times New Roman" w:hAnsi="Roboto" w:cs="Times New Roman"/>
          <w:color w:val="555555"/>
          <w:sz w:val="21"/>
          <w:szCs w:val="21"/>
          <w:lang w:eastAsia="en-GB"/>
        </w:rPr>
        <w:t>Emerging markets represent the majority of global population and economic growth, as well as of pandemic cases and mortality risk, signifying the importance of </w:t>
      </w:r>
      <w:r w:rsidRPr="006A0199">
        <w:rPr>
          <w:rFonts w:ascii="Roboto" w:eastAsia="Times New Roman" w:hAnsi="Roboto" w:cs="Times New Roman"/>
          <w:color w:val="000000"/>
          <w:sz w:val="21"/>
          <w:szCs w:val="21"/>
          <w:shd w:val="clear" w:color="auto" w:fill="D2F4FC"/>
          <w:lang w:eastAsia="en-GB"/>
        </w:rPr>
        <w:t>leadership</w:t>
      </w:r>
      <w:r w:rsidRPr="006A0199">
        <w:rPr>
          <w:rFonts w:ascii="Roboto" w:eastAsia="Times New Roman" w:hAnsi="Roboto" w:cs="Times New Roman"/>
          <w:color w:val="555555"/>
          <w:sz w:val="21"/>
          <w:szCs w:val="21"/>
          <w:lang w:eastAsia="en-GB"/>
        </w:rPr>
        <w:t>, collaboration and innovation around issues such as vaccine delivery into emerging markets regions of the world.</w:t>
      </w:r>
    </w:p>
    <w:p w14:paraId="179A23F4" w14:textId="77777777" w:rsidR="006A0199" w:rsidRPr="006A0199" w:rsidRDefault="006A0199" w:rsidP="006A0199">
      <w:pPr>
        <w:shd w:val="clear" w:color="auto" w:fill="FFFFFF"/>
        <w:spacing w:after="360" w:line="240" w:lineRule="auto"/>
        <w:rPr>
          <w:rFonts w:ascii="Roboto" w:eastAsia="Times New Roman" w:hAnsi="Roboto" w:cs="Times New Roman"/>
          <w:color w:val="555555"/>
          <w:sz w:val="21"/>
          <w:szCs w:val="21"/>
          <w:lang w:eastAsia="en-GB"/>
        </w:rPr>
      </w:pPr>
      <w:r w:rsidRPr="006A0199">
        <w:rPr>
          <w:rFonts w:ascii="Roboto" w:eastAsia="Times New Roman" w:hAnsi="Roboto" w:cs="Times New Roman"/>
          <w:color w:val="555555"/>
          <w:sz w:val="21"/>
          <w:szCs w:val="21"/>
          <w:lang w:eastAsia="en-GB"/>
        </w:rPr>
        <w:t>The article takes a revelatory case perspective in the pandemic crisis context from a unique foundation of immersive field research and data access in the GCC/MENA) region.</w:t>
      </w:r>
    </w:p>
    <w:p w14:paraId="266C9184" w14:textId="77777777" w:rsidR="006A0199" w:rsidRDefault="006A0199">
      <w:pPr>
        <w:rPr>
          <w:rFonts w:ascii="Verdana" w:hAnsi="Verdana"/>
          <w:color w:val="555555"/>
          <w:sz w:val="18"/>
          <w:szCs w:val="18"/>
          <w:shd w:val="clear" w:color="auto" w:fill="FFFFFF"/>
        </w:rPr>
      </w:pPr>
    </w:p>
    <w:p w14:paraId="15323099" w14:textId="77777777" w:rsidR="006A0199" w:rsidRDefault="006A0199">
      <w:pPr>
        <w:rPr>
          <w:rFonts w:ascii="Verdana" w:hAnsi="Verdana"/>
          <w:color w:val="555555"/>
          <w:sz w:val="18"/>
          <w:szCs w:val="18"/>
          <w:shd w:val="clear" w:color="auto" w:fill="FFFFFF"/>
        </w:rPr>
      </w:pPr>
    </w:p>
    <w:p w14:paraId="1BCB05E8" w14:textId="34CC1AF0" w:rsidR="0065681E" w:rsidRDefault="006A0199">
      <w:pPr>
        <w:rPr>
          <w:rFonts w:ascii="Verdana" w:hAnsi="Verdana"/>
          <w:color w:val="555555"/>
          <w:sz w:val="18"/>
          <w:szCs w:val="18"/>
          <w:shd w:val="clear" w:color="auto" w:fill="FFFFFF"/>
        </w:rPr>
      </w:pPr>
      <w:r>
        <w:rPr>
          <w:rFonts w:ascii="Verdana" w:hAnsi="Verdana"/>
          <w:color w:val="555555"/>
          <w:sz w:val="18"/>
          <w:szCs w:val="18"/>
          <w:shd w:val="clear" w:color="auto" w:fill="FFFFFF"/>
        </w:rPr>
        <w:t>OKTAYSOY, O., TOPCUOGLU, E. and KAYGIN, E., 2022. A Study on Digital Leadership Scale Adaptation. </w:t>
      </w:r>
      <w:r>
        <w:rPr>
          <w:rFonts w:ascii="Verdana" w:hAnsi="Verdana"/>
          <w:i/>
          <w:iCs/>
          <w:color w:val="555555"/>
          <w:sz w:val="18"/>
          <w:szCs w:val="18"/>
          <w:shd w:val="clear" w:color="auto" w:fill="FFFFFF"/>
        </w:rPr>
        <w:t>International Journal of Organizational Leadership, </w:t>
      </w:r>
      <w:r>
        <w:rPr>
          <w:rFonts w:ascii="Verdana" w:hAnsi="Verdana"/>
          <w:b/>
          <w:bCs/>
          <w:color w:val="555555"/>
          <w:sz w:val="18"/>
          <w:szCs w:val="18"/>
          <w:shd w:val="clear" w:color="auto" w:fill="FFFFFF"/>
        </w:rPr>
        <w:t>11</w:t>
      </w:r>
      <w:r>
        <w:rPr>
          <w:rFonts w:ascii="Verdana" w:hAnsi="Verdana"/>
          <w:color w:val="555555"/>
          <w:sz w:val="18"/>
          <w:szCs w:val="18"/>
          <w:shd w:val="clear" w:color="auto" w:fill="FFFFFF"/>
        </w:rPr>
        <w:t>(4), pp. 407-425.</w:t>
      </w:r>
    </w:p>
    <w:p w14:paraId="0CC5A8CE" w14:textId="19A57F81" w:rsidR="006A0199" w:rsidRDefault="006A0199">
      <w:pPr>
        <w:rPr>
          <w:rFonts w:ascii="Roboto" w:hAnsi="Roboto"/>
          <w:color w:val="555555"/>
          <w:sz w:val="21"/>
          <w:szCs w:val="21"/>
          <w:shd w:val="clear" w:color="auto" w:fill="FFFFFF"/>
        </w:rPr>
      </w:pPr>
      <w:r>
        <w:rPr>
          <w:rFonts w:ascii="Roboto" w:hAnsi="Roboto"/>
          <w:color w:val="555555"/>
          <w:sz w:val="21"/>
          <w:szCs w:val="21"/>
          <w:shd w:val="clear" w:color="auto" w:fill="FFFFFF"/>
        </w:rPr>
        <w:t>In recent years, the speed of digitalisation in nearly all fields has led organizations to actively use digital tools, practice working methods that are compatible with daily requirements, and adjust themselves to the process compositionally. The concept of digital </w:t>
      </w:r>
      <w:r>
        <w:rPr>
          <w:rStyle w:val="hit"/>
          <w:color w:val="000000"/>
          <w:shd w:val="clear" w:color="auto" w:fill="D2F4FC"/>
        </w:rPr>
        <w:t>leadership</w:t>
      </w:r>
      <w:r>
        <w:rPr>
          <w:rFonts w:ascii="Roboto" w:hAnsi="Roboto"/>
          <w:color w:val="555555"/>
          <w:sz w:val="21"/>
          <w:szCs w:val="21"/>
          <w:shd w:val="clear" w:color="auto" w:fill="FFFFFF"/>
        </w:rPr>
        <w:t> can be defined as the result of this necessity. Digital leaders focus on basic dynamics of the present world, can achieve digital transformation, and equate learning culture and the structure of an organization with digital standards. In this respect, to measure digital </w:t>
      </w:r>
      <w:r>
        <w:rPr>
          <w:rStyle w:val="hit"/>
          <w:color w:val="000000"/>
          <w:shd w:val="clear" w:color="auto" w:fill="D2F4FC"/>
        </w:rPr>
        <w:t>leadership</w:t>
      </w:r>
      <w:r>
        <w:rPr>
          <w:rFonts w:ascii="Roboto" w:hAnsi="Roboto"/>
          <w:color w:val="555555"/>
          <w:sz w:val="21"/>
          <w:szCs w:val="21"/>
          <w:shd w:val="clear" w:color="auto" w:fill="FFFFFF"/>
        </w:rPr>
        <w:t xml:space="preserve"> understanding in Turkey, the present study adapted the scale, developed by </w:t>
      </w:r>
      <w:proofErr w:type="spellStart"/>
      <w:r>
        <w:rPr>
          <w:rFonts w:ascii="Roboto" w:hAnsi="Roboto"/>
          <w:color w:val="555555"/>
          <w:sz w:val="21"/>
          <w:szCs w:val="21"/>
          <w:shd w:val="clear" w:color="auto" w:fill="FFFFFF"/>
        </w:rPr>
        <w:t>Zeike</w:t>
      </w:r>
      <w:proofErr w:type="spellEnd"/>
      <w:r>
        <w:rPr>
          <w:rFonts w:ascii="Roboto" w:hAnsi="Roboto"/>
          <w:color w:val="555555"/>
          <w:sz w:val="21"/>
          <w:szCs w:val="21"/>
          <w:shd w:val="clear" w:color="auto" w:fill="FFFFFF"/>
        </w:rPr>
        <w:t xml:space="preserve"> et al. (2019) to Turkish and </w:t>
      </w:r>
      <w:proofErr w:type="spellStart"/>
      <w:r>
        <w:rPr>
          <w:rFonts w:ascii="Roboto" w:hAnsi="Roboto"/>
          <w:color w:val="555555"/>
          <w:sz w:val="21"/>
          <w:szCs w:val="21"/>
          <w:shd w:val="clear" w:color="auto" w:fill="FFFFFF"/>
        </w:rPr>
        <w:t>analyzed</w:t>
      </w:r>
      <w:proofErr w:type="spellEnd"/>
      <w:r>
        <w:rPr>
          <w:rFonts w:ascii="Roboto" w:hAnsi="Roboto"/>
          <w:color w:val="555555"/>
          <w:sz w:val="21"/>
          <w:szCs w:val="21"/>
          <w:shd w:val="clear" w:color="auto" w:fill="FFFFFF"/>
        </w:rPr>
        <w:t xml:space="preserve"> its reliability and validity. In the study, the first test was conducted with 135 teachers working in Kars, while the second test was conducted with 334 academicians. The adaptation of the scale into Turkish was achieved in the research by making the analyses of normality, correlation, and exploratory factor analysis through the SPSS program and by making confirmatory factor analyses through the AMOS program. The reliability and validity of the scale obtained were achieved by gathering it under a single dimension.</w:t>
      </w:r>
    </w:p>
    <w:p w14:paraId="7D193C92" w14:textId="77777777" w:rsidR="006A0199" w:rsidRDefault="006A0199">
      <w:pPr>
        <w:rPr>
          <w:b/>
          <w:bCs/>
        </w:rPr>
      </w:pPr>
    </w:p>
    <w:p w14:paraId="743C79C8" w14:textId="77777777" w:rsidR="0065681E" w:rsidRDefault="00000000">
      <w:pPr>
        <w:rPr>
          <w:rFonts w:ascii="Open Sans" w:hAnsi="Open Sans" w:cs="Open Sans"/>
          <w:sz w:val="27"/>
          <w:szCs w:val="27"/>
          <w:shd w:val="clear" w:color="auto" w:fill="FFFFFF"/>
        </w:rPr>
      </w:pPr>
      <w:hyperlink r:id="rId22" w:tooltip="Jun Yu" w:history="1">
        <w:r w:rsidR="0065681E" w:rsidRPr="0065681E">
          <w:rPr>
            <w:rFonts w:ascii="Open Sans" w:hAnsi="Open Sans" w:cs="Open Sans"/>
            <w:color w:val="0000FF"/>
            <w:sz w:val="27"/>
            <w:szCs w:val="27"/>
            <w:u w:val="single"/>
            <w:shd w:val="clear" w:color="auto" w:fill="FFFFFF"/>
          </w:rPr>
          <w:t>Yu, J.</w:t>
        </w:r>
      </w:hyperlink>
      <w:r w:rsidR="0065681E" w:rsidRPr="0065681E">
        <w:rPr>
          <w:rFonts w:ascii="Open Sans" w:hAnsi="Open Sans" w:cs="Open Sans"/>
          <w:sz w:val="27"/>
          <w:szCs w:val="27"/>
          <w:shd w:val="clear" w:color="auto" w:fill="FFFFFF"/>
        </w:rPr>
        <w:t>, </w:t>
      </w:r>
      <w:hyperlink r:id="rId23" w:tooltip="Zhengcong Ma" w:history="1">
        <w:r w:rsidR="0065681E" w:rsidRPr="0065681E">
          <w:rPr>
            <w:rFonts w:ascii="Open Sans" w:hAnsi="Open Sans" w:cs="Open Sans"/>
            <w:color w:val="0000FF"/>
            <w:sz w:val="27"/>
            <w:szCs w:val="27"/>
            <w:u w:val="single"/>
            <w:shd w:val="clear" w:color="auto" w:fill="FFFFFF"/>
          </w:rPr>
          <w:t>Ma, Z.</w:t>
        </w:r>
      </w:hyperlink>
      <w:r w:rsidR="0065681E" w:rsidRPr="0065681E">
        <w:rPr>
          <w:rFonts w:ascii="Open Sans" w:hAnsi="Open Sans" w:cs="Open Sans"/>
          <w:sz w:val="27"/>
          <w:szCs w:val="27"/>
          <w:shd w:val="clear" w:color="auto" w:fill="FFFFFF"/>
        </w:rPr>
        <w:t> and </w:t>
      </w:r>
      <w:hyperlink r:id="rId24" w:tooltip="Wenhao Song" w:history="1">
        <w:r w:rsidR="0065681E" w:rsidRPr="0065681E">
          <w:rPr>
            <w:rFonts w:ascii="Open Sans" w:hAnsi="Open Sans" w:cs="Open Sans"/>
            <w:color w:val="0000FF"/>
            <w:sz w:val="27"/>
            <w:szCs w:val="27"/>
            <w:u w:val="single"/>
            <w:shd w:val="clear" w:color="auto" w:fill="FFFFFF"/>
          </w:rPr>
          <w:t>Song, W.</w:t>
        </w:r>
      </w:hyperlink>
      <w:r w:rsidR="0065681E" w:rsidRPr="0065681E">
        <w:rPr>
          <w:rFonts w:ascii="Open Sans" w:hAnsi="Open Sans" w:cs="Open Sans"/>
          <w:sz w:val="27"/>
          <w:szCs w:val="27"/>
          <w:shd w:val="clear" w:color="auto" w:fill="FFFFFF"/>
        </w:rPr>
        <w:t xml:space="preserve"> (2022), "New venture top management team's shared leadership and its indirect effect on strategic performance: findings from SEM and </w:t>
      </w:r>
      <w:proofErr w:type="spellStart"/>
      <w:r w:rsidR="0065681E" w:rsidRPr="0065681E">
        <w:rPr>
          <w:rFonts w:ascii="Open Sans" w:hAnsi="Open Sans" w:cs="Open Sans"/>
          <w:sz w:val="27"/>
          <w:szCs w:val="27"/>
          <w:shd w:val="clear" w:color="auto" w:fill="FFFFFF"/>
        </w:rPr>
        <w:t>fsQCA</w:t>
      </w:r>
      <w:proofErr w:type="spellEnd"/>
      <w:r w:rsidR="0065681E" w:rsidRPr="0065681E">
        <w:rPr>
          <w:rFonts w:ascii="Open Sans" w:hAnsi="Open Sans" w:cs="Open Sans"/>
          <w:sz w:val="27"/>
          <w:szCs w:val="27"/>
          <w:shd w:val="clear" w:color="auto" w:fill="FFFFFF"/>
        </w:rPr>
        <w:t>", </w:t>
      </w:r>
      <w:hyperlink r:id="rId25" w:history="1">
        <w:r w:rsidR="0065681E" w:rsidRPr="0065681E">
          <w:rPr>
            <w:rFonts w:ascii="Open Sans" w:hAnsi="Open Sans" w:cs="Open Sans"/>
            <w:i/>
            <w:iCs/>
            <w:color w:val="007377"/>
            <w:sz w:val="27"/>
            <w:szCs w:val="27"/>
            <w:u w:val="single"/>
          </w:rPr>
          <w:t>Leadership &amp; Organization Development Journal</w:t>
        </w:r>
      </w:hyperlink>
      <w:r w:rsidR="0065681E" w:rsidRPr="0065681E">
        <w:rPr>
          <w:rFonts w:ascii="Open Sans" w:hAnsi="Open Sans" w:cs="Open Sans"/>
          <w:sz w:val="27"/>
          <w:szCs w:val="27"/>
          <w:shd w:val="clear" w:color="auto" w:fill="FFFFFF"/>
        </w:rPr>
        <w:t>, Vol. 43 No. 3, pp. 435</w:t>
      </w:r>
      <w:r w:rsidR="0065681E">
        <w:rPr>
          <w:rFonts w:ascii="Open Sans" w:hAnsi="Open Sans" w:cs="Open Sans"/>
          <w:sz w:val="27"/>
          <w:szCs w:val="27"/>
          <w:shd w:val="clear" w:color="auto" w:fill="FFFFFF"/>
        </w:rPr>
        <w:t>-</w:t>
      </w:r>
      <w:r w:rsidR="0065681E" w:rsidRPr="0065681E">
        <w:rPr>
          <w:rFonts w:ascii="Open Sans" w:hAnsi="Open Sans" w:cs="Open Sans"/>
          <w:sz w:val="27"/>
          <w:szCs w:val="27"/>
          <w:shd w:val="clear" w:color="auto" w:fill="FFFFFF"/>
        </w:rPr>
        <w:t>456. </w:t>
      </w:r>
    </w:p>
    <w:p w14:paraId="00FE57AA" w14:textId="12CE15A0" w:rsidR="0065681E" w:rsidRDefault="00000000">
      <w:pPr>
        <w:rPr>
          <w:b/>
          <w:bCs/>
        </w:rPr>
      </w:pPr>
      <w:hyperlink r:id="rId26" w:history="1">
        <w:r w:rsidR="0065681E" w:rsidRPr="00F47E99">
          <w:rPr>
            <w:rStyle w:val="Hyperlink"/>
            <w:rFonts w:ascii="Open Sans" w:hAnsi="Open Sans" w:cs="Open Sans"/>
            <w:sz w:val="27"/>
            <w:szCs w:val="27"/>
            <w:shd w:val="clear" w:color="auto" w:fill="FFFFFF"/>
          </w:rPr>
          <w:t>https://doi.org/10.1108/LODJ-05-2021-0234</w:t>
        </w:r>
      </w:hyperlink>
    </w:p>
    <w:p w14:paraId="43FE6993" w14:textId="77777777" w:rsidR="0065681E" w:rsidRPr="0065681E" w:rsidRDefault="0065681E" w:rsidP="0065681E">
      <w:pPr>
        <w:shd w:val="clear" w:color="auto" w:fill="FFFFFF"/>
        <w:spacing w:after="360" w:line="240" w:lineRule="auto"/>
        <w:rPr>
          <w:rFonts w:ascii="Roboto" w:eastAsia="Times New Roman" w:hAnsi="Roboto" w:cs="Times New Roman"/>
          <w:color w:val="555555"/>
          <w:sz w:val="21"/>
          <w:szCs w:val="21"/>
          <w:lang w:eastAsia="en-GB"/>
        </w:rPr>
      </w:pPr>
      <w:r w:rsidRPr="0065681E">
        <w:rPr>
          <w:rFonts w:ascii="Roboto" w:eastAsia="Times New Roman" w:hAnsi="Roboto" w:cs="Times New Roman"/>
          <w:color w:val="555555"/>
          <w:sz w:val="21"/>
          <w:szCs w:val="21"/>
          <w:lang w:eastAsia="en-GB"/>
        </w:rPr>
        <w:t>The purpose of this study is to empirically explore the relationship between a new venture top management team's (NVTMT’s) shared </w:t>
      </w:r>
      <w:r w:rsidRPr="0065681E">
        <w:rPr>
          <w:rFonts w:ascii="Roboto" w:eastAsia="Times New Roman" w:hAnsi="Roboto" w:cs="Times New Roman"/>
          <w:color w:val="000000"/>
          <w:sz w:val="21"/>
          <w:szCs w:val="21"/>
          <w:shd w:val="clear" w:color="auto" w:fill="D2F4FC"/>
          <w:lang w:eastAsia="en-GB"/>
        </w:rPr>
        <w:t>leadership</w:t>
      </w:r>
      <w:r w:rsidRPr="0065681E">
        <w:rPr>
          <w:rFonts w:ascii="Roboto" w:eastAsia="Times New Roman" w:hAnsi="Roboto" w:cs="Times New Roman"/>
          <w:color w:val="555555"/>
          <w:sz w:val="21"/>
          <w:szCs w:val="21"/>
          <w:lang w:eastAsia="en-GB"/>
        </w:rPr>
        <w:t> and </w:t>
      </w:r>
      <w:r w:rsidRPr="0065681E">
        <w:rPr>
          <w:rFonts w:ascii="Roboto" w:eastAsia="Times New Roman" w:hAnsi="Roboto" w:cs="Times New Roman"/>
          <w:color w:val="000000"/>
          <w:sz w:val="21"/>
          <w:szCs w:val="21"/>
          <w:shd w:val="clear" w:color="auto" w:fill="D2F4FC"/>
          <w:lang w:eastAsia="en-GB"/>
        </w:rPr>
        <w:t>strategic</w:t>
      </w:r>
      <w:r w:rsidRPr="0065681E">
        <w:rPr>
          <w:rFonts w:ascii="Roboto" w:eastAsia="Times New Roman" w:hAnsi="Roboto" w:cs="Times New Roman"/>
          <w:color w:val="555555"/>
          <w:sz w:val="21"/>
          <w:szCs w:val="21"/>
          <w:lang w:eastAsia="en-GB"/>
        </w:rPr>
        <w:t> performance in opportunity recognition and entrepreneurial bricolage by drawing on the upper echelons theory.</w:t>
      </w:r>
    </w:p>
    <w:p w14:paraId="38943030" w14:textId="77777777" w:rsidR="0065681E" w:rsidRPr="0065681E" w:rsidRDefault="0065681E" w:rsidP="0065681E">
      <w:pPr>
        <w:shd w:val="clear" w:color="auto" w:fill="FFFFFF"/>
        <w:spacing w:after="360" w:line="240" w:lineRule="auto"/>
        <w:rPr>
          <w:rFonts w:ascii="Roboto" w:eastAsia="Times New Roman" w:hAnsi="Roboto" w:cs="Times New Roman"/>
          <w:color w:val="555555"/>
          <w:sz w:val="21"/>
          <w:szCs w:val="21"/>
          <w:lang w:eastAsia="en-GB"/>
        </w:rPr>
      </w:pPr>
      <w:r w:rsidRPr="0065681E">
        <w:rPr>
          <w:rFonts w:ascii="Roboto" w:eastAsia="Times New Roman" w:hAnsi="Roboto" w:cs="Times New Roman"/>
          <w:color w:val="555555"/>
          <w:sz w:val="21"/>
          <w:szCs w:val="21"/>
          <w:lang w:eastAsia="en-GB"/>
        </w:rPr>
        <w:t xml:space="preserve">Data were collected from 344 new manufacturing ventures located in Eastern China. The hypotheses were tested using structural equation modelling (SEM) through the AMOS 23.0 </w:t>
      </w:r>
      <w:r w:rsidRPr="0065681E">
        <w:rPr>
          <w:rFonts w:ascii="Roboto" w:eastAsia="Times New Roman" w:hAnsi="Roboto" w:cs="Times New Roman"/>
          <w:color w:val="555555"/>
          <w:sz w:val="21"/>
          <w:szCs w:val="21"/>
          <w:lang w:eastAsia="en-GB"/>
        </w:rPr>
        <w:lastRenderedPageBreak/>
        <w:t>software package. The confluence of the contextual factors of the new venture is examined by a fuzzy-set qualitative comparative analysis (</w:t>
      </w:r>
      <w:proofErr w:type="spellStart"/>
      <w:r w:rsidRPr="0065681E">
        <w:rPr>
          <w:rFonts w:ascii="Roboto" w:eastAsia="Times New Roman" w:hAnsi="Roboto" w:cs="Times New Roman"/>
          <w:color w:val="555555"/>
          <w:sz w:val="21"/>
          <w:szCs w:val="21"/>
          <w:lang w:eastAsia="en-GB"/>
        </w:rPr>
        <w:t>fsQCA</w:t>
      </w:r>
      <w:proofErr w:type="spellEnd"/>
      <w:r w:rsidRPr="0065681E">
        <w:rPr>
          <w:rFonts w:ascii="Roboto" w:eastAsia="Times New Roman" w:hAnsi="Roboto" w:cs="Times New Roman"/>
          <w:color w:val="555555"/>
          <w:sz w:val="21"/>
          <w:szCs w:val="21"/>
          <w:lang w:eastAsia="en-GB"/>
        </w:rPr>
        <w:t>).</w:t>
      </w:r>
    </w:p>
    <w:p w14:paraId="7308E6B2" w14:textId="77777777" w:rsidR="0065681E" w:rsidRPr="0065681E" w:rsidRDefault="0065681E" w:rsidP="0065681E">
      <w:pPr>
        <w:shd w:val="clear" w:color="auto" w:fill="FFFFFF"/>
        <w:spacing w:after="360" w:line="240" w:lineRule="auto"/>
        <w:rPr>
          <w:rFonts w:ascii="Roboto" w:eastAsia="Times New Roman" w:hAnsi="Roboto" w:cs="Times New Roman"/>
          <w:color w:val="555555"/>
          <w:sz w:val="21"/>
          <w:szCs w:val="21"/>
          <w:lang w:eastAsia="en-GB"/>
        </w:rPr>
      </w:pPr>
      <w:r w:rsidRPr="0065681E">
        <w:rPr>
          <w:rFonts w:ascii="Roboto" w:eastAsia="Times New Roman" w:hAnsi="Roboto" w:cs="Times New Roman"/>
          <w:color w:val="555555"/>
          <w:sz w:val="21"/>
          <w:szCs w:val="21"/>
          <w:lang w:eastAsia="en-GB"/>
        </w:rPr>
        <w:t>The results indicate that NVTMT shared </w:t>
      </w:r>
      <w:r w:rsidRPr="0065681E">
        <w:rPr>
          <w:rFonts w:ascii="Roboto" w:eastAsia="Times New Roman" w:hAnsi="Roboto" w:cs="Times New Roman"/>
          <w:color w:val="000000"/>
          <w:sz w:val="21"/>
          <w:szCs w:val="21"/>
          <w:shd w:val="clear" w:color="auto" w:fill="D2F4FC"/>
          <w:lang w:eastAsia="en-GB"/>
        </w:rPr>
        <w:t>leadership</w:t>
      </w:r>
      <w:r w:rsidRPr="0065681E">
        <w:rPr>
          <w:rFonts w:ascii="Roboto" w:eastAsia="Times New Roman" w:hAnsi="Roboto" w:cs="Times New Roman"/>
          <w:color w:val="555555"/>
          <w:sz w:val="21"/>
          <w:szCs w:val="21"/>
          <w:lang w:eastAsia="en-GB"/>
        </w:rPr>
        <w:t> has an indirect and positive effect on </w:t>
      </w:r>
      <w:r w:rsidRPr="0065681E">
        <w:rPr>
          <w:rFonts w:ascii="Roboto" w:eastAsia="Times New Roman" w:hAnsi="Roboto" w:cs="Times New Roman"/>
          <w:color w:val="000000"/>
          <w:sz w:val="21"/>
          <w:szCs w:val="21"/>
          <w:shd w:val="clear" w:color="auto" w:fill="D2F4FC"/>
          <w:lang w:eastAsia="en-GB"/>
        </w:rPr>
        <w:t>strategic</w:t>
      </w:r>
      <w:r w:rsidRPr="0065681E">
        <w:rPr>
          <w:rFonts w:ascii="Roboto" w:eastAsia="Times New Roman" w:hAnsi="Roboto" w:cs="Times New Roman"/>
          <w:color w:val="555555"/>
          <w:sz w:val="21"/>
          <w:szCs w:val="21"/>
          <w:lang w:eastAsia="en-GB"/>
        </w:rPr>
        <w:t> performance through opportunity recognition, especially in a highly uncertain environment, while the mediating effect of entrepreneurial bricolage is not significant. Furthermore, although the SEM results show that the impact of NVTMT shared </w:t>
      </w:r>
      <w:r w:rsidRPr="0065681E">
        <w:rPr>
          <w:rFonts w:ascii="Roboto" w:eastAsia="Times New Roman" w:hAnsi="Roboto" w:cs="Times New Roman"/>
          <w:color w:val="000000"/>
          <w:sz w:val="21"/>
          <w:szCs w:val="21"/>
          <w:shd w:val="clear" w:color="auto" w:fill="D2F4FC"/>
          <w:lang w:eastAsia="en-GB"/>
        </w:rPr>
        <w:t>leadership</w:t>
      </w:r>
      <w:r w:rsidRPr="0065681E">
        <w:rPr>
          <w:rFonts w:ascii="Roboto" w:eastAsia="Times New Roman" w:hAnsi="Roboto" w:cs="Times New Roman"/>
          <w:color w:val="555555"/>
          <w:sz w:val="21"/>
          <w:szCs w:val="21"/>
          <w:lang w:eastAsia="en-GB"/>
        </w:rPr>
        <w:t xml:space="preserve"> on entrepreneurial bricolage is negative, the </w:t>
      </w:r>
      <w:proofErr w:type="spellStart"/>
      <w:r w:rsidRPr="0065681E">
        <w:rPr>
          <w:rFonts w:ascii="Roboto" w:eastAsia="Times New Roman" w:hAnsi="Roboto" w:cs="Times New Roman"/>
          <w:color w:val="555555"/>
          <w:sz w:val="21"/>
          <w:szCs w:val="21"/>
          <w:lang w:eastAsia="en-GB"/>
        </w:rPr>
        <w:t>fsQCA</w:t>
      </w:r>
      <w:proofErr w:type="spellEnd"/>
      <w:r w:rsidRPr="0065681E">
        <w:rPr>
          <w:rFonts w:ascii="Roboto" w:eastAsia="Times New Roman" w:hAnsi="Roboto" w:cs="Times New Roman"/>
          <w:color w:val="555555"/>
          <w:sz w:val="21"/>
          <w:szCs w:val="21"/>
          <w:lang w:eastAsia="en-GB"/>
        </w:rPr>
        <w:t xml:space="preserve"> shows that NVTMT shared </w:t>
      </w:r>
      <w:r w:rsidRPr="0065681E">
        <w:rPr>
          <w:rFonts w:ascii="Roboto" w:eastAsia="Times New Roman" w:hAnsi="Roboto" w:cs="Times New Roman"/>
          <w:color w:val="000000"/>
          <w:sz w:val="21"/>
          <w:szCs w:val="21"/>
          <w:shd w:val="clear" w:color="auto" w:fill="D2F4FC"/>
          <w:lang w:eastAsia="en-GB"/>
        </w:rPr>
        <w:t>leadership</w:t>
      </w:r>
      <w:r w:rsidRPr="0065681E">
        <w:rPr>
          <w:rFonts w:ascii="Roboto" w:eastAsia="Times New Roman" w:hAnsi="Roboto" w:cs="Times New Roman"/>
          <w:color w:val="555555"/>
          <w:sz w:val="21"/>
          <w:szCs w:val="21"/>
          <w:lang w:eastAsia="en-GB"/>
        </w:rPr>
        <w:t> can significantly and positively affect entrepreneurial bricolage in an environment with high uncertainty, ultimately enhancing </w:t>
      </w:r>
      <w:r w:rsidRPr="0065681E">
        <w:rPr>
          <w:rFonts w:ascii="Roboto" w:eastAsia="Times New Roman" w:hAnsi="Roboto" w:cs="Times New Roman"/>
          <w:color w:val="000000"/>
          <w:sz w:val="21"/>
          <w:szCs w:val="21"/>
          <w:shd w:val="clear" w:color="auto" w:fill="D2F4FC"/>
          <w:lang w:eastAsia="en-GB"/>
        </w:rPr>
        <w:t>strategic</w:t>
      </w:r>
      <w:r w:rsidRPr="0065681E">
        <w:rPr>
          <w:rFonts w:ascii="Roboto" w:eastAsia="Times New Roman" w:hAnsi="Roboto" w:cs="Times New Roman"/>
          <w:color w:val="555555"/>
          <w:sz w:val="21"/>
          <w:szCs w:val="21"/>
          <w:lang w:eastAsia="en-GB"/>
        </w:rPr>
        <w:t> performance.</w:t>
      </w:r>
    </w:p>
    <w:p w14:paraId="56592262" w14:textId="77777777" w:rsidR="0065681E" w:rsidRPr="0065681E" w:rsidRDefault="0065681E" w:rsidP="0065681E">
      <w:pPr>
        <w:shd w:val="clear" w:color="auto" w:fill="FFFFFF"/>
        <w:spacing w:after="360" w:line="240" w:lineRule="auto"/>
        <w:rPr>
          <w:rFonts w:ascii="Roboto" w:eastAsia="Times New Roman" w:hAnsi="Roboto" w:cs="Times New Roman"/>
          <w:color w:val="555555"/>
          <w:sz w:val="21"/>
          <w:szCs w:val="21"/>
          <w:lang w:eastAsia="en-GB"/>
        </w:rPr>
      </w:pPr>
      <w:r w:rsidRPr="0065681E">
        <w:rPr>
          <w:rFonts w:ascii="Roboto" w:eastAsia="Times New Roman" w:hAnsi="Roboto" w:cs="Times New Roman"/>
          <w:color w:val="555555"/>
          <w:sz w:val="21"/>
          <w:szCs w:val="21"/>
          <w:lang w:eastAsia="en-GB"/>
        </w:rPr>
        <w:t>This study contributes to the shared </w:t>
      </w:r>
      <w:r w:rsidRPr="0065681E">
        <w:rPr>
          <w:rFonts w:ascii="Roboto" w:eastAsia="Times New Roman" w:hAnsi="Roboto" w:cs="Times New Roman"/>
          <w:color w:val="000000"/>
          <w:sz w:val="21"/>
          <w:szCs w:val="21"/>
          <w:shd w:val="clear" w:color="auto" w:fill="D2F4FC"/>
          <w:lang w:eastAsia="en-GB"/>
        </w:rPr>
        <w:t>leadership</w:t>
      </w:r>
      <w:r w:rsidRPr="0065681E">
        <w:rPr>
          <w:rFonts w:ascii="Roboto" w:eastAsia="Times New Roman" w:hAnsi="Roboto" w:cs="Times New Roman"/>
          <w:color w:val="555555"/>
          <w:sz w:val="21"/>
          <w:szCs w:val="21"/>
          <w:lang w:eastAsia="en-GB"/>
        </w:rPr>
        <w:t> literature by proposing a model on how shared </w:t>
      </w:r>
      <w:r w:rsidRPr="0065681E">
        <w:rPr>
          <w:rFonts w:ascii="Roboto" w:eastAsia="Times New Roman" w:hAnsi="Roboto" w:cs="Times New Roman"/>
          <w:color w:val="000000"/>
          <w:sz w:val="21"/>
          <w:szCs w:val="21"/>
          <w:shd w:val="clear" w:color="auto" w:fill="D2F4FC"/>
          <w:lang w:eastAsia="en-GB"/>
        </w:rPr>
        <w:t>leadership</w:t>
      </w:r>
      <w:r w:rsidRPr="0065681E">
        <w:rPr>
          <w:rFonts w:ascii="Roboto" w:eastAsia="Times New Roman" w:hAnsi="Roboto" w:cs="Times New Roman"/>
          <w:color w:val="555555"/>
          <w:sz w:val="21"/>
          <w:szCs w:val="21"/>
          <w:lang w:eastAsia="en-GB"/>
        </w:rPr>
        <w:t> shapes the </w:t>
      </w:r>
      <w:r w:rsidRPr="0065681E">
        <w:rPr>
          <w:rFonts w:ascii="Roboto" w:eastAsia="Times New Roman" w:hAnsi="Roboto" w:cs="Times New Roman"/>
          <w:color w:val="000000"/>
          <w:sz w:val="21"/>
          <w:szCs w:val="21"/>
          <w:shd w:val="clear" w:color="auto" w:fill="D2F4FC"/>
          <w:lang w:eastAsia="en-GB"/>
        </w:rPr>
        <w:t>strategic</w:t>
      </w:r>
      <w:r w:rsidRPr="0065681E">
        <w:rPr>
          <w:rFonts w:ascii="Roboto" w:eastAsia="Times New Roman" w:hAnsi="Roboto" w:cs="Times New Roman"/>
          <w:color w:val="555555"/>
          <w:sz w:val="21"/>
          <w:szCs w:val="21"/>
          <w:lang w:eastAsia="en-GB"/>
        </w:rPr>
        <w:t> performance of new ventures via opportunity recognition and entrepreneurial bricolage. The findings not only enrich relevant research on the upper echelons theory, but also help in understanding the patterns of contextual conditions that facilitate the value-adding properties of NVTMT shared </w:t>
      </w:r>
      <w:r w:rsidRPr="0065681E">
        <w:rPr>
          <w:rFonts w:ascii="Roboto" w:eastAsia="Times New Roman" w:hAnsi="Roboto" w:cs="Times New Roman"/>
          <w:color w:val="000000"/>
          <w:sz w:val="21"/>
          <w:szCs w:val="21"/>
          <w:shd w:val="clear" w:color="auto" w:fill="D2F4FC"/>
          <w:lang w:eastAsia="en-GB"/>
        </w:rPr>
        <w:t>leadership</w:t>
      </w:r>
    </w:p>
    <w:p w14:paraId="482A279C" w14:textId="77777777" w:rsidR="0065681E" w:rsidRDefault="0065681E">
      <w:pPr>
        <w:rPr>
          <w:b/>
          <w:bCs/>
        </w:rPr>
      </w:pPr>
    </w:p>
    <w:p w14:paraId="60ED0BBB" w14:textId="37E27FA5" w:rsidR="00BC638F" w:rsidRPr="00BC638F" w:rsidRDefault="00BC638F">
      <w:pPr>
        <w:rPr>
          <w:b/>
          <w:bCs/>
        </w:rPr>
      </w:pPr>
      <w:r>
        <w:rPr>
          <w:b/>
          <w:bCs/>
        </w:rPr>
        <w:t>08-03-23</w:t>
      </w:r>
    </w:p>
    <w:p w14:paraId="5CCDA9B3" w14:textId="272D452E" w:rsidR="00BC638F" w:rsidRDefault="00BC638F">
      <w:pPr>
        <w:rPr>
          <w:rFonts w:ascii="Segoe UI" w:hAnsi="Segoe UI" w:cs="Segoe UI"/>
          <w:color w:val="333333"/>
          <w:shd w:val="clear" w:color="auto" w:fill="FCFCFC"/>
        </w:rPr>
      </w:pPr>
      <w:r>
        <w:rPr>
          <w:rFonts w:ascii="Segoe UI" w:hAnsi="Segoe UI" w:cs="Segoe UI"/>
          <w:color w:val="333333"/>
          <w:shd w:val="clear" w:color="auto" w:fill="FCFCFC"/>
        </w:rPr>
        <w:t xml:space="preserve">Reis, J., Amorim, M., </w:t>
      </w:r>
      <w:proofErr w:type="spellStart"/>
      <w:r>
        <w:rPr>
          <w:rFonts w:ascii="Segoe UI" w:hAnsi="Segoe UI" w:cs="Segoe UI"/>
          <w:color w:val="333333"/>
          <w:shd w:val="clear" w:color="auto" w:fill="FCFCFC"/>
        </w:rPr>
        <w:t>Melão</w:t>
      </w:r>
      <w:proofErr w:type="spellEnd"/>
      <w:r>
        <w:rPr>
          <w:rFonts w:ascii="Segoe UI" w:hAnsi="Segoe UI" w:cs="Segoe UI"/>
          <w:color w:val="333333"/>
          <w:shd w:val="clear" w:color="auto" w:fill="FCFCFC"/>
        </w:rPr>
        <w:t xml:space="preserve">, N., Matos, P. (2018). Digital Transformation: A Literature Review and Guidelines for Future Research. In: Rocha, Á., </w:t>
      </w:r>
      <w:proofErr w:type="spellStart"/>
      <w:r>
        <w:rPr>
          <w:rFonts w:ascii="Segoe UI" w:hAnsi="Segoe UI" w:cs="Segoe UI"/>
          <w:color w:val="333333"/>
          <w:shd w:val="clear" w:color="auto" w:fill="FCFCFC"/>
        </w:rPr>
        <w:t>Adeli</w:t>
      </w:r>
      <w:proofErr w:type="spellEnd"/>
      <w:r>
        <w:rPr>
          <w:rFonts w:ascii="Segoe UI" w:hAnsi="Segoe UI" w:cs="Segoe UI"/>
          <w:color w:val="333333"/>
          <w:shd w:val="clear" w:color="auto" w:fill="FCFCFC"/>
        </w:rPr>
        <w:t xml:space="preserve">, H., Reis, L.P., Costanzo, S. (eds) Trends and Advances in Information Systems and Technologies. WorldCIST'18 2018. Advances in Intelligent Systems and Computing, vol 745. Springer, Cham. </w:t>
      </w:r>
      <w:hyperlink r:id="rId27" w:history="1">
        <w:r w:rsidRPr="00BC777B">
          <w:rPr>
            <w:rStyle w:val="Hyperlink"/>
            <w:rFonts w:ascii="Segoe UI" w:hAnsi="Segoe UI" w:cs="Segoe UI"/>
            <w:shd w:val="clear" w:color="auto" w:fill="FCFCFC"/>
          </w:rPr>
          <w:t>https://doi.org/10.1007/978-3-319-77703-0_41</w:t>
        </w:r>
      </w:hyperlink>
    </w:p>
    <w:p w14:paraId="490134B9" w14:textId="041C132A" w:rsidR="00BC638F" w:rsidRDefault="00BC638F">
      <w:pPr>
        <w:rPr>
          <w:rFonts w:ascii="Segoe UI" w:hAnsi="Segoe UI" w:cs="Segoe UI"/>
          <w:color w:val="333333"/>
          <w:sz w:val="27"/>
          <w:szCs w:val="27"/>
          <w:shd w:val="clear" w:color="auto" w:fill="FCFCFC"/>
        </w:rPr>
      </w:pPr>
      <w:r>
        <w:rPr>
          <w:rFonts w:ascii="Segoe UI" w:hAnsi="Segoe UI" w:cs="Segoe UI"/>
          <w:color w:val="333333"/>
          <w:sz w:val="27"/>
          <w:szCs w:val="27"/>
          <w:shd w:val="clear" w:color="auto" w:fill="FCFCFC"/>
        </w:rPr>
        <w:t>The aim of this paper is to provide insights regarding the state of the art of Digital Transformation, and to propose avenues for future research. Using a systematic literature review of 206 peer-reviewed articles, this paper provides an overview of the literature. Among other things, the findings indicate that managers should adapt their business strategy to a new digital reality. This mainly results in the adaptation of processes and operations management. Scholars, for the other side, are also facing challenges, as prior research may not have identified all the opportunities and challenges of Digital Transformation. Furthermore, while the Digital Transformation has expanded to all sectors of activity there are some areas with more prospects of being developed in the future than others.</w:t>
      </w:r>
    </w:p>
    <w:p w14:paraId="4417E582" w14:textId="77777777" w:rsidR="00BC638F" w:rsidRDefault="00BC638F"/>
    <w:sectPr w:rsidR="00BC63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altName w:val="Arial"/>
    <w:charset w:val="00"/>
    <w:family w:val="auto"/>
    <w:pitch w:val="variable"/>
    <w:sig w:usb0="E0000AFF" w:usb1="5000217F" w:usb2="00000021" w:usb3="00000000" w:csb0="0000019F" w:csb1="00000000"/>
  </w:font>
  <w:font w:name="Open Sans">
    <w:altName w:val="Segoe UI"/>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38F"/>
    <w:rsid w:val="00030D5B"/>
    <w:rsid w:val="00081C6E"/>
    <w:rsid w:val="000B6497"/>
    <w:rsid w:val="00110957"/>
    <w:rsid w:val="001B6894"/>
    <w:rsid w:val="00324DB8"/>
    <w:rsid w:val="004012D7"/>
    <w:rsid w:val="005C16F8"/>
    <w:rsid w:val="005E7904"/>
    <w:rsid w:val="006026B3"/>
    <w:rsid w:val="0065681E"/>
    <w:rsid w:val="006A0199"/>
    <w:rsid w:val="00716783"/>
    <w:rsid w:val="008B2CFD"/>
    <w:rsid w:val="008D0B71"/>
    <w:rsid w:val="00955532"/>
    <w:rsid w:val="009A7B58"/>
    <w:rsid w:val="00BA04C2"/>
    <w:rsid w:val="00BC638F"/>
    <w:rsid w:val="00CC0D2D"/>
    <w:rsid w:val="00EF4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65956"/>
  <w15:chartTrackingRefBased/>
  <w15:docId w15:val="{328FDC29-902F-454D-9AFD-E22034DF4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638F"/>
    <w:rPr>
      <w:color w:val="0563C1" w:themeColor="hyperlink"/>
      <w:u w:val="single"/>
    </w:rPr>
  </w:style>
  <w:style w:type="character" w:styleId="UnresolvedMention">
    <w:name w:val="Unresolved Mention"/>
    <w:basedOn w:val="DefaultParagraphFont"/>
    <w:uiPriority w:val="99"/>
    <w:semiHidden/>
    <w:unhideWhenUsed/>
    <w:rsid w:val="00BC638F"/>
    <w:rPr>
      <w:color w:val="605E5C"/>
      <w:shd w:val="clear" w:color="auto" w:fill="E1DFDD"/>
    </w:rPr>
  </w:style>
  <w:style w:type="character" w:customStyle="1" w:styleId="hit">
    <w:name w:val="hit"/>
    <w:basedOn w:val="DefaultParagraphFont"/>
    <w:rsid w:val="006A0199"/>
  </w:style>
  <w:style w:type="paragraph" w:styleId="NormalWeb">
    <w:name w:val="Normal (Web)"/>
    <w:basedOn w:val="Normal"/>
    <w:uiPriority w:val="99"/>
    <w:semiHidden/>
    <w:unhideWhenUsed/>
    <w:rsid w:val="000B649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880348">
      <w:bodyDiv w:val="1"/>
      <w:marLeft w:val="0"/>
      <w:marRight w:val="0"/>
      <w:marTop w:val="0"/>
      <w:marBottom w:val="0"/>
      <w:divBdr>
        <w:top w:val="none" w:sz="0" w:space="0" w:color="auto"/>
        <w:left w:val="none" w:sz="0" w:space="0" w:color="auto"/>
        <w:bottom w:val="none" w:sz="0" w:space="0" w:color="auto"/>
        <w:right w:val="none" w:sz="0" w:space="0" w:color="auto"/>
      </w:divBdr>
    </w:div>
    <w:div w:id="462040290">
      <w:bodyDiv w:val="1"/>
      <w:marLeft w:val="0"/>
      <w:marRight w:val="0"/>
      <w:marTop w:val="0"/>
      <w:marBottom w:val="0"/>
      <w:divBdr>
        <w:top w:val="none" w:sz="0" w:space="0" w:color="auto"/>
        <w:left w:val="none" w:sz="0" w:space="0" w:color="auto"/>
        <w:bottom w:val="none" w:sz="0" w:space="0" w:color="auto"/>
        <w:right w:val="none" w:sz="0" w:space="0" w:color="auto"/>
      </w:divBdr>
      <w:divsChild>
        <w:div w:id="1051229954">
          <w:marLeft w:val="0"/>
          <w:marRight w:val="0"/>
          <w:marTop w:val="0"/>
          <w:marBottom w:val="120"/>
          <w:divBdr>
            <w:top w:val="none" w:sz="0" w:space="0" w:color="auto"/>
            <w:left w:val="none" w:sz="0" w:space="0" w:color="auto"/>
            <w:bottom w:val="none" w:sz="0" w:space="0" w:color="auto"/>
            <w:right w:val="none" w:sz="0" w:space="0" w:color="auto"/>
          </w:divBdr>
          <w:divsChild>
            <w:div w:id="1715540832">
              <w:marLeft w:val="0"/>
              <w:marRight w:val="0"/>
              <w:marTop w:val="0"/>
              <w:marBottom w:val="0"/>
              <w:divBdr>
                <w:top w:val="none" w:sz="0" w:space="0" w:color="auto"/>
                <w:left w:val="none" w:sz="0" w:space="0" w:color="auto"/>
                <w:bottom w:val="none" w:sz="0" w:space="0" w:color="auto"/>
                <w:right w:val="none" w:sz="0" w:space="0" w:color="auto"/>
              </w:divBdr>
              <w:divsChild>
                <w:div w:id="639917826">
                  <w:marLeft w:val="0"/>
                  <w:marRight w:val="0"/>
                  <w:marTop w:val="0"/>
                  <w:marBottom w:val="0"/>
                  <w:divBdr>
                    <w:top w:val="none" w:sz="0" w:space="0" w:color="auto"/>
                    <w:left w:val="none" w:sz="0" w:space="0" w:color="auto"/>
                    <w:bottom w:val="none" w:sz="0" w:space="0" w:color="auto"/>
                    <w:right w:val="none" w:sz="0" w:space="0" w:color="auto"/>
                  </w:divBdr>
                  <w:divsChild>
                    <w:div w:id="549536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059452">
              <w:marLeft w:val="0"/>
              <w:marRight w:val="0"/>
              <w:marTop w:val="0"/>
              <w:marBottom w:val="0"/>
              <w:divBdr>
                <w:top w:val="none" w:sz="0" w:space="0" w:color="auto"/>
                <w:left w:val="none" w:sz="0" w:space="0" w:color="auto"/>
                <w:bottom w:val="single" w:sz="6" w:space="0" w:color="000000"/>
                <w:right w:val="none" w:sz="0" w:space="0" w:color="auto"/>
              </w:divBdr>
              <w:divsChild>
                <w:div w:id="184712678">
                  <w:marLeft w:val="0"/>
                  <w:marRight w:val="0"/>
                  <w:marTop w:val="0"/>
                  <w:marBottom w:val="0"/>
                  <w:divBdr>
                    <w:top w:val="none" w:sz="0" w:space="0" w:color="auto"/>
                    <w:left w:val="none" w:sz="0" w:space="0" w:color="auto"/>
                    <w:bottom w:val="none" w:sz="0" w:space="0" w:color="auto"/>
                    <w:right w:val="none" w:sz="0" w:space="0" w:color="auto"/>
                  </w:divBdr>
                  <w:divsChild>
                    <w:div w:id="873692693">
                      <w:marLeft w:val="0"/>
                      <w:marRight w:val="0"/>
                      <w:marTop w:val="0"/>
                      <w:marBottom w:val="0"/>
                      <w:divBdr>
                        <w:top w:val="none" w:sz="0" w:space="0" w:color="auto"/>
                        <w:left w:val="none" w:sz="0" w:space="0" w:color="auto"/>
                        <w:bottom w:val="none" w:sz="0" w:space="0" w:color="auto"/>
                        <w:right w:val="none" w:sz="0" w:space="0" w:color="auto"/>
                      </w:divBdr>
                      <w:divsChild>
                        <w:div w:id="156699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040669">
                  <w:marLeft w:val="0"/>
                  <w:marRight w:val="0"/>
                  <w:marTop w:val="0"/>
                  <w:marBottom w:val="0"/>
                  <w:divBdr>
                    <w:top w:val="none" w:sz="0" w:space="0" w:color="auto"/>
                    <w:left w:val="none" w:sz="0" w:space="0" w:color="auto"/>
                    <w:bottom w:val="none" w:sz="0" w:space="0" w:color="auto"/>
                    <w:right w:val="none" w:sz="0" w:space="0" w:color="auto"/>
                  </w:divBdr>
                  <w:divsChild>
                    <w:div w:id="1992323896">
                      <w:marLeft w:val="0"/>
                      <w:marRight w:val="0"/>
                      <w:marTop w:val="0"/>
                      <w:marBottom w:val="0"/>
                      <w:divBdr>
                        <w:top w:val="none" w:sz="0" w:space="0" w:color="auto"/>
                        <w:left w:val="none" w:sz="0" w:space="0" w:color="auto"/>
                        <w:bottom w:val="none" w:sz="0" w:space="0" w:color="auto"/>
                        <w:right w:val="none" w:sz="0" w:space="0" w:color="auto"/>
                      </w:divBdr>
                      <w:divsChild>
                        <w:div w:id="51835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512690">
          <w:marLeft w:val="0"/>
          <w:marRight w:val="0"/>
          <w:marTop w:val="0"/>
          <w:marBottom w:val="120"/>
          <w:divBdr>
            <w:top w:val="none" w:sz="0" w:space="0" w:color="auto"/>
            <w:left w:val="none" w:sz="0" w:space="0" w:color="auto"/>
            <w:bottom w:val="none" w:sz="0" w:space="0" w:color="auto"/>
            <w:right w:val="none" w:sz="0" w:space="0" w:color="auto"/>
          </w:divBdr>
        </w:div>
      </w:divsChild>
    </w:div>
    <w:div w:id="508180062">
      <w:bodyDiv w:val="1"/>
      <w:marLeft w:val="0"/>
      <w:marRight w:val="0"/>
      <w:marTop w:val="0"/>
      <w:marBottom w:val="0"/>
      <w:divBdr>
        <w:top w:val="none" w:sz="0" w:space="0" w:color="auto"/>
        <w:left w:val="none" w:sz="0" w:space="0" w:color="auto"/>
        <w:bottom w:val="none" w:sz="0" w:space="0" w:color="auto"/>
        <w:right w:val="none" w:sz="0" w:space="0" w:color="auto"/>
      </w:divBdr>
    </w:div>
    <w:div w:id="520893512">
      <w:bodyDiv w:val="1"/>
      <w:marLeft w:val="0"/>
      <w:marRight w:val="0"/>
      <w:marTop w:val="0"/>
      <w:marBottom w:val="0"/>
      <w:divBdr>
        <w:top w:val="none" w:sz="0" w:space="0" w:color="auto"/>
        <w:left w:val="none" w:sz="0" w:space="0" w:color="auto"/>
        <w:bottom w:val="none" w:sz="0" w:space="0" w:color="auto"/>
        <w:right w:val="none" w:sz="0" w:space="0" w:color="auto"/>
      </w:divBdr>
    </w:div>
    <w:div w:id="656420199">
      <w:bodyDiv w:val="1"/>
      <w:marLeft w:val="0"/>
      <w:marRight w:val="0"/>
      <w:marTop w:val="0"/>
      <w:marBottom w:val="0"/>
      <w:divBdr>
        <w:top w:val="none" w:sz="0" w:space="0" w:color="auto"/>
        <w:left w:val="none" w:sz="0" w:space="0" w:color="auto"/>
        <w:bottom w:val="none" w:sz="0" w:space="0" w:color="auto"/>
        <w:right w:val="none" w:sz="0" w:space="0" w:color="auto"/>
      </w:divBdr>
    </w:div>
    <w:div w:id="825585247">
      <w:bodyDiv w:val="1"/>
      <w:marLeft w:val="0"/>
      <w:marRight w:val="0"/>
      <w:marTop w:val="0"/>
      <w:marBottom w:val="0"/>
      <w:divBdr>
        <w:top w:val="none" w:sz="0" w:space="0" w:color="auto"/>
        <w:left w:val="none" w:sz="0" w:space="0" w:color="auto"/>
        <w:bottom w:val="none" w:sz="0" w:space="0" w:color="auto"/>
        <w:right w:val="none" w:sz="0" w:space="0" w:color="auto"/>
      </w:divBdr>
    </w:div>
    <w:div w:id="849292143">
      <w:bodyDiv w:val="1"/>
      <w:marLeft w:val="0"/>
      <w:marRight w:val="0"/>
      <w:marTop w:val="0"/>
      <w:marBottom w:val="0"/>
      <w:divBdr>
        <w:top w:val="none" w:sz="0" w:space="0" w:color="auto"/>
        <w:left w:val="none" w:sz="0" w:space="0" w:color="auto"/>
        <w:bottom w:val="none" w:sz="0" w:space="0" w:color="auto"/>
        <w:right w:val="none" w:sz="0" w:space="0" w:color="auto"/>
      </w:divBdr>
      <w:divsChild>
        <w:div w:id="402266488">
          <w:marLeft w:val="0"/>
          <w:marRight w:val="0"/>
          <w:marTop w:val="0"/>
          <w:marBottom w:val="0"/>
          <w:divBdr>
            <w:top w:val="none" w:sz="0" w:space="0" w:color="auto"/>
            <w:left w:val="none" w:sz="0" w:space="0" w:color="auto"/>
            <w:bottom w:val="none" w:sz="0" w:space="0" w:color="auto"/>
            <w:right w:val="none" w:sz="0" w:space="0" w:color="auto"/>
          </w:divBdr>
          <w:divsChild>
            <w:div w:id="1588348321">
              <w:marLeft w:val="0"/>
              <w:marRight w:val="0"/>
              <w:marTop w:val="0"/>
              <w:marBottom w:val="0"/>
              <w:divBdr>
                <w:top w:val="none" w:sz="0" w:space="0" w:color="auto"/>
                <w:left w:val="none" w:sz="0" w:space="0" w:color="auto"/>
                <w:bottom w:val="none" w:sz="0" w:space="0" w:color="auto"/>
                <w:right w:val="none" w:sz="0" w:space="0" w:color="auto"/>
              </w:divBdr>
            </w:div>
            <w:div w:id="1169251707">
              <w:marLeft w:val="0"/>
              <w:marRight w:val="0"/>
              <w:marTop w:val="0"/>
              <w:marBottom w:val="0"/>
              <w:divBdr>
                <w:top w:val="none" w:sz="0" w:space="0" w:color="auto"/>
                <w:left w:val="none" w:sz="0" w:space="0" w:color="auto"/>
                <w:bottom w:val="none" w:sz="0" w:space="0" w:color="auto"/>
                <w:right w:val="none" w:sz="0" w:space="0" w:color="auto"/>
              </w:divBdr>
            </w:div>
            <w:div w:id="144738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993083">
      <w:bodyDiv w:val="1"/>
      <w:marLeft w:val="0"/>
      <w:marRight w:val="0"/>
      <w:marTop w:val="0"/>
      <w:marBottom w:val="0"/>
      <w:divBdr>
        <w:top w:val="none" w:sz="0" w:space="0" w:color="auto"/>
        <w:left w:val="none" w:sz="0" w:space="0" w:color="auto"/>
        <w:bottom w:val="none" w:sz="0" w:space="0" w:color="auto"/>
        <w:right w:val="none" w:sz="0" w:space="0" w:color="auto"/>
      </w:divBdr>
      <w:divsChild>
        <w:div w:id="788671">
          <w:marLeft w:val="0"/>
          <w:marRight w:val="0"/>
          <w:marTop w:val="0"/>
          <w:marBottom w:val="120"/>
          <w:divBdr>
            <w:top w:val="none" w:sz="0" w:space="0" w:color="auto"/>
            <w:left w:val="none" w:sz="0" w:space="0" w:color="auto"/>
            <w:bottom w:val="single" w:sz="12" w:space="9" w:color="EBEBEB"/>
            <w:right w:val="none" w:sz="0" w:space="0" w:color="auto"/>
          </w:divBdr>
          <w:divsChild>
            <w:div w:id="371462285">
              <w:marLeft w:val="0"/>
              <w:marRight w:val="0"/>
              <w:marTop w:val="100"/>
              <w:marBottom w:val="100"/>
              <w:divBdr>
                <w:top w:val="none" w:sz="0" w:space="0" w:color="auto"/>
                <w:left w:val="none" w:sz="0" w:space="0" w:color="auto"/>
                <w:bottom w:val="none" w:sz="0" w:space="0" w:color="auto"/>
                <w:right w:val="none" w:sz="0" w:space="0" w:color="auto"/>
              </w:divBdr>
              <w:divsChild>
                <w:div w:id="973874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539891">
          <w:marLeft w:val="0"/>
          <w:marRight w:val="0"/>
          <w:marTop w:val="0"/>
          <w:marBottom w:val="120"/>
          <w:divBdr>
            <w:top w:val="none" w:sz="0" w:space="0" w:color="auto"/>
            <w:left w:val="none" w:sz="0" w:space="0" w:color="auto"/>
            <w:bottom w:val="none" w:sz="0" w:space="0" w:color="auto"/>
            <w:right w:val="none" w:sz="0" w:space="0" w:color="auto"/>
          </w:divBdr>
          <w:divsChild>
            <w:div w:id="597637782">
              <w:marLeft w:val="0"/>
              <w:marRight w:val="0"/>
              <w:marTop w:val="0"/>
              <w:marBottom w:val="0"/>
              <w:divBdr>
                <w:top w:val="none" w:sz="0" w:space="0" w:color="auto"/>
                <w:left w:val="none" w:sz="0" w:space="0" w:color="auto"/>
                <w:bottom w:val="none" w:sz="0" w:space="0" w:color="auto"/>
                <w:right w:val="none" w:sz="0" w:space="0" w:color="auto"/>
              </w:divBdr>
              <w:divsChild>
                <w:div w:id="1610359861">
                  <w:marLeft w:val="0"/>
                  <w:marRight w:val="0"/>
                  <w:marTop w:val="0"/>
                  <w:marBottom w:val="0"/>
                  <w:divBdr>
                    <w:top w:val="none" w:sz="0" w:space="0" w:color="auto"/>
                    <w:left w:val="none" w:sz="0" w:space="0" w:color="auto"/>
                    <w:bottom w:val="none" w:sz="0" w:space="0" w:color="auto"/>
                    <w:right w:val="none" w:sz="0" w:space="0" w:color="auto"/>
                  </w:divBdr>
                  <w:divsChild>
                    <w:div w:id="32251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37809">
      <w:bodyDiv w:val="1"/>
      <w:marLeft w:val="0"/>
      <w:marRight w:val="0"/>
      <w:marTop w:val="0"/>
      <w:marBottom w:val="0"/>
      <w:divBdr>
        <w:top w:val="none" w:sz="0" w:space="0" w:color="auto"/>
        <w:left w:val="none" w:sz="0" w:space="0" w:color="auto"/>
        <w:bottom w:val="none" w:sz="0" w:space="0" w:color="auto"/>
        <w:right w:val="none" w:sz="0" w:space="0" w:color="auto"/>
      </w:divBdr>
    </w:div>
    <w:div w:id="1464888069">
      <w:bodyDiv w:val="1"/>
      <w:marLeft w:val="0"/>
      <w:marRight w:val="0"/>
      <w:marTop w:val="0"/>
      <w:marBottom w:val="0"/>
      <w:divBdr>
        <w:top w:val="none" w:sz="0" w:space="0" w:color="auto"/>
        <w:left w:val="none" w:sz="0" w:space="0" w:color="auto"/>
        <w:bottom w:val="none" w:sz="0" w:space="0" w:color="auto"/>
        <w:right w:val="none" w:sz="0" w:space="0" w:color="auto"/>
      </w:divBdr>
    </w:div>
    <w:div w:id="1599941883">
      <w:bodyDiv w:val="1"/>
      <w:marLeft w:val="0"/>
      <w:marRight w:val="0"/>
      <w:marTop w:val="0"/>
      <w:marBottom w:val="0"/>
      <w:divBdr>
        <w:top w:val="none" w:sz="0" w:space="0" w:color="auto"/>
        <w:left w:val="none" w:sz="0" w:space="0" w:color="auto"/>
        <w:bottom w:val="none" w:sz="0" w:space="0" w:color="auto"/>
        <w:right w:val="none" w:sz="0" w:space="0" w:color="auto"/>
      </w:divBdr>
      <w:divsChild>
        <w:div w:id="452016708">
          <w:marLeft w:val="0"/>
          <w:marRight w:val="0"/>
          <w:marTop w:val="0"/>
          <w:marBottom w:val="0"/>
          <w:divBdr>
            <w:top w:val="none" w:sz="0" w:space="0" w:color="auto"/>
            <w:left w:val="none" w:sz="0" w:space="0" w:color="auto"/>
            <w:bottom w:val="none" w:sz="0" w:space="0" w:color="auto"/>
            <w:right w:val="none" w:sz="0" w:space="0" w:color="auto"/>
          </w:divBdr>
        </w:div>
        <w:div w:id="1706832478">
          <w:marLeft w:val="0"/>
          <w:marRight w:val="0"/>
          <w:marTop w:val="0"/>
          <w:marBottom w:val="0"/>
          <w:divBdr>
            <w:top w:val="none" w:sz="0" w:space="0" w:color="auto"/>
            <w:left w:val="none" w:sz="0" w:space="0" w:color="auto"/>
            <w:bottom w:val="none" w:sz="0" w:space="0" w:color="auto"/>
            <w:right w:val="none" w:sz="0" w:space="0" w:color="auto"/>
          </w:divBdr>
        </w:div>
        <w:div w:id="1477986875">
          <w:marLeft w:val="0"/>
          <w:marRight w:val="0"/>
          <w:marTop w:val="0"/>
          <w:marBottom w:val="0"/>
          <w:divBdr>
            <w:top w:val="none" w:sz="0" w:space="0" w:color="auto"/>
            <w:left w:val="none" w:sz="0" w:space="0" w:color="auto"/>
            <w:bottom w:val="none" w:sz="0" w:space="0" w:color="auto"/>
            <w:right w:val="none" w:sz="0" w:space="0" w:color="auto"/>
          </w:divBdr>
        </w:div>
      </w:divsChild>
    </w:div>
    <w:div w:id="1605185289">
      <w:bodyDiv w:val="1"/>
      <w:marLeft w:val="0"/>
      <w:marRight w:val="0"/>
      <w:marTop w:val="0"/>
      <w:marBottom w:val="0"/>
      <w:divBdr>
        <w:top w:val="none" w:sz="0" w:space="0" w:color="auto"/>
        <w:left w:val="none" w:sz="0" w:space="0" w:color="auto"/>
        <w:bottom w:val="none" w:sz="0" w:space="0" w:color="auto"/>
        <w:right w:val="none" w:sz="0" w:space="0" w:color="auto"/>
      </w:divBdr>
    </w:div>
    <w:div w:id="1963489031">
      <w:bodyDiv w:val="1"/>
      <w:marLeft w:val="0"/>
      <w:marRight w:val="0"/>
      <w:marTop w:val="0"/>
      <w:marBottom w:val="0"/>
      <w:divBdr>
        <w:top w:val="none" w:sz="0" w:space="0" w:color="auto"/>
        <w:left w:val="none" w:sz="0" w:space="0" w:color="auto"/>
        <w:bottom w:val="none" w:sz="0" w:space="0" w:color="auto"/>
        <w:right w:val="none" w:sz="0" w:space="0" w:color="auto"/>
      </w:divBdr>
      <w:divsChild>
        <w:div w:id="2085370149">
          <w:marLeft w:val="0"/>
          <w:marRight w:val="0"/>
          <w:marTop w:val="0"/>
          <w:marBottom w:val="0"/>
          <w:divBdr>
            <w:top w:val="none" w:sz="0" w:space="0" w:color="auto"/>
            <w:left w:val="none" w:sz="0" w:space="0" w:color="auto"/>
            <w:bottom w:val="none" w:sz="0" w:space="0" w:color="auto"/>
            <w:right w:val="none" w:sz="0" w:space="0" w:color="auto"/>
          </w:divBdr>
          <w:divsChild>
            <w:div w:id="762728226">
              <w:marLeft w:val="0"/>
              <w:marRight w:val="0"/>
              <w:marTop w:val="0"/>
              <w:marBottom w:val="0"/>
              <w:divBdr>
                <w:top w:val="none" w:sz="0" w:space="0" w:color="auto"/>
                <w:left w:val="none" w:sz="0" w:space="0" w:color="auto"/>
                <w:bottom w:val="none" w:sz="0" w:space="0" w:color="auto"/>
                <w:right w:val="none" w:sz="0" w:space="0" w:color="auto"/>
              </w:divBdr>
            </w:div>
          </w:divsChild>
        </w:div>
        <w:div w:id="888079240">
          <w:marLeft w:val="0"/>
          <w:marRight w:val="0"/>
          <w:marTop w:val="0"/>
          <w:marBottom w:val="0"/>
          <w:divBdr>
            <w:top w:val="none" w:sz="0" w:space="0" w:color="auto"/>
            <w:left w:val="none" w:sz="0" w:space="0" w:color="auto"/>
            <w:bottom w:val="none" w:sz="0" w:space="0" w:color="auto"/>
            <w:right w:val="none" w:sz="0" w:space="0" w:color="auto"/>
          </w:divBdr>
          <w:divsChild>
            <w:div w:id="1411736538">
              <w:marLeft w:val="0"/>
              <w:marRight w:val="0"/>
              <w:marTop w:val="0"/>
              <w:marBottom w:val="0"/>
              <w:divBdr>
                <w:top w:val="none" w:sz="0" w:space="0" w:color="auto"/>
                <w:left w:val="none" w:sz="0" w:space="0" w:color="auto"/>
                <w:bottom w:val="none" w:sz="0" w:space="0" w:color="auto"/>
                <w:right w:val="none" w:sz="0" w:space="0" w:color="auto"/>
              </w:divBdr>
              <w:divsChild>
                <w:div w:id="1256786386">
                  <w:marLeft w:val="0"/>
                  <w:marRight w:val="0"/>
                  <w:marTop w:val="0"/>
                  <w:marBottom w:val="0"/>
                  <w:divBdr>
                    <w:top w:val="none" w:sz="0" w:space="0" w:color="auto"/>
                    <w:left w:val="none" w:sz="0" w:space="0" w:color="auto"/>
                    <w:bottom w:val="none" w:sz="0" w:space="0" w:color="auto"/>
                    <w:right w:val="none" w:sz="0" w:space="0" w:color="auto"/>
                  </w:divBdr>
                </w:div>
                <w:div w:id="1435515218">
                  <w:marLeft w:val="0"/>
                  <w:marRight w:val="0"/>
                  <w:marTop w:val="0"/>
                  <w:marBottom w:val="0"/>
                  <w:divBdr>
                    <w:top w:val="none" w:sz="0" w:space="0" w:color="auto"/>
                    <w:left w:val="none" w:sz="0" w:space="0" w:color="auto"/>
                    <w:bottom w:val="none" w:sz="0" w:space="0" w:color="auto"/>
                    <w:right w:val="none" w:sz="0" w:space="0" w:color="auto"/>
                  </w:divBdr>
                </w:div>
                <w:div w:id="24229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468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ciencedirect.com/journal/digital-business/vol/2/issue/2" TargetMode="External"/><Relationship Id="rId18" Type="http://schemas.openxmlformats.org/officeDocument/2006/relationships/image" Target="media/image5.png"/><Relationship Id="rId26" Type="http://schemas.openxmlformats.org/officeDocument/2006/relationships/hyperlink" Target="https://doi.org/10.1108/LODJ-05-2021-0234" TargetMode="External"/><Relationship Id="rId3" Type="http://schemas.openxmlformats.org/officeDocument/2006/relationships/webSettings" Target="webSettings.xml"/><Relationship Id="rId21" Type="http://schemas.openxmlformats.org/officeDocument/2006/relationships/hyperlink" Target="https://doi.org/10.1016/j.leaqua.2019.101377" TargetMode="External"/><Relationship Id="rId7" Type="http://schemas.openxmlformats.org/officeDocument/2006/relationships/hyperlink" Target="https://www.pdcnet.org/tpm" TargetMode="External"/><Relationship Id="rId12" Type="http://schemas.openxmlformats.org/officeDocument/2006/relationships/hyperlink" Target="https://www.sciencedirect.com/journal/digital-business" TargetMode="External"/><Relationship Id="rId17" Type="http://schemas.openxmlformats.org/officeDocument/2006/relationships/hyperlink" Target="https://www.bcg.com/capabilities/digital-technology-data/digital-transformation/overview?utm_source=search&amp;utm_medium=cpc&amp;utm_campaign=digital&amp;utm_description=paid&amp;utm_topic=digital_transformation&amp;utm_geo=global&amp;utm_content=digital_transformation_group&amp;gclid=Cj0KCQiAx6ugBhCcARIsAGNmMbjB7hYs7exEfOEcOb5UwtI7kNBLeSzehce0A5P5Y4VGXA7ciepCZqgaAqLpEALw_wcB" TargetMode="External"/><Relationship Id="rId25" Type="http://schemas.openxmlformats.org/officeDocument/2006/relationships/hyperlink" Target="https://www.emerald.com/insight/publication/issn/0143-7739" TargetMode="External"/><Relationship Id="rId2" Type="http://schemas.openxmlformats.org/officeDocument/2006/relationships/settings" Target="settings.xml"/><Relationship Id="rId16" Type="http://schemas.openxmlformats.org/officeDocument/2006/relationships/hyperlink" Target="https://doi.org/10.1108/SD-12-2022-0161" TargetMode="External"/><Relationship Id="rId20" Type="http://schemas.openxmlformats.org/officeDocument/2006/relationships/hyperlink" Target="https://www.sciencedirect.com/journal/the-leadership-quarterly/vol/31/issue/1"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3.png"/><Relationship Id="rId24" Type="http://schemas.openxmlformats.org/officeDocument/2006/relationships/hyperlink" Target="https://www.emerald.com/insight/search?q=Wenhao%20Song" TargetMode="External"/><Relationship Id="rId5" Type="http://schemas.openxmlformats.org/officeDocument/2006/relationships/hyperlink" Target="https://doi.org/10.5840/tpm20229612" TargetMode="External"/><Relationship Id="rId15" Type="http://schemas.openxmlformats.org/officeDocument/2006/relationships/hyperlink" Target="https://www.emerald.com/insight/publication/issn/0258-0543" TargetMode="External"/><Relationship Id="rId23" Type="http://schemas.openxmlformats.org/officeDocument/2006/relationships/hyperlink" Target="https://www.emerald.com/insight/search?q=Zhengcong%20Ma" TargetMode="External"/><Relationship Id="rId28" Type="http://schemas.openxmlformats.org/officeDocument/2006/relationships/fontTable" Target="fontTable.xml"/><Relationship Id="rId10" Type="http://schemas.openxmlformats.org/officeDocument/2006/relationships/hyperlink" Target="https://doi.org/10.5840/tpm20229869" TargetMode="External"/><Relationship Id="rId19" Type="http://schemas.openxmlformats.org/officeDocument/2006/relationships/hyperlink" Target="https://www.sciencedirect.com/journal/the-leadership-quarterly" TargetMode="External"/><Relationship Id="rId4" Type="http://schemas.openxmlformats.org/officeDocument/2006/relationships/hyperlink" Target="https://www.pdcnet.org/collection-anonymous/browse?fp=tpm" TargetMode="External"/><Relationship Id="rId9" Type="http://schemas.openxmlformats.org/officeDocument/2006/relationships/hyperlink" Target="https://www.pdcnet.org/collection-anonymous/browse?fp=tpm" TargetMode="External"/><Relationship Id="rId14" Type="http://schemas.openxmlformats.org/officeDocument/2006/relationships/image" Target="media/image4.gif"/><Relationship Id="rId22" Type="http://schemas.openxmlformats.org/officeDocument/2006/relationships/hyperlink" Target="https://www.emerald.com/insight/search?q=Jun%20Yu" TargetMode="External"/><Relationship Id="rId27" Type="http://schemas.openxmlformats.org/officeDocument/2006/relationships/hyperlink" Target="https://doi.org/10.1007/978-3-319-77703-0_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TotalTime>
  <Pages>11</Pages>
  <Words>4173</Words>
  <Characters>23791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Stephen</cp:lastModifiedBy>
  <cp:revision>17</cp:revision>
  <dcterms:created xsi:type="dcterms:W3CDTF">2023-03-08T08:44:00Z</dcterms:created>
  <dcterms:modified xsi:type="dcterms:W3CDTF">2023-03-12T12:42:00Z</dcterms:modified>
</cp:coreProperties>
</file>