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91D17" w:rsidRPr="00191D17" w:rsidRDefault="00191D17" w:rsidP="00191D17">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191D17">
        <w:rPr>
          <w:rFonts w:ascii="Arial" w:eastAsia="Times New Roman" w:hAnsi="Arial" w:cs="Arial"/>
          <w:b/>
          <w:color w:val="000000"/>
          <w:sz w:val="28"/>
          <w:szCs w:val="28"/>
          <w:lang w:eastAsia="en-GB"/>
        </w:rPr>
        <w:t>Task 1</w:t>
      </w:r>
    </w:p>
    <w:p w:rsidR="00191D17" w:rsidRPr="00191D17" w:rsidRDefault="00191D17" w:rsidP="00191D17">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p>
    <w:p w:rsidR="00191D17" w:rsidRPr="00191D17" w:rsidRDefault="00191D17" w:rsidP="00191D17">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191D17">
        <w:rPr>
          <w:rFonts w:ascii="Arial" w:eastAsia="Times New Roman" w:hAnsi="Arial" w:cs="Arial"/>
          <w:b/>
          <w:color w:val="000000"/>
          <w:sz w:val="28"/>
          <w:szCs w:val="28"/>
          <w:lang w:eastAsia="en-GB"/>
        </w:rPr>
        <w:t>Developmental review – Part a</w:t>
      </w:r>
    </w:p>
    <w:p w:rsidR="00191D17" w:rsidRPr="00191D17" w:rsidRDefault="00191D17" w:rsidP="00191D17">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191D17" w:rsidRPr="00191D17" w:rsidRDefault="00191D17" w:rsidP="00191D17">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191D17">
        <w:rPr>
          <w:rFonts w:ascii="Arial" w:eastAsia="Times New Roman" w:hAnsi="Arial" w:cs="Arial"/>
          <w:b/>
          <w:bCs/>
          <w:i/>
          <w:iCs/>
          <w:color w:val="000000"/>
          <w:sz w:val="24"/>
          <w:szCs w:val="24"/>
          <w:lang w:eastAsia="en-GB"/>
        </w:rPr>
        <w:t>Guidanc</w:t>
      </w:r>
      <w:r w:rsidRPr="00191D17">
        <w:rPr>
          <w:rFonts w:ascii="Arial" w:eastAsia="Times New Roman" w:hAnsi="Arial" w:cs="Arial"/>
          <w:b/>
          <w:i/>
          <w:iCs/>
          <w:color w:val="000000"/>
          <w:sz w:val="24"/>
          <w:szCs w:val="24"/>
          <w:lang w:eastAsia="en-GB"/>
        </w:rPr>
        <w:t>e</w:t>
      </w:r>
      <w:r w:rsidRPr="00191D17">
        <w:rPr>
          <w:rFonts w:ascii="Arial" w:eastAsia="Times New Roman" w:hAnsi="Arial" w:cs="Arial"/>
          <w:i/>
          <w:iCs/>
          <w:color w:val="000000"/>
          <w:sz w:val="24"/>
          <w:szCs w:val="24"/>
          <w:lang w:eastAsia="en-GB"/>
        </w:rPr>
        <w:t xml:space="preserve">: </w:t>
      </w:r>
    </w:p>
    <w:p w:rsidR="00191D17" w:rsidRPr="00191D17" w:rsidRDefault="00191D17" w:rsidP="00191D17">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191D17">
        <w:rPr>
          <w:rFonts w:ascii="Arial" w:eastAsia="Times New Roman" w:hAnsi="Arial" w:cs="Arial"/>
          <w:i/>
          <w:iCs/>
          <w:color w:val="000000"/>
          <w:sz w:val="24"/>
          <w:szCs w:val="24"/>
          <w:lang w:eastAsia="en-GB"/>
        </w:rPr>
        <w:t>This task should be completed by taking into account</w:t>
      </w:r>
      <w:r w:rsidRPr="00191D17">
        <w:rPr>
          <w:rFonts w:ascii="Arial" w:eastAsia="Times New Roman" w:hAnsi="Arial" w:cs="Arial"/>
          <w:color w:val="000000"/>
          <w:sz w:val="24"/>
          <w:szCs w:val="24"/>
          <w:lang w:eastAsia="en-GB"/>
        </w:rPr>
        <w:t xml:space="preserve"> </w:t>
      </w:r>
      <w:r w:rsidRPr="00191D17">
        <w:rPr>
          <w:rFonts w:ascii="Arial" w:eastAsia="Times New Roman" w:hAnsi="Arial" w:cs="Arial"/>
          <w:i/>
          <w:iCs/>
          <w:color w:val="000000"/>
          <w:sz w:val="24"/>
          <w:szCs w:val="24"/>
          <w:lang w:eastAsia="en-GB"/>
        </w:rPr>
        <w:t xml:space="preserve">the work that you will have undertaken since qualifying, and discussions with your mentor and supervisor/line manager as part of your First Three Years of Practice Individual Plan. </w:t>
      </w:r>
    </w:p>
    <w:p w:rsidR="00191D17" w:rsidRPr="00191D17" w:rsidRDefault="00191D17" w:rsidP="00191D17">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191D17">
        <w:rPr>
          <w:rFonts w:ascii="Arial" w:eastAsia="Times New Roman" w:hAnsi="Arial" w:cs="Arial"/>
          <w:i/>
          <w:iCs/>
          <w:color w:val="000000"/>
          <w:sz w:val="24"/>
          <w:szCs w:val="24"/>
          <w:lang w:eastAsia="en-GB"/>
        </w:rPr>
        <w:t xml:space="preserve">Task one (part </w:t>
      </w:r>
      <w:proofErr w:type="gramStart"/>
      <w:r w:rsidRPr="00191D17">
        <w:rPr>
          <w:rFonts w:ascii="Arial" w:eastAsia="Times New Roman" w:hAnsi="Arial" w:cs="Arial"/>
          <w:i/>
          <w:iCs/>
          <w:color w:val="000000"/>
          <w:sz w:val="24"/>
          <w:szCs w:val="24"/>
          <w:lang w:eastAsia="en-GB"/>
        </w:rPr>
        <w:t>a and</w:t>
      </w:r>
      <w:proofErr w:type="gramEnd"/>
      <w:r w:rsidRPr="00191D17">
        <w:rPr>
          <w:rFonts w:ascii="Arial" w:eastAsia="Times New Roman" w:hAnsi="Arial" w:cs="Arial"/>
          <w:i/>
          <w:iCs/>
          <w:color w:val="000000"/>
          <w:sz w:val="24"/>
          <w:szCs w:val="24"/>
          <w:lang w:eastAsia="en-GB"/>
        </w:rPr>
        <w:t xml:space="preserve"> b) should incorporate the use of a model of reflection.</w:t>
      </w:r>
    </w:p>
    <w:p w:rsidR="00191D17" w:rsidRPr="00191D17" w:rsidRDefault="00191D17" w:rsidP="00191D17">
      <w:pPr>
        <w:overflowPunct w:val="0"/>
        <w:autoSpaceDE w:val="0"/>
        <w:autoSpaceDN w:val="0"/>
        <w:adjustRightInd w:val="0"/>
        <w:spacing w:after="0" w:line="240" w:lineRule="auto"/>
        <w:jc w:val="both"/>
        <w:textAlignment w:val="baseline"/>
        <w:rPr>
          <w:rFonts w:ascii="Arial" w:eastAsia="Times New Roman" w:hAnsi="Arial" w:cs="Arial"/>
          <w:i/>
          <w:iCs/>
          <w:sz w:val="24"/>
          <w:szCs w:val="24"/>
          <w:highlight w:val="yellow"/>
          <w:lang w:eastAsia="en-GB"/>
        </w:rPr>
      </w:pPr>
      <w:r w:rsidRPr="00191D17">
        <w:rPr>
          <w:rFonts w:ascii="Arial" w:eastAsia="Times New Roman" w:hAnsi="Arial" w:cs="Arial"/>
          <w:i/>
          <w:iCs/>
          <w:color w:val="000000"/>
          <w:sz w:val="24"/>
          <w:szCs w:val="24"/>
          <w:lang w:eastAsia="en-GB"/>
        </w:rPr>
        <w:t>You must meet the Learning Outcomes for this task (</w:t>
      </w:r>
      <w:r w:rsidRPr="00191D17">
        <w:rPr>
          <w:rFonts w:ascii="Arial" w:eastAsia="Times New Roman" w:hAnsi="Arial" w:cs="Arial"/>
          <w:i/>
          <w:iCs/>
          <w:sz w:val="24"/>
          <w:szCs w:val="24"/>
          <w:lang w:eastAsia="en-GB"/>
        </w:rPr>
        <w:t>see appendix 5 of the handbook).</w:t>
      </w:r>
    </w:p>
    <w:p w:rsidR="00191D17" w:rsidRPr="00191D17" w:rsidRDefault="00191D17" w:rsidP="00191D17">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191D17">
        <w:rPr>
          <w:rFonts w:ascii="Arial" w:eastAsia="Times New Roman" w:hAnsi="Arial" w:cs="Arial"/>
          <w:i/>
          <w:iCs/>
          <w:color w:val="000000"/>
          <w:sz w:val="24"/>
          <w:szCs w:val="24"/>
          <w:lang w:eastAsia="en-GB"/>
        </w:rPr>
        <w:t xml:space="preserve">Please answer the question below. </w:t>
      </w:r>
    </w:p>
    <w:p w:rsidR="00191D17" w:rsidRPr="00191D17" w:rsidRDefault="00191D17" w:rsidP="00191D17">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p w:rsidR="00191D17" w:rsidRPr="00191D17" w:rsidRDefault="00191D17" w:rsidP="00191D17">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60"/>
      </w:tblGrid>
      <w:tr w:rsidR="00191D17" w:rsidRPr="00191D17" w:rsidTr="000A6429">
        <w:tc>
          <w:tcPr>
            <w:tcW w:w="10060" w:type="dxa"/>
            <w:shd w:val="clear" w:color="auto" w:fill="auto"/>
          </w:tcPr>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
                <w:iCs/>
                <w:color w:val="000000"/>
                <w:sz w:val="24"/>
                <w:szCs w:val="24"/>
                <w:lang w:eastAsia="en-GB"/>
              </w:rPr>
            </w:pPr>
            <w:r w:rsidRPr="00191D17">
              <w:rPr>
                <w:rFonts w:ascii="Arial" w:eastAsia="Times New Roman" w:hAnsi="Arial" w:cs="Arial"/>
                <w:i/>
                <w:iCs/>
                <w:color w:val="000000"/>
                <w:sz w:val="24"/>
                <w:szCs w:val="24"/>
                <w:lang w:eastAsia="en-GB"/>
              </w:rPr>
              <w:t>Question:</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
                <w:iCs/>
                <w:color w:val="000000"/>
                <w:sz w:val="24"/>
                <w:szCs w:val="24"/>
                <w:lang w:eastAsia="en-GB"/>
              </w:rPr>
            </w:pP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191D17">
              <w:rPr>
                <w:rFonts w:ascii="Arial" w:eastAsia="Times New Roman" w:hAnsi="Arial" w:cs="Arial"/>
                <w:color w:val="000000"/>
                <w:sz w:val="24"/>
                <w:szCs w:val="24"/>
                <w:lang w:eastAsia="en-GB"/>
              </w:rPr>
              <w:t>Using a reflective model critically reflect on your professional development since qualifying as a Social Worker. Make reference to the supervision, training, learning and research that has impacted on your work. Based on this and continuing to use a reflective model</w:t>
            </w:r>
            <w:bookmarkStart w:id="0" w:name="_Hlk6242578"/>
            <w:r w:rsidRPr="00191D17">
              <w:rPr>
                <w:rFonts w:ascii="Arial" w:eastAsia="Times New Roman" w:hAnsi="Arial" w:cs="Arial"/>
                <w:color w:val="000000"/>
                <w:sz w:val="24"/>
                <w:szCs w:val="24"/>
                <w:lang w:eastAsia="en-GB"/>
              </w:rPr>
              <w:t xml:space="preserve"> outline what you have identified and agreed with your manager and/or mentor for your development over the coming 12 months. You must demonstrate how you intend to meet all of the following learning outcomes:- </w:t>
            </w:r>
          </w:p>
          <w:bookmarkEnd w:id="0"/>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191D17" w:rsidRPr="00191D17" w:rsidRDefault="00191D17" w:rsidP="00191D17">
            <w:pPr>
              <w:numPr>
                <w:ilvl w:val="0"/>
                <w:numId w:val="1"/>
              </w:num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191D17">
              <w:rPr>
                <w:rFonts w:ascii="Arial" w:eastAsia="Times New Roman" w:hAnsi="Arial" w:cs="Arial"/>
                <w:color w:val="000000"/>
                <w:sz w:val="24"/>
                <w:szCs w:val="24"/>
                <w:lang w:eastAsia="en-GB"/>
              </w:rPr>
              <w:t>applying analysis in assessment to inform interventions;</w:t>
            </w:r>
          </w:p>
          <w:p w:rsidR="00191D17" w:rsidRPr="00191D17" w:rsidRDefault="00191D17" w:rsidP="00191D17">
            <w:pPr>
              <w:numPr>
                <w:ilvl w:val="0"/>
                <w:numId w:val="1"/>
              </w:num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191D17">
              <w:rPr>
                <w:rFonts w:ascii="Arial" w:eastAsia="Times New Roman" w:hAnsi="Arial" w:cs="Arial"/>
                <w:color w:val="000000"/>
                <w:sz w:val="24"/>
                <w:szCs w:val="24"/>
                <w:lang w:eastAsia="en-GB"/>
              </w:rPr>
              <w:t xml:space="preserve">working collaboratively with people in need of care and support, their </w:t>
            </w:r>
            <w:proofErr w:type="spellStart"/>
            <w:r w:rsidRPr="00191D17">
              <w:rPr>
                <w:rFonts w:ascii="Arial" w:eastAsia="Times New Roman" w:hAnsi="Arial" w:cs="Arial"/>
                <w:color w:val="000000"/>
                <w:sz w:val="24"/>
                <w:szCs w:val="24"/>
                <w:lang w:eastAsia="en-GB"/>
              </w:rPr>
              <w:t>carers</w:t>
            </w:r>
            <w:proofErr w:type="spellEnd"/>
            <w:r w:rsidRPr="00191D17">
              <w:rPr>
                <w:rFonts w:ascii="Arial" w:eastAsia="Times New Roman" w:hAnsi="Arial" w:cs="Arial"/>
                <w:i/>
                <w:iCs/>
                <w:color w:val="000000"/>
                <w:sz w:val="24"/>
                <w:szCs w:val="24"/>
                <w:lang w:eastAsia="en-GB"/>
              </w:rPr>
              <w:t xml:space="preserve"> </w:t>
            </w:r>
            <w:r w:rsidRPr="00191D17">
              <w:rPr>
                <w:rFonts w:ascii="Arial" w:eastAsia="Times New Roman" w:hAnsi="Arial" w:cs="Arial"/>
                <w:color w:val="000000"/>
                <w:sz w:val="24"/>
                <w:szCs w:val="24"/>
                <w:lang w:eastAsia="en-GB"/>
              </w:rPr>
              <w:t>and other professionals;</w:t>
            </w:r>
          </w:p>
          <w:p w:rsidR="00191D17" w:rsidRPr="00191D17" w:rsidRDefault="00191D17" w:rsidP="00191D17">
            <w:pPr>
              <w:numPr>
                <w:ilvl w:val="0"/>
                <w:numId w:val="1"/>
              </w:num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191D17">
              <w:rPr>
                <w:rFonts w:ascii="Arial" w:eastAsia="Times New Roman" w:hAnsi="Arial" w:cs="Arial"/>
                <w:color w:val="000000"/>
                <w:sz w:val="24"/>
                <w:szCs w:val="24"/>
                <w:lang w:eastAsia="en-GB"/>
              </w:rPr>
              <w:t>Intervention and application of professional judgement in increasingly complex situations.</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
                <w:iCs/>
                <w:color w:val="000000"/>
                <w:sz w:val="24"/>
                <w:szCs w:val="24"/>
                <w:lang w:eastAsia="en-GB"/>
              </w:rPr>
            </w:pPr>
            <w:r w:rsidRPr="00191D17">
              <w:rPr>
                <w:rFonts w:ascii="Arial" w:eastAsia="Times New Roman" w:hAnsi="Arial" w:cs="Arial"/>
                <w:i/>
                <w:iCs/>
                <w:color w:val="000000"/>
                <w:sz w:val="24"/>
                <w:szCs w:val="24"/>
                <w:lang w:eastAsia="en-GB"/>
              </w:rPr>
              <w:t>750 words (+/- 10%:  include your actual word count at the end of each section).</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
                <w:iCs/>
                <w:color w:val="000000"/>
                <w:sz w:val="24"/>
                <w:szCs w:val="24"/>
                <w:lang w:eastAsia="en-GB"/>
              </w:rPr>
            </w:pP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 xml:space="preserve">Professional development is a process of building on knowledge, skills, and competencies in a particular profession (Blackwell, 2019). This requires ‘an ongoing investment’ into the development (Harlow, 2013).  </w:t>
            </w:r>
            <w:proofErr w:type="spellStart"/>
            <w:r w:rsidRPr="00191D17">
              <w:rPr>
                <w:rFonts w:ascii="Arial" w:eastAsia="Times New Roman" w:hAnsi="Arial" w:cs="Arial"/>
                <w:iCs/>
                <w:color w:val="000000"/>
                <w:sz w:val="24"/>
                <w:szCs w:val="24"/>
                <w:lang w:eastAsia="en-GB"/>
              </w:rPr>
              <w:t>Ravey</w:t>
            </w:r>
            <w:proofErr w:type="spellEnd"/>
            <w:r w:rsidRPr="00191D17">
              <w:rPr>
                <w:rFonts w:ascii="Arial" w:eastAsia="Times New Roman" w:hAnsi="Arial" w:cs="Arial"/>
                <w:iCs/>
                <w:color w:val="000000"/>
                <w:sz w:val="24"/>
                <w:szCs w:val="24"/>
                <w:lang w:eastAsia="en-GB"/>
              </w:rPr>
              <w:t xml:space="preserve"> (2013) elaborates, that critical reflection is an ‘integral tool’ to enable learning in ‘a structured way’. To reflect on my professional development post-qualifying, I will use Rolfe et </w:t>
            </w:r>
            <w:proofErr w:type="spellStart"/>
            <w:r w:rsidRPr="00191D17">
              <w:rPr>
                <w:rFonts w:ascii="Arial" w:eastAsia="Times New Roman" w:hAnsi="Arial" w:cs="Arial"/>
                <w:iCs/>
                <w:color w:val="000000"/>
                <w:sz w:val="24"/>
                <w:szCs w:val="24"/>
                <w:lang w:eastAsia="en-GB"/>
              </w:rPr>
              <w:t>al’s</w:t>
            </w:r>
            <w:proofErr w:type="spellEnd"/>
            <w:r w:rsidRPr="00191D17">
              <w:rPr>
                <w:rFonts w:ascii="Arial" w:eastAsia="Times New Roman" w:hAnsi="Arial" w:cs="Arial"/>
                <w:iCs/>
                <w:color w:val="000000"/>
                <w:sz w:val="24"/>
                <w:szCs w:val="24"/>
                <w:lang w:eastAsia="en-GB"/>
              </w:rPr>
              <w:t xml:space="preserve"> (2010) model of reflection which will focus on What? So what? And Now What? (</w:t>
            </w:r>
            <w:proofErr w:type="spellStart"/>
            <w:r w:rsidRPr="00191D17">
              <w:rPr>
                <w:rFonts w:ascii="Arial" w:eastAsia="Times New Roman" w:hAnsi="Arial" w:cs="Arial"/>
                <w:iCs/>
                <w:color w:val="000000"/>
                <w:sz w:val="24"/>
                <w:szCs w:val="24"/>
                <w:lang w:eastAsia="en-GB"/>
              </w:rPr>
              <w:t>Pawar</w:t>
            </w:r>
            <w:proofErr w:type="spellEnd"/>
            <w:r w:rsidRPr="00191D17">
              <w:rPr>
                <w:rFonts w:ascii="Arial" w:eastAsia="Times New Roman" w:hAnsi="Arial" w:cs="Arial"/>
                <w:iCs/>
                <w:color w:val="000000"/>
                <w:sz w:val="24"/>
                <w:szCs w:val="24"/>
                <w:lang w:eastAsia="en-GB"/>
              </w:rPr>
              <w:t xml:space="preserve"> and </w:t>
            </w:r>
            <w:proofErr w:type="spellStart"/>
            <w:r w:rsidRPr="00191D17">
              <w:rPr>
                <w:rFonts w:ascii="Arial" w:eastAsia="Times New Roman" w:hAnsi="Arial" w:cs="Arial"/>
                <w:iCs/>
                <w:color w:val="000000"/>
                <w:sz w:val="24"/>
                <w:szCs w:val="24"/>
                <w:lang w:eastAsia="en-GB"/>
              </w:rPr>
              <w:t>Anscombe</w:t>
            </w:r>
            <w:proofErr w:type="spellEnd"/>
            <w:r w:rsidRPr="00191D17">
              <w:rPr>
                <w:rFonts w:ascii="Arial" w:eastAsia="Times New Roman" w:hAnsi="Arial" w:cs="Arial"/>
                <w:iCs/>
                <w:color w:val="000000"/>
                <w:sz w:val="24"/>
                <w:szCs w:val="24"/>
                <w:lang w:eastAsia="en-GB"/>
              </w:rPr>
              <w:t>, 2015).</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lastRenderedPageBreak/>
              <w:t>What?</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Post Social Work qualification, I started a post as a Social Worker in a Disability Team within North Wales Local Authority. I was supporting children and young adults with special needs aged 16-25 living often in rural areas with limited access to resources.  This required me to quickly develop knowledge and skills in working both with children and adults simultaneously. In order to effectively support individuals and their families and to build on my confidence I explored and studied both adult and children’s legislation, policies, and procedures, alongside implementing them into practice under the supervision of my mentor. (Carpenter, et. Al. 2012).</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 xml:space="preserve">Significant impact on my experience and learning within the first year of practice had </w:t>
            </w:r>
            <w:proofErr w:type="spellStart"/>
            <w:r w:rsidRPr="00191D17">
              <w:rPr>
                <w:rFonts w:ascii="Arial" w:eastAsia="Times New Roman" w:hAnsi="Arial" w:cs="Arial"/>
                <w:iCs/>
                <w:color w:val="000000"/>
                <w:sz w:val="24"/>
                <w:szCs w:val="24"/>
                <w:lang w:eastAsia="en-GB"/>
              </w:rPr>
              <w:t>Covid</w:t>
            </w:r>
            <w:proofErr w:type="spellEnd"/>
            <w:r w:rsidRPr="00191D17">
              <w:rPr>
                <w:rFonts w:ascii="Arial" w:eastAsia="Times New Roman" w:hAnsi="Arial" w:cs="Arial"/>
                <w:iCs/>
                <w:color w:val="000000"/>
                <w:sz w:val="24"/>
                <w:szCs w:val="24"/>
                <w:lang w:eastAsia="en-GB"/>
              </w:rPr>
              <w:t xml:space="preserve"> -19 pandemic and agile working, with no face-to-face contact with the team and a possibility to shadow other professionals.  </w:t>
            </w:r>
            <w:proofErr w:type="spellStart"/>
            <w:r w:rsidRPr="00191D17">
              <w:rPr>
                <w:rFonts w:ascii="Arial" w:eastAsia="Times New Roman" w:hAnsi="Arial" w:cs="Arial"/>
                <w:iCs/>
                <w:color w:val="000000"/>
                <w:sz w:val="24"/>
                <w:szCs w:val="24"/>
                <w:lang w:eastAsia="en-GB"/>
              </w:rPr>
              <w:t>Oko</w:t>
            </w:r>
            <w:proofErr w:type="spellEnd"/>
            <w:r w:rsidRPr="00191D17">
              <w:rPr>
                <w:rFonts w:ascii="Arial" w:eastAsia="Times New Roman" w:hAnsi="Arial" w:cs="Arial"/>
                <w:iCs/>
                <w:color w:val="000000"/>
                <w:sz w:val="24"/>
                <w:szCs w:val="24"/>
                <w:lang w:eastAsia="en-GB"/>
              </w:rPr>
              <w:t xml:space="preserve"> (2006) reports that ‘practice wisdom’ offers advice on proven methods of completing tasks to achieve better outcomes. I was unable to shadow other professionals and to learn from others’ experiences at that early stage. Therefore, I engaged in activities such as a newly qualified support group, peer supervision, and supervision with my mentor whilst undertaking social work tasks such as assessment and planning for care and support. This encouraged the use of critical thinking, analytical skills, and professional judgment to inform the assessment and to achieve better outcomes for individuals experiencing complex situations (Gibbons and </w:t>
            </w:r>
            <w:proofErr w:type="spellStart"/>
            <w:r w:rsidRPr="00191D17">
              <w:rPr>
                <w:rFonts w:ascii="Arial" w:eastAsia="Times New Roman" w:hAnsi="Arial" w:cs="Arial"/>
                <w:iCs/>
                <w:color w:val="000000"/>
                <w:sz w:val="24"/>
                <w:szCs w:val="24"/>
                <w:lang w:eastAsia="en-GB"/>
              </w:rPr>
              <w:t>Gray</w:t>
            </w:r>
            <w:proofErr w:type="spellEnd"/>
            <w:r w:rsidRPr="00191D17">
              <w:rPr>
                <w:rFonts w:ascii="Arial" w:eastAsia="Times New Roman" w:hAnsi="Arial" w:cs="Arial"/>
                <w:iCs/>
                <w:color w:val="000000"/>
                <w:sz w:val="24"/>
                <w:szCs w:val="24"/>
                <w:lang w:eastAsia="en-GB"/>
              </w:rPr>
              <w:t>, 2004).</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 xml:space="preserve">The nature of my post enabled me to learn how to work in a multidisciplinary context and to cooperate with various agencies in order to support individual outcomes, through multi-agency collaboration (SSWB Wales Act 2014; SCW 2017; Welsh Government, 2014)    </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So What?</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Skills and knowledge I developed, and the experience I gained through the above learning and practice, helped me to better support individuals of both age groups and their families throughout the transition time. According to research, most young people with special needs and life-threatening conditions and also their families find the transition to adult services very challenging and stressful (Together for short lives, 2016). Furthermore, 'research on protection of disabled children' shows that children with disabilities are 'over 3 times more likely to be abused or neglected than non-disabled children.' (Gov.Uk. 2017), and more likely to become subject to child protection proceedings. Research shows similar statistics for adults with disabilities (ONS, 2021).</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lastRenderedPageBreak/>
              <w:t xml:space="preserve">Therefore, becoming a knowledgeable and confident practitioner early on in my practice was crucial to help them navigate through that time with the right and propionate support. (Thompson, 2015) </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Whilst supporting individuals throughout challenging and stressful times in their life, it was crucial to reflect on my own emotions and build on emotional resilience, to reduce stress and prevent burnout (Worsley, Mann, Olsen, et al., 2013).  Supervision was a safe environment to ‘reflect on action’ taken in relation to individuals but also to reflect on the impact social work duties has on my own well-being and helped me to develop a self-care routine and establish work-life balance (Carpenter, et. Al. 2012; Thomson 2014).</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Now What?</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 xml:space="preserve">On reflection, my first year in practice gave me a various range of experiences fulfilled with training and guidance from my mentor and helped me to develop transferable skills and knowledge. It was crucial to use supervision and reflection to establish areas of professional development that I should focus on in my future practice (Thompson, 2015). </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One of the areas for further development identified through discussion with my mentor in order to better support the families who are at the point of crisis is conflict management/ conflict resolution.  This requires skills such as ‘effective communication, problem-solving, and self-awareness’ but also empathy and compassion when managing conflict (</w:t>
            </w:r>
            <w:proofErr w:type="spellStart"/>
            <w:r w:rsidRPr="00191D17">
              <w:rPr>
                <w:rFonts w:ascii="Arial" w:eastAsia="Times New Roman" w:hAnsi="Arial" w:cs="Arial"/>
                <w:iCs/>
                <w:color w:val="000000"/>
                <w:sz w:val="24"/>
                <w:szCs w:val="24"/>
                <w:lang w:eastAsia="en-GB"/>
              </w:rPr>
              <w:t>O’Regan</w:t>
            </w:r>
            <w:proofErr w:type="spellEnd"/>
            <w:r w:rsidRPr="00191D17">
              <w:rPr>
                <w:rFonts w:ascii="Arial" w:eastAsia="Times New Roman" w:hAnsi="Arial" w:cs="Arial"/>
                <w:iCs/>
                <w:color w:val="000000"/>
                <w:sz w:val="24"/>
                <w:szCs w:val="24"/>
                <w:lang w:eastAsia="en-GB"/>
              </w:rPr>
              <w:t xml:space="preserve">, 2021).  Conflict resolution skills and competencies can be developed through an understanding of conflict mechanisms, models of addressing conflicts, and developing communication skills. (Katz, et al. 2020). </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 xml:space="preserve"> </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Another identified area is to develop more understanding and experience within Welsh Mental Health legislation and processes such as Mental Capacity Assessment and Deprivation of Liberty Safeguards (</w:t>
            </w:r>
            <w:proofErr w:type="spellStart"/>
            <w:r w:rsidRPr="00191D17">
              <w:rPr>
                <w:rFonts w:ascii="Arial" w:eastAsia="Times New Roman" w:hAnsi="Arial" w:cs="Arial"/>
                <w:iCs/>
                <w:color w:val="000000"/>
                <w:sz w:val="24"/>
                <w:szCs w:val="24"/>
                <w:lang w:eastAsia="en-GB"/>
              </w:rPr>
              <w:t>DoLS</w:t>
            </w:r>
            <w:proofErr w:type="spellEnd"/>
            <w:r w:rsidRPr="00191D17">
              <w:rPr>
                <w:rFonts w:ascii="Arial" w:eastAsia="Times New Roman" w:hAnsi="Arial" w:cs="Arial"/>
                <w:iCs/>
                <w:color w:val="000000"/>
                <w:sz w:val="24"/>
                <w:szCs w:val="24"/>
                <w:lang w:eastAsia="en-GB"/>
              </w:rPr>
              <w:t xml:space="preserve">) under Mental Capacity Act 2005. This is a key piece of legislation in Wales, that sets out how individuals experiencing mental health or cognitive impairment, illness or injury or affected by medications, should be supported in making decisions (Mind, 2023). </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 xml:space="preserve">Both areas can be addressed through further training and undertaking additional reading and research. I also intend to shadow the DOLs team to develop more understanding of the Mental Capacity Process. </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lastRenderedPageBreak/>
              <w:t xml:space="preserve"> </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191D17">
              <w:rPr>
                <w:rFonts w:ascii="Arial" w:eastAsia="Times New Roman" w:hAnsi="Arial" w:cs="Arial"/>
                <w:iCs/>
                <w:color w:val="000000"/>
                <w:sz w:val="24"/>
                <w:szCs w:val="24"/>
                <w:lang w:eastAsia="en-GB"/>
              </w:rPr>
              <w:t>(word count – 813)</w:t>
            </w:r>
          </w:p>
          <w:p w:rsidR="00191D17" w:rsidRPr="00191D17" w:rsidRDefault="00191D17" w:rsidP="00191D17">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tc>
      </w:tr>
    </w:tbl>
    <w:p w:rsidR="00191D17" w:rsidRPr="00191D17" w:rsidRDefault="00191D17" w:rsidP="00191D17">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191D17" w:rsidRPr="00191D17" w:rsidRDefault="00191D17" w:rsidP="00191D17">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rsidR="00191D17" w:rsidRPr="00191D17" w:rsidRDefault="00191D17" w:rsidP="00191D17">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rsidR="00112C93" w:rsidRDefault="00112C93">
      <w:bookmarkStart w:id="1" w:name="_GoBack"/>
      <w:bookmarkEnd w:id="1"/>
    </w:p>
    <w:sectPr w:rsidR="00112C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75E"/>
    <w:rsid w:val="00112C93"/>
    <w:rsid w:val="00191D17"/>
    <w:rsid w:val="00674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B6B96C-3E2D-4183-B788-29B40A8DD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1010</Words>
  <Characters>5757</Characters>
  <Application>Microsoft Office Word</Application>
  <DocSecurity>0</DocSecurity>
  <Lines>47</Lines>
  <Paragraphs>13</Paragraphs>
  <ScaleCrop>false</ScaleCrop>
  <Company>WCBC</Company>
  <LinksUpToDate>false</LinksUpToDate>
  <CharactersWithSpaces>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Jujka</dc:creator>
  <cp:keywords/>
  <dc:description/>
  <cp:lastModifiedBy>Dominika Jujka</cp:lastModifiedBy>
  <cp:revision>2</cp:revision>
  <dcterms:created xsi:type="dcterms:W3CDTF">2023-09-12T16:58:00Z</dcterms:created>
  <dcterms:modified xsi:type="dcterms:W3CDTF">2023-09-12T16:58:00Z</dcterms:modified>
</cp:coreProperties>
</file>