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34BBD" w14:textId="77777777" w:rsidR="002229F0" w:rsidRDefault="002229F0" w:rsidP="00461EB4">
      <w:pPr>
        <w:pStyle w:val="AssignBody"/>
      </w:pPr>
    </w:p>
    <w:p w14:paraId="58DC83D7" w14:textId="77777777" w:rsidR="00461EB4" w:rsidRPr="00E02595" w:rsidRDefault="00461EB4" w:rsidP="00461EB4">
      <w:pPr>
        <w:spacing w:line="360" w:lineRule="auto"/>
        <w:jc w:val="center"/>
        <w:rPr>
          <w:sz w:val="24"/>
          <w:szCs w:val="24"/>
        </w:rPr>
      </w:pPr>
      <w:bookmarkStart w:id="0" w:name="_Hlk32995712"/>
      <w:bookmarkEnd w:id="0"/>
      <w:r>
        <w:rPr>
          <w:rFonts w:ascii="Arial" w:hAnsi="Arial"/>
          <w:b/>
          <w:i/>
          <w:sz w:val="36"/>
          <w:u w:val="single"/>
        </w:rPr>
        <w:t>Re</w:t>
      </w:r>
      <w:r w:rsidRPr="004F12B5">
        <w:rPr>
          <w:rFonts w:ascii="Arial" w:hAnsi="Arial"/>
          <w:b/>
          <w:i/>
          <w:sz w:val="36"/>
          <w:u w:val="single"/>
        </w:rPr>
        <w:t>search question: How does the use of a multiple-choice starter effect pupil engagement during a lesson?</w:t>
      </w:r>
    </w:p>
    <w:p w14:paraId="364A6B32" w14:textId="77777777" w:rsidR="00B457F0" w:rsidRDefault="00B457F0" w:rsidP="00461EB4">
      <w:pPr>
        <w:pStyle w:val="AssignBody"/>
      </w:pPr>
    </w:p>
    <w:tbl>
      <w:tblPr>
        <w:tblStyle w:val="TableGrid"/>
        <w:tblW w:w="0" w:type="auto"/>
        <w:tblLook w:val="04A0" w:firstRow="1" w:lastRow="0" w:firstColumn="1" w:lastColumn="0" w:noHBand="0" w:noVBand="1"/>
      </w:tblPr>
      <w:tblGrid>
        <w:gridCol w:w="1722"/>
        <w:gridCol w:w="3647"/>
        <w:gridCol w:w="3647"/>
      </w:tblGrid>
      <w:tr w:rsidR="00755E37" w14:paraId="337F1D26" w14:textId="77777777" w:rsidTr="00755E37">
        <w:tc>
          <w:tcPr>
            <w:tcW w:w="1722" w:type="dxa"/>
            <w:tcBorders>
              <w:top w:val="single" w:sz="4" w:space="0" w:color="auto"/>
              <w:left w:val="single" w:sz="4" w:space="0" w:color="auto"/>
              <w:bottom w:val="single" w:sz="4" w:space="0" w:color="auto"/>
              <w:right w:val="single" w:sz="4" w:space="0" w:color="auto"/>
            </w:tcBorders>
          </w:tcPr>
          <w:p w14:paraId="6536D85E" w14:textId="77777777" w:rsidR="00755E37" w:rsidRDefault="00755E37" w:rsidP="00461EB4">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041783CA" w14:textId="57BF67C7" w:rsidR="00755E37" w:rsidRDefault="00755E37" w:rsidP="00461EB4">
            <w:pPr>
              <w:pStyle w:val="AssignBody"/>
            </w:pPr>
            <w:r>
              <w:t>Target</w:t>
            </w:r>
          </w:p>
        </w:tc>
        <w:tc>
          <w:tcPr>
            <w:tcW w:w="3647" w:type="dxa"/>
            <w:tcBorders>
              <w:top w:val="single" w:sz="4" w:space="0" w:color="auto"/>
              <w:left w:val="single" w:sz="4" w:space="0" w:color="auto"/>
              <w:bottom w:val="single" w:sz="4" w:space="0" w:color="auto"/>
              <w:right w:val="single" w:sz="4" w:space="0" w:color="auto"/>
            </w:tcBorders>
          </w:tcPr>
          <w:p w14:paraId="0CFF26C5" w14:textId="321AC52F" w:rsidR="00755E37" w:rsidRPr="00755E37" w:rsidRDefault="00755E37" w:rsidP="00461EB4">
            <w:pPr>
              <w:pStyle w:val="NormalWeb"/>
              <w:spacing w:before="0" w:beforeAutospacing="0" w:after="0" w:afterAutospacing="0" w:line="360" w:lineRule="auto"/>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410932" w14:paraId="5916A988"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2E8DFC85" w14:textId="4545EBA0" w:rsidR="00410932" w:rsidRDefault="00410932" w:rsidP="00410932">
            <w:pPr>
              <w:pStyle w:val="AssignBody"/>
            </w:pPr>
            <w:bookmarkStart w:id="1" w:name="_GoBack"/>
            <w:bookmarkEnd w:id="1"/>
            <w:r>
              <w:t>Target 1</w:t>
            </w:r>
          </w:p>
        </w:tc>
        <w:tc>
          <w:tcPr>
            <w:tcW w:w="3647" w:type="dxa"/>
            <w:tcBorders>
              <w:top w:val="single" w:sz="4" w:space="0" w:color="auto"/>
              <w:left w:val="single" w:sz="4" w:space="0" w:color="auto"/>
              <w:bottom w:val="single" w:sz="4" w:space="0" w:color="auto"/>
              <w:right w:val="single" w:sz="4" w:space="0" w:color="auto"/>
            </w:tcBorders>
          </w:tcPr>
          <w:p w14:paraId="181D3942" w14:textId="5CA87EA3" w:rsidR="00410932" w:rsidRDefault="00410932" w:rsidP="00410932">
            <w:pPr>
              <w:pStyle w:val="AssignBody"/>
            </w:pPr>
            <w:r>
              <w:t>I was set the verbal target of continuing in the way that I did in the previous assignment.</w:t>
            </w:r>
          </w:p>
        </w:tc>
        <w:tc>
          <w:tcPr>
            <w:tcW w:w="3647" w:type="dxa"/>
            <w:tcBorders>
              <w:top w:val="single" w:sz="4" w:space="0" w:color="auto"/>
              <w:left w:val="single" w:sz="4" w:space="0" w:color="auto"/>
              <w:bottom w:val="single" w:sz="4" w:space="0" w:color="auto"/>
              <w:right w:val="single" w:sz="4" w:space="0" w:color="auto"/>
            </w:tcBorders>
          </w:tcPr>
          <w:p w14:paraId="342A62A2" w14:textId="2AF85B48" w:rsidR="00410932" w:rsidRDefault="00410932" w:rsidP="00410932">
            <w:pPr>
              <w:pStyle w:val="AssignBody"/>
            </w:pPr>
            <w:r>
              <w:t>I have tried to engage with a wider range of literature whilst maintaining the criticality in my explanations and the fluency of my writing.</w:t>
            </w:r>
          </w:p>
        </w:tc>
      </w:tr>
    </w:tbl>
    <w:p w14:paraId="35C23213" w14:textId="67AFAEB1" w:rsidR="00755E37" w:rsidRDefault="00755E37" w:rsidP="00461EB4">
      <w:pPr>
        <w:pStyle w:val="AssignBody"/>
      </w:pPr>
    </w:p>
    <w:p w14:paraId="1FACAA2E" w14:textId="77777777" w:rsidR="00461EB4" w:rsidRDefault="00461EB4" w:rsidP="00461EB4">
      <w:pPr>
        <w:spacing w:line="360" w:lineRule="auto"/>
        <w:rPr>
          <w:rFonts w:ascii="Arial" w:hAnsi="Arial" w:cs="Arial"/>
          <w:b/>
          <w:bCs/>
          <w:i/>
          <w:iCs/>
          <w:sz w:val="28"/>
          <w:szCs w:val="28"/>
        </w:rPr>
      </w:pPr>
    </w:p>
    <w:p w14:paraId="2FB4A020" w14:textId="669FE8A3" w:rsidR="00461EB4" w:rsidRPr="00461EB4" w:rsidRDefault="00461EB4" w:rsidP="00461EB4">
      <w:pPr>
        <w:spacing w:line="360" w:lineRule="auto"/>
        <w:rPr>
          <w:rFonts w:ascii="Arial" w:hAnsi="Arial" w:cs="Arial"/>
          <w:b/>
          <w:bCs/>
          <w:i/>
          <w:iCs/>
          <w:sz w:val="28"/>
          <w:szCs w:val="28"/>
        </w:rPr>
      </w:pPr>
      <w:r w:rsidRPr="00047E29">
        <w:rPr>
          <w:rFonts w:ascii="Arial" w:hAnsi="Arial" w:cs="Arial"/>
          <w:b/>
          <w:bCs/>
          <w:i/>
          <w:iCs/>
          <w:sz w:val="28"/>
          <w:szCs w:val="28"/>
        </w:rPr>
        <w:t>Aim, Focus and Purpose of the Research</w:t>
      </w:r>
    </w:p>
    <w:p w14:paraId="3F6FC05F" w14:textId="77777777" w:rsidR="00461EB4" w:rsidRPr="00080F43" w:rsidRDefault="00461EB4" w:rsidP="00461EB4">
      <w:pPr>
        <w:spacing w:line="360" w:lineRule="auto"/>
        <w:rPr>
          <w:rFonts w:ascii="Arial" w:hAnsi="Arial" w:cs="Arial"/>
        </w:rPr>
      </w:pPr>
      <w:r>
        <w:rPr>
          <w:rFonts w:ascii="Arial" w:hAnsi="Arial" w:cs="Arial"/>
        </w:rPr>
        <w:t>The issue that was of interest to myself, prior to the lesson study, was that of pupil engagement. Particularly in my Year 8 lessons, I noticed that some pupils were not engaging to the level which I expected of them and I was unsure of the cause of this. Consequently, I saw the lesson study process as a way of diagnosing why this was the case and as a method to inform my practice.</w:t>
      </w:r>
    </w:p>
    <w:p w14:paraId="057451BF" w14:textId="77777777" w:rsidR="00461EB4" w:rsidRDefault="00461EB4" w:rsidP="00461EB4">
      <w:pPr>
        <w:spacing w:line="360" w:lineRule="auto"/>
        <w:rPr>
          <w:rFonts w:ascii="Arial" w:hAnsi="Arial" w:cs="Arial"/>
          <w:b/>
          <w:bCs/>
          <w:u w:val="single"/>
        </w:rPr>
      </w:pPr>
    </w:p>
    <w:p w14:paraId="32AE30C2" w14:textId="3E096EF1" w:rsidR="00461EB4" w:rsidRPr="00461EB4" w:rsidRDefault="00461EB4" w:rsidP="00461EB4">
      <w:pPr>
        <w:spacing w:line="360" w:lineRule="auto"/>
        <w:rPr>
          <w:rFonts w:ascii="Arial" w:hAnsi="Arial" w:cs="Arial"/>
          <w:b/>
          <w:bCs/>
          <w:i/>
          <w:iCs/>
          <w:sz w:val="28"/>
          <w:szCs w:val="28"/>
        </w:rPr>
      </w:pPr>
      <w:r w:rsidRPr="00047E29">
        <w:rPr>
          <w:rFonts w:ascii="Arial" w:hAnsi="Arial" w:cs="Arial"/>
          <w:b/>
          <w:bCs/>
          <w:i/>
          <w:iCs/>
          <w:sz w:val="28"/>
          <w:szCs w:val="28"/>
        </w:rPr>
        <w:t>Research Context</w:t>
      </w:r>
    </w:p>
    <w:p w14:paraId="5F916288" w14:textId="77777777" w:rsidR="00461EB4" w:rsidRPr="00080F43" w:rsidRDefault="00461EB4" w:rsidP="00461EB4">
      <w:pPr>
        <w:spacing w:line="360" w:lineRule="auto"/>
        <w:rPr>
          <w:rFonts w:ascii="Arial" w:hAnsi="Arial" w:cs="Arial"/>
        </w:rPr>
      </w:pPr>
      <w:r>
        <w:rPr>
          <w:rFonts w:ascii="Arial" w:hAnsi="Arial" w:cs="Arial"/>
        </w:rPr>
        <w:t xml:space="preserve">After contemplating the matter of pupil engagement, I discussed with my research partner whether they experienced anything similar in their lessons. We noticed that we were facing the same issue and that we also had some pupils in common between our classes, which led us to compose our research question. Our research question is: </w:t>
      </w:r>
      <w:r w:rsidRPr="00C304CB">
        <w:rPr>
          <w:rFonts w:ascii="Arial" w:hAnsi="Arial" w:cs="Arial"/>
          <w:i/>
        </w:rPr>
        <w:t>‘</w:t>
      </w:r>
      <w:r>
        <w:rPr>
          <w:rFonts w:ascii="Arial" w:hAnsi="Arial" w:cs="Arial"/>
          <w:i/>
        </w:rPr>
        <w:t>h</w:t>
      </w:r>
      <w:r w:rsidRPr="00C304CB">
        <w:rPr>
          <w:rFonts w:ascii="Arial" w:hAnsi="Arial" w:cs="Arial"/>
          <w:i/>
        </w:rPr>
        <w:t>ow does the use of a multiple-choice starter affect pupil engagement during a lesson?’</w:t>
      </w:r>
      <w:r>
        <w:rPr>
          <w:rFonts w:ascii="Arial" w:hAnsi="Arial" w:cs="Arial"/>
        </w:rPr>
        <w:t xml:space="preserve">. We came to this decision by thinking of different approaches to engage pupils and realised that we could incorporate a mini multiple-choice question quiz as a starter. We drew inspiration from seeing that quizzes in various formats proved popular among pupils, which we learned during lesson </w:t>
      </w:r>
      <w:r>
        <w:rPr>
          <w:rFonts w:ascii="Arial" w:hAnsi="Arial" w:cs="Arial"/>
        </w:rPr>
        <w:lastRenderedPageBreak/>
        <w:t>observations. This meant that in my lesson, I would begin with a multiple-choice starter activity and then look for an improvement in pupil engagement.</w:t>
      </w:r>
    </w:p>
    <w:p w14:paraId="66612A65" w14:textId="77777777" w:rsidR="00461EB4" w:rsidRDefault="00461EB4" w:rsidP="00461EB4">
      <w:pPr>
        <w:spacing w:line="360" w:lineRule="auto"/>
        <w:rPr>
          <w:rFonts w:ascii="Arial" w:hAnsi="Arial" w:cs="Arial"/>
          <w:b/>
          <w:bCs/>
          <w:u w:val="single"/>
        </w:rPr>
      </w:pPr>
    </w:p>
    <w:p w14:paraId="12EB1775" w14:textId="0AF1F14A" w:rsidR="00461EB4" w:rsidRPr="00461EB4" w:rsidRDefault="00461EB4" w:rsidP="00461EB4">
      <w:pPr>
        <w:spacing w:line="360" w:lineRule="auto"/>
        <w:rPr>
          <w:rFonts w:ascii="Arial" w:hAnsi="Arial" w:cs="Arial"/>
          <w:b/>
          <w:bCs/>
          <w:i/>
          <w:iCs/>
          <w:sz w:val="28"/>
          <w:szCs w:val="28"/>
        </w:rPr>
      </w:pPr>
      <w:r w:rsidRPr="00047E29">
        <w:rPr>
          <w:rFonts w:ascii="Arial" w:hAnsi="Arial" w:cs="Arial"/>
          <w:b/>
          <w:bCs/>
          <w:i/>
          <w:iCs/>
          <w:sz w:val="28"/>
          <w:szCs w:val="28"/>
        </w:rPr>
        <w:t>Literature Review</w:t>
      </w:r>
    </w:p>
    <w:p w14:paraId="05D628FB" w14:textId="7EC26046" w:rsidR="00461EB4" w:rsidRPr="007C2BDC" w:rsidRDefault="00461EB4" w:rsidP="00461EB4">
      <w:pPr>
        <w:spacing w:line="360" w:lineRule="auto"/>
        <w:rPr>
          <w:rFonts w:ascii="Arial" w:hAnsi="Arial" w:cs="Arial"/>
        </w:rPr>
      </w:pPr>
      <w:r w:rsidRPr="007C2BDC">
        <w:rPr>
          <w:rFonts w:ascii="Arial" w:hAnsi="Arial" w:cs="Arial"/>
        </w:rPr>
        <w:t>After composi</w:t>
      </w:r>
      <w:r>
        <w:rPr>
          <w:rFonts w:ascii="Arial" w:hAnsi="Arial" w:cs="Arial"/>
        </w:rPr>
        <w:t xml:space="preserve">ng </w:t>
      </w:r>
      <w:r w:rsidRPr="007C2BDC">
        <w:rPr>
          <w:rFonts w:ascii="Arial" w:hAnsi="Arial" w:cs="Arial"/>
        </w:rPr>
        <w:t>the research question</w:t>
      </w:r>
      <w:r>
        <w:rPr>
          <w:rFonts w:ascii="Arial" w:hAnsi="Arial" w:cs="Arial"/>
        </w:rPr>
        <w:t>,</w:t>
      </w:r>
      <w:r w:rsidRPr="007C2BDC">
        <w:rPr>
          <w:rFonts w:ascii="Arial" w:hAnsi="Arial" w:cs="Arial"/>
        </w:rPr>
        <w:t xml:space="preserve"> I began my research into the literature surrounding th</w:t>
      </w:r>
      <w:r>
        <w:rPr>
          <w:rFonts w:ascii="Arial" w:hAnsi="Arial" w:cs="Arial"/>
        </w:rPr>
        <w:t>is</w:t>
      </w:r>
      <w:r w:rsidRPr="007C2BDC">
        <w:rPr>
          <w:rFonts w:ascii="Arial" w:hAnsi="Arial" w:cs="Arial"/>
        </w:rPr>
        <w:t xml:space="preserve"> topic. </w:t>
      </w:r>
      <w:r>
        <w:rPr>
          <w:rFonts w:ascii="Arial" w:hAnsi="Arial" w:cs="Arial"/>
        </w:rPr>
        <w:t xml:space="preserve">It became apparent that </w:t>
      </w:r>
      <w:r w:rsidRPr="007C2BDC">
        <w:rPr>
          <w:rFonts w:ascii="Arial" w:hAnsi="Arial" w:cs="Arial"/>
        </w:rPr>
        <w:t xml:space="preserve">there was a lack of research into </w:t>
      </w:r>
      <w:r>
        <w:rPr>
          <w:rFonts w:ascii="Arial" w:hAnsi="Arial" w:cs="Arial"/>
        </w:rPr>
        <w:t xml:space="preserve">how </w:t>
      </w:r>
      <w:r w:rsidRPr="007C2BDC">
        <w:rPr>
          <w:rFonts w:ascii="Arial" w:hAnsi="Arial" w:cs="Arial"/>
        </w:rPr>
        <w:t>the</w:t>
      </w:r>
      <w:r>
        <w:rPr>
          <w:rFonts w:ascii="Arial" w:hAnsi="Arial" w:cs="Arial"/>
        </w:rPr>
        <w:t xml:space="preserve"> use of multiple-choice starters affects pupil engagement</w:t>
      </w:r>
      <w:r w:rsidRPr="007C2BDC">
        <w:rPr>
          <w:rFonts w:ascii="Arial" w:hAnsi="Arial" w:cs="Arial"/>
        </w:rPr>
        <w:t xml:space="preserve">, </w:t>
      </w:r>
      <w:r>
        <w:rPr>
          <w:rFonts w:ascii="Arial" w:hAnsi="Arial" w:cs="Arial"/>
        </w:rPr>
        <w:t>which</w:t>
      </w:r>
      <w:r w:rsidRPr="007C2BDC">
        <w:rPr>
          <w:rFonts w:ascii="Arial" w:hAnsi="Arial" w:cs="Arial"/>
        </w:rPr>
        <w:t xml:space="preserve"> led me to change my research focus to </w:t>
      </w:r>
      <w:r>
        <w:rPr>
          <w:rFonts w:ascii="Arial" w:hAnsi="Arial" w:cs="Arial"/>
        </w:rPr>
        <w:t xml:space="preserve">pupil engagement and then </w:t>
      </w:r>
      <w:r w:rsidRPr="007C2BDC">
        <w:rPr>
          <w:rFonts w:ascii="Arial" w:hAnsi="Arial" w:cs="Arial"/>
        </w:rPr>
        <w:t xml:space="preserve">multiple-choice questions as two separate entities. </w:t>
      </w:r>
    </w:p>
    <w:p w14:paraId="7BA1AC95" w14:textId="01F446B5" w:rsidR="00461EB4" w:rsidRPr="007C2BDC" w:rsidRDefault="00461EB4" w:rsidP="00461EB4">
      <w:pPr>
        <w:spacing w:line="360" w:lineRule="auto"/>
        <w:rPr>
          <w:rFonts w:ascii="Arial" w:hAnsi="Arial" w:cs="Arial"/>
        </w:rPr>
      </w:pPr>
      <w:r w:rsidRPr="007C2BDC">
        <w:rPr>
          <w:rFonts w:ascii="Arial" w:hAnsi="Arial" w:cs="Arial"/>
        </w:rPr>
        <w:t>Research began with the topic of pupil engagement in lessons</w:t>
      </w:r>
      <w:r>
        <w:rPr>
          <w:rFonts w:ascii="Arial" w:hAnsi="Arial" w:cs="Arial"/>
        </w:rPr>
        <w:t xml:space="preserve"> because it was the primary objective to achieve</w:t>
      </w:r>
      <w:r w:rsidRPr="007C2BDC">
        <w:rPr>
          <w:rFonts w:ascii="Arial" w:hAnsi="Arial" w:cs="Arial"/>
        </w:rPr>
        <w:t>. Donaldson (2015) says that we need to “</w:t>
      </w:r>
      <w:r w:rsidRPr="007C2BDC">
        <w:rPr>
          <w:rFonts w:ascii="Arial" w:hAnsi="Arial" w:cs="Arial"/>
          <w:i/>
          <w:iCs/>
        </w:rPr>
        <w:t>select resources that build on previous knowledge and experience and engage interest”</w:t>
      </w:r>
      <w:r w:rsidRPr="007C2BDC">
        <w:rPr>
          <w:rFonts w:ascii="Arial" w:hAnsi="Arial" w:cs="Arial"/>
        </w:rPr>
        <w:t xml:space="preserve">, </w:t>
      </w:r>
      <w:r>
        <w:rPr>
          <w:rFonts w:ascii="Arial" w:hAnsi="Arial" w:cs="Arial"/>
        </w:rPr>
        <w:t>which demonstrates the importance of</w:t>
      </w:r>
      <w:r w:rsidRPr="007C2BDC">
        <w:rPr>
          <w:rFonts w:ascii="Arial" w:hAnsi="Arial" w:cs="Arial"/>
        </w:rPr>
        <w:t xml:space="preserve"> </w:t>
      </w:r>
      <w:r>
        <w:rPr>
          <w:rFonts w:ascii="Arial" w:hAnsi="Arial" w:cs="Arial"/>
        </w:rPr>
        <w:t xml:space="preserve">carefully </w:t>
      </w:r>
      <w:r w:rsidRPr="007C2BDC">
        <w:rPr>
          <w:rFonts w:ascii="Arial" w:hAnsi="Arial" w:cs="Arial"/>
        </w:rPr>
        <w:t>selecti</w:t>
      </w:r>
      <w:r>
        <w:rPr>
          <w:rFonts w:ascii="Arial" w:hAnsi="Arial" w:cs="Arial"/>
        </w:rPr>
        <w:t>ng</w:t>
      </w:r>
      <w:r w:rsidRPr="007C2BDC">
        <w:rPr>
          <w:rFonts w:ascii="Arial" w:hAnsi="Arial" w:cs="Arial"/>
        </w:rPr>
        <w:t xml:space="preserve"> </w:t>
      </w:r>
      <w:r>
        <w:rPr>
          <w:rFonts w:ascii="Arial" w:hAnsi="Arial" w:cs="Arial"/>
        </w:rPr>
        <w:t>learning material</w:t>
      </w:r>
      <w:r w:rsidRPr="007C2BDC">
        <w:rPr>
          <w:rFonts w:ascii="Arial" w:hAnsi="Arial" w:cs="Arial"/>
        </w:rPr>
        <w:t xml:space="preserve">. Berthold et al. (2015) suggests that pupil engagement in tasks </w:t>
      </w:r>
      <w:r>
        <w:rPr>
          <w:rFonts w:ascii="Arial" w:hAnsi="Arial" w:cs="Arial"/>
        </w:rPr>
        <w:t xml:space="preserve">later in the lesson </w:t>
      </w:r>
      <w:r w:rsidRPr="007C2BDC">
        <w:rPr>
          <w:rFonts w:ascii="Arial" w:hAnsi="Arial" w:cs="Arial"/>
        </w:rPr>
        <w:t xml:space="preserve">can be negatively impacted by using improper prior knowledge, but that the use of prompts can prove beneficial. The nature of prompting marries with the idea of multiple-choice questions </w:t>
      </w:r>
      <w:r>
        <w:rPr>
          <w:rFonts w:ascii="Arial" w:hAnsi="Arial" w:cs="Arial"/>
        </w:rPr>
        <w:t xml:space="preserve">because this style of question prompts pupils to critically consider what the correct answer is out of specified answer choices. </w:t>
      </w:r>
      <w:r w:rsidRPr="007C2BDC">
        <w:rPr>
          <w:rFonts w:ascii="Arial" w:hAnsi="Arial" w:cs="Arial"/>
        </w:rPr>
        <w:t>Furthermore, pupil engagement is related to more than just completing questions. Parsons and Taylor (2011) found that pupils have a desire for conversation and dialogue in lessons</w:t>
      </w:r>
      <w:r>
        <w:rPr>
          <w:rFonts w:ascii="Arial" w:hAnsi="Arial" w:cs="Arial"/>
        </w:rPr>
        <w:t>,</w:t>
      </w:r>
      <w:r w:rsidRPr="007C2BDC">
        <w:rPr>
          <w:rFonts w:ascii="Arial" w:hAnsi="Arial" w:cs="Arial"/>
        </w:rPr>
        <w:t xml:space="preserve"> whilst Leach and </w:t>
      </w:r>
      <w:proofErr w:type="spellStart"/>
      <w:r w:rsidRPr="007C2BDC">
        <w:rPr>
          <w:rFonts w:ascii="Arial" w:hAnsi="Arial" w:cs="Arial"/>
        </w:rPr>
        <w:t>Zepke</w:t>
      </w:r>
      <w:proofErr w:type="spellEnd"/>
      <w:r w:rsidRPr="007C2BDC">
        <w:rPr>
          <w:rFonts w:ascii="Arial" w:hAnsi="Arial" w:cs="Arial"/>
        </w:rPr>
        <w:t xml:space="preserve"> (2010) found that pupils feel more self-determined and competent when there is a supportive setting for their learning.</w:t>
      </w:r>
      <w:r>
        <w:rPr>
          <w:rFonts w:ascii="Arial" w:hAnsi="Arial" w:cs="Arial"/>
        </w:rPr>
        <w:t xml:space="preserve"> Consequently, I learnt that it was important to create a supportive learning environment for pupils that encouraged dialogue in the research lesson in order to promote pupil engagement. This type of outcome in pupils can be understood more effectively when examining the three levels of pupil engagement mentioned by </w:t>
      </w:r>
      <w:proofErr w:type="spellStart"/>
      <w:r>
        <w:rPr>
          <w:rFonts w:ascii="Arial" w:hAnsi="Arial" w:cs="Arial"/>
        </w:rPr>
        <w:t>Clerkin</w:t>
      </w:r>
      <w:proofErr w:type="spellEnd"/>
      <w:r>
        <w:rPr>
          <w:rFonts w:ascii="Arial" w:hAnsi="Arial" w:cs="Arial"/>
        </w:rPr>
        <w:t xml:space="preserve"> and </w:t>
      </w:r>
      <w:proofErr w:type="spellStart"/>
      <w:r>
        <w:rPr>
          <w:rFonts w:ascii="Arial" w:hAnsi="Arial" w:cs="Arial"/>
        </w:rPr>
        <w:t>Creaven</w:t>
      </w:r>
      <w:proofErr w:type="spellEnd"/>
      <w:r>
        <w:rPr>
          <w:rFonts w:ascii="Arial" w:hAnsi="Arial" w:cs="Arial"/>
        </w:rPr>
        <w:t xml:space="preserve"> (2013): emotional engagement, behavioural engagement and cognitive engagement. Through this approach, the outcome in pupils found by Parsons and Taylor (2011) can be classified as emotional engagement because pupils display positive feelings towards their peers and teachers, as well as behavioural engagement because pupils show active participation in class through wanting to engage in dialogue. The findings in pupils by Leach and </w:t>
      </w:r>
      <w:proofErr w:type="spellStart"/>
      <w:r>
        <w:rPr>
          <w:rFonts w:ascii="Arial" w:hAnsi="Arial" w:cs="Arial"/>
        </w:rPr>
        <w:t>Zepke</w:t>
      </w:r>
      <w:proofErr w:type="spellEnd"/>
      <w:r>
        <w:rPr>
          <w:rFonts w:ascii="Arial" w:hAnsi="Arial" w:cs="Arial"/>
        </w:rPr>
        <w:t xml:space="preserve"> (2010) align with cognitive engagement because pupils who feel self-determined are more willing to invest intellectual effort into their learning. Additionally, the suggestions of Berthold et al. (2015) on pupil engagement falls under both cognitive engagement and behavioural engagement because prompting, which compromises multiple-choice questions, encourages pupils to invest more intellectual effort into the lesson and promotes a higher level of active participation from pupils. Understanding the categories of pupil engagement discussed by </w:t>
      </w:r>
      <w:proofErr w:type="spellStart"/>
      <w:r>
        <w:rPr>
          <w:rFonts w:ascii="Arial" w:hAnsi="Arial" w:cs="Arial"/>
        </w:rPr>
        <w:t>Clerkin</w:t>
      </w:r>
      <w:proofErr w:type="spellEnd"/>
      <w:r>
        <w:rPr>
          <w:rFonts w:ascii="Arial" w:hAnsi="Arial" w:cs="Arial"/>
        </w:rPr>
        <w:t xml:space="preserve"> and </w:t>
      </w:r>
      <w:proofErr w:type="spellStart"/>
      <w:r>
        <w:rPr>
          <w:rFonts w:ascii="Arial" w:hAnsi="Arial" w:cs="Arial"/>
        </w:rPr>
        <w:t>Creaven</w:t>
      </w:r>
      <w:proofErr w:type="spellEnd"/>
      <w:r>
        <w:rPr>
          <w:rFonts w:ascii="Arial" w:hAnsi="Arial" w:cs="Arial"/>
        </w:rPr>
        <w:t xml:space="preserve"> (2013) are imperative </w:t>
      </w:r>
      <w:r>
        <w:rPr>
          <w:rFonts w:ascii="Arial" w:hAnsi="Arial" w:cs="Arial"/>
        </w:rPr>
        <w:lastRenderedPageBreak/>
        <w:t>because it demonstrates the fact that pupil engagement is a multi-faceted topic and gives an important insight into how it can be achieved. It</w:t>
      </w:r>
      <w:r w:rsidRPr="007C2BDC">
        <w:rPr>
          <w:rFonts w:ascii="Arial" w:hAnsi="Arial" w:cs="Arial"/>
        </w:rPr>
        <w:t xml:space="preserve"> </w:t>
      </w:r>
      <w:r>
        <w:rPr>
          <w:rFonts w:ascii="Arial" w:hAnsi="Arial" w:cs="Arial"/>
        </w:rPr>
        <w:t>is evident from analysing these different types of pupil engagement that I needed to create a learning environment which stimulated pupil engagement on an emotional, behavioural and cognitive level in order to ensure that a higher level of pupil engagement was achieved overall.</w:t>
      </w:r>
    </w:p>
    <w:p w14:paraId="76A0E6A4" w14:textId="1349492D" w:rsidR="00461EB4" w:rsidRPr="007C2BDC" w:rsidRDefault="00461EB4" w:rsidP="00461EB4">
      <w:pPr>
        <w:spacing w:line="360" w:lineRule="auto"/>
        <w:rPr>
          <w:rFonts w:ascii="Arial" w:hAnsi="Arial" w:cs="Arial"/>
        </w:rPr>
      </w:pPr>
      <w:r w:rsidRPr="007C2BDC">
        <w:rPr>
          <w:rFonts w:ascii="Arial" w:hAnsi="Arial" w:cs="Arial"/>
        </w:rPr>
        <w:t>The bulk of the research was on the topic of multiple-choice questions</w:t>
      </w:r>
      <w:r>
        <w:rPr>
          <w:rFonts w:ascii="Arial" w:hAnsi="Arial" w:cs="Arial"/>
        </w:rPr>
        <w:t>,</w:t>
      </w:r>
      <w:r w:rsidRPr="007C2BDC">
        <w:rPr>
          <w:rFonts w:ascii="Arial" w:hAnsi="Arial" w:cs="Arial"/>
        </w:rPr>
        <w:t xml:space="preserve"> and so I aimed to weigh up the strengths and shortcomings to better advise my practice. One positive aspect of multiple-choice questions </w:t>
      </w:r>
      <w:r>
        <w:rPr>
          <w:rFonts w:ascii="Arial" w:hAnsi="Arial" w:cs="Arial"/>
        </w:rPr>
        <w:t>is</w:t>
      </w:r>
      <w:r w:rsidRPr="007C2BDC">
        <w:rPr>
          <w:rFonts w:ascii="Arial" w:hAnsi="Arial" w:cs="Arial"/>
        </w:rPr>
        <w:t xml:space="preserve"> that they can be marked quickly (Blanco et al. 2013; Chan, 2009; van der Merwe, 2015). This can be capitalised on in the classroom setting to provide instant feedback for the teacher</w:t>
      </w:r>
      <w:r>
        <w:rPr>
          <w:rFonts w:ascii="Arial" w:hAnsi="Arial" w:cs="Arial"/>
        </w:rPr>
        <w:t xml:space="preserve"> on pupil progress,</w:t>
      </w:r>
      <w:r w:rsidRPr="007C2BDC">
        <w:rPr>
          <w:rFonts w:ascii="Arial" w:hAnsi="Arial" w:cs="Arial"/>
        </w:rPr>
        <w:t xml:space="preserve"> which then</w:t>
      </w:r>
      <w:r>
        <w:rPr>
          <w:rFonts w:ascii="Arial" w:hAnsi="Arial" w:cs="Arial"/>
        </w:rPr>
        <w:t xml:space="preserve"> better</w:t>
      </w:r>
      <w:r w:rsidRPr="007C2BDC">
        <w:rPr>
          <w:rFonts w:ascii="Arial" w:hAnsi="Arial" w:cs="Arial"/>
        </w:rPr>
        <w:t xml:space="preserve"> informs their teaching</w:t>
      </w:r>
      <w:r>
        <w:rPr>
          <w:rFonts w:ascii="Arial" w:hAnsi="Arial" w:cs="Arial"/>
        </w:rPr>
        <w:t xml:space="preserve"> going forward because they know where pupils need help to improve in their learning</w:t>
      </w:r>
      <w:r w:rsidRPr="007C2BDC">
        <w:rPr>
          <w:rFonts w:ascii="Arial" w:hAnsi="Arial" w:cs="Arial"/>
        </w:rPr>
        <w:t xml:space="preserve">. This provides a </w:t>
      </w:r>
      <w:r>
        <w:rPr>
          <w:rFonts w:ascii="Arial" w:hAnsi="Arial" w:cs="Arial"/>
        </w:rPr>
        <w:t>significant</w:t>
      </w:r>
      <w:r w:rsidRPr="007C2BDC">
        <w:rPr>
          <w:rFonts w:ascii="Arial" w:hAnsi="Arial" w:cs="Arial"/>
        </w:rPr>
        <w:t xml:space="preserve"> benefit for teaching</w:t>
      </w:r>
      <w:r>
        <w:rPr>
          <w:rFonts w:ascii="Arial" w:hAnsi="Arial" w:cs="Arial"/>
        </w:rPr>
        <w:t xml:space="preserve">, </w:t>
      </w:r>
      <w:r w:rsidRPr="007C2BDC">
        <w:rPr>
          <w:rFonts w:ascii="Arial" w:hAnsi="Arial" w:cs="Arial"/>
        </w:rPr>
        <w:t xml:space="preserve">but there must be an awareness </w:t>
      </w:r>
      <w:r>
        <w:rPr>
          <w:rFonts w:ascii="Arial" w:hAnsi="Arial" w:cs="Arial"/>
        </w:rPr>
        <w:t>when</w:t>
      </w:r>
      <w:r w:rsidRPr="007C2BDC">
        <w:rPr>
          <w:rFonts w:ascii="Arial" w:hAnsi="Arial" w:cs="Arial"/>
        </w:rPr>
        <w:t xml:space="preserve"> constructi</w:t>
      </w:r>
      <w:r>
        <w:rPr>
          <w:rFonts w:ascii="Arial" w:hAnsi="Arial" w:cs="Arial"/>
        </w:rPr>
        <w:t>ng</w:t>
      </w:r>
      <w:r w:rsidRPr="007C2BDC">
        <w:rPr>
          <w:rFonts w:ascii="Arial" w:hAnsi="Arial" w:cs="Arial"/>
        </w:rPr>
        <w:t xml:space="preserve"> the questions to begin with. When creating multiple-choice questions</w:t>
      </w:r>
      <w:r>
        <w:rPr>
          <w:rFonts w:ascii="Arial" w:hAnsi="Arial" w:cs="Arial"/>
        </w:rPr>
        <w:t xml:space="preserve">, </w:t>
      </w:r>
      <w:r w:rsidRPr="007C2BDC">
        <w:rPr>
          <w:rFonts w:ascii="Arial" w:hAnsi="Arial" w:cs="Arial"/>
        </w:rPr>
        <w:t xml:space="preserve">there needs to be quality control to ensure that the questions are formulated correctly, which minimises the risks of the effects of reprehensible questions (Barnard et al. 2018; van der Merwe, 2015). This problem is just one which has caused multiple-choice questioning to come under scrutiny compared to short-answer questioning. The level of thinking which multiple-choice questions can assess has also been doubted (Barnard et al. 2018, Chan, 2009; </w:t>
      </w:r>
      <w:proofErr w:type="spellStart"/>
      <w:r w:rsidRPr="007C2BDC">
        <w:rPr>
          <w:rFonts w:ascii="Arial" w:hAnsi="Arial" w:cs="Arial"/>
        </w:rPr>
        <w:t>Frickey</w:t>
      </w:r>
      <w:proofErr w:type="spellEnd"/>
      <w:r w:rsidRPr="007C2BDC">
        <w:rPr>
          <w:rFonts w:ascii="Arial" w:hAnsi="Arial" w:cs="Arial"/>
        </w:rPr>
        <w:t xml:space="preserve">, Fung and Little, 2019; van der Merwe, 2015). This, however, </w:t>
      </w:r>
      <w:r>
        <w:rPr>
          <w:rFonts w:ascii="Arial" w:hAnsi="Arial" w:cs="Arial"/>
        </w:rPr>
        <w:t>should not doubted; a fact which</w:t>
      </w:r>
      <w:r w:rsidRPr="007C2BDC">
        <w:rPr>
          <w:rFonts w:ascii="Arial" w:hAnsi="Arial" w:cs="Arial"/>
        </w:rPr>
        <w:t xml:space="preserve"> can be seen by looking at the revised version of Bloom’s taxonomy</w:t>
      </w:r>
      <w:r>
        <w:rPr>
          <w:rFonts w:ascii="Arial" w:hAnsi="Arial" w:cs="Arial"/>
        </w:rPr>
        <w:t>,</w:t>
      </w:r>
      <w:r w:rsidRPr="007C2BDC">
        <w:rPr>
          <w:rFonts w:ascii="Arial" w:hAnsi="Arial" w:cs="Arial"/>
        </w:rPr>
        <w:t xml:space="preserve"> as given by Krathwohl (2002). Bloom’s taxonomy expresses levels of learning in a pyramid structure</w:t>
      </w:r>
      <w:r>
        <w:rPr>
          <w:rFonts w:ascii="Arial" w:hAnsi="Arial" w:cs="Arial"/>
        </w:rPr>
        <w:t>, with different types ranked from highest to lowest as followed: create; evaluate; analyse; apply; understand; and remember.</w:t>
      </w:r>
      <w:r w:rsidRPr="007C2BDC">
        <w:rPr>
          <w:rFonts w:ascii="Arial" w:hAnsi="Arial" w:cs="Arial"/>
        </w:rPr>
        <w:t xml:space="preserve"> </w:t>
      </w:r>
      <w:r>
        <w:rPr>
          <w:rFonts w:ascii="Arial" w:hAnsi="Arial" w:cs="Arial"/>
        </w:rPr>
        <w:t>In this way, t</w:t>
      </w:r>
      <w:r w:rsidRPr="007C2BDC">
        <w:rPr>
          <w:rFonts w:ascii="Arial" w:hAnsi="Arial" w:cs="Arial"/>
        </w:rPr>
        <w:t>here is nothing to suggest that a multiple-choice question cannot entail higher-order thinking</w:t>
      </w:r>
      <w:r>
        <w:rPr>
          <w:rFonts w:ascii="Arial" w:hAnsi="Arial" w:cs="Arial"/>
        </w:rPr>
        <w:t>;</w:t>
      </w:r>
      <w:r w:rsidRPr="007C2BDC">
        <w:rPr>
          <w:rFonts w:ascii="Arial" w:hAnsi="Arial" w:cs="Arial"/>
        </w:rPr>
        <w:t xml:space="preserve"> there is only the requirement that the composition of the question enables and encourages those </w:t>
      </w:r>
      <w:r>
        <w:rPr>
          <w:rFonts w:ascii="Arial" w:hAnsi="Arial" w:cs="Arial"/>
        </w:rPr>
        <w:t xml:space="preserve">higher </w:t>
      </w:r>
      <w:r w:rsidRPr="007C2BDC">
        <w:rPr>
          <w:rFonts w:ascii="Arial" w:hAnsi="Arial" w:cs="Arial"/>
        </w:rPr>
        <w:t xml:space="preserve">levels of thinking. It is said by </w:t>
      </w:r>
      <w:proofErr w:type="spellStart"/>
      <w:r w:rsidRPr="007C2BDC">
        <w:rPr>
          <w:rFonts w:ascii="Arial" w:hAnsi="Arial" w:cs="Arial"/>
        </w:rPr>
        <w:t>Frickey</w:t>
      </w:r>
      <w:proofErr w:type="spellEnd"/>
      <w:r w:rsidRPr="007C2BDC">
        <w:rPr>
          <w:rFonts w:ascii="Arial" w:hAnsi="Arial" w:cs="Arial"/>
        </w:rPr>
        <w:t>, Fung and Little (2019) that when posed with a multiple-choice question</w:t>
      </w:r>
      <w:r>
        <w:rPr>
          <w:rFonts w:ascii="Arial" w:hAnsi="Arial" w:cs="Arial"/>
        </w:rPr>
        <w:t>,</w:t>
      </w:r>
      <w:r w:rsidRPr="007C2BDC">
        <w:rPr>
          <w:rFonts w:ascii="Arial" w:hAnsi="Arial" w:cs="Arial"/>
        </w:rPr>
        <w:t xml:space="preserve"> learners report that they use an elimination method. This kind of method requires analytical and evaluative thinking</w:t>
      </w:r>
      <w:r>
        <w:rPr>
          <w:rFonts w:ascii="Arial" w:hAnsi="Arial" w:cs="Arial"/>
        </w:rPr>
        <w:t>,</w:t>
      </w:r>
      <w:r w:rsidRPr="007C2BDC">
        <w:rPr>
          <w:rFonts w:ascii="Arial" w:hAnsi="Arial" w:cs="Arial"/>
        </w:rPr>
        <w:t xml:space="preserve"> which are two of the </w:t>
      </w:r>
      <w:r>
        <w:rPr>
          <w:rFonts w:ascii="Arial" w:hAnsi="Arial" w:cs="Arial"/>
        </w:rPr>
        <w:t xml:space="preserve">higher </w:t>
      </w:r>
      <w:r w:rsidRPr="007C2BDC">
        <w:rPr>
          <w:rFonts w:ascii="Arial" w:hAnsi="Arial" w:cs="Arial"/>
        </w:rPr>
        <w:t xml:space="preserve">levels of thinking. </w:t>
      </w:r>
      <w:r>
        <w:rPr>
          <w:rFonts w:ascii="Arial" w:hAnsi="Arial" w:cs="Arial"/>
        </w:rPr>
        <w:t xml:space="preserve">This proves that multiple-choice questions achieve high-order thinking because they encourage pupils to draw connections among answers in order to choose the correct one, which falls under analysing, and then justify their decision, which falls under evaluating. In this way, I was reassured that using multiple-choice questions to measure pupil engagement were an effective and reliable method. </w:t>
      </w:r>
      <w:r w:rsidRPr="007C2BDC">
        <w:rPr>
          <w:rFonts w:ascii="Arial" w:hAnsi="Arial" w:cs="Arial"/>
        </w:rPr>
        <w:t xml:space="preserve">Furthermore, van der Merwe (2015) implies the possibility of multiple-choice questions </w:t>
      </w:r>
      <w:r>
        <w:rPr>
          <w:rFonts w:ascii="Arial" w:hAnsi="Arial" w:cs="Arial"/>
        </w:rPr>
        <w:t>which</w:t>
      </w:r>
      <w:r w:rsidRPr="007C2BDC">
        <w:rPr>
          <w:rFonts w:ascii="Arial" w:hAnsi="Arial" w:cs="Arial"/>
        </w:rPr>
        <w:t xml:space="preserve"> encompass the higher-order thinking levels associated with Bloom’s taxonomy, but on the other hand notes that there is </w:t>
      </w:r>
      <w:r>
        <w:rPr>
          <w:rFonts w:ascii="Arial" w:hAnsi="Arial" w:cs="Arial"/>
        </w:rPr>
        <w:t xml:space="preserve">the </w:t>
      </w:r>
      <w:r w:rsidRPr="007C2BDC">
        <w:rPr>
          <w:rFonts w:ascii="Arial" w:hAnsi="Arial" w:cs="Arial"/>
        </w:rPr>
        <w:t xml:space="preserve">challenge of creating distractors to promote this. Distractors are answers which are incorrect and are put in to </w:t>
      </w:r>
      <w:r w:rsidRPr="007C2BDC">
        <w:rPr>
          <w:rFonts w:ascii="Arial" w:hAnsi="Arial" w:cs="Arial"/>
        </w:rPr>
        <w:lastRenderedPageBreak/>
        <w:t xml:space="preserve">assess which learners have understood the question. Good distractors are of critical importance to multiple-choice questions (Blanco et al. 2013; </w:t>
      </w:r>
      <w:proofErr w:type="spellStart"/>
      <w:r w:rsidRPr="007C2BDC">
        <w:rPr>
          <w:rFonts w:ascii="Arial" w:hAnsi="Arial" w:cs="Arial"/>
        </w:rPr>
        <w:t>Brame</w:t>
      </w:r>
      <w:proofErr w:type="spellEnd"/>
      <w:r w:rsidRPr="007C2BDC">
        <w:rPr>
          <w:rFonts w:ascii="Arial" w:hAnsi="Arial" w:cs="Arial"/>
        </w:rPr>
        <w:t xml:space="preserve">, 2013; Briner et al. 2013) and </w:t>
      </w:r>
      <w:r>
        <w:rPr>
          <w:rFonts w:ascii="Arial" w:hAnsi="Arial" w:cs="Arial"/>
        </w:rPr>
        <w:t xml:space="preserve">are </w:t>
      </w:r>
      <w:r w:rsidRPr="007C2BDC">
        <w:rPr>
          <w:rFonts w:ascii="Arial" w:hAnsi="Arial" w:cs="Arial"/>
        </w:rPr>
        <w:t>what give them increased reliability. By putting in options which can be tempting for those with incomplete understanding</w:t>
      </w:r>
      <w:r>
        <w:rPr>
          <w:rFonts w:ascii="Arial" w:hAnsi="Arial" w:cs="Arial"/>
        </w:rPr>
        <w:t>,</w:t>
      </w:r>
      <w:r w:rsidRPr="007C2BDC">
        <w:rPr>
          <w:rFonts w:ascii="Arial" w:hAnsi="Arial" w:cs="Arial"/>
        </w:rPr>
        <w:t xml:space="preserve"> distractors ensure that quality control and validity are upheld, whilst allowing those with complete understanding to answer correctly.</w:t>
      </w:r>
      <w:r>
        <w:rPr>
          <w:rFonts w:ascii="Arial" w:hAnsi="Arial" w:cs="Arial"/>
        </w:rPr>
        <w:t xml:space="preserve"> </w:t>
      </w:r>
      <w:r w:rsidRPr="007C2BDC">
        <w:rPr>
          <w:rFonts w:ascii="Arial" w:hAnsi="Arial" w:cs="Arial"/>
        </w:rPr>
        <w:t>However, there is still a necessity for both clear questions and answers so that pupils are not punished by a possible lack in clarity (</w:t>
      </w:r>
      <w:proofErr w:type="spellStart"/>
      <w:r w:rsidRPr="007C2BDC">
        <w:rPr>
          <w:rFonts w:ascii="Arial" w:hAnsi="Arial" w:cs="Arial"/>
        </w:rPr>
        <w:t>Brame</w:t>
      </w:r>
      <w:proofErr w:type="spellEnd"/>
      <w:r w:rsidRPr="007C2BDC">
        <w:rPr>
          <w:rFonts w:ascii="Arial" w:hAnsi="Arial" w:cs="Arial"/>
        </w:rPr>
        <w:t>, 2013; Chan, 2009; van der Merwe, 2015).</w:t>
      </w:r>
      <w:r>
        <w:rPr>
          <w:rFonts w:ascii="Arial" w:hAnsi="Arial" w:cs="Arial"/>
        </w:rPr>
        <w:t xml:space="preserve"> Consequently, I learnt that it is important to utilising distractors in an efficient way to ensure the overall quality of my multiple-choice questions and the validity of their outcome when assessing pupil engagement with them.</w:t>
      </w:r>
    </w:p>
    <w:p w14:paraId="15BD1B44" w14:textId="77777777" w:rsidR="00461EB4" w:rsidRPr="007C2BDC" w:rsidRDefault="00461EB4" w:rsidP="00461EB4">
      <w:pPr>
        <w:spacing w:line="360" w:lineRule="auto"/>
        <w:rPr>
          <w:rFonts w:ascii="Arial" w:hAnsi="Arial" w:cs="Arial"/>
        </w:rPr>
      </w:pPr>
      <w:r w:rsidRPr="007C2BDC">
        <w:rPr>
          <w:rFonts w:ascii="Arial" w:hAnsi="Arial" w:cs="Arial"/>
        </w:rPr>
        <w:t>T</w:t>
      </w:r>
      <w:r>
        <w:rPr>
          <w:rFonts w:ascii="Arial" w:hAnsi="Arial" w:cs="Arial"/>
        </w:rPr>
        <w:t>o conclude this section, t</w:t>
      </w:r>
      <w:r w:rsidRPr="007C2BDC">
        <w:rPr>
          <w:rFonts w:ascii="Arial" w:hAnsi="Arial" w:cs="Arial"/>
        </w:rPr>
        <w:t>his research made known to me the complexity in constructi</w:t>
      </w:r>
      <w:r>
        <w:rPr>
          <w:rFonts w:ascii="Arial" w:hAnsi="Arial" w:cs="Arial"/>
        </w:rPr>
        <w:t xml:space="preserve">ng </w:t>
      </w:r>
      <w:r w:rsidRPr="007C2BDC">
        <w:rPr>
          <w:rFonts w:ascii="Arial" w:hAnsi="Arial" w:cs="Arial"/>
        </w:rPr>
        <w:t xml:space="preserve">quality multiple-choice questions to enable my research question to be explored. Furthermore, it </w:t>
      </w:r>
      <w:r>
        <w:rPr>
          <w:rFonts w:ascii="Arial" w:hAnsi="Arial" w:cs="Arial"/>
        </w:rPr>
        <w:t>helped to inform me of how to</w:t>
      </w:r>
      <w:r w:rsidRPr="007C2BDC">
        <w:rPr>
          <w:rFonts w:ascii="Arial" w:hAnsi="Arial" w:cs="Arial"/>
        </w:rPr>
        <w:t xml:space="preserve"> compos</w:t>
      </w:r>
      <w:r>
        <w:rPr>
          <w:rFonts w:ascii="Arial" w:hAnsi="Arial" w:cs="Arial"/>
        </w:rPr>
        <w:t>e</w:t>
      </w:r>
      <w:r w:rsidRPr="007C2BDC">
        <w:rPr>
          <w:rFonts w:ascii="Arial" w:hAnsi="Arial" w:cs="Arial"/>
        </w:rPr>
        <w:t xml:space="preserve"> questions </w:t>
      </w:r>
      <w:r>
        <w:rPr>
          <w:rFonts w:ascii="Arial" w:hAnsi="Arial" w:cs="Arial"/>
        </w:rPr>
        <w:t>that</w:t>
      </w:r>
      <w:r w:rsidRPr="007C2BDC">
        <w:rPr>
          <w:rFonts w:ascii="Arial" w:hAnsi="Arial" w:cs="Arial"/>
        </w:rPr>
        <w:t xml:space="preserve"> used suitable distractors and were able to asses existing pupil misconceptions.</w:t>
      </w:r>
    </w:p>
    <w:p w14:paraId="12CBB295" w14:textId="77777777" w:rsidR="00461EB4" w:rsidRPr="007C2BDC" w:rsidRDefault="00461EB4" w:rsidP="00461EB4">
      <w:pPr>
        <w:spacing w:line="360" w:lineRule="auto"/>
        <w:rPr>
          <w:rFonts w:ascii="Arial" w:hAnsi="Arial" w:cs="Arial"/>
        </w:rPr>
      </w:pPr>
    </w:p>
    <w:p w14:paraId="1E2BE2DE" w14:textId="7D88F865" w:rsidR="00461EB4" w:rsidRPr="00461EB4" w:rsidRDefault="00461EB4" w:rsidP="00461EB4">
      <w:pPr>
        <w:spacing w:line="360" w:lineRule="auto"/>
        <w:rPr>
          <w:rFonts w:ascii="Arial" w:hAnsi="Arial" w:cs="Arial"/>
          <w:b/>
          <w:bCs/>
          <w:i/>
          <w:iCs/>
          <w:sz w:val="28"/>
          <w:szCs w:val="28"/>
        </w:rPr>
      </w:pPr>
      <w:r w:rsidRPr="00047E29">
        <w:rPr>
          <w:rFonts w:ascii="Arial" w:hAnsi="Arial" w:cs="Arial"/>
          <w:b/>
          <w:bCs/>
          <w:i/>
          <w:iCs/>
          <w:sz w:val="28"/>
          <w:szCs w:val="28"/>
        </w:rPr>
        <w:t>Lesson Study Design</w:t>
      </w:r>
    </w:p>
    <w:p w14:paraId="05725E4E" w14:textId="0AAE429D" w:rsidR="00461EB4" w:rsidRPr="007C2BDC" w:rsidRDefault="00461EB4" w:rsidP="00461EB4">
      <w:pPr>
        <w:spacing w:line="360" w:lineRule="auto"/>
        <w:rPr>
          <w:rFonts w:ascii="Arial" w:hAnsi="Arial" w:cs="Arial"/>
        </w:rPr>
      </w:pPr>
      <w:r w:rsidRPr="007C2BDC">
        <w:rPr>
          <w:rFonts w:ascii="Arial" w:hAnsi="Arial" w:cs="Arial"/>
        </w:rPr>
        <w:t>The next area for research was on the topic of lesson stud</w:t>
      </w:r>
      <w:r>
        <w:rPr>
          <w:rFonts w:ascii="Arial" w:hAnsi="Arial" w:cs="Arial"/>
        </w:rPr>
        <w:t>y</w:t>
      </w:r>
      <w:r w:rsidRPr="007C2BDC">
        <w:rPr>
          <w:rFonts w:ascii="Arial" w:hAnsi="Arial" w:cs="Arial"/>
        </w:rPr>
        <w:t>. Lesson study originated in Japan as a method to increase the levels of professionalism of teachers (Cheng, 2019). A lesson study begins by meeting with your fellow researcher to determine the nature of your study</w:t>
      </w:r>
      <w:r>
        <w:rPr>
          <w:rFonts w:ascii="Arial" w:hAnsi="Arial" w:cs="Arial"/>
        </w:rPr>
        <w:t>, followed by</w:t>
      </w:r>
      <w:r w:rsidRPr="007C2BDC">
        <w:rPr>
          <w:rFonts w:ascii="Arial" w:hAnsi="Arial" w:cs="Arial"/>
        </w:rPr>
        <w:t xml:space="preserve"> a joint planning session for the first lesson being taught and observed,</w:t>
      </w:r>
      <w:r>
        <w:rPr>
          <w:rFonts w:ascii="Arial" w:hAnsi="Arial" w:cs="Arial"/>
        </w:rPr>
        <w:t xml:space="preserve"> and</w:t>
      </w:r>
      <w:r w:rsidRPr="007C2BDC">
        <w:rPr>
          <w:rFonts w:ascii="Arial" w:hAnsi="Arial" w:cs="Arial"/>
        </w:rPr>
        <w:t xml:space="preserve"> f</w:t>
      </w:r>
      <w:r>
        <w:rPr>
          <w:rFonts w:ascii="Arial" w:hAnsi="Arial" w:cs="Arial"/>
        </w:rPr>
        <w:t>inished with</w:t>
      </w:r>
      <w:r w:rsidRPr="007C2BDC">
        <w:rPr>
          <w:rFonts w:ascii="Arial" w:hAnsi="Arial" w:cs="Arial"/>
        </w:rPr>
        <w:t xml:space="preserve"> a pupil interview. A post</w:t>
      </w:r>
      <w:r>
        <w:rPr>
          <w:rFonts w:ascii="Arial" w:hAnsi="Arial" w:cs="Arial"/>
        </w:rPr>
        <w:t>-</w:t>
      </w:r>
      <w:r w:rsidRPr="007C2BDC">
        <w:rPr>
          <w:rFonts w:ascii="Arial" w:hAnsi="Arial" w:cs="Arial"/>
        </w:rPr>
        <w:t>interview discussion with your research partner is then undertaken</w:t>
      </w:r>
      <w:r>
        <w:rPr>
          <w:rFonts w:ascii="Arial" w:hAnsi="Arial" w:cs="Arial"/>
        </w:rPr>
        <w:t>,</w:t>
      </w:r>
      <w:r w:rsidRPr="007C2BDC">
        <w:rPr>
          <w:rFonts w:ascii="Arial" w:hAnsi="Arial" w:cs="Arial"/>
        </w:rPr>
        <w:t xml:space="preserve"> and the reflections and advice taken on board are implemented into the planning of the second lesson. The cycle is then repeated, </w:t>
      </w:r>
      <w:r>
        <w:rPr>
          <w:rFonts w:ascii="Arial" w:hAnsi="Arial" w:cs="Arial"/>
        </w:rPr>
        <w:t>coming</w:t>
      </w:r>
      <w:r w:rsidRPr="007C2BDC">
        <w:rPr>
          <w:rFonts w:ascii="Arial" w:hAnsi="Arial" w:cs="Arial"/>
        </w:rPr>
        <w:t xml:space="preserve"> to a close with a final discussion and write up of what has been learnt from the study (Caskey and </w:t>
      </w:r>
      <w:proofErr w:type="spellStart"/>
      <w:r w:rsidRPr="007C2BDC">
        <w:rPr>
          <w:rFonts w:ascii="Arial" w:hAnsi="Arial" w:cs="Arial"/>
        </w:rPr>
        <w:t>Lenksi</w:t>
      </w:r>
      <w:proofErr w:type="spellEnd"/>
      <w:r w:rsidRPr="007C2BDC">
        <w:rPr>
          <w:rFonts w:ascii="Arial" w:hAnsi="Arial" w:cs="Arial"/>
        </w:rPr>
        <w:t xml:space="preserve">, 2009; Cheng, 2019; Dudley, 2014; Dudley, 2015; </w:t>
      </w:r>
      <w:proofErr w:type="spellStart"/>
      <w:r w:rsidRPr="007C2BDC">
        <w:rPr>
          <w:rFonts w:ascii="Arial" w:hAnsi="Arial" w:cs="Arial"/>
        </w:rPr>
        <w:t>Özdemïr</w:t>
      </w:r>
      <w:proofErr w:type="spellEnd"/>
      <w:r w:rsidRPr="007C2BDC">
        <w:rPr>
          <w:rFonts w:ascii="Arial" w:hAnsi="Arial" w:cs="Arial"/>
        </w:rPr>
        <w:t>, 2019). In our lesson study</w:t>
      </w:r>
      <w:r>
        <w:rPr>
          <w:rFonts w:ascii="Arial" w:hAnsi="Arial" w:cs="Arial"/>
        </w:rPr>
        <w:t>,</w:t>
      </w:r>
      <w:r w:rsidRPr="007C2BDC">
        <w:rPr>
          <w:rFonts w:ascii="Arial" w:hAnsi="Arial" w:cs="Arial"/>
        </w:rPr>
        <w:t xml:space="preserve"> we used three main methods of data collection: reflections made by the teacher; observational notes made by the other researcher; and the interview with the selected focus group. The aim was that these three forms of data collection would give the necessary information so that our research question could be answered.</w:t>
      </w:r>
    </w:p>
    <w:p w14:paraId="698CE680" w14:textId="5A3E47B1" w:rsidR="00461EB4" w:rsidRPr="007C2BDC" w:rsidRDefault="00461EB4" w:rsidP="00461EB4">
      <w:pPr>
        <w:spacing w:line="360" w:lineRule="auto"/>
        <w:rPr>
          <w:rFonts w:ascii="Arial" w:hAnsi="Arial" w:cs="Arial"/>
        </w:rPr>
      </w:pPr>
      <w:r w:rsidRPr="007C2BDC">
        <w:rPr>
          <w:rFonts w:ascii="Arial" w:hAnsi="Arial" w:cs="Arial"/>
        </w:rPr>
        <w:t>Prior to teaching our research lessons</w:t>
      </w:r>
      <w:r>
        <w:rPr>
          <w:rFonts w:ascii="Arial" w:hAnsi="Arial" w:cs="Arial"/>
        </w:rPr>
        <w:t>,</w:t>
      </w:r>
      <w:r w:rsidRPr="007C2BDC">
        <w:rPr>
          <w:rFonts w:ascii="Arial" w:hAnsi="Arial" w:cs="Arial"/>
        </w:rPr>
        <w:t xml:space="preserve"> we had planned to refrain from taking physical notes whilst teaching so that we could focus fully on the task at hand</w:t>
      </w:r>
      <w:r>
        <w:rPr>
          <w:rFonts w:ascii="Arial" w:hAnsi="Arial" w:cs="Arial"/>
        </w:rPr>
        <w:t>;</w:t>
      </w:r>
      <w:r w:rsidRPr="007C2BDC">
        <w:rPr>
          <w:rFonts w:ascii="Arial" w:hAnsi="Arial" w:cs="Arial"/>
        </w:rPr>
        <w:t xml:space="preserve"> mental notes of key aspects were made</w:t>
      </w:r>
      <w:r>
        <w:rPr>
          <w:rFonts w:ascii="Arial" w:hAnsi="Arial" w:cs="Arial"/>
        </w:rPr>
        <w:t>,</w:t>
      </w:r>
      <w:r w:rsidRPr="007C2BDC">
        <w:rPr>
          <w:rFonts w:ascii="Arial" w:hAnsi="Arial" w:cs="Arial"/>
        </w:rPr>
        <w:t xml:space="preserve"> although this was a shortcoming. This</w:t>
      </w:r>
      <w:r>
        <w:rPr>
          <w:rFonts w:ascii="Arial" w:hAnsi="Arial" w:cs="Arial"/>
        </w:rPr>
        <w:t>,</w:t>
      </w:r>
      <w:r w:rsidRPr="007C2BDC">
        <w:rPr>
          <w:rFonts w:ascii="Arial" w:hAnsi="Arial" w:cs="Arial"/>
        </w:rPr>
        <w:t xml:space="preserve"> however, was complimented by the other researcher taking observational notes to solidify the validity of the observation. My observation notes were collected by using Brookfield’s (1998) model of reflection. Reflection </w:t>
      </w:r>
      <w:r w:rsidRPr="007C2BDC">
        <w:rPr>
          <w:rFonts w:ascii="Arial" w:hAnsi="Arial" w:cs="Arial"/>
        </w:rPr>
        <w:lastRenderedPageBreak/>
        <w:t>is a key part of lesson study research (Fernandez and Yoshida, 2004) and is what is needed for professional development because it can advise the teachers</w:t>
      </w:r>
      <w:r>
        <w:rPr>
          <w:rFonts w:ascii="Arial" w:hAnsi="Arial" w:cs="Arial"/>
        </w:rPr>
        <w:t>’</w:t>
      </w:r>
      <w:r w:rsidRPr="007C2BDC">
        <w:rPr>
          <w:rFonts w:ascii="Arial" w:hAnsi="Arial" w:cs="Arial"/>
        </w:rPr>
        <w:t xml:space="preserve"> future practice. Brookfield’s model is composed of four different lenses </w:t>
      </w:r>
      <w:r>
        <w:rPr>
          <w:rFonts w:ascii="Arial" w:hAnsi="Arial" w:cs="Arial"/>
        </w:rPr>
        <w:t>that</w:t>
      </w:r>
      <w:r w:rsidRPr="007C2BDC">
        <w:rPr>
          <w:rFonts w:ascii="Arial" w:hAnsi="Arial" w:cs="Arial"/>
        </w:rPr>
        <w:t xml:space="preserve"> allows reflection to be undertaken from the viewpoints of ourselves, the students, our peers and from the literature. This variety of viewpoints would provide a broader perspective to inform a critical reflection of my practice, with the aim of improving it. Prior to the commencement of the lesson study</w:t>
      </w:r>
      <w:r>
        <w:rPr>
          <w:rFonts w:ascii="Arial" w:hAnsi="Arial" w:cs="Arial"/>
        </w:rPr>
        <w:t>,</w:t>
      </w:r>
      <w:r w:rsidRPr="007C2BDC">
        <w:rPr>
          <w:rFonts w:ascii="Arial" w:hAnsi="Arial" w:cs="Arial"/>
        </w:rPr>
        <w:t xml:space="preserve"> it was decided that our observational notes would be taken in the form of qualitative data due to the nature of the study. Qualitative data relates to phenomena which </w:t>
      </w:r>
      <w:r>
        <w:rPr>
          <w:rFonts w:ascii="Arial" w:hAnsi="Arial" w:cs="Arial"/>
        </w:rPr>
        <w:t>is</w:t>
      </w:r>
      <w:r w:rsidRPr="007C2BDC">
        <w:rPr>
          <w:rFonts w:ascii="Arial" w:hAnsi="Arial" w:cs="Arial"/>
        </w:rPr>
        <w:t xml:space="preserve"> observed (McLeod, 2019)</w:t>
      </w:r>
      <w:r>
        <w:rPr>
          <w:rFonts w:ascii="Arial" w:hAnsi="Arial" w:cs="Arial"/>
        </w:rPr>
        <w:t>,</w:t>
      </w:r>
      <w:r w:rsidRPr="007C2BDC">
        <w:rPr>
          <w:rFonts w:ascii="Arial" w:hAnsi="Arial" w:cs="Arial"/>
        </w:rPr>
        <w:t xml:space="preserve"> </w:t>
      </w:r>
      <w:r>
        <w:rPr>
          <w:rFonts w:ascii="Arial" w:hAnsi="Arial" w:cs="Arial"/>
        </w:rPr>
        <w:t>which aligns well with</w:t>
      </w:r>
      <w:r w:rsidRPr="007C2BDC">
        <w:rPr>
          <w:rFonts w:ascii="Arial" w:hAnsi="Arial" w:cs="Arial"/>
        </w:rPr>
        <w:t xml:space="preserve"> the nature of the research question</w:t>
      </w:r>
      <w:r>
        <w:rPr>
          <w:rFonts w:ascii="Arial" w:hAnsi="Arial" w:cs="Arial"/>
        </w:rPr>
        <w:t xml:space="preserve"> because pupil engagement cannot be measured by solely quantitative terms. B</w:t>
      </w:r>
      <w:r w:rsidRPr="007C2BDC">
        <w:rPr>
          <w:rFonts w:ascii="Arial" w:hAnsi="Arial" w:cs="Arial"/>
        </w:rPr>
        <w:t>ecause I would be looking at pupil responses and opinions</w:t>
      </w:r>
      <w:r>
        <w:rPr>
          <w:rFonts w:ascii="Arial" w:hAnsi="Arial" w:cs="Arial"/>
        </w:rPr>
        <w:t>,</w:t>
      </w:r>
      <w:r w:rsidRPr="007C2BDC">
        <w:rPr>
          <w:rFonts w:ascii="Arial" w:hAnsi="Arial" w:cs="Arial"/>
        </w:rPr>
        <w:t xml:space="preserve"> this could not be collected in a quantitative form. To adhere to lesson study methodology</w:t>
      </w:r>
      <w:r>
        <w:rPr>
          <w:rFonts w:ascii="Arial" w:hAnsi="Arial" w:cs="Arial"/>
        </w:rPr>
        <w:t>,</w:t>
      </w:r>
      <w:r w:rsidRPr="007C2BDC">
        <w:rPr>
          <w:rFonts w:ascii="Arial" w:hAnsi="Arial" w:cs="Arial"/>
        </w:rPr>
        <w:t xml:space="preserve"> my research partner was a non-participant observer. As described by Kumar (2014), a non-participant observer is one who does not get involved with the group being observed. This type of observation method would still allow for the desired information to be obtained </w:t>
      </w:r>
      <w:r>
        <w:rPr>
          <w:rFonts w:ascii="Arial" w:hAnsi="Arial" w:cs="Arial"/>
        </w:rPr>
        <w:t>because</w:t>
      </w:r>
      <w:r w:rsidRPr="007C2BDC">
        <w:rPr>
          <w:rFonts w:ascii="Arial" w:hAnsi="Arial" w:cs="Arial"/>
        </w:rPr>
        <w:t xml:space="preserve"> there was only a need for pupil contact during</w:t>
      </w:r>
      <w:r>
        <w:rPr>
          <w:rFonts w:ascii="Arial" w:hAnsi="Arial" w:cs="Arial"/>
        </w:rPr>
        <w:t xml:space="preserve"> </w:t>
      </w:r>
      <w:r w:rsidRPr="007C2BDC">
        <w:rPr>
          <w:rFonts w:ascii="Arial" w:hAnsi="Arial" w:cs="Arial"/>
        </w:rPr>
        <w:t>part of the study</w:t>
      </w:r>
      <w:r>
        <w:rPr>
          <w:rFonts w:ascii="Arial" w:hAnsi="Arial" w:cs="Arial"/>
        </w:rPr>
        <w:t xml:space="preserve"> which involved focus groups</w:t>
      </w:r>
      <w:r w:rsidRPr="007C2BDC">
        <w:rPr>
          <w:rFonts w:ascii="Arial" w:hAnsi="Arial" w:cs="Arial"/>
        </w:rPr>
        <w:t>. Additionally, we were aware of the Hawthorne affect which could skew our findings during the observation. The Hawthorne effect is when an observed group</w:t>
      </w:r>
      <w:r>
        <w:rPr>
          <w:rFonts w:ascii="Arial" w:hAnsi="Arial" w:cs="Arial"/>
        </w:rPr>
        <w:t>’</w:t>
      </w:r>
      <w:r w:rsidRPr="007C2BDC">
        <w:rPr>
          <w:rFonts w:ascii="Arial" w:hAnsi="Arial" w:cs="Arial"/>
        </w:rPr>
        <w:t xml:space="preserve">s behaviour changes because they are being observed. Whilst observing, my research partner would be collecting notes by answering the research questions which we had composed prior to the lesson. These questions formed the criteria by which we could assess pupil engagement throughout the lesson and would help to provide us with an answer to the research question we had created. </w:t>
      </w:r>
    </w:p>
    <w:p w14:paraId="396C15F9" w14:textId="22513628" w:rsidR="00461EB4" w:rsidRDefault="00461EB4" w:rsidP="00461EB4">
      <w:pPr>
        <w:spacing w:line="360" w:lineRule="auto"/>
        <w:rPr>
          <w:rFonts w:ascii="Arial" w:hAnsi="Arial" w:cs="Arial"/>
        </w:rPr>
      </w:pPr>
      <w:r w:rsidRPr="007C2BDC">
        <w:rPr>
          <w:rFonts w:ascii="Arial" w:hAnsi="Arial" w:cs="Arial"/>
        </w:rPr>
        <w:t xml:space="preserve">The last area of research was on focus groups. </w:t>
      </w:r>
      <w:r>
        <w:rPr>
          <w:rFonts w:ascii="Arial" w:hAnsi="Arial" w:cs="Arial"/>
        </w:rPr>
        <w:t>This term is defined as, “</w:t>
      </w:r>
      <w:r w:rsidRPr="007C2BDC">
        <w:rPr>
          <w:rFonts w:ascii="Arial" w:hAnsi="Arial" w:cs="Arial"/>
          <w:i/>
          <w:iCs/>
        </w:rPr>
        <w:t xml:space="preserve">a method of research involving a small group of people who are guided through a discussion by a moderator” </w:t>
      </w:r>
      <w:r w:rsidRPr="007C2BDC">
        <w:rPr>
          <w:rFonts w:ascii="Arial" w:hAnsi="Arial" w:cs="Arial"/>
        </w:rPr>
        <w:t>(Citizens Advice, 2015). Moreover, focus groups are used to gather information on the topic which the researcher is interested in. It is suggested that when choosing focus groups</w:t>
      </w:r>
      <w:r>
        <w:rPr>
          <w:rFonts w:ascii="Arial" w:hAnsi="Arial" w:cs="Arial"/>
        </w:rPr>
        <w:t xml:space="preserve">, </w:t>
      </w:r>
      <w:r w:rsidRPr="007C2BDC">
        <w:rPr>
          <w:rFonts w:ascii="Arial" w:hAnsi="Arial" w:cs="Arial"/>
        </w:rPr>
        <w:t>the size of the group is between six and eight people to ensure that a range of interviewees are picked (Brown and Dowling, 1998; Citizens Advice, 2015). In the context of our research</w:t>
      </w:r>
      <w:r>
        <w:rPr>
          <w:rFonts w:ascii="Arial" w:hAnsi="Arial" w:cs="Arial"/>
        </w:rPr>
        <w:t>,</w:t>
      </w:r>
      <w:r w:rsidRPr="007C2BDC">
        <w:rPr>
          <w:rFonts w:ascii="Arial" w:hAnsi="Arial" w:cs="Arial"/>
        </w:rPr>
        <w:t xml:space="preserve"> however, we needed only three individuals who would be our case pupils. </w:t>
      </w:r>
      <w:r>
        <w:rPr>
          <w:rFonts w:ascii="Arial" w:hAnsi="Arial" w:cs="Arial"/>
        </w:rPr>
        <w:t>Despite this, w</w:t>
      </w:r>
      <w:r w:rsidRPr="007C2BDC">
        <w:rPr>
          <w:rFonts w:ascii="Arial" w:hAnsi="Arial" w:cs="Arial"/>
        </w:rPr>
        <w:t xml:space="preserve">e did prepare six individuals after taking into account the possibility of pupil absence on the day. As mentioned by Dudley (2014), case pupils are important in lesson study because they allow teachers to examine the extent to which the </w:t>
      </w:r>
      <w:r>
        <w:rPr>
          <w:rFonts w:ascii="Arial" w:hAnsi="Arial" w:cs="Arial"/>
        </w:rPr>
        <w:t>pupil</w:t>
      </w:r>
      <w:r w:rsidRPr="007C2BDC">
        <w:rPr>
          <w:rFonts w:ascii="Arial" w:hAnsi="Arial" w:cs="Arial"/>
        </w:rPr>
        <w:t xml:space="preserve"> is making progress through a different lens. To encapsulate the variety of individuals</w:t>
      </w:r>
      <w:r>
        <w:rPr>
          <w:rFonts w:ascii="Arial" w:hAnsi="Arial" w:cs="Arial"/>
        </w:rPr>
        <w:t>,</w:t>
      </w:r>
      <w:r w:rsidRPr="007C2BDC">
        <w:rPr>
          <w:rFonts w:ascii="Arial" w:hAnsi="Arial" w:cs="Arial"/>
        </w:rPr>
        <w:t xml:space="preserve"> we each chose three pupils who were operating at different levels of attainment: a high, middling and low. </w:t>
      </w:r>
      <w:r>
        <w:rPr>
          <w:rFonts w:ascii="Arial" w:hAnsi="Arial" w:cs="Arial"/>
        </w:rPr>
        <w:t xml:space="preserve">Pupils were categorised based on their test results and general classroom attainment. </w:t>
      </w:r>
      <w:r w:rsidRPr="007C2BDC">
        <w:rPr>
          <w:rFonts w:ascii="Arial" w:hAnsi="Arial" w:cs="Arial"/>
        </w:rPr>
        <w:t xml:space="preserve">This was so that we could cover the diversity in the classroom environment to receive a more </w:t>
      </w:r>
      <w:r w:rsidRPr="007C2BDC">
        <w:rPr>
          <w:rFonts w:ascii="Arial" w:hAnsi="Arial" w:cs="Arial"/>
        </w:rPr>
        <w:lastRenderedPageBreak/>
        <w:t>universal response. Furthermore, in the construction of our interview questions</w:t>
      </w:r>
      <w:r>
        <w:rPr>
          <w:rFonts w:ascii="Arial" w:hAnsi="Arial" w:cs="Arial"/>
        </w:rPr>
        <w:t>,</w:t>
      </w:r>
      <w:r w:rsidRPr="007C2BDC">
        <w:rPr>
          <w:rFonts w:ascii="Arial" w:hAnsi="Arial" w:cs="Arial"/>
        </w:rPr>
        <w:t xml:space="preserve"> we used some probing questions, as suggested by Brown and Dowling (1998)</w:t>
      </w:r>
      <w:r>
        <w:rPr>
          <w:rFonts w:ascii="Arial" w:hAnsi="Arial" w:cs="Arial"/>
        </w:rPr>
        <w:t>,</w:t>
      </w:r>
      <w:r w:rsidRPr="007C2BDC">
        <w:rPr>
          <w:rFonts w:ascii="Arial" w:hAnsi="Arial" w:cs="Arial"/>
        </w:rPr>
        <w:t xml:space="preserve"> to acquire the desired information from the pupils. It was </w:t>
      </w:r>
      <w:r>
        <w:rPr>
          <w:rFonts w:ascii="Arial" w:hAnsi="Arial" w:cs="Arial"/>
        </w:rPr>
        <w:t>an approach</w:t>
      </w:r>
      <w:r w:rsidRPr="007C2BDC">
        <w:rPr>
          <w:rFonts w:ascii="Arial" w:hAnsi="Arial" w:cs="Arial"/>
        </w:rPr>
        <w:t xml:space="preserve"> which we tried to keep to a minimum to ensure that pupils</w:t>
      </w:r>
      <w:r>
        <w:rPr>
          <w:rFonts w:ascii="Arial" w:hAnsi="Arial" w:cs="Arial"/>
        </w:rPr>
        <w:t>’</w:t>
      </w:r>
      <w:r w:rsidRPr="007C2BDC">
        <w:rPr>
          <w:rFonts w:ascii="Arial" w:hAnsi="Arial" w:cs="Arial"/>
        </w:rPr>
        <w:t xml:space="preserve"> responses were as organic as possible. The rest of our questions were qualitative in nature to allow pupil responses to not be restricted by quantitative measures. We had planned for the class teacher to be the one who asked the questions, whilst noting answers, and for the other researcher to record answers in more depth to minimise loss of information.</w:t>
      </w:r>
    </w:p>
    <w:p w14:paraId="0293BE56" w14:textId="77777777" w:rsidR="00461EB4" w:rsidRDefault="00461EB4" w:rsidP="00461EB4">
      <w:pPr>
        <w:spacing w:line="360" w:lineRule="auto"/>
        <w:rPr>
          <w:rFonts w:ascii="Arial" w:hAnsi="Arial" w:cs="Arial"/>
          <w:b/>
          <w:bCs/>
          <w:u w:val="single"/>
        </w:rPr>
      </w:pPr>
    </w:p>
    <w:p w14:paraId="1D14B877" w14:textId="209762BE" w:rsidR="00461EB4" w:rsidRPr="00461EB4" w:rsidRDefault="00461EB4" w:rsidP="00461EB4">
      <w:pPr>
        <w:spacing w:line="360" w:lineRule="auto"/>
        <w:rPr>
          <w:rFonts w:ascii="Arial" w:hAnsi="Arial" w:cs="Arial"/>
          <w:b/>
          <w:bCs/>
          <w:i/>
          <w:iCs/>
          <w:sz w:val="28"/>
          <w:szCs w:val="28"/>
        </w:rPr>
      </w:pPr>
      <w:r w:rsidRPr="00047E29">
        <w:rPr>
          <w:rFonts w:ascii="Arial" w:hAnsi="Arial" w:cs="Arial"/>
          <w:b/>
          <w:bCs/>
          <w:i/>
          <w:iCs/>
          <w:sz w:val="28"/>
          <w:szCs w:val="28"/>
        </w:rPr>
        <w:t>Ethical Considerations</w:t>
      </w:r>
    </w:p>
    <w:p w14:paraId="3EF57816" w14:textId="77777777" w:rsidR="00461EB4" w:rsidRPr="007C2BDC" w:rsidRDefault="00461EB4" w:rsidP="00461EB4">
      <w:pPr>
        <w:spacing w:line="360" w:lineRule="auto"/>
        <w:rPr>
          <w:rFonts w:ascii="Arial" w:hAnsi="Arial" w:cs="Arial"/>
        </w:rPr>
      </w:pPr>
      <w:r w:rsidRPr="007C2BDC">
        <w:rPr>
          <w:rFonts w:ascii="Arial" w:hAnsi="Arial" w:cs="Arial"/>
        </w:rPr>
        <w:t>To undertake the preceding research question</w:t>
      </w:r>
      <w:r>
        <w:rPr>
          <w:rFonts w:ascii="Arial" w:hAnsi="Arial" w:cs="Arial"/>
        </w:rPr>
        <w:t>,</w:t>
      </w:r>
      <w:r w:rsidRPr="007C2BDC">
        <w:rPr>
          <w:rFonts w:ascii="Arial" w:hAnsi="Arial" w:cs="Arial"/>
        </w:rPr>
        <w:t xml:space="preserve"> it was necessary for it to pass UWTSD (University of Wales Trinity Saint David’s) Ethics Committee. For this</w:t>
      </w:r>
      <w:r>
        <w:rPr>
          <w:rFonts w:ascii="Arial" w:hAnsi="Arial" w:cs="Arial"/>
        </w:rPr>
        <w:t>,</w:t>
      </w:r>
      <w:r w:rsidRPr="007C2BDC">
        <w:rPr>
          <w:rFonts w:ascii="Arial" w:hAnsi="Arial" w:cs="Arial"/>
        </w:rPr>
        <w:t xml:space="preserve"> it also had to comply with BERA guidelines (2018). This was so that the ethical considerations of working within a classroom were undertaken</w:t>
      </w:r>
      <w:r>
        <w:rPr>
          <w:rFonts w:ascii="Arial" w:hAnsi="Arial" w:cs="Arial"/>
        </w:rPr>
        <w:t>,</w:t>
      </w:r>
      <w:r w:rsidRPr="007C2BDC">
        <w:rPr>
          <w:rFonts w:ascii="Arial" w:hAnsi="Arial" w:cs="Arial"/>
        </w:rPr>
        <w:t xml:space="preserve"> such as storage of personal information. All personal information would be stored on an encrypted memory stick, shared only with those who needed it and will be destroyed once the research had been completed. Furthermore, pupils were made aware of the questions being asked in the focus group prior to the interview and were told that they could withdraw at any time.</w:t>
      </w:r>
      <w:r>
        <w:rPr>
          <w:rFonts w:ascii="Arial" w:hAnsi="Arial" w:cs="Arial"/>
        </w:rPr>
        <w:t xml:space="preserve"> This ensured that our research process complied with all ethical considerations which needed to be met.</w:t>
      </w:r>
    </w:p>
    <w:p w14:paraId="02BF29E1" w14:textId="77777777" w:rsidR="00461EB4" w:rsidRPr="007C2BDC" w:rsidRDefault="00461EB4" w:rsidP="00461EB4">
      <w:pPr>
        <w:spacing w:line="360" w:lineRule="auto"/>
        <w:rPr>
          <w:rFonts w:ascii="Arial" w:hAnsi="Arial" w:cs="Arial"/>
        </w:rPr>
      </w:pPr>
    </w:p>
    <w:p w14:paraId="3DB79099" w14:textId="6AB3CE11" w:rsidR="00461EB4" w:rsidRPr="00461EB4" w:rsidRDefault="00461EB4" w:rsidP="00461EB4">
      <w:pPr>
        <w:spacing w:line="360" w:lineRule="auto"/>
        <w:rPr>
          <w:rFonts w:ascii="Arial" w:hAnsi="Arial" w:cs="Arial"/>
          <w:b/>
          <w:bCs/>
          <w:i/>
          <w:iCs/>
          <w:sz w:val="28"/>
          <w:szCs w:val="28"/>
        </w:rPr>
      </w:pPr>
      <w:r w:rsidRPr="00047E29">
        <w:rPr>
          <w:rFonts w:ascii="Arial" w:hAnsi="Arial" w:cs="Arial"/>
          <w:b/>
          <w:bCs/>
          <w:i/>
          <w:iCs/>
          <w:sz w:val="28"/>
          <w:szCs w:val="28"/>
        </w:rPr>
        <w:t>Lesson Study One: Results and Analysis</w:t>
      </w:r>
    </w:p>
    <w:p w14:paraId="2F223269" w14:textId="0EF5411D" w:rsidR="00461EB4" w:rsidRDefault="00461EB4" w:rsidP="00461EB4">
      <w:pPr>
        <w:spacing w:line="360" w:lineRule="auto"/>
        <w:rPr>
          <w:rFonts w:ascii="Arial" w:hAnsi="Arial" w:cs="Arial"/>
        </w:rPr>
      </w:pPr>
      <w:r>
        <w:rPr>
          <w:rFonts w:ascii="Arial" w:hAnsi="Arial" w:cs="Arial"/>
        </w:rPr>
        <w:t>In the first lesson study, I was the teacher. The lesson began by displaying the first, of three, multiple-choice question on the board with the four possible outcomes. Whilst I was standing at the front of the classroom, S. Clarke took a seat at the back of the classroom with their clipboard so that they could fulfil their role as a non-participant observer as discussed. The data that was compiled throughout the lesson is shown in appendix 4.a.1. Prior to beginning the multiple-choice questions, I noticed that the original Pupil 3 was absent, so this was an aspect which needed to be changed immediately. I conferred with S. Clarke and together, we decided on the third pupil. Once the class were settled, I then proceeded to read out the questions, paused for approximately fifteen seconds to allow suitable wait time as suggested by Black et al. (2007), before taking responses in a ‘hands-up’ approach. I would ask the pupils, ‘</w:t>
      </w:r>
      <w:r w:rsidRPr="00C304CB">
        <w:rPr>
          <w:rFonts w:ascii="Arial" w:hAnsi="Arial" w:cs="Arial"/>
          <w:i/>
        </w:rPr>
        <w:t>hands up who thinks the answer is A</w:t>
      </w:r>
      <w:r>
        <w:rPr>
          <w:rFonts w:ascii="Arial" w:hAnsi="Arial" w:cs="Arial"/>
          <w:i/>
        </w:rPr>
        <w:t>?</w:t>
      </w:r>
      <w:r w:rsidRPr="00C304CB">
        <w:rPr>
          <w:rFonts w:ascii="Arial" w:hAnsi="Arial" w:cs="Arial"/>
          <w:i/>
        </w:rPr>
        <w:t>’</w:t>
      </w:r>
      <w:r>
        <w:rPr>
          <w:rFonts w:ascii="Arial" w:hAnsi="Arial" w:cs="Arial"/>
        </w:rPr>
        <w:t xml:space="preserve">, followed by doing the same for options B, C and D. This was to ensure that all pupils were giving answers. I noticed by the second question that some pupils were copying others and supplying an answer which was not their </w:t>
      </w:r>
      <w:r>
        <w:rPr>
          <w:rFonts w:ascii="Arial" w:hAnsi="Arial" w:cs="Arial"/>
        </w:rPr>
        <w:lastRenderedPageBreak/>
        <w:t>own. This was an outcome which S. Clarke and I had discussed as a possibility prior to the lesson, so I consequently changed my approach. For the third question, I instead asked for pupils to close their eyes when putting their hands up to answer the questions. This worked to great effect because it eliminated any chance of copying and as a result, some pupils got the answers wrong. Of the three case pupils, Pupils 1 and 3 got question three wrong, whilst Pupil 2 gave all correct answers as seen in appendix 4.a.1.</w:t>
      </w:r>
    </w:p>
    <w:p w14:paraId="3F9E8D6E" w14:textId="71CFAE54" w:rsidR="00461EB4" w:rsidRDefault="00461EB4" w:rsidP="00461EB4">
      <w:pPr>
        <w:spacing w:line="360" w:lineRule="auto"/>
        <w:rPr>
          <w:rFonts w:ascii="Arial" w:hAnsi="Arial" w:cs="Arial"/>
        </w:rPr>
      </w:pPr>
      <w:r>
        <w:rPr>
          <w:rFonts w:ascii="Arial" w:hAnsi="Arial" w:cs="Arial"/>
        </w:rPr>
        <w:t>Throughout the main body of the lesson, all three pupils appeared engaged through copying all of the information down, whilst also responding in class discussions with enthusiasm. When the task commenced, the class was silent and there was no sound from any pupils. This is a phenomena that I have grown accustomed to with the class due to the nature of the Hawthorne effect caused by the class teacher. During the task, however, I noticed that some pupils were struggling with aspects of the worksheet, including Pupils 1 and 2. Pupil 1 is an individual who generally needs a brief moment of attention to confirm understanding of a topic before moving swiftly on, which was the case in this instance. After the initial interaction, Pupil 1 continued to work through the sheet and moved on to the harder aspects of the sheet. It was surprising that Pupil 2, who I classed as the highest achieving pupil, was struggling with the topic. After spending time with them, their confidence increased and I left them to carry on with the task. Throughout the task, I circulated and interacted with other pupils and noticed that not a single pupil had fallen completely off task. However, whether this meant that they were adequately engaged was a fact that I was unsure of because pupil engagement is composed of multiple different levels, of which some are impossible to gauge on the surface without deeper assessment.</w:t>
      </w:r>
    </w:p>
    <w:p w14:paraId="01C27A46" w14:textId="475FC094" w:rsidR="00461EB4" w:rsidRDefault="00461EB4" w:rsidP="00461EB4">
      <w:pPr>
        <w:spacing w:line="360" w:lineRule="auto"/>
        <w:rPr>
          <w:rFonts w:ascii="Arial" w:hAnsi="Arial" w:cs="Arial"/>
        </w:rPr>
      </w:pPr>
      <w:r>
        <w:rPr>
          <w:rFonts w:ascii="Arial" w:hAnsi="Arial" w:cs="Arial"/>
        </w:rPr>
        <w:t>In the student interviews that immediately proceeded the lesson, the students responded unanimously that they ‘</w:t>
      </w:r>
      <w:r w:rsidRPr="0005187B">
        <w:rPr>
          <w:rFonts w:ascii="Arial" w:hAnsi="Arial" w:cs="Arial"/>
          <w:i/>
          <w:iCs/>
        </w:rPr>
        <w:t>loved it’</w:t>
      </w:r>
      <w:r>
        <w:rPr>
          <w:rFonts w:ascii="Arial" w:hAnsi="Arial" w:cs="Arial"/>
        </w:rPr>
        <w:t>. Upon questioning whether they preferred the eyes-open or eyes-closed approach, there was mutual agreement that they favoured the eyes-closed approach. Upon questioning the reason behind this, it was discovered that they favoured this approach because they ‘</w:t>
      </w:r>
      <w:r>
        <w:rPr>
          <w:rFonts w:ascii="Arial" w:hAnsi="Arial" w:cs="Arial"/>
          <w:i/>
          <w:iCs/>
        </w:rPr>
        <w:t>felt less pressured’</w:t>
      </w:r>
      <w:r>
        <w:rPr>
          <w:rFonts w:ascii="Arial" w:hAnsi="Arial" w:cs="Arial"/>
        </w:rPr>
        <w:t>. With this approach, they felt more comfortable to raise their hands because there was no risk of others copying their answers or ‘</w:t>
      </w:r>
      <w:r>
        <w:rPr>
          <w:rFonts w:ascii="Arial" w:hAnsi="Arial" w:cs="Arial"/>
          <w:i/>
          <w:iCs/>
        </w:rPr>
        <w:t xml:space="preserve">feeling stupid’ </w:t>
      </w:r>
      <w:r>
        <w:rPr>
          <w:rFonts w:ascii="Arial" w:hAnsi="Arial" w:cs="Arial"/>
        </w:rPr>
        <w:t>if they got the question wrong in public. Moving onto the discussion of the main body and task yielded quite contrary responses from the pupils. All pupils found the tasks quite difficult, which is not a concern due to them working in the Zone of Proximal Development (</w:t>
      </w:r>
      <w:proofErr w:type="spellStart"/>
      <w:r>
        <w:rPr>
          <w:rFonts w:ascii="Arial" w:hAnsi="Arial" w:cs="Arial"/>
        </w:rPr>
        <w:t>Ebadi</w:t>
      </w:r>
      <w:proofErr w:type="spellEnd"/>
      <w:r>
        <w:rPr>
          <w:rFonts w:ascii="Arial" w:hAnsi="Arial" w:cs="Arial"/>
        </w:rPr>
        <w:t xml:space="preserve">, Khatib and </w:t>
      </w:r>
      <w:proofErr w:type="spellStart"/>
      <w:r>
        <w:rPr>
          <w:rFonts w:ascii="Arial" w:hAnsi="Arial" w:cs="Arial"/>
        </w:rPr>
        <w:t>Shabani</w:t>
      </w:r>
      <w:proofErr w:type="spellEnd"/>
      <w:r>
        <w:rPr>
          <w:rFonts w:ascii="Arial" w:hAnsi="Arial" w:cs="Arial"/>
        </w:rPr>
        <w:t>; 2010). This is the area in which learners do their learning and makes them struggle to promote learning. However, when asked if they had learnt anything, Pupils 1 and 3 responded with the topic of dividing fractions and Pupil 2 responded with ‘</w:t>
      </w:r>
      <w:r>
        <w:rPr>
          <w:rFonts w:ascii="Arial" w:hAnsi="Arial" w:cs="Arial"/>
          <w:i/>
          <w:iCs/>
        </w:rPr>
        <w:t xml:space="preserve">nothing’. </w:t>
      </w:r>
      <w:r>
        <w:rPr>
          <w:rFonts w:ascii="Arial" w:hAnsi="Arial" w:cs="Arial"/>
        </w:rPr>
        <w:t xml:space="preserve">Furthermore, when asked their feelings on the lesson after the starter, all pupils responded with a concurrent lukewarm. </w:t>
      </w:r>
      <w:r>
        <w:rPr>
          <w:rFonts w:ascii="Arial" w:hAnsi="Arial" w:cs="Arial"/>
        </w:rPr>
        <w:tab/>
      </w:r>
    </w:p>
    <w:p w14:paraId="1CD976EB" w14:textId="77777777" w:rsidR="00461EB4" w:rsidRDefault="00461EB4" w:rsidP="00461EB4">
      <w:pPr>
        <w:spacing w:line="360" w:lineRule="auto"/>
        <w:rPr>
          <w:rFonts w:ascii="Arial" w:hAnsi="Arial" w:cs="Arial"/>
        </w:rPr>
      </w:pPr>
      <w:r>
        <w:rPr>
          <w:rFonts w:ascii="Arial" w:hAnsi="Arial" w:cs="Arial"/>
        </w:rPr>
        <w:lastRenderedPageBreak/>
        <w:t xml:space="preserve">Upon completion of the pupil interviews, we compiled our notes and summarised them in the form of appendices 4.b.1 and 4.b.2. We agreed that the eyes-closed approach was far superior to the eye-open approach and used this to inform the planning of the next research lesson. This informed decision led us to change to using mini-whiteboards in an attempt to minimise copying, whilst also reducing the time constraint of waiting for a response to every question. This change was critical so that we had a better chance of answering our research question. </w:t>
      </w:r>
    </w:p>
    <w:p w14:paraId="59578587" w14:textId="77777777" w:rsidR="00461EB4" w:rsidRDefault="00461EB4" w:rsidP="00461EB4">
      <w:pPr>
        <w:spacing w:line="360" w:lineRule="auto"/>
        <w:rPr>
          <w:rFonts w:ascii="Arial" w:hAnsi="Arial" w:cs="Arial"/>
        </w:rPr>
      </w:pPr>
    </w:p>
    <w:p w14:paraId="5C7DE77F" w14:textId="3F6BD58B" w:rsidR="00461EB4" w:rsidRPr="00461EB4" w:rsidRDefault="00461EB4" w:rsidP="00461EB4">
      <w:pPr>
        <w:spacing w:line="360" w:lineRule="auto"/>
        <w:rPr>
          <w:rFonts w:ascii="Arial" w:hAnsi="Arial" w:cs="Arial"/>
          <w:b/>
          <w:bCs/>
          <w:i/>
          <w:iCs/>
          <w:sz w:val="28"/>
          <w:szCs w:val="28"/>
        </w:rPr>
      </w:pPr>
      <w:r w:rsidRPr="00047E29">
        <w:rPr>
          <w:rFonts w:ascii="Arial" w:hAnsi="Arial" w:cs="Arial"/>
          <w:b/>
          <w:bCs/>
          <w:i/>
          <w:iCs/>
          <w:sz w:val="28"/>
          <w:szCs w:val="28"/>
        </w:rPr>
        <w:t>Lesson Study Two: Results and Analysis</w:t>
      </w:r>
    </w:p>
    <w:p w14:paraId="1FDF7E79" w14:textId="26EBFEED" w:rsidR="00461EB4" w:rsidRDefault="00461EB4" w:rsidP="00461EB4">
      <w:pPr>
        <w:spacing w:line="360" w:lineRule="auto"/>
        <w:rPr>
          <w:rFonts w:ascii="Arial" w:hAnsi="Arial" w:cs="Arial"/>
        </w:rPr>
      </w:pPr>
      <w:r>
        <w:rPr>
          <w:rFonts w:ascii="Arial" w:hAnsi="Arial" w:cs="Arial"/>
        </w:rPr>
        <w:t>This lesson began in almost the same format as the aforementioned section, but with a role-reversal. S. Clarke had the role of the teacher and I had the role of a non-participant observer. I quickly made my way to the back of the room where I could have a view of most of the class. This lesson began with fifteen minutes of quiet reading, as per the school policy for KS3 pupils, and then moved onto the multiple-choice starter activity. During the quiet reading period, Pupil 1 was displaying unwelcome chatter, as is noted in appendix 4.a.2. S. Clarke began by giving out the mini-whiteboards so the task could be undertaken. To ensure consistency between the two lessons, three multiple-choice questions were asked each with four possible answers. S. Clarke would read out the questions and then give pupils approximately 10 seconds to write down their answers, after which a call for answers to be displayed was executed. Whilst the task was being completed, I noted that Pupil 1 answered none of the starter questions. Instead, they were disengaged and resorted to doodling instead of completing the task. Pupils 2 and 3 were engaged in the starter, although Pupil 2 copied the answer from their neighbour during question 2.</w:t>
      </w:r>
    </w:p>
    <w:p w14:paraId="13C4A819" w14:textId="469FA43C" w:rsidR="00461EB4" w:rsidRDefault="00461EB4" w:rsidP="00461EB4">
      <w:pPr>
        <w:spacing w:line="360" w:lineRule="auto"/>
        <w:rPr>
          <w:rFonts w:ascii="Arial" w:hAnsi="Arial" w:cs="Arial"/>
        </w:rPr>
      </w:pPr>
      <w:r>
        <w:rPr>
          <w:rFonts w:ascii="Arial" w:hAnsi="Arial" w:cs="Arial"/>
        </w:rPr>
        <w:t xml:space="preserve">Upon moving to the main task of the lesson, the attitude of Pupil 1 changed. Whilst S. Clarke was describing the details of the science practical that the class were going to undertake, almost all pupils were listening attentively. There was very minor chatter from Pupil 1 but this was nullified by the sheer attentiveness and engagement with the lesson. Pupil 1 proceeded to ask a well-informed question on the disposal of test tubes, which was noted in appendix 4.a.2. Once the explanation from S. Clarke was complete, the pupils began their experiments. I then had to change my position so that I could circulate to continue my observations. Whilst observing, Pupil 3 asked me for confirmation of the method which they were meant to undertake, but aside from this, I made no interaction with pupils. I am aware this would make me a semi-participant observer, but this was a scenario which we had also discussed prior to the lesson study. We had both agreed that we would only answer with affirmatives, although if more of an answer was needed then we would have to direct the </w:t>
      </w:r>
      <w:r>
        <w:rPr>
          <w:rFonts w:ascii="Arial" w:hAnsi="Arial" w:cs="Arial"/>
        </w:rPr>
        <w:lastRenderedPageBreak/>
        <w:t xml:space="preserve">pupil to the teacher of the lesson. Throughout the experiments, all three pupils were engaged and enthusiastic about the task they were engaged in. </w:t>
      </w:r>
    </w:p>
    <w:p w14:paraId="722C26F1" w14:textId="756C7F57" w:rsidR="00461EB4" w:rsidRDefault="00461EB4" w:rsidP="00461EB4">
      <w:pPr>
        <w:spacing w:line="360" w:lineRule="auto"/>
        <w:rPr>
          <w:rFonts w:ascii="Arial" w:hAnsi="Arial" w:cs="Arial"/>
        </w:rPr>
      </w:pPr>
      <w:r>
        <w:rPr>
          <w:rFonts w:ascii="Arial" w:hAnsi="Arial" w:cs="Arial"/>
        </w:rPr>
        <w:t>In the post-lesson discussion, only Pupils 1 and 3 were available. Pupil 1’s disposition changed from negative to positive after the fifteen minutes of quiet reading was completed, whilst Pupil 3’s attitude remained positive throughout, as can be seen in appendices 4.d.1 and 4.d.2. Unsurprisingly, Pupil 1 had a negative view of the starter, which was indicative of their lack of engagement, meanwhile Pupil 3 had a neutral stance on it. When asked what they would prefer to do, they both responded with ‘</w:t>
      </w:r>
      <w:r>
        <w:rPr>
          <w:rFonts w:ascii="Arial" w:hAnsi="Arial" w:cs="Arial"/>
          <w:i/>
          <w:iCs/>
        </w:rPr>
        <w:t>chemical equations’</w:t>
      </w:r>
      <w:r>
        <w:rPr>
          <w:rFonts w:ascii="Arial" w:hAnsi="Arial" w:cs="Arial"/>
        </w:rPr>
        <w:t xml:space="preserve"> because it ‘</w:t>
      </w:r>
      <w:r>
        <w:rPr>
          <w:rFonts w:ascii="Arial" w:hAnsi="Arial" w:cs="Arial"/>
          <w:i/>
          <w:iCs/>
        </w:rPr>
        <w:t>had more maths’</w:t>
      </w:r>
      <w:r>
        <w:rPr>
          <w:rFonts w:ascii="Arial" w:hAnsi="Arial" w:cs="Arial"/>
        </w:rPr>
        <w:t xml:space="preserve">. Pupil 1 expanded on this and also said that they would </w:t>
      </w:r>
      <w:r>
        <w:rPr>
          <w:rFonts w:ascii="Arial" w:hAnsi="Arial" w:cs="Arial"/>
          <w:i/>
          <w:iCs/>
        </w:rPr>
        <w:t>‘like to have something to show for their work’</w:t>
      </w:r>
      <w:r>
        <w:rPr>
          <w:rFonts w:ascii="Arial" w:hAnsi="Arial" w:cs="Arial"/>
        </w:rPr>
        <w:t>. Interestingly, this contradicted what was seen in my lesson. Both tasks had no written answers, yet there was a change in opinion from one lesson to the next. This is of greater interest because Pupil 3 was involved in both focus groups. Furthermore, Pupil 3 also mentioned that they ‘</w:t>
      </w:r>
      <w:r>
        <w:rPr>
          <w:rFonts w:ascii="Arial" w:hAnsi="Arial" w:cs="Arial"/>
          <w:i/>
          <w:iCs/>
        </w:rPr>
        <w:t xml:space="preserve">felt better’ </w:t>
      </w:r>
      <w:r>
        <w:rPr>
          <w:rFonts w:ascii="Arial" w:hAnsi="Arial" w:cs="Arial"/>
        </w:rPr>
        <w:t>after the starter. When asked about the main body of the lesson, both pupils responded that they found it ‘</w:t>
      </w:r>
      <w:r>
        <w:rPr>
          <w:rFonts w:ascii="Arial" w:hAnsi="Arial" w:cs="Arial"/>
          <w:i/>
          <w:iCs/>
        </w:rPr>
        <w:t>fun’</w:t>
      </w:r>
      <w:r>
        <w:rPr>
          <w:rFonts w:ascii="Arial" w:hAnsi="Arial" w:cs="Arial"/>
        </w:rPr>
        <w:t xml:space="preserve"> and that they would </w:t>
      </w:r>
      <w:r>
        <w:rPr>
          <w:rFonts w:ascii="Arial" w:hAnsi="Arial" w:cs="Arial"/>
          <w:i/>
          <w:iCs/>
        </w:rPr>
        <w:t>‘want to do more’</w:t>
      </w:r>
      <w:r>
        <w:rPr>
          <w:rFonts w:ascii="Arial" w:hAnsi="Arial" w:cs="Arial"/>
        </w:rPr>
        <w:t>. They enjoyed the practical aspect of the lesson, which was indicated by their levels of engagement in the lesson.</w:t>
      </w:r>
    </w:p>
    <w:p w14:paraId="5A60BB61" w14:textId="5E5E1BDF" w:rsidR="00461EB4" w:rsidRDefault="00461EB4" w:rsidP="00461EB4">
      <w:pPr>
        <w:spacing w:line="360" w:lineRule="auto"/>
        <w:rPr>
          <w:rFonts w:ascii="Arial" w:hAnsi="Arial" w:cs="Arial"/>
        </w:rPr>
      </w:pPr>
      <w:r>
        <w:rPr>
          <w:rFonts w:ascii="Arial" w:hAnsi="Arial" w:cs="Arial"/>
        </w:rPr>
        <w:t>Upon completion of the second pupil interviews, myself and S. Clarke had a final meeting to discuss what we would do in a theoretical third lesson. We agreed that the eyes-closed with hands-up approach worked best for the pupils. The three pupils who were engaged in this activity responded positively, whilst those involved in the mini-whiteboard activities did so with less enthusiasm. Regardless, four out of the six pupils across both lessons reported that they enjoyed multiple-choice starters. However, there appeared to be no real link between engagement in the starter and engagement in the main task, illustrated by Pupil 1 in the second lesson study.</w:t>
      </w:r>
    </w:p>
    <w:p w14:paraId="4C016615" w14:textId="77777777" w:rsidR="00461EB4" w:rsidRDefault="00461EB4" w:rsidP="00461EB4">
      <w:pPr>
        <w:spacing w:line="360" w:lineRule="auto"/>
        <w:rPr>
          <w:rFonts w:ascii="Arial" w:hAnsi="Arial" w:cs="Arial"/>
        </w:rPr>
      </w:pPr>
    </w:p>
    <w:p w14:paraId="20D33363" w14:textId="5B60302C" w:rsidR="00461EB4" w:rsidRPr="00461EB4" w:rsidRDefault="00461EB4" w:rsidP="00461EB4">
      <w:pPr>
        <w:spacing w:line="360" w:lineRule="auto"/>
        <w:rPr>
          <w:rFonts w:ascii="Arial" w:hAnsi="Arial" w:cs="Arial"/>
          <w:b/>
          <w:bCs/>
          <w:i/>
          <w:iCs/>
          <w:sz w:val="28"/>
          <w:szCs w:val="28"/>
        </w:rPr>
      </w:pPr>
      <w:r w:rsidRPr="00047E29">
        <w:rPr>
          <w:rFonts w:ascii="Arial" w:hAnsi="Arial" w:cs="Arial"/>
          <w:b/>
          <w:bCs/>
          <w:i/>
          <w:iCs/>
          <w:sz w:val="28"/>
          <w:szCs w:val="28"/>
        </w:rPr>
        <w:t>Discussion of Research Findings</w:t>
      </w:r>
    </w:p>
    <w:p w14:paraId="4BAEFC8C" w14:textId="1424F2FC" w:rsidR="00461EB4" w:rsidRDefault="00461EB4" w:rsidP="00461EB4">
      <w:pPr>
        <w:spacing w:line="360" w:lineRule="auto"/>
        <w:rPr>
          <w:rFonts w:ascii="Arial" w:hAnsi="Arial" w:cs="Arial"/>
        </w:rPr>
      </w:pPr>
      <w:r>
        <w:rPr>
          <w:rFonts w:ascii="Arial" w:hAnsi="Arial" w:cs="Arial"/>
        </w:rPr>
        <w:t xml:space="preserve">From the lesson studies, it was identified that overall pupil engagement was high. In most cases, the behaviour of each pupil satisfied the three conditions of engagement mentioned by </w:t>
      </w:r>
      <w:proofErr w:type="spellStart"/>
      <w:r>
        <w:rPr>
          <w:rFonts w:ascii="Arial" w:hAnsi="Arial" w:cs="Arial"/>
        </w:rPr>
        <w:t>Clerkin</w:t>
      </w:r>
      <w:proofErr w:type="spellEnd"/>
      <w:r>
        <w:rPr>
          <w:rFonts w:ascii="Arial" w:hAnsi="Arial" w:cs="Arial"/>
        </w:rPr>
        <w:t xml:space="preserve"> and </w:t>
      </w:r>
      <w:proofErr w:type="spellStart"/>
      <w:r>
        <w:rPr>
          <w:rFonts w:ascii="Arial" w:hAnsi="Arial" w:cs="Arial"/>
        </w:rPr>
        <w:t>Creaven</w:t>
      </w:r>
      <w:proofErr w:type="spellEnd"/>
      <w:r>
        <w:rPr>
          <w:rFonts w:ascii="Arial" w:hAnsi="Arial" w:cs="Arial"/>
        </w:rPr>
        <w:t xml:space="preserve"> (2013), with the exception of Pupil 1 in lesson study two. Pupil 1 was not engaged in the multiple-choice starter and resulted in misbehaviour, which is noted by Covell (2010). A further identification from the lesson studies was that multiple-choice starters appeared to have an impact on pupil engagement for the starter, but this did not extend to encompass the whole lesson.</w:t>
      </w:r>
    </w:p>
    <w:p w14:paraId="1DACB571" w14:textId="688A6FB5" w:rsidR="00461EB4" w:rsidRDefault="00461EB4" w:rsidP="00461EB4">
      <w:pPr>
        <w:spacing w:line="360" w:lineRule="auto"/>
        <w:rPr>
          <w:rFonts w:ascii="Arial" w:hAnsi="Arial" w:cs="Arial"/>
        </w:rPr>
      </w:pPr>
      <w:r>
        <w:rPr>
          <w:rFonts w:ascii="Arial" w:hAnsi="Arial" w:cs="Arial"/>
        </w:rPr>
        <w:lastRenderedPageBreak/>
        <w:t xml:space="preserve">During lessons study one, it was apparent that pupils showed behavioural engagement in the main part of the lesson because they willingly and actively participated in class discussions, which is discussed by Parsons and Taylor (2011). The fact that this was done with enthusiasm further demonstrates emotional engagement because it exemplifies positive feelings towards peers and teachers, as defined by </w:t>
      </w:r>
      <w:proofErr w:type="spellStart"/>
      <w:r>
        <w:rPr>
          <w:rFonts w:ascii="Arial" w:hAnsi="Arial" w:cs="Arial"/>
        </w:rPr>
        <w:t>Clerkin</w:t>
      </w:r>
      <w:proofErr w:type="spellEnd"/>
      <w:r>
        <w:rPr>
          <w:rFonts w:ascii="Arial" w:hAnsi="Arial" w:cs="Arial"/>
        </w:rPr>
        <w:t xml:space="preserve"> and </w:t>
      </w:r>
      <w:proofErr w:type="spellStart"/>
      <w:r>
        <w:rPr>
          <w:rFonts w:ascii="Arial" w:hAnsi="Arial" w:cs="Arial"/>
        </w:rPr>
        <w:t>Creaven</w:t>
      </w:r>
      <w:proofErr w:type="spellEnd"/>
      <w:r>
        <w:rPr>
          <w:rFonts w:ascii="Arial" w:hAnsi="Arial" w:cs="Arial"/>
        </w:rPr>
        <w:t xml:space="preserve"> (2013). Additionally, pupils displayed cognitive engagement, as defined by </w:t>
      </w:r>
      <w:proofErr w:type="spellStart"/>
      <w:r>
        <w:rPr>
          <w:rFonts w:ascii="Arial" w:hAnsi="Arial" w:cs="Arial"/>
        </w:rPr>
        <w:t>Clerkin</w:t>
      </w:r>
      <w:proofErr w:type="spellEnd"/>
      <w:r>
        <w:rPr>
          <w:rFonts w:ascii="Arial" w:hAnsi="Arial" w:cs="Arial"/>
        </w:rPr>
        <w:t xml:space="preserve"> and </w:t>
      </w:r>
      <w:proofErr w:type="spellStart"/>
      <w:r>
        <w:rPr>
          <w:rFonts w:ascii="Arial" w:hAnsi="Arial" w:cs="Arial"/>
        </w:rPr>
        <w:t>Creaven</w:t>
      </w:r>
      <w:proofErr w:type="spellEnd"/>
      <w:r>
        <w:rPr>
          <w:rFonts w:ascii="Arial" w:hAnsi="Arial" w:cs="Arial"/>
        </w:rPr>
        <w:t xml:space="preserve"> (2013), during the main part of the lesson because they copied all of the information down, which shows a willingness to invest intellectual effort into understanding the learning material. In terms of the starter activity, the fact that Pupils 1 and 2 sought clarification on their understanding, which led to their successful completion of the task, shows that cognitive engagement was achieved because these pupils showed a willingness to invest intellectual effort into understanding the subject matter, as defined by </w:t>
      </w:r>
      <w:proofErr w:type="spellStart"/>
      <w:r>
        <w:rPr>
          <w:rFonts w:ascii="Arial" w:hAnsi="Arial" w:cs="Arial"/>
        </w:rPr>
        <w:t>Clerkin</w:t>
      </w:r>
      <w:proofErr w:type="spellEnd"/>
      <w:r>
        <w:rPr>
          <w:rFonts w:ascii="Arial" w:hAnsi="Arial" w:cs="Arial"/>
        </w:rPr>
        <w:t xml:space="preserve"> and </w:t>
      </w:r>
      <w:proofErr w:type="spellStart"/>
      <w:r>
        <w:rPr>
          <w:rFonts w:ascii="Arial" w:hAnsi="Arial" w:cs="Arial"/>
        </w:rPr>
        <w:t>Creaven</w:t>
      </w:r>
      <w:proofErr w:type="spellEnd"/>
      <w:r>
        <w:rPr>
          <w:rFonts w:ascii="Arial" w:hAnsi="Arial" w:cs="Arial"/>
        </w:rPr>
        <w:t xml:space="preserve"> (2013). The fact that when pupils used the hands-up with eyes-closed approach to answer the starter questions, it resulted in no pupils copying other pupils’ answers so self-determination was promoted because this method allowed pupils to come up with answers for themselves without outside influence, as discussed by </w:t>
      </w:r>
      <w:r w:rsidRPr="007C2BDC">
        <w:rPr>
          <w:rFonts w:ascii="Arial" w:hAnsi="Arial" w:cs="Arial"/>
        </w:rPr>
        <w:t xml:space="preserve">Leach and </w:t>
      </w:r>
      <w:proofErr w:type="spellStart"/>
      <w:r w:rsidRPr="007C2BDC">
        <w:rPr>
          <w:rFonts w:ascii="Arial" w:hAnsi="Arial" w:cs="Arial"/>
        </w:rPr>
        <w:t>Zepke</w:t>
      </w:r>
      <w:proofErr w:type="spellEnd"/>
      <w:r w:rsidRPr="007C2BDC">
        <w:rPr>
          <w:rFonts w:ascii="Arial" w:hAnsi="Arial" w:cs="Arial"/>
        </w:rPr>
        <w:t xml:space="preserve"> (2010)</w:t>
      </w:r>
      <w:r>
        <w:rPr>
          <w:rFonts w:ascii="Arial" w:hAnsi="Arial" w:cs="Arial"/>
        </w:rPr>
        <w:t xml:space="preserve">. This suggests that pupils experienced cognitive engagement because when they feel self-determined, they are more likely to invest intellectual effort into their learning, which is shown through pupils’ active participation in the starter activity. The idea that the pupils felt self-determined is supported through pupil feedback, which included the hands-up with eyes-closed approach making pupils </w:t>
      </w:r>
      <w:r>
        <w:rPr>
          <w:rFonts w:ascii="Arial" w:hAnsi="Arial" w:cs="Arial"/>
          <w:i/>
        </w:rPr>
        <w:t>‘feel less pressured’</w:t>
      </w:r>
      <w:r>
        <w:rPr>
          <w:rFonts w:ascii="Arial" w:hAnsi="Arial" w:cs="Arial"/>
        </w:rPr>
        <w:t>.</w:t>
      </w:r>
    </w:p>
    <w:p w14:paraId="35F7EF06" w14:textId="21EC5B81" w:rsidR="00461EB4" w:rsidRDefault="00461EB4" w:rsidP="00461EB4">
      <w:pPr>
        <w:spacing w:line="360" w:lineRule="auto"/>
        <w:rPr>
          <w:rFonts w:ascii="Arial" w:hAnsi="Arial" w:cs="Arial"/>
        </w:rPr>
      </w:pPr>
      <w:r>
        <w:rPr>
          <w:rFonts w:ascii="Arial" w:hAnsi="Arial" w:cs="Arial"/>
        </w:rPr>
        <w:t xml:space="preserve">During lesson study two, it was apparent that pupils showed a general lower level of engagement in the lesson, specifically during the starter activity, in comparison to lesson study one. This is shown through Pupil 1’s complete lack of engagement with the starter activity through not attempting to answer questions, which shows no behavioural engagement through no class participation, as defined by </w:t>
      </w:r>
      <w:proofErr w:type="spellStart"/>
      <w:r>
        <w:rPr>
          <w:rFonts w:ascii="Arial" w:hAnsi="Arial" w:cs="Arial"/>
        </w:rPr>
        <w:t>Clerkin</w:t>
      </w:r>
      <w:proofErr w:type="spellEnd"/>
      <w:r>
        <w:rPr>
          <w:rFonts w:ascii="Arial" w:hAnsi="Arial" w:cs="Arial"/>
        </w:rPr>
        <w:t xml:space="preserve"> and </w:t>
      </w:r>
      <w:proofErr w:type="spellStart"/>
      <w:r>
        <w:rPr>
          <w:rFonts w:ascii="Arial" w:hAnsi="Arial" w:cs="Arial"/>
        </w:rPr>
        <w:t>Creaven</w:t>
      </w:r>
      <w:proofErr w:type="spellEnd"/>
      <w:r>
        <w:rPr>
          <w:rFonts w:ascii="Arial" w:hAnsi="Arial" w:cs="Arial"/>
        </w:rPr>
        <w:t xml:space="preserve"> (2013). It is evident that the self-determination feeling discussed by </w:t>
      </w:r>
      <w:r w:rsidRPr="007C2BDC">
        <w:rPr>
          <w:rFonts w:ascii="Arial" w:hAnsi="Arial" w:cs="Arial"/>
        </w:rPr>
        <w:t xml:space="preserve">Leach and </w:t>
      </w:r>
      <w:proofErr w:type="spellStart"/>
      <w:r w:rsidRPr="007C2BDC">
        <w:rPr>
          <w:rFonts w:ascii="Arial" w:hAnsi="Arial" w:cs="Arial"/>
        </w:rPr>
        <w:t>Zepke</w:t>
      </w:r>
      <w:proofErr w:type="spellEnd"/>
      <w:r w:rsidRPr="007C2BDC">
        <w:rPr>
          <w:rFonts w:ascii="Arial" w:hAnsi="Arial" w:cs="Arial"/>
        </w:rPr>
        <w:t xml:space="preserve"> (2010)</w:t>
      </w:r>
      <w:r>
        <w:rPr>
          <w:rFonts w:ascii="Arial" w:hAnsi="Arial" w:cs="Arial"/>
        </w:rPr>
        <w:t>, which was achieved in lesson study one, was lost in lesson study two due to changing from the hands-up with eyes-closed approach to mini-whiteboards. In this way, pupils lost self-determination to come up with their own answer, shown through them copying answers when using mini-whiteboards.</w:t>
      </w:r>
    </w:p>
    <w:p w14:paraId="3484C5AE" w14:textId="2A1D81E0" w:rsidR="00461EB4" w:rsidRDefault="00461EB4" w:rsidP="00461EB4">
      <w:pPr>
        <w:spacing w:line="360" w:lineRule="auto"/>
        <w:rPr>
          <w:rFonts w:ascii="Arial" w:hAnsi="Arial" w:cs="Arial"/>
        </w:rPr>
      </w:pPr>
      <w:r>
        <w:rPr>
          <w:rFonts w:ascii="Arial" w:hAnsi="Arial" w:cs="Arial"/>
        </w:rPr>
        <w:t>As seen in appendices 4.b.1 and 4.b.2, the pupils in lesson study one unanimously agreed that their feelings after the starter were neutral despite ‘</w:t>
      </w:r>
      <w:r>
        <w:rPr>
          <w:rFonts w:ascii="Arial" w:hAnsi="Arial" w:cs="Arial"/>
          <w:i/>
          <w:iCs/>
        </w:rPr>
        <w:t>loving’</w:t>
      </w:r>
      <w:r>
        <w:rPr>
          <w:rFonts w:ascii="Arial" w:hAnsi="Arial" w:cs="Arial"/>
        </w:rPr>
        <w:t xml:space="preserve"> the starter activity. The levels of engagement declined after the starter because the main body of the task was not as interesting. On the contrary, pupil engagement improved after the starter activity in lesson study </w:t>
      </w:r>
      <w:r>
        <w:rPr>
          <w:rFonts w:ascii="Arial" w:hAnsi="Arial" w:cs="Arial"/>
        </w:rPr>
        <w:t>two</w:t>
      </w:r>
      <w:r>
        <w:rPr>
          <w:rFonts w:ascii="Arial" w:hAnsi="Arial" w:cs="Arial"/>
        </w:rPr>
        <w:t xml:space="preserve">, as seen in appendices 4.d.1 and 4.d.2. This is an aspect which I believe cannot </w:t>
      </w:r>
      <w:r>
        <w:rPr>
          <w:rFonts w:ascii="Arial" w:hAnsi="Arial" w:cs="Arial"/>
        </w:rPr>
        <w:lastRenderedPageBreak/>
        <w:t>be attributed to the multiple-choice starter itself because both interviewed pupils only found the starter activity ‘</w:t>
      </w:r>
      <w:r>
        <w:rPr>
          <w:rFonts w:ascii="Arial" w:hAnsi="Arial" w:cs="Arial"/>
          <w:i/>
          <w:iCs/>
        </w:rPr>
        <w:t>okay’.</w:t>
      </w:r>
      <w:r>
        <w:rPr>
          <w:rFonts w:ascii="Arial" w:hAnsi="Arial" w:cs="Arial"/>
        </w:rPr>
        <w:t xml:space="preserve"> </w:t>
      </w:r>
    </w:p>
    <w:p w14:paraId="7BC00E03" w14:textId="430D3876" w:rsidR="00461EB4" w:rsidRDefault="00461EB4" w:rsidP="00461EB4">
      <w:pPr>
        <w:spacing w:line="360" w:lineRule="auto"/>
        <w:rPr>
          <w:rFonts w:ascii="Arial" w:hAnsi="Arial" w:cs="Arial"/>
        </w:rPr>
      </w:pPr>
      <w:r>
        <w:rPr>
          <w:rFonts w:ascii="Arial" w:hAnsi="Arial" w:cs="Arial"/>
        </w:rPr>
        <w:t>Furthermore, there was an indicator in lesson study two that pupils had the desire to have ‘</w:t>
      </w:r>
      <w:r w:rsidRPr="00987543">
        <w:rPr>
          <w:rFonts w:ascii="Arial" w:hAnsi="Arial" w:cs="Arial"/>
          <w:i/>
          <w:iCs/>
        </w:rPr>
        <w:t>something to show for their work’</w:t>
      </w:r>
      <w:r>
        <w:rPr>
          <w:rFonts w:ascii="Arial" w:hAnsi="Arial" w:cs="Arial"/>
        </w:rPr>
        <w:t xml:space="preserve">. This led to the research of types of motivation. From the literature, it was ascertained that there are two primary types of motivation: extrinsic and intrinsic (Schott and </w:t>
      </w:r>
      <w:proofErr w:type="spellStart"/>
      <w:r>
        <w:rPr>
          <w:rFonts w:ascii="Arial" w:hAnsi="Arial" w:cs="Arial"/>
        </w:rPr>
        <w:t>Weske</w:t>
      </w:r>
      <w:proofErr w:type="spellEnd"/>
      <w:r>
        <w:rPr>
          <w:rFonts w:ascii="Arial" w:hAnsi="Arial" w:cs="Arial"/>
        </w:rPr>
        <w:t>, 2018). Intrinsic motivation derives from the interest in the task which is being completed and extrinsic motivation derives from the seeking of gratification or the existence of outside pressures. Upon analysis of the pupils’ motivation in lesson study two, it appeared that they were extrinsically motivated to do work because they viewed the presence of completed work as a form of reward for their work. On the contrary, it can be assumed that the pupils in lesson study one were intrinsically motivated because they had a clear interest in the task, which is shown by their responses in appendices 4.b.1 and 4.b.2.</w:t>
      </w:r>
    </w:p>
    <w:p w14:paraId="11E68925" w14:textId="77777777" w:rsidR="00461EB4" w:rsidRDefault="00461EB4" w:rsidP="00461EB4">
      <w:pPr>
        <w:spacing w:line="360" w:lineRule="auto"/>
        <w:rPr>
          <w:rFonts w:ascii="Arial" w:hAnsi="Arial" w:cs="Arial"/>
        </w:rPr>
      </w:pPr>
    </w:p>
    <w:p w14:paraId="209DC3DA" w14:textId="6D3BD2EB" w:rsidR="00461EB4" w:rsidRPr="00461EB4" w:rsidRDefault="00461EB4" w:rsidP="00461EB4">
      <w:pPr>
        <w:spacing w:line="360" w:lineRule="auto"/>
        <w:rPr>
          <w:rFonts w:ascii="Arial" w:hAnsi="Arial" w:cs="Arial"/>
          <w:b/>
          <w:bCs/>
          <w:i/>
          <w:iCs/>
          <w:sz w:val="28"/>
          <w:szCs w:val="28"/>
        </w:rPr>
      </w:pPr>
      <w:r w:rsidRPr="00047E29">
        <w:rPr>
          <w:rFonts w:ascii="Arial" w:hAnsi="Arial" w:cs="Arial"/>
          <w:b/>
          <w:bCs/>
          <w:i/>
          <w:iCs/>
          <w:sz w:val="28"/>
          <w:szCs w:val="28"/>
        </w:rPr>
        <w:t>Limitations of the Study</w:t>
      </w:r>
    </w:p>
    <w:p w14:paraId="4BB23365" w14:textId="2B176939" w:rsidR="00461EB4" w:rsidRDefault="00461EB4" w:rsidP="00461EB4">
      <w:pPr>
        <w:spacing w:line="360" w:lineRule="auto"/>
        <w:rPr>
          <w:rFonts w:ascii="Arial" w:hAnsi="Arial" w:cs="Arial"/>
        </w:rPr>
      </w:pPr>
      <w:r>
        <w:rPr>
          <w:rFonts w:ascii="Arial" w:hAnsi="Arial" w:cs="Arial"/>
        </w:rPr>
        <w:t>The most apparent limitation of this lesson study was the sample size. To make the results more generalised, we would have needed to have done this study multiple times in a magnitude of different settings with varying age ranges to fully answer the proposed research question. Furthermore, we only taught two research lessons and not the three which are recommended by Dudley (2015). If this last lesson had been taught, we would have had more information to consider for our results, which may have given a new insight into the question.</w:t>
      </w:r>
    </w:p>
    <w:p w14:paraId="2517232B" w14:textId="3C2C8041" w:rsidR="00461EB4" w:rsidRDefault="00461EB4" w:rsidP="00461EB4">
      <w:pPr>
        <w:spacing w:line="360" w:lineRule="auto"/>
        <w:rPr>
          <w:rFonts w:ascii="Arial" w:hAnsi="Arial" w:cs="Arial"/>
        </w:rPr>
      </w:pPr>
      <w:r>
        <w:rPr>
          <w:rFonts w:ascii="Arial" w:hAnsi="Arial" w:cs="Arial"/>
        </w:rPr>
        <w:t>Lesson study is said to be “</w:t>
      </w:r>
      <w:r w:rsidRPr="00E377F0">
        <w:rPr>
          <w:rFonts w:ascii="Arial" w:hAnsi="Arial" w:cs="Arial"/>
          <w:i/>
          <w:iCs/>
        </w:rPr>
        <w:t>an important element in their early professional development</w:t>
      </w:r>
      <w:r>
        <w:rPr>
          <w:rFonts w:ascii="Arial" w:hAnsi="Arial" w:cs="Arial"/>
        </w:rPr>
        <w:t>” for teachers beginning their profession (</w:t>
      </w:r>
      <w:proofErr w:type="spellStart"/>
      <w:r>
        <w:rPr>
          <w:rFonts w:ascii="Arial" w:hAnsi="Arial" w:cs="Arial"/>
        </w:rPr>
        <w:t>Isoda</w:t>
      </w:r>
      <w:proofErr w:type="spellEnd"/>
      <w:r>
        <w:rPr>
          <w:rFonts w:ascii="Arial" w:hAnsi="Arial" w:cs="Arial"/>
        </w:rPr>
        <w:t xml:space="preserve"> et al. 2007) and it is mentioned additionally that it is a way of continuing professional development for all teachers (</w:t>
      </w:r>
      <w:proofErr w:type="spellStart"/>
      <w:r>
        <w:rPr>
          <w:rFonts w:ascii="Arial" w:hAnsi="Arial" w:cs="Arial"/>
        </w:rPr>
        <w:t>Murase</w:t>
      </w:r>
      <w:proofErr w:type="spellEnd"/>
      <w:r>
        <w:rPr>
          <w:rFonts w:ascii="Arial" w:hAnsi="Arial" w:cs="Arial"/>
        </w:rPr>
        <w:t xml:space="preserve"> et al. 2015). Although this description is very positive, in reality the researchers’ lack of classroom experience could prove to have been a detriment to the lesson study quality due to inexperience. On the contrary, it may have proved the opposite because we are new to the profession, so we hold no fixed ideas of what is good teaching. </w:t>
      </w:r>
    </w:p>
    <w:p w14:paraId="03ACFBDF" w14:textId="77777777" w:rsidR="00461EB4" w:rsidRDefault="00461EB4" w:rsidP="00461EB4">
      <w:pPr>
        <w:spacing w:line="360" w:lineRule="auto"/>
        <w:rPr>
          <w:rFonts w:ascii="Arial" w:hAnsi="Arial" w:cs="Arial"/>
        </w:rPr>
      </w:pPr>
      <w:r>
        <w:rPr>
          <w:rFonts w:ascii="Arial" w:hAnsi="Arial" w:cs="Arial"/>
        </w:rPr>
        <w:t>Furthermore, we did not use any additional equipment to aid our lesson study such as the use of a video camera. Alston, Hart and Murata (2011) say that these recordings can help pick up on things which have been missed by the observer, and also provide an unbiased perspective of the lesson for both the teacher and the observer. Additionally, the method of collection of observational data was a limitation. Carbone et al. (2017) says that the “</w:t>
      </w:r>
      <w:r w:rsidRPr="00A46ED9">
        <w:rPr>
          <w:rFonts w:ascii="Arial" w:hAnsi="Arial" w:cs="Arial"/>
          <w:i/>
          <w:iCs/>
        </w:rPr>
        <w:t>richest</w:t>
      </w:r>
      <w:r>
        <w:rPr>
          <w:rFonts w:ascii="Arial" w:hAnsi="Arial" w:cs="Arial"/>
        </w:rPr>
        <w:t xml:space="preserve">” observation notes come from writing freeform notes when we had composed specific things </w:t>
      </w:r>
      <w:r>
        <w:rPr>
          <w:rFonts w:ascii="Arial" w:hAnsi="Arial" w:cs="Arial"/>
        </w:rPr>
        <w:lastRenderedPageBreak/>
        <w:t>which we were looking out for. Although this limited us, I believe that it guided us on things to look out for which we might have otherwise missed.</w:t>
      </w:r>
    </w:p>
    <w:p w14:paraId="2F523325" w14:textId="77777777" w:rsidR="00461EB4" w:rsidRDefault="00461EB4" w:rsidP="00461EB4">
      <w:pPr>
        <w:spacing w:line="360" w:lineRule="auto"/>
        <w:rPr>
          <w:rFonts w:ascii="Arial" w:hAnsi="Arial" w:cs="Arial"/>
          <w:b/>
          <w:bCs/>
          <w:u w:val="single"/>
        </w:rPr>
      </w:pPr>
    </w:p>
    <w:p w14:paraId="0F06C291" w14:textId="12412192" w:rsidR="00461EB4" w:rsidRPr="00461EB4" w:rsidRDefault="00461EB4" w:rsidP="00461EB4">
      <w:pPr>
        <w:spacing w:line="360" w:lineRule="auto"/>
        <w:rPr>
          <w:rFonts w:ascii="Arial" w:hAnsi="Arial" w:cs="Arial"/>
          <w:b/>
          <w:bCs/>
          <w:i/>
          <w:iCs/>
          <w:sz w:val="28"/>
          <w:szCs w:val="28"/>
        </w:rPr>
      </w:pPr>
      <w:r w:rsidRPr="00047E29">
        <w:rPr>
          <w:rFonts w:ascii="Arial" w:hAnsi="Arial" w:cs="Arial"/>
          <w:b/>
          <w:bCs/>
          <w:i/>
          <w:iCs/>
          <w:sz w:val="28"/>
          <w:szCs w:val="28"/>
        </w:rPr>
        <w:t>Conclusions and Recommendations</w:t>
      </w:r>
    </w:p>
    <w:p w14:paraId="19E6F80D" w14:textId="67B19D5A" w:rsidR="00461EB4" w:rsidRDefault="00461EB4" w:rsidP="00461EB4">
      <w:pPr>
        <w:spacing w:line="360" w:lineRule="auto"/>
        <w:rPr>
          <w:rFonts w:ascii="Arial" w:hAnsi="Arial" w:cs="Arial"/>
        </w:rPr>
      </w:pPr>
      <w:r>
        <w:rPr>
          <w:rFonts w:ascii="Arial" w:hAnsi="Arial" w:cs="Arial"/>
        </w:rPr>
        <w:t xml:space="preserve">It can be seen from this lesson study that there is no concrete link between pupil engagement in a multiple-choice starter and their engagement in the main body of the lesson. All pupils reported that it did not affect their engagement throughout the body of the lesson, which was the focus of our research question. However, there is a consensus that multiple-choice activities improved pupil engagement during that specific task, with the exception of Pupil 1 in lesson study two who behaved anomalously. Furthermore, piloting an eyes-closed approach proved to be the most effective of all as it also made the pupils feel less pressured. This links back to pupils being more emotionally engaged, from </w:t>
      </w:r>
      <w:proofErr w:type="spellStart"/>
      <w:r>
        <w:rPr>
          <w:rFonts w:ascii="Arial" w:hAnsi="Arial" w:cs="Arial"/>
        </w:rPr>
        <w:t>Clerkin</w:t>
      </w:r>
      <w:proofErr w:type="spellEnd"/>
      <w:r>
        <w:rPr>
          <w:rFonts w:ascii="Arial" w:hAnsi="Arial" w:cs="Arial"/>
        </w:rPr>
        <w:t xml:space="preserve"> and </w:t>
      </w:r>
      <w:proofErr w:type="spellStart"/>
      <w:r>
        <w:rPr>
          <w:rFonts w:ascii="Arial" w:hAnsi="Arial" w:cs="Arial"/>
        </w:rPr>
        <w:t>Creaven</w:t>
      </w:r>
      <w:proofErr w:type="spellEnd"/>
      <w:r>
        <w:rPr>
          <w:rFonts w:ascii="Arial" w:hAnsi="Arial" w:cs="Arial"/>
        </w:rPr>
        <w:t xml:space="preserve"> (2013), because they felt more positively about their confidence. It is critical for pupils to be made to feel more confident because this is part of Donaldson’s (2015) four purposes for the new curriculum. Additionally, I believe that involving pupils in the discussion of lesson study is a powerful tool to close the gap between pupils and teachers. It breaks down barriers and allows the pupils to be involved in their own learning, which has been suggested by Parsons and Taylor (2011). In my next school experience, I will aim to implement the hands-up with eyes-closed approach for answers to multiple-choice questions as it has been agreed upon that it is beneficial for pupil engagement. </w:t>
      </w:r>
    </w:p>
    <w:p w14:paraId="005032A2" w14:textId="23EE7232" w:rsidR="00461EB4" w:rsidRDefault="00461EB4" w:rsidP="00461EB4">
      <w:pPr>
        <w:spacing w:line="360" w:lineRule="auto"/>
        <w:rPr>
          <w:rFonts w:ascii="Arial" w:hAnsi="Arial" w:cs="Arial"/>
        </w:rPr>
      </w:pPr>
      <w:r>
        <w:rPr>
          <w:rFonts w:ascii="Arial" w:hAnsi="Arial" w:cs="Arial"/>
        </w:rPr>
        <w:t>If I were to teach the third lesson to complete the lesson study process, as recommended by Dudley (2015), I would return back to the hands-up with eyes-closed approach but implement it from the start of the lesson. I would keep all other variables the same to ensure consistency of the method. Additionally, I would like to involve more pupils in the lesson study to give a wider range of opinions and to improve the validity of results. This experience has made known to me how invaluable lesson study is as a tool of professional development, and that it is a method which I should aim to repeat in my future practice. This is further emphasised by the new curriculum and the importance that Donaldson (2015) places on the need for pupils to be “</w:t>
      </w:r>
      <w:r w:rsidRPr="00371E28">
        <w:rPr>
          <w:rFonts w:ascii="Arial" w:hAnsi="Arial" w:cs="Arial"/>
          <w:i/>
          <w:iCs/>
        </w:rPr>
        <w:t>lifelong learners</w:t>
      </w:r>
      <w:r>
        <w:rPr>
          <w:rFonts w:ascii="Arial" w:hAnsi="Arial" w:cs="Arial"/>
        </w:rPr>
        <w:t>”. As teachers, we are striving to reach this goal, which creates a deeper desire to improve my practice. Moving forward, this lesson study is a material which I will return back to ensure my continual professional development within teaching (</w:t>
      </w:r>
      <w:proofErr w:type="spellStart"/>
      <w:r>
        <w:rPr>
          <w:rFonts w:ascii="Arial" w:hAnsi="Arial" w:cs="Arial"/>
        </w:rPr>
        <w:t>Murase</w:t>
      </w:r>
      <w:proofErr w:type="spellEnd"/>
      <w:r>
        <w:rPr>
          <w:rFonts w:ascii="Arial" w:hAnsi="Arial" w:cs="Arial"/>
        </w:rPr>
        <w:t xml:space="preserve"> et al. 2015). Furthermore, when I plan to do lesson study research in the future, I will take on board what I have learned from this experience and will look at fine-tuning it. Additionally, I would aim to involve an experienced colleague, in addition to a </w:t>
      </w:r>
      <w:r>
        <w:rPr>
          <w:rFonts w:ascii="Arial" w:hAnsi="Arial" w:cs="Arial"/>
        </w:rPr>
        <w:lastRenderedPageBreak/>
        <w:t>less experienced colleague, to encapsulate more aspects of the lesson that two researchers might have missed.</w:t>
      </w:r>
    </w:p>
    <w:p w14:paraId="1FB325D4" w14:textId="77777777" w:rsidR="00461EB4" w:rsidRPr="00371E28" w:rsidRDefault="00461EB4" w:rsidP="00461EB4">
      <w:pPr>
        <w:spacing w:line="360" w:lineRule="auto"/>
        <w:rPr>
          <w:rFonts w:ascii="Arial" w:hAnsi="Arial" w:cs="Arial"/>
        </w:rPr>
      </w:pPr>
      <w:r>
        <w:rPr>
          <w:rFonts w:ascii="Arial" w:hAnsi="Arial" w:cs="Arial"/>
        </w:rPr>
        <w:t>The recommendations from this research for future practice is that when teachers incorporate multiple-choice tasks, they try to maintain anonymity of pupil answers. When displaying their answers publicly, some pupils feel uncomfortable or nervous about what their peers might think of their answers. To avoid this, I suggest implementing the hands-up with eyes-closed approach. The main benefit is that it has been shown to improve pupil engagement, and live feedback can be obtained to advise next teaching steps for the class and for individual pupils immediately.</w:t>
      </w:r>
    </w:p>
    <w:p w14:paraId="36BEF99A" w14:textId="77777777" w:rsidR="00461EB4" w:rsidRDefault="00461EB4" w:rsidP="00461EB4">
      <w:pPr>
        <w:spacing w:line="360" w:lineRule="auto"/>
        <w:rPr>
          <w:rFonts w:ascii="Arial" w:hAnsi="Arial" w:cs="Arial"/>
          <w:b/>
          <w:bCs/>
          <w:u w:val="single"/>
        </w:rPr>
      </w:pPr>
    </w:p>
    <w:p w14:paraId="577A6B06" w14:textId="77777777" w:rsidR="00461EB4" w:rsidRDefault="00461EB4" w:rsidP="00461EB4">
      <w:pPr>
        <w:spacing w:line="360" w:lineRule="auto"/>
        <w:rPr>
          <w:rFonts w:ascii="Arial" w:hAnsi="Arial" w:cs="Arial"/>
          <w:b/>
          <w:bCs/>
          <w:u w:val="single"/>
        </w:rPr>
      </w:pPr>
    </w:p>
    <w:p w14:paraId="0E68BC78" w14:textId="77777777" w:rsidR="00461EB4" w:rsidRDefault="00461EB4" w:rsidP="00461EB4">
      <w:pPr>
        <w:spacing w:line="360" w:lineRule="auto"/>
        <w:rPr>
          <w:rFonts w:ascii="Arial" w:hAnsi="Arial" w:cs="Arial"/>
          <w:b/>
          <w:bCs/>
          <w:u w:val="single"/>
        </w:rPr>
      </w:pPr>
    </w:p>
    <w:p w14:paraId="631301A9" w14:textId="77777777" w:rsidR="00461EB4" w:rsidRPr="004B2978" w:rsidRDefault="00461EB4" w:rsidP="00461EB4">
      <w:pPr>
        <w:spacing w:line="360" w:lineRule="auto"/>
        <w:rPr>
          <w:rFonts w:ascii="Arial" w:hAnsi="Arial" w:cs="Arial"/>
        </w:rPr>
      </w:pPr>
    </w:p>
    <w:p w14:paraId="6B33A7D4" w14:textId="77777777" w:rsidR="00461EB4" w:rsidRDefault="00461EB4" w:rsidP="00461EB4">
      <w:pPr>
        <w:spacing w:line="360" w:lineRule="auto"/>
        <w:rPr>
          <w:rFonts w:ascii="Arial" w:hAnsi="Arial" w:cs="Arial"/>
        </w:rPr>
      </w:pPr>
    </w:p>
    <w:p w14:paraId="37BA5E63" w14:textId="77777777" w:rsidR="00461EB4" w:rsidRDefault="00461EB4" w:rsidP="00461EB4">
      <w:pPr>
        <w:spacing w:line="360" w:lineRule="auto"/>
        <w:rPr>
          <w:rFonts w:ascii="Arial" w:hAnsi="Arial" w:cs="Arial"/>
        </w:rPr>
      </w:pPr>
      <w:r>
        <w:rPr>
          <w:rFonts w:ascii="Arial" w:hAnsi="Arial" w:cs="Arial"/>
        </w:rPr>
        <w:tab/>
      </w:r>
    </w:p>
    <w:p w14:paraId="03C3C4E0" w14:textId="77777777" w:rsidR="00461EB4" w:rsidRDefault="00461EB4" w:rsidP="00461EB4">
      <w:pPr>
        <w:spacing w:line="360" w:lineRule="auto"/>
        <w:rPr>
          <w:rFonts w:ascii="Arial" w:hAnsi="Arial" w:cs="Arial"/>
        </w:rPr>
      </w:pPr>
    </w:p>
    <w:p w14:paraId="08646EBD" w14:textId="77777777" w:rsidR="00461EB4" w:rsidRDefault="00461EB4" w:rsidP="00461EB4">
      <w:pPr>
        <w:spacing w:line="360" w:lineRule="auto"/>
        <w:rPr>
          <w:rFonts w:ascii="Arial" w:hAnsi="Arial" w:cs="Arial"/>
        </w:rPr>
      </w:pPr>
      <w:r>
        <w:rPr>
          <w:rFonts w:ascii="Arial" w:hAnsi="Arial" w:cs="Arial"/>
        </w:rPr>
        <w:tab/>
      </w:r>
    </w:p>
    <w:p w14:paraId="0FF90654" w14:textId="77777777" w:rsidR="00461EB4" w:rsidRDefault="00461EB4" w:rsidP="00461EB4">
      <w:pPr>
        <w:spacing w:line="360" w:lineRule="auto"/>
        <w:rPr>
          <w:rFonts w:ascii="Arial" w:hAnsi="Arial" w:cs="Arial"/>
        </w:rPr>
      </w:pPr>
    </w:p>
    <w:p w14:paraId="5F748ACC" w14:textId="77777777" w:rsidR="00461EB4" w:rsidRPr="00CF4EBD" w:rsidRDefault="00461EB4" w:rsidP="00461EB4">
      <w:pPr>
        <w:spacing w:line="360" w:lineRule="auto"/>
        <w:rPr>
          <w:rFonts w:ascii="Arial" w:hAnsi="Arial" w:cs="Arial"/>
        </w:rPr>
      </w:pPr>
    </w:p>
    <w:p w14:paraId="3F39B337" w14:textId="77777777" w:rsidR="00461EB4" w:rsidRDefault="00461EB4" w:rsidP="00461EB4">
      <w:pPr>
        <w:spacing w:line="360" w:lineRule="auto"/>
        <w:jc w:val="right"/>
        <w:rPr>
          <w:rFonts w:ascii="Arial" w:hAnsi="Arial" w:cs="Arial"/>
        </w:rPr>
      </w:pPr>
    </w:p>
    <w:p w14:paraId="5E71E76D" w14:textId="77777777" w:rsidR="00461EB4" w:rsidRDefault="00461EB4" w:rsidP="00461EB4">
      <w:pPr>
        <w:spacing w:line="360" w:lineRule="auto"/>
        <w:jc w:val="right"/>
        <w:rPr>
          <w:rFonts w:ascii="Arial" w:hAnsi="Arial" w:cs="Arial"/>
        </w:rPr>
      </w:pPr>
    </w:p>
    <w:p w14:paraId="61159315" w14:textId="77777777" w:rsidR="00461EB4" w:rsidRDefault="00461EB4" w:rsidP="00461EB4">
      <w:pPr>
        <w:spacing w:line="360" w:lineRule="auto"/>
        <w:jc w:val="right"/>
        <w:rPr>
          <w:rFonts w:ascii="Arial" w:hAnsi="Arial" w:cs="Arial"/>
        </w:rPr>
      </w:pPr>
    </w:p>
    <w:p w14:paraId="278CF53F" w14:textId="77777777" w:rsidR="00461EB4" w:rsidRDefault="00461EB4" w:rsidP="00461EB4">
      <w:pPr>
        <w:spacing w:line="360" w:lineRule="auto"/>
        <w:jc w:val="right"/>
        <w:rPr>
          <w:rFonts w:ascii="Arial" w:hAnsi="Arial" w:cs="Arial"/>
        </w:rPr>
      </w:pPr>
    </w:p>
    <w:p w14:paraId="2761178F" w14:textId="77777777" w:rsidR="00461EB4" w:rsidRDefault="00461EB4" w:rsidP="00461EB4">
      <w:pPr>
        <w:spacing w:line="360" w:lineRule="auto"/>
        <w:jc w:val="right"/>
        <w:rPr>
          <w:rFonts w:ascii="Arial" w:hAnsi="Arial" w:cs="Arial"/>
        </w:rPr>
      </w:pPr>
    </w:p>
    <w:p w14:paraId="4D53C897" w14:textId="77777777" w:rsidR="00461EB4" w:rsidRDefault="00461EB4" w:rsidP="00461EB4">
      <w:pPr>
        <w:spacing w:line="360" w:lineRule="auto"/>
        <w:jc w:val="right"/>
        <w:rPr>
          <w:rFonts w:ascii="Arial" w:hAnsi="Arial" w:cs="Arial"/>
        </w:rPr>
      </w:pPr>
    </w:p>
    <w:p w14:paraId="07B034A5" w14:textId="77777777" w:rsidR="00461EB4" w:rsidRDefault="00461EB4" w:rsidP="00461EB4">
      <w:pPr>
        <w:spacing w:line="360" w:lineRule="auto"/>
        <w:jc w:val="right"/>
        <w:rPr>
          <w:rFonts w:ascii="Arial" w:hAnsi="Arial" w:cs="Arial"/>
        </w:rPr>
      </w:pPr>
    </w:p>
    <w:p w14:paraId="7394710A" w14:textId="77777777" w:rsidR="00461EB4" w:rsidRDefault="00461EB4" w:rsidP="00461EB4">
      <w:pPr>
        <w:spacing w:line="360" w:lineRule="auto"/>
        <w:jc w:val="right"/>
        <w:rPr>
          <w:rFonts w:ascii="Arial" w:hAnsi="Arial" w:cs="Arial"/>
        </w:rPr>
      </w:pPr>
    </w:p>
    <w:p w14:paraId="14FD9C7D" w14:textId="6E1A3276" w:rsidR="00461EB4" w:rsidRPr="00461EB4" w:rsidRDefault="00461EB4" w:rsidP="00461EB4">
      <w:pPr>
        <w:spacing w:line="360" w:lineRule="auto"/>
        <w:jc w:val="right"/>
        <w:rPr>
          <w:rFonts w:ascii="Arial" w:hAnsi="Arial" w:cs="Arial"/>
          <w:b/>
          <w:bCs/>
          <w:i/>
          <w:iCs/>
          <w:sz w:val="28"/>
          <w:szCs w:val="28"/>
          <w:u w:val="single"/>
        </w:rPr>
      </w:pPr>
      <w:r w:rsidRPr="00461EB4">
        <w:rPr>
          <w:rFonts w:ascii="Arial" w:hAnsi="Arial" w:cs="Arial"/>
          <w:b/>
          <w:bCs/>
          <w:i/>
          <w:iCs/>
          <w:sz w:val="28"/>
          <w:szCs w:val="28"/>
        </w:rPr>
        <w:t>Word Count: 5493</w:t>
      </w:r>
      <w:r w:rsidRPr="00461EB4">
        <w:rPr>
          <w:rFonts w:ascii="Arial" w:hAnsi="Arial" w:cs="Arial"/>
          <w:b/>
          <w:bCs/>
          <w:i/>
          <w:iCs/>
          <w:sz w:val="28"/>
          <w:szCs w:val="28"/>
        </w:rPr>
        <w:tab/>
      </w:r>
      <w:r w:rsidRPr="00461EB4">
        <w:rPr>
          <w:rFonts w:ascii="Arial" w:hAnsi="Arial" w:cs="Arial"/>
          <w:b/>
          <w:bCs/>
          <w:i/>
          <w:iCs/>
          <w:sz w:val="28"/>
          <w:szCs w:val="28"/>
          <w:u w:val="single"/>
        </w:rPr>
        <w:br w:type="page"/>
      </w:r>
    </w:p>
    <w:p w14:paraId="60691BDC" w14:textId="77777777" w:rsidR="00461EB4" w:rsidRPr="00047E29" w:rsidRDefault="00461EB4" w:rsidP="00461EB4">
      <w:pPr>
        <w:spacing w:line="360" w:lineRule="auto"/>
        <w:rPr>
          <w:rFonts w:ascii="Arial" w:hAnsi="Arial" w:cs="Arial"/>
          <w:b/>
          <w:i/>
          <w:iCs/>
          <w:sz w:val="28"/>
          <w:szCs w:val="28"/>
        </w:rPr>
      </w:pPr>
      <w:r w:rsidRPr="00047E29">
        <w:rPr>
          <w:rFonts w:ascii="Arial" w:hAnsi="Arial" w:cs="Arial"/>
          <w:b/>
          <w:i/>
          <w:iCs/>
          <w:sz w:val="28"/>
          <w:szCs w:val="28"/>
        </w:rPr>
        <w:lastRenderedPageBreak/>
        <w:t>Bibliography</w:t>
      </w:r>
    </w:p>
    <w:p w14:paraId="3B5EA675" w14:textId="77777777" w:rsidR="00461EB4" w:rsidRPr="007C2BDC" w:rsidRDefault="00461EB4" w:rsidP="00461EB4">
      <w:pPr>
        <w:pStyle w:val="Default"/>
        <w:spacing w:line="360" w:lineRule="auto"/>
        <w:rPr>
          <w:rFonts w:ascii="Arial" w:hAnsi="Arial" w:cs="Arial"/>
          <w:color w:val="000000" w:themeColor="text1"/>
          <w:sz w:val="22"/>
          <w:szCs w:val="22"/>
        </w:rPr>
      </w:pPr>
    </w:p>
    <w:p w14:paraId="3924A0AF" w14:textId="77777777" w:rsidR="00461EB4" w:rsidRPr="007C2BDC" w:rsidRDefault="00461EB4" w:rsidP="00461EB4">
      <w:pPr>
        <w:pStyle w:val="Default"/>
        <w:spacing w:line="360" w:lineRule="auto"/>
        <w:rPr>
          <w:rFonts w:ascii="Arial" w:hAnsi="Arial" w:cs="Arial"/>
          <w:color w:val="000000" w:themeColor="text1"/>
          <w:sz w:val="22"/>
          <w:szCs w:val="22"/>
        </w:rPr>
      </w:pPr>
    </w:p>
    <w:p w14:paraId="4D352CAB" w14:textId="77777777" w:rsidR="00461EB4" w:rsidRPr="007C2BDC" w:rsidRDefault="00461EB4" w:rsidP="00461EB4">
      <w:pPr>
        <w:pStyle w:val="Default"/>
        <w:numPr>
          <w:ilvl w:val="0"/>
          <w:numId w:val="1"/>
        </w:numPr>
        <w:spacing w:line="360" w:lineRule="auto"/>
        <w:rPr>
          <w:rFonts w:ascii="Arial" w:hAnsi="Arial" w:cs="Arial"/>
          <w:color w:val="000000" w:themeColor="text1"/>
          <w:sz w:val="22"/>
          <w:szCs w:val="22"/>
        </w:rPr>
      </w:pPr>
      <w:r w:rsidRPr="007C2BDC">
        <w:rPr>
          <w:rFonts w:ascii="Arial" w:hAnsi="Arial" w:cs="Arial"/>
          <w:color w:val="000000" w:themeColor="text1"/>
          <w:sz w:val="22"/>
          <w:szCs w:val="22"/>
        </w:rPr>
        <w:t xml:space="preserve">Barnard, J et al. (2018). </w:t>
      </w:r>
      <w:r w:rsidRPr="007C2BDC">
        <w:rPr>
          <w:rFonts w:ascii="Arial" w:hAnsi="Arial" w:cs="Arial"/>
          <w:i/>
          <w:iCs/>
          <w:color w:val="000000" w:themeColor="text1"/>
          <w:sz w:val="22"/>
          <w:szCs w:val="22"/>
        </w:rPr>
        <w:t>Choosing Medical Assessments: Does the Multiple-choice Question make the Grade?</w:t>
      </w:r>
    </w:p>
    <w:p w14:paraId="0BFF86D3" w14:textId="77777777" w:rsidR="00461EB4" w:rsidRPr="007C2BDC" w:rsidRDefault="00461EB4" w:rsidP="00461EB4">
      <w:pPr>
        <w:pStyle w:val="Default"/>
        <w:spacing w:line="360" w:lineRule="auto"/>
        <w:ind w:left="720"/>
        <w:rPr>
          <w:rFonts w:ascii="Arial" w:hAnsi="Arial" w:cs="Arial"/>
          <w:color w:val="000000" w:themeColor="text1"/>
          <w:sz w:val="22"/>
          <w:szCs w:val="22"/>
        </w:rPr>
      </w:pPr>
      <w:r w:rsidRPr="007C2BDC">
        <w:rPr>
          <w:rFonts w:ascii="Arial" w:hAnsi="Arial" w:cs="Arial"/>
          <w:color w:val="000000" w:themeColor="text1"/>
          <w:sz w:val="22"/>
          <w:szCs w:val="22"/>
        </w:rPr>
        <w:t>Wolters Kluwer India Pvt Ltd</w:t>
      </w:r>
    </w:p>
    <w:p w14:paraId="64E3F2F0" w14:textId="77777777" w:rsidR="00461EB4" w:rsidRPr="007C2BDC" w:rsidRDefault="00461EB4" w:rsidP="00461EB4">
      <w:pPr>
        <w:pStyle w:val="Default"/>
        <w:spacing w:line="360" w:lineRule="auto"/>
        <w:ind w:left="720"/>
        <w:rPr>
          <w:rFonts w:ascii="Arial" w:hAnsi="Arial" w:cs="Arial"/>
          <w:color w:val="000000" w:themeColor="text1"/>
          <w:sz w:val="22"/>
          <w:szCs w:val="22"/>
        </w:rPr>
      </w:pPr>
      <w:r w:rsidRPr="007C2BDC">
        <w:rPr>
          <w:rFonts w:ascii="Arial" w:hAnsi="Arial" w:cs="Arial"/>
          <w:color w:val="000000" w:themeColor="text1"/>
          <w:sz w:val="22"/>
          <w:szCs w:val="22"/>
        </w:rPr>
        <w:t>Education for Health: Change in Learning and Practice, 2018, Vol.31 (2), p.65-72</w:t>
      </w:r>
    </w:p>
    <w:p w14:paraId="17EBDA6D" w14:textId="77777777" w:rsidR="00461EB4" w:rsidRPr="00D741B6" w:rsidRDefault="00461EB4" w:rsidP="00461EB4">
      <w:pPr>
        <w:autoSpaceDE w:val="0"/>
        <w:autoSpaceDN w:val="0"/>
        <w:adjustRightInd w:val="0"/>
        <w:spacing w:line="360" w:lineRule="auto"/>
        <w:rPr>
          <w:rFonts w:ascii="Arial" w:hAnsi="Arial" w:cs="Arial"/>
          <w:color w:val="000000"/>
        </w:rPr>
      </w:pPr>
    </w:p>
    <w:p w14:paraId="4E273707" w14:textId="77777777" w:rsidR="00461EB4" w:rsidRPr="007C2BDC" w:rsidRDefault="00461EB4" w:rsidP="00461EB4">
      <w:pPr>
        <w:pStyle w:val="ListParagraph"/>
        <w:numPr>
          <w:ilvl w:val="0"/>
          <w:numId w:val="1"/>
        </w:numPr>
        <w:autoSpaceDE w:val="0"/>
        <w:autoSpaceDN w:val="0"/>
        <w:adjustRightInd w:val="0"/>
        <w:spacing w:line="360" w:lineRule="auto"/>
        <w:rPr>
          <w:rFonts w:ascii="Arial" w:hAnsi="Arial" w:cs="Arial"/>
          <w:color w:val="000000"/>
          <w:sz w:val="22"/>
          <w:szCs w:val="22"/>
        </w:rPr>
      </w:pPr>
      <w:r w:rsidRPr="007C2BDC">
        <w:rPr>
          <w:rFonts w:ascii="Arial" w:hAnsi="Arial" w:cs="Arial"/>
          <w:color w:val="000000"/>
          <w:sz w:val="22"/>
          <w:szCs w:val="22"/>
        </w:rPr>
        <w:t xml:space="preserve">BERA (2018). </w:t>
      </w:r>
      <w:r w:rsidRPr="007C2BDC">
        <w:rPr>
          <w:rFonts w:ascii="Arial" w:hAnsi="Arial" w:cs="Arial"/>
          <w:i/>
          <w:iCs/>
          <w:color w:val="000000"/>
          <w:sz w:val="22"/>
          <w:szCs w:val="22"/>
        </w:rPr>
        <w:t>Ethical Guidelines for Educational Research, fourth edition</w:t>
      </w:r>
      <w:r w:rsidRPr="007C2BDC">
        <w:rPr>
          <w:rFonts w:ascii="Arial" w:hAnsi="Arial" w:cs="Arial"/>
          <w:color w:val="000000"/>
          <w:sz w:val="22"/>
          <w:szCs w:val="22"/>
        </w:rPr>
        <w:t xml:space="preserve">. https://www.bera.ac.uk/publication/ethical-guidelines-for-educational-research-2018-online </w:t>
      </w:r>
    </w:p>
    <w:p w14:paraId="5176E08F" w14:textId="77777777" w:rsidR="00461EB4" w:rsidRPr="007C2BDC" w:rsidRDefault="00461EB4" w:rsidP="00461EB4">
      <w:pPr>
        <w:pStyle w:val="Default"/>
        <w:spacing w:line="360" w:lineRule="auto"/>
        <w:rPr>
          <w:rFonts w:ascii="Arial" w:hAnsi="Arial" w:cs="Arial"/>
          <w:color w:val="000000" w:themeColor="text1"/>
          <w:sz w:val="22"/>
          <w:szCs w:val="22"/>
        </w:rPr>
      </w:pPr>
    </w:p>
    <w:p w14:paraId="58919FB2" w14:textId="77777777" w:rsidR="00461EB4" w:rsidRPr="007C2BDC" w:rsidRDefault="00461EB4" w:rsidP="00461EB4">
      <w:pPr>
        <w:pStyle w:val="Default"/>
        <w:numPr>
          <w:ilvl w:val="0"/>
          <w:numId w:val="1"/>
        </w:numPr>
        <w:spacing w:line="360" w:lineRule="auto"/>
        <w:rPr>
          <w:rFonts w:ascii="Arial" w:hAnsi="Arial" w:cs="Arial"/>
          <w:color w:val="000000" w:themeColor="text1"/>
          <w:sz w:val="22"/>
          <w:szCs w:val="22"/>
        </w:rPr>
      </w:pPr>
      <w:r w:rsidRPr="007C2BDC">
        <w:rPr>
          <w:rFonts w:ascii="Arial" w:hAnsi="Arial" w:cs="Arial"/>
          <w:color w:val="000000" w:themeColor="text1"/>
          <w:sz w:val="22"/>
          <w:szCs w:val="22"/>
        </w:rPr>
        <w:t xml:space="preserve">Berthold, K et al. (2015). </w:t>
      </w:r>
      <w:r w:rsidRPr="007C2BDC">
        <w:rPr>
          <w:rFonts w:ascii="Arial" w:hAnsi="Arial" w:cs="Arial"/>
          <w:i/>
          <w:iCs/>
          <w:color w:val="000000" w:themeColor="text1"/>
          <w:sz w:val="22"/>
          <w:szCs w:val="22"/>
        </w:rPr>
        <w:t>The role of specificity, targeted learning activities, and prior knowledge for the effects of relevance instructions.</w:t>
      </w:r>
    </w:p>
    <w:p w14:paraId="65A85005" w14:textId="77777777" w:rsidR="00461EB4" w:rsidRPr="007C2BDC" w:rsidRDefault="00461EB4" w:rsidP="00461EB4">
      <w:pPr>
        <w:spacing w:line="360" w:lineRule="auto"/>
        <w:ind w:firstLine="720"/>
        <w:rPr>
          <w:rFonts w:ascii="Arial" w:hAnsi="Arial" w:cs="Arial"/>
          <w:color w:val="000000" w:themeColor="text1"/>
        </w:rPr>
      </w:pPr>
      <w:r w:rsidRPr="007C2BDC">
        <w:rPr>
          <w:rFonts w:ascii="Arial" w:hAnsi="Arial" w:cs="Arial"/>
          <w:color w:val="000000" w:themeColor="text1"/>
        </w:rPr>
        <w:t>Journal of Educational Psychology, 2015, Vol.107 (3), p.705-724</w:t>
      </w:r>
    </w:p>
    <w:p w14:paraId="0512C04A" w14:textId="77777777" w:rsidR="00461EB4" w:rsidRDefault="00461EB4" w:rsidP="00461EB4">
      <w:pPr>
        <w:spacing w:line="360" w:lineRule="auto"/>
        <w:ind w:firstLine="720"/>
        <w:rPr>
          <w:rFonts w:ascii="Arial" w:hAnsi="Arial" w:cs="Arial"/>
          <w:color w:val="000000" w:themeColor="text1"/>
        </w:rPr>
      </w:pPr>
    </w:p>
    <w:p w14:paraId="3B677CA6" w14:textId="77777777" w:rsidR="00461EB4" w:rsidRPr="00D741B6" w:rsidRDefault="00461EB4" w:rsidP="00461EB4">
      <w:pPr>
        <w:pStyle w:val="ListParagraph"/>
        <w:numPr>
          <w:ilvl w:val="0"/>
          <w:numId w:val="1"/>
        </w:num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Black, P et al. (2007). </w:t>
      </w:r>
      <w:r>
        <w:rPr>
          <w:rFonts w:ascii="Arial" w:hAnsi="Arial" w:cs="Arial"/>
          <w:i/>
          <w:iCs/>
          <w:color w:val="000000" w:themeColor="text1"/>
          <w:sz w:val="22"/>
          <w:szCs w:val="22"/>
        </w:rPr>
        <w:t>Assessment for Learning.</w:t>
      </w:r>
    </w:p>
    <w:p w14:paraId="0C25B4C4" w14:textId="77777777" w:rsidR="00461EB4" w:rsidRPr="00D741B6" w:rsidRDefault="00461EB4" w:rsidP="00461EB4">
      <w:pPr>
        <w:pStyle w:val="ListParagraph"/>
        <w:spacing w:line="360" w:lineRule="auto"/>
        <w:rPr>
          <w:rFonts w:ascii="Arial" w:hAnsi="Arial" w:cs="Arial"/>
          <w:color w:val="000000" w:themeColor="text1"/>
          <w:sz w:val="22"/>
          <w:szCs w:val="22"/>
        </w:rPr>
      </w:pPr>
      <w:r>
        <w:rPr>
          <w:rFonts w:ascii="Arial" w:hAnsi="Arial" w:cs="Arial"/>
          <w:color w:val="000000" w:themeColor="text1"/>
          <w:sz w:val="22"/>
          <w:szCs w:val="22"/>
        </w:rPr>
        <w:t>Maidenhead: McGraw-Hill Education</w:t>
      </w:r>
    </w:p>
    <w:p w14:paraId="1D94691F" w14:textId="77777777" w:rsidR="00461EB4" w:rsidRPr="007C2BDC" w:rsidRDefault="00461EB4" w:rsidP="00461EB4">
      <w:pPr>
        <w:spacing w:line="360" w:lineRule="auto"/>
        <w:ind w:firstLine="720"/>
        <w:rPr>
          <w:rFonts w:ascii="Arial" w:hAnsi="Arial" w:cs="Arial"/>
          <w:color w:val="000000" w:themeColor="text1"/>
        </w:rPr>
      </w:pPr>
    </w:p>
    <w:p w14:paraId="61917A4A" w14:textId="77777777" w:rsidR="00461EB4" w:rsidRPr="007C2BDC" w:rsidRDefault="00461EB4" w:rsidP="00461EB4">
      <w:pPr>
        <w:pStyle w:val="ListParagraph"/>
        <w:numPr>
          <w:ilvl w:val="0"/>
          <w:numId w:val="1"/>
        </w:numPr>
        <w:spacing w:line="360" w:lineRule="auto"/>
        <w:rPr>
          <w:rFonts w:ascii="Arial" w:hAnsi="Arial" w:cs="Arial"/>
          <w:color w:val="000000" w:themeColor="text1"/>
          <w:sz w:val="22"/>
          <w:szCs w:val="22"/>
        </w:rPr>
      </w:pPr>
      <w:r w:rsidRPr="007C2BDC">
        <w:rPr>
          <w:rFonts w:ascii="Arial" w:hAnsi="Arial" w:cs="Arial"/>
          <w:color w:val="000000" w:themeColor="text1"/>
          <w:sz w:val="22"/>
          <w:szCs w:val="22"/>
        </w:rPr>
        <w:t xml:space="preserve">Blanco, L et al. (2013). </w:t>
      </w:r>
      <w:r w:rsidRPr="007C2BDC">
        <w:rPr>
          <w:rFonts w:ascii="Arial" w:hAnsi="Arial" w:cs="Arial"/>
          <w:i/>
          <w:iCs/>
          <w:color w:val="000000" w:themeColor="text1"/>
          <w:sz w:val="22"/>
          <w:szCs w:val="22"/>
        </w:rPr>
        <w:t>A New Approach to Multiple-Choice Question Writing: Example, Transparency, and Variation.</w:t>
      </w:r>
    </w:p>
    <w:p w14:paraId="250D5348" w14:textId="77777777" w:rsidR="00461EB4" w:rsidRPr="007C2BDC" w:rsidRDefault="00461EB4" w:rsidP="00461EB4">
      <w:pPr>
        <w:pStyle w:val="ListParagraph"/>
        <w:spacing w:line="360" w:lineRule="auto"/>
        <w:rPr>
          <w:rFonts w:ascii="Arial" w:hAnsi="Arial" w:cs="Arial"/>
          <w:color w:val="000000" w:themeColor="text1"/>
          <w:sz w:val="22"/>
          <w:szCs w:val="22"/>
        </w:rPr>
      </w:pPr>
      <w:r w:rsidRPr="007C2BDC">
        <w:rPr>
          <w:rFonts w:ascii="Arial" w:hAnsi="Arial" w:cs="Arial"/>
          <w:color w:val="000000" w:themeColor="text1"/>
          <w:sz w:val="22"/>
          <w:szCs w:val="22"/>
        </w:rPr>
        <w:t>Centre for Innovation in Mathematics Teaching</w:t>
      </w:r>
    </w:p>
    <w:p w14:paraId="0B40C84D" w14:textId="77777777" w:rsidR="00461EB4" w:rsidRPr="007C2BDC" w:rsidRDefault="00461EB4" w:rsidP="00461EB4">
      <w:pPr>
        <w:pStyle w:val="ListParagraph"/>
        <w:spacing w:line="360" w:lineRule="auto"/>
        <w:rPr>
          <w:rFonts w:ascii="Arial" w:hAnsi="Arial" w:cs="Arial"/>
          <w:color w:val="000000" w:themeColor="text1"/>
          <w:sz w:val="22"/>
          <w:szCs w:val="22"/>
        </w:rPr>
      </w:pPr>
      <w:r w:rsidRPr="007C2BDC">
        <w:rPr>
          <w:rFonts w:ascii="Arial" w:hAnsi="Arial" w:cs="Arial"/>
          <w:color w:val="000000" w:themeColor="text1"/>
          <w:sz w:val="22"/>
          <w:szCs w:val="22"/>
        </w:rPr>
        <w:t>International Journey for Mathematics Teaching and Learning, 2013, p.1-7</w:t>
      </w:r>
    </w:p>
    <w:p w14:paraId="4F50EEF7" w14:textId="77777777" w:rsidR="00461EB4" w:rsidRPr="007C2BDC" w:rsidRDefault="00461EB4" w:rsidP="00461EB4">
      <w:pPr>
        <w:pStyle w:val="ListParagraph"/>
        <w:spacing w:line="360" w:lineRule="auto"/>
        <w:rPr>
          <w:rFonts w:ascii="Arial" w:hAnsi="Arial" w:cs="Arial"/>
          <w:color w:val="000000" w:themeColor="text1"/>
          <w:sz w:val="22"/>
          <w:szCs w:val="22"/>
        </w:rPr>
      </w:pPr>
    </w:p>
    <w:p w14:paraId="6EEC4E06" w14:textId="77777777" w:rsidR="00461EB4" w:rsidRPr="007C2BDC" w:rsidRDefault="00461EB4" w:rsidP="00461EB4">
      <w:pPr>
        <w:pStyle w:val="ListParagraph"/>
        <w:numPr>
          <w:ilvl w:val="0"/>
          <w:numId w:val="1"/>
        </w:numPr>
        <w:spacing w:line="360" w:lineRule="auto"/>
        <w:rPr>
          <w:rFonts w:ascii="Arial" w:hAnsi="Arial" w:cs="Arial"/>
          <w:color w:val="000000" w:themeColor="text1"/>
          <w:sz w:val="22"/>
          <w:szCs w:val="22"/>
        </w:rPr>
      </w:pPr>
      <w:proofErr w:type="spellStart"/>
      <w:r w:rsidRPr="007C2BDC">
        <w:rPr>
          <w:rFonts w:ascii="Arial" w:hAnsi="Arial" w:cs="Arial"/>
          <w:color w:val="000000" w:themeColor="text1"/>
          <w:sz w:val="22"/>
          <w:szCs w:val="22"/>
        </w:rPr>
        <w:t>Brame</w:t>
      </w:r>
      <w:proofErr w:type="spellEnd"/>
      <w:r w:rsidRPr="007C2BDC">
        <w:rPr>
          <w:rFonts w:ascii="Arial" w:hAnsi="Arial" w:cs="Arial"/>
          <w:color w:val="000000" w:themeColor="text1"/>
          <w:sz w:val="22"/>
          <w:szCs w:val="22"/>
        </w:rPr>
        <w:t xml:space="preserve">, C. (2013). </w:t>
      </w:r>
      <w:r w:rsidRPr="007C2BDC">
        <w:rPr>
          <w:rFonts w:ascii="Arial" w:hAnsi="Arial" w:cs="Arial"/>
          <w:i/>
          <w:iCs/>
          <w:color w:val="000000" w:themeColor="text1"/>
          <w:sz w:val="22"/>
          <w:szCs w:val="22"/>
        </w:rPr>
        <w:t xml:space="preserve">Writing good multiple choice test questions. </w:t>
      </w:r>
    </w:p>
    <w:p w14:paraId="7A7A2347" w14:textId="77777777" w:rsidR="00461EB4" w:rsidRPr="007C2BDC" w:rsidRDefault="00461EB4" w:rsidP="00461EB4">
      <w:pPr>
        <w:pStyle w:val="ListParagraph"/>
        <w:spacing w:line="360" w:lineRule="auto"/>
        <w:rPr>
          <w:rFonts w:ascii="Arial" w:eastAsia="Times New Roman" w:hAnsi="Arial" w:cs="Arial"/>
          <w:color w:val="000000" w:themeColor="text1"/>
          <w:sz w:val="22"/>
          <w:szCs w:val="22"/>
          <w:lang w:eastAsia="en-GB"/>
        </w:rPr>
      </w:pPr>
      <w:hyperlink r:id="rId10" w:history="1">
        <w:r w:rsidRPr="007C2BDC">
          <w:rPr>
            <w:rStyle w:val="Hyperlink"/>
            <w:rFonts w:eastAsia="Times New Roman" w:cs="Arial"/>
            <w:color w:val="000000" w:themeColor="text1"/>
            <w:sz w:val="22"/>
            <w:szCs w:val="22"/>
            <w:lang w:eastAsia="en-GB"/>
          </w:rPr>
          <w:t>https://cft.vanderbilt.edu/guides-sub-pages/writing-good-multiple-choice-test-questions/</w:t>
        </w:r>
      </w:hyperlink>
      <w:r w:rsidRPr="007C2BDC">
        <w:rPr>
          <w:rFonts w:ascii="Arial" w:eastAsia="Times New Roman" w:hAnsi="Arial" w:cs="Arial"/>
          <w:color w:val="000000" w:themeColor="text1"/>
          <w:sz w:val="22"/>
          <w:szCs w:val="22"/>
          <w:shd w:val="clear" w:color="auto" w:fill="DEEAEE"/>
          <w:lang w:eastAsia="en-GB"/>
        </w:rPr>
        <w:t>.</w:t>
      </w:r>
    </w:p>
    <w:p w14:paraId="3AA85899" w14:textId="77777777" w:rsidR="00461EB4" w:rsidRPr="007C2BDC" w:rsidRDefault="00461EB4" w:rsidP="00461EB4">
      <w:pPr>
        <w:pStyle w:val="ListParagraph"/>
        <w:spacing w:line="360" w:lineRule="auto"/>
        <w:rPr>
          <w:rFonts w:ascii="Arial" w:hAnsi="Arial" w:cs="Arial"/>
          <w:color w:val="000000" w:themeColor="text1"/>
          <w:sz w:val="22"/>
          <w:szCs w:val="22"/>
        </w:rPr>
      </w:pPr>
    </w:p>
    <w:p w14:paraId="675BBE85" w14:textId="77777777" w:rsidR="00461EB4" w:rsidRPr="007C2BDC" w:rsidRDefault="00461EB4" w:rsidP="00461EB4">
      <w:pPr>
        <w:pStyle w:val="ListParagraph"/>
        <w:numPr>
          <w:ilvl w:val="0"/>
          <w:numId w:val="1"/>
        </w:numPr>
        <w:spacing w:line="360" w:lineRule="auto"/>
        <w:rPr>
          <w:rFonts w:ascii="Arial" w:hAnsi="Arial" w:cs="Arial"/>
          <w:color w:val="000000" w:themeColor="text1"/>
          <w:sz w:val="22"/>
          <w:szCs w:val="22"/>
        </w:rPr>
      </w:pPr>
      <w:r w:rsidRPr="007C2BDC">
        <w:rPr>
          <w:rFonts w:ascii="Arial" w:hAnsi="Arial" w:cs="Arial"/>
          <w:color w:val="000000" w:themeColor="text1"/>
          <w:sz w:val="22"/>
          <w:szCs w:val="22"/>
        </w:rPr>
        <w:t xml:space="preserve">Briner, S et al. (2013). </w:t>
      </w:r>
      <w:r w:rsidRPr="007C2BDC">
        <w:rPr>
          <w:rFonts w:ascii="Arial" w:hAnsi="Arial" w:cs="Arial"/>
          <w:i/>
          <w:iCs/>
          <w:color w:val="000000" w:themeColor="text1"/>
          <w:sz w:val="22"/>
          <w:szCs w:val="22"/>
        </w:rPr>
        <w:t>Comparing Comprehension Measured by Multiple-Choice and Open-Ended Questions.</w:t>
      </w:r>
    </w:p>
    <w:p w14:paraId="45A8E575" w14:textId="77777777" w:rsidR="00461EB4" w:rsidRPr="007C2BDC" w:rsidRDefault="00461EB4" w:rsidP="00461EB4">
      <w:pPr>
        <w:pStyle w:val="ListParagraph"/>
        <w:spacing w:line="360" w:lineRule="auto"/>
        <w:rPr>
          <w:rFonts w:ascii="Arial" w:hAnsi="Arial" w:cs="Arial"/>
          <w:color w:val="000000" w:themeColor="text1"/>
          <w:sz w:val="22"/>
          <w:szCs w:val="22"/>
        </w:rPr>
      </w:pPr>
      <w:r w:rsidRPr="007C2BDC">
        <w:rPr>
          <w:rFonts w:ascii="Arial" w:hAnsi="Arial" w:cs="Arial"/>
          <w:color w:val="000000" w:themeColor="text1"/>
          <w:sz w:val="22"/>
          <w:szCs w:val="22"/>
        </w:rPr>
        <w:t>Educational Publishing Foundation.</w:t>
      </w:r>
    </w:p>
    <w:p w14:paraId="7B779DFB" w14:textId="77777777" w:rsidR="00461EB4" w:rsidRPr="007C2BDC" w:rsidRDefault="00461EB4" w:rsidP="00461EB4">
      <w:pPr>
        <w:autoSpaceDE w:val="0"/>
        <w:autoSpaceDN w:val="0"/>
        <w:adjustRightInd w:val="0"/>
        <w:spacing w:line="360" w:lineRule="auto"/>
        <w:ind w:left="720"/>
        <w:rPr>
          <w:rFonts w:ascii="Arial" w:hAnsi="Arial" w:cs="Arial"/>
        </w:rPr>
      </w:pPr>
      <w:r w:rsidRPr="007C2BDC">
        <w:rPr>
          <w:rFonts w:ascii="Arial" w:hAnsi="Arial" w:cs="Arial"/>
        </w:rPr>
        <w:t xml:space="preserve">Canadian Journal of Experimental Psychology / Revue </w:t>
      </w:r>
      <w:proofErr w:type="spellStart"/>
      <w:r w:rsidRPr="007C2BDC">
        <w:rPr>
          <w:rFonts w:ascii="Arial" w:hAnsi="Arial" w:cs="Arial"/>
        </w:rPr>
        <w:t>canadienne</w:t>
      </w:r>
      <w:proofErr w:type="spellEnd"/>
      <w:r w:rsidRPr="007C2BDC">
        <w:rPr>
          <w:rFonts w:ascii="Arial" w:hAnsi="Arial" w:cs="Arial"/>
        </w:rPr>
        <w:t xml:space="preserve"> de </w:t>
      </w:r>
      <w:proofErr w:type="spellStart"/>
      <w:r w:rsidRPr="007C2BDC">
        <w:rPr>
          <w:rFonts w:ascii="Arial" w:hAnsi="Arial" w:cs="Arial"/>
        </w:rPr>
        <w:t>psychologie</w:t>
      </w:r>
      <w:proofErr w:type="spellEnd"/>
      <w:r w:rsidRPr="007C2BDC">
        <w:rPr>
          <w:rFonts w:ascii="Arial" w:hAnsi="Arial" w:cs="Arial"/>
        </w:rPr>
        <w:t xml:space="preserve"> </w:t>
      </w:r>
      <w:proofErr w:type="spellStart"/>
      <w:r w:rsidRPr="007C2BDC">
        <w:rPr>
          <w:rFonts w:ascii="Arial" w:hAnsi="Arial" w:cs="Arial"/>
        </w:rPr>
        <w:t>expérimentale</w:t>
      </w:r>
      <w:proofErr w:type="spellEnd"/>
      <w:r w:rsidRPr="007C2BDC">
        <w:rPr>
          <w:rFonts w:ascii="Arial" w:hAnsi="Arial" w:cs="Arial"/>
        </w:rPr>
        <w:t xml:space="preserve"> 2013, Vol. 67, No. 3, 215–227</w:t>
      </w:r>
    </w:p>
    <w:p w14:paraId="36F49647" w14:textId="77777777" w:rsidR="00461EB4" w:rsidRPr="007C2BDC" w:rsidRDefault="00461EB4" w:rsidP="00461EB4">
      <w:pPr>
        <w:autoSpaceDE w:val="0"/>
        <w:autoSpaceDN w:val="0"/>
        <w:adjustRightInd w:val="0"/>
        <w:spacing w:line="360" w:lineRule="auto"/>
        <w:ind w:left="720"/>
        <w:rPr>
          <w:rFonts w:ascii="Arial" w:hAnsi="Arial" w:cs="Arial"/>
        </w:rPr>
      </w:pPr>
    </w:p>
    <w:p w14:paraId="6035F171" w14:textId="77777777" w:rsidR="00461EB4" w:rsidRPr="007C2BDC" w:rsidRDefault="00461EB4" w:rsidP="00461EB4">
      <w:pPr>
        <w:pStyle w:val="ListParagraph"/>
        <w:numPr>
          <w:ilvl w:val="0"/>
          <w:numId w:val="1"/>
        </w:numPr>
        <w:autoSpaceDE w:val="0"/>
        <w:autoSpaceDN w:val="0"/>
        <w:adjustRightInd w:val="0"/>
        <w:spacing w:line="360" w:lineRule="auto"/>
        <w:rPr>
          <w:rFonts w:ascii="Arial" w:hAnsi="Arial" w:cs="Arial"/>
          <w:sz w:val="22"/>
          <w:szCs w:val="22"/>
        </w:rPr>
      </w:pPr>
      <w:r w:rsidRPr="007C2BDC">
        <w:rPr>
          <w:rFonts w:ascii="Arial" w:hAnsi="Arial" w:cs="Arial"/>
          <w:sz w:val="22"/>
          <w:szCs w:val="22"/>
        </w:rPr>
        <w:lastRenderedPageBreak/>
        <w:t xml:space="preserve">Brookfield, S. (1998). </w:t>
      </w:r>
      <w:r w:rsidRPr="007C2BDC">
        <w:rPr>
          <w:rFonts w:ascii="Arial" w:hAnsi="Arial" w:cs="Arial"/>
          <w:i/>
          <w:iCs/>
          <w:sz w:val="22"/>
          <w:szCs w:val="22"/>
        </w:rPr>
        <w:t>Critically Reflective Practice.</w:t>
      </w:r>
    </w:p>
    <w:p w14:paraId="107C591D" w14:textId="77777777" w:rsidR="00461EB4" w:rsidRPr="007C2BDC" w:rsidRDefault="00461EB4" w:rsidP="00461EB4">
      <w:pPr>
        <w:pStyle w:val="ListParagraph"/>
        <w:autoSpaceDE w:val="0"/>
        <w:autoSpaceDN w:val="0"/>
        <w:adjustRightInd w:val="0"/>
        <w:spacing w:line="360" w:lineRule="auto"/>
        <w:rPr>
          <w:rFonts w:ascii="Arial" w:hAnsi="Arial" w:cs="Arial"/>
          <w:sz w:val="22"/>
          <w:szCs w:val="22"/>
        </w:rPr>
      </w:pPr>
      <w:r w:rsidRPr="007C2BDC">
        <w:rPr>
          <w:rFonts w:ascii="Arial" w:hAnsi="Arial" w:cs="Arial"/>
          <w:sz w:val="22"/>
          <w:szCs w:val="22"/>
        </w:rPr>
        <w:t>The Journal of Continuing Education in the Health Professions, Volume 18, pp. 197–205.</w:t>
      </w:r>
    </w:p>
    <w:p w14:paraId="0D7377F1" w14:textId="77777777" w:rsidR="00461EB4" w:rsidRPr="007C2BDC" w:rsidRDefault="00461EB4" w:rsidP="00461EB4">
      <w:pPr>
        <w:pStyle w:val="ListParagraph"/>
        <w:autoSpaceDE w:val="0"/>
        <w:autoSpaceDN w:val="0"/>
        <w:adjustRightInd w:val="0"/>
        <w:spacing w:line="360" w:lineRule="auto"/>
        <w:rPr>
          <w:rFonts w:ascii="Arial" w:hAnsi="Arial" w:cs="Arial"/>
          <w:sz w:val="22"/>
          <w:szCs w:val="22"/>
        </w:rPr>
      </w:pPr>
    </w:p>
    <w:p w14:paraId="21CD1A31" w14:textId="77777777" w:rsidR="00461EB4" w:rsidRPr="007C2BDC" w:rsidRDefault="00461EB4" w:rsidP="00461EB4">
      <w:pPr>
        <w:pStyle w:val="ListParagraph"/>
        <w:numPr>
          <w:ilvl w:val="0"/>
          <w:numId w:val="1"/>
        </w:numPr>
        <w:autoSpaceDE w:val="0"/>
        <w:autoSpaceDN w:val="0"/>
        <w:adjustRightInd w:val="0"/>
        <w:spacing w:line="360" w:lineRule="auto"/>
        <w:rPr>
          <w:rFonts w:ascii="Arial" w:hAnsi="Arial" w:cs="Arial"/>
          <w:sz w:val="22"/>
          <w:szCs w:val="22"/>
        </w:rPr>
      </w:pPr>
      <w:r w:rsidRPr="007C2BDC">
        <w:rPr>
          <w:rFonts w:ascii="Arial" w:hAnsi="Arial" w:cs="Arial"/>
          <w:sz w:val="22"/>
          <w:szCs w:val="22"/>
        </w:rPr>
        <w:t xml:space="preserve">Brown, A and Dowling, P. (1998). </w:t>
      </w:r>
      <w:r w:rsidRPr="007C2BDC">
        <w:rPr>
          <w:rFonts w:ascii="Arial" w:hAnsi="Arial" w:cs="Arial"/>
          <w:i/>
          <w:iCs/>
          <w:sz w:val="22"/>
          <w:szCs w:val="22"/>
        </w:rPr>
        <w:t>Doing Research / Reading Research.</w:t>
      </w:r>
    </w:p>
    <w:p w14:paraId="547281C5" w14:textId="77777777" w:rsidR="00461EB4" w:rsidRDefault="00461EB4" w:rsidP="00461EB4">
      <w:pPr>
        <w:pStyle w:val="ListParagraph"/>
        <w:autoSpaceDE w:val="0"/>
        <w:autoSpaceDN w:val="0"/>
        <w:adjustRightInd w:val="0"/>
        <w:spacing w:line="360" w:lineRule="auto"/>
        <w:rPr>
          <w:rFonts w:ascii="Arial" w:hAnsi="Arial" w:cs="Arial"/>
          <w:sz w:val="22"/>
          <w:szCs w:val="22"/>
        </w:rPr>
      </w:pPr>
      <w:r w:rsidRPr="007C2BDC">
        <w:rPr>
          <w:rFonts w:ascii="Arial" w:hAnsi="Arial" w:cs="Arial"/>
          <w:sz w:val="22"/>
          <w:szCs w:val="22"/>
        </w:rPr>
        <w:t>London; Washington, D.C. : Falmer Press 1998</w:t>
      </w:r>
    </w:p>
    <w:p w14:paraId="47E956B5" w14:textId="77777777" w:rsidR="00461EB4" w:rsidRDefault="00461EB4" w:rsidP="00461EB4">
      <w:pPr>
        <w:pStyle w:val="ListParagraph"/>
        <w:autoSpaceDE w:val="0"/>
        <w:autoSpaceDN w:val="0"/>
        <w:adjustRightInd w:val="0"/>
        <w:spacing w:line="360" w:lineRule="auto"/>
        <w:rPr>
          <w:rFonts w:ascii="Arial" w:hAnsi="Arial" w:cs="Arial"/>
          <w:sz w:val="22"/>
          <w:szCs w:val="22"/>
        </w:rPr>
      </w:pPr>
    </w:p>
    <w:p w14:paraId="5DB0260F" w14:textId="77777777" w:rsidR="00461EB4" w:rsidRPr="00A46ED9" w:rsidRDefault="00461EB4" w:rsidP="00461EB4">
      <w:pPr>
        <w:pStyle w:val="ListParagraph"/>
        <w:numPr>
          <w:ilvl w:val="0"/>
          <w:numId w:val="1"/>
        </w:numPr>
        <w:autoSpaceDE w:val="0"/>
        <w:autoSpaceDN w:val="0"/>
        <w:adjustRightInd w:val="0"/>
        <w:spacing w:line="360" w:lineRule="auto"/>
        <w:rPr>
          <w:rFonts w:ascii="Arial" w:hAnsi="Arial" w:cs="Arial"/>
          <w:sz w:val="22"/>
          <w:szCs w:val="22"/>
        </w:rPr>
      </w:pPr>
      <w:r>
        <w:rPr>
          <w:rFonts w:ascii="Arial" w:hAnsi="Arial" w:cs="Arial"/>
          <w:sz w:val="22"/>
          <w:szCs w:val="22"/>
        </w:rPr>
        <w:t xml:space="preserve">Carbone, A et al. (2017). </w:t>
      </w:r>
      <w:r>
        <w:rPr>
          <w:rFonts w:ascii="Arial" w:hAnsi="Arial" w:cs="Arial"/>
          <w:i/>
          <w:iCs/>
          <w:sz w:val="22"/>
          <w:szCs w:val="22"/>
        </w:rPr>
        <w:t>Formative observation of teaching: focusing peer assistance on teachers’ developmental goals.</w:t>
      </w:r>
    </w:p>
    <w:p w14:paraId="49B0F227" w14:textId="77777777" w:rsidR="00461EB4" w:rsidRPr="00A46ED9" w:rsidRDefault="00461EB4" w:rsidP="00461EB4">
      <w:pPr>
        <w:pStyle w:val="ListParagraph"/>
        <w:autoSpaceDE w:val="0"/>
        <w:autoSpaceDN w:val="0"/>
        <w:adjustRightInd w:val="0"/>
        <w:spacing w:line="360" w:lineRule="auto"/>
        <w:rPr>
          <w:rFonts w:ascii="Arial" w:hAnsi="Arial" w:cs="Arial"/>
          <w:sz w:val="22"/>
          <w:szCs w:val="22"/>
        </w:rPr>
      </w:pPr>
      <w:r>
        <w:rPr>
          <w:rFonts w:ascii="Arial" w:hAnsi="Arial" w:cs="Arial"/>
          <w:sz w:val="22"/>
          <w:szCs w:val="22"/>
        </w:rPr>
        <w:t>Assessment and Evaluation in Higher Education, 2017, Vol. 42 (6), p.914-930</w:t>
      </w:r>
    </w:p>
    <w:p w14:paraId="2446A0CE" w14:textId="77777777" w:rsidR="00461EB4" w:rsidRPr="007C2BDC" w:rsidRDefault="00461EB4" w:rsidP="00461EB4">
      <w:pPr>
        <w:autoSpaceDE w:val="0"/>
        <w:autoSpaceDN w:val="0"/>
        <w:adjustRightInd w:val="0"/>
        <w:spacing w:line="360" w:lineRule="auto"/>
        <w:ind w:left="720"/>
        <w:rPr>
          <w:rFonts w:ascii="Arial" w:hAnsi="Arial" w:cs="Arial"/>
        </w:rPr>
      </w:pPr>
    </w:p>
    <w:p w14:paraId="4493C21F" w14:textId="77777777" w:rsidR="00461EB4" w:rsidRPr="007C2BDC" w:rsidRDefault="00461EB4" w:rsidP="00461EB4">
      <w:pPr>
        <w:pStyle w:val="ListParagraph"/>
        <w:numPr>
          <w:ilvl w:val="0"/>
          <w:numId w:val="1"/>
        </w:numPr>
        <w:autoSpaceDE w:val="0"/>
        <w:autoSpaceDN w:val="0"/>
        <w:adjustRightInd w:val="0"/>
        <w:spacing w:line="360" w:lineRule="auto"/>
        <w:rPr>
          <w:rFonts w:ascii="Arial" w:hAnsi="Arial" w:cs="Arial"/>
          <w:sz w:val="22"/>
          <w:szCs w:val="22"/>
        </w:rPr>
      </w:pPr>
      <w:r w:rsidRPr="007C2BDC">
        <w:rPr>
          <w:rFonts w:ascii="Arial" w:hAnsi="Arial" w:cs="Arial"/>
          <w:sz w:val="22"/>
          <w:szCs w:val="22"/>
        </w:rPr>
        <w:t xml:space="preserve">Caskey, L and Lenski, S. (2009). </w:t>
      </w:r>
      <w:r w:rsidRPr="007C2BDC">
        <w:rPr>
          <w:rFonts w:ascii="Arial" w:hAnsi="Arial" w:cs="Arial"/>
          <w:i/>
          <w:iCs/>
          <w:sz w:val="22"/>
          <w:szCs w:val="22"/>
        </w:rPr>
        <w:t>Using the Lesson Study Approach to Plan for Student Learning.</w:t>
      </w:r>
    </w:p>
    <w:p w14:paraId="738AFD72" w14:textId="77777777" w:rsidR="00461EB4" w:rsidRPr="007C2BDC" w:rsidRDefault="00461EB4" w:rsidP="00461EB4">
      <w:pPr>
        <w:pStyle w:val="ListParagraph"/>
        <w:autoSpaceDE w:val="0"/>
        <w:autoSpaceDN w:val="0"/>
        <w:adjustRightInd w:val="0"/>
        <w:spacing w:line="360" w:lineRule="auto"/>
        <w:rPr>
          <w:rFonts w:ascii="Arial" w:hAnsi="Arial" w:cs="Arial"/>
          <w:sz w:val="22"/>
          <w:szCs w:val="22"/>
        </w:rPr>
      </w:pPr>
      <w:r w:rsidRPr="007C2BDC">
        <w:rPr>
          <w:rFonts w:ascii="Arial" w:hAnsi="Arial" w:cs="Arial"/>
          <w:sz w:val="22"/>
          <w:szCs w:val="22"/>
        </w:rPr>
        <w:t>Middle School Journal, 40(3), 50-57</w:t>
      </w:r>
    </w:p>
    <w:p w14:paraId="3629E49E" w14:textId="77777777" w:rsidR="00461EB4" w:rsidRPr="007C2BDC" w:rsidRDefault="00461EB4" w:rsidP="00461EB4">
      <w:pPr>
        <w:pStyle w:val="ListParagraph"/>
        <w:spacing w:line="360" w:lineRule="auto"/>
        <w:rPr>
          <w:rFonts w:ascii="Arial" w:hAnsi="Arial" w:cs="Arial"/>
          <w:color w:val="000000" w:themeColor="text1"/>
          <w:sz w:val="22"/>
          <w:szCs w:val="22"/>
        </w:rPr>
      </w:pPr>
    </w:p>
    <w:p w14:paraId="003451F3" w14:textId="77777777" w:rsidR="00461EB4" w:rsidRPr="007C2BDC" w:rsidRDefault="00461EB4" w:rsidP="00461EB4">
      <w:pPr>
        <w:pStyle w:val="ListParagraph"/>
        <w:numPr>
          <w:ilvl w:val="0"/>
          <w:numId w:val="1"/>
        </w:numPr>
        <w:spacing w:line="360" w:lineRule="auto"/>
        <w:rPr>
          <w:rFonts w:ascii="Arial" w:hAnsi="Arial" w:cs="Arial"/>
          <w:color w:val="000000" w:themeColor="text1"/>
          <w:sz w:val="22"/>
          <w:szCs w:val="22"/>
        </w:rPr>
      </w:pPr>
      <w:r w:rsidRPr="007C2BDC">
        <w:rPr>
          <w:rFonts w:ascii="Arial" w:hAnsi="Arial" w:cs="Arial"/>
          <w:color w:val="000000" w:themeColor="text1"/>
          <w:sz w:val="22"/>
          <w:szCs w:val="22"/>
        </w:rPr>
        <w:t xml:space="preserve">Chan, C. (2009). </w:t>
      </w:r>
      <w:r w:rsidRPr="007C2BDC">
        <w:rPr>
          <w:rFonts w:ascii="Arial" w:hAnsi="Arial" w:cs="Arial"/>
          <w:i/>
          <w:iCs/>
          <w:color w:val="000000" w:themeColor="text1"/>
          <w:sz w:val="22"/>
          <w:szCs w:val="22"/>
        </w:rPr>
        <w:t>Assessment: Multiple Choice Questions.</w:t>
      </w:r>
    </w:p>
    <w:p w14:paraId="723894DE" w14:textId="77777777" w:rsidR="00461EB4" w:rsidRPr="007C2BDC" w:rsidRDefault="00461EB4" w:rsidP="00461EB4">
      <w:pPr>
        <w:pStyle w:val="ListParagraph"/>
        <w:spacing w:line="360" w:lineRule="auto"/>
        <w:rPr>
          <w:rFonts w:ascii="Arial" w:hAnsi="Arial" w:cs="Arial"/>
          <w:color w:val="000000" w:themeColor="text1"/>
          <w:sz w:val="22"/>
          <w:szCs w:val="22"/>
        </w:rPr>
      </w:pPr>
      <w:r w:rsidRPr="007C2BDC">
        <w:rPr>
          <w:rFonts w:ascii="Arial" w:hAnsi="Arial" w:cs="Arial"/>
          <w:color w:val="000000" w:themeColor="text1"/>
          <w:sz w:val="22"/>
          <w:szCs w:val="22"/>
        </w:rPr>
        <w:t xml:space="preserve">Assessment Resources @HKU, University of Hong Kong, </w:t>
      </w:r>
    </w:p>
    <w:p w14:paraId="7FB3EE53" w14:textId="77777777" w:rsidR="00461EB4" w:rsidRPr="007C2BDC" w:rsidRDefault="00461EB4" w:rsidP="00461EB4">
      <w:pPr>
        <w:pStyle w:val="ListParagraph"/>
        <w:spacing w:line="360" w:lineRule="auto"/>
        <w:rPr>
          <w:rFonts w:ascii="Arial" w:hAnsi="Arial" w:cs="Arial"/>
          <w:color w:val="000000" w:themeColor="text1"/>
          <w:sz w:val="22"/>
          <w:szCs w:val="22"/>
        </w:rPr>
      </w:pPr>
      <w:r w:rsidRPr="007C2BDC">
        <w:rPr>
          <w:rFonts w:ascii="Arial" w:hAnsi="Arial" w:cs="Arial"/>
          <w:color w:val="000000" w:themeColor="text1"/>
          <w:sz w:val="22"/>
          <w:szCs w:val="22"/>
        </w:rPr>
        <w:t>[http://ar.cetl.hku.gk]: Available: Accessed: DATE</w:t>
      </w:r>
    </w:p>
    <w:p w14:paraId="34CAE11C" w14:textId="77777777" w:rsidR="00461EB4" w:rsidRPr="007C2BDC" w:rsidRDefault="00461EB4" w:rsidP="00461EB4">
      <w:pPr>
        <w:pStyle w:val="ListParagraph"/>
        <w:spacing w:line="360" w:lineRule="auto"/>
        <w:rPr>
          <w:rFonts w:ascii="Arial" w:hAnsi="Arial" w:cs="Arial"/>
          <w:color w:val="000000" w:themeColor="text1"/>
          <w:sz w:val="22"/>
          <w:szCs w:val="22"/>
        </w:rPr>
      </w:pPr>
    </w:p>
    <w:p w14:paraId="662ACBDB" w14:textId="77777777" w:rsidR="00461EB4" w:rsidRPr="007C2BDC" w:rsidRDefault="00461EB4" w:rsidP="00461EB4">
      <w:pPr>
        <w:pStyle w:val="ListParagraph"/>
        <w:numPr>
          <w:ilvl w:val="0"/>
          <w:numId w:val="1"/>
        </w:numPr>
        <w:spacing w:line="360" w:lineRule="auto"/>
        <w:rPr>
          <w:rFonts w:ascii="Arial" w:hAnsi="Arial" w:cs="Arial"/>
          <w:color w:val="000000" w:themeColor="text1"/>
          <w:sz w:val="22"/>
          <w:szCs w:val="22"/>
        </w:rPr>
      </w:pPr>
      <w:r w:rsidRPr="007C2BDC">
        <w:rPr>
          <w:rFonts w:ascii="Arial" w:hAnsi="Arial" w:cs="Arial"/>
          <w:color w:val="000000" w:themeColor="text1"/>
          <w:sz w:val="22"/>
          <w:szCs w:val="22"/>
        </w:rPr>
        <w:t xml:space="preserve">Cheng, E. (2019). </w:t>
      </w:r>
      <w:r w:rsidRPr="007C2BDC">
        <w:rPr>
          <w:rFonts w:ascii="Arial" w:hAnsi="Arial" w:cs="Arial"/>
          <w:i/>
          <w:iCs/>
          <w:color w:val="000000" w:themeColor="text1"/>
          <w:sz w:val="22"/>
          <w:szCs w:val="22"/>
        </w:rPr>
        <w:t>Successful Transposition of Lesson Study.</w:t>
      </w:r>
    </w:p>
    <w:p w14:paraId="12DB84DA" w14:textId="77777777" w:rsidR="00461EB4" w:rsidRPr="007C2BDC" w:rsidRDefault="00461EB4" w:rsidP="00461EB4">
      <w:pPr>
        <w:pStyle w:val="ListParagraph"/>
        <w:spacing w:line="360" w:lineRule="auto"/>
        <w:rPr>
          <w:rFonts w:ascii="Arial" w:hAnsi="Arial" w:cs="Arial"/>
          <w:color w:val="000000" w:themeColor="text1"/>
          <w:sz w:val="22"/>
          <w:szCs w:val="22"/>
        </w:rPr>
      </w:pPr>
      <w:r w:rsidRPr="007C2BDC">
        <w:rPr>
          <w:rFonts w:ascii="Arial" w:hAnsi="Arial" w:cs="Arial"/>
          <w:color w:val="000000" w:themeColor="text1"/>
          <w:sz w:val="22"/>
          <w:szCs w:val="22"/>
        </w:rPr>
        <w:t xml:space="preserve">Springer: </w:t>
      </w:r>
      <w:proofErr w:type="spellStart"/>
      <w:r w:rsidRPr="007C2BDC">
        <w:rPr>
          <w:rFonts w:ascii="Arial" w:hAnsi="Arial" w:cs="Arial"/>
          <w:color w:val="000000" w:themeColor="text1"/>
          <w:sz w:val="22"/>
          <w:szCs w:val="22"/>
        </w:rPr>
        <w:t>SpringerBriefs</w:t>
      </w:r>
      <w:proofErr w:type="spellEnd"/>
      <w:r w:rsidRPr="007C2BDC">
        <w:rPr>
          <w:rFonts w:ascii="Arial" w:hAnsi="Arial" w:cs="Arial"/>
          <w:color w:val="000000" w:themeColor="text1"/>
          <w:sz w:val="22"/>
          <w:szCs w:val="22"/>
        </w:rPr>
        <w:t xml:space="preserve"> in Education</w:t>
      </w:r>
    </w:p>
    <w:p w14:paraId="0A844F14" w14:textId="77777777" w:rsidR="00461EB4" w:rsidRPr="007C2BDC" w:rsidRDefault="00461EB4" w:rsidP="00461EB4">
      <w:pPr>
        <w:pStyle w:val="ListParagraph"/>
        <w:spacing w:line="360" w:lineRule="auto"/>
        <w:rPr>
          <w:rFonts w:ascii="Arial" w:hAnsi="Arial" w:cs="Arial"/>
          <w:color w:val="000000" w:themeColor="text1"/>
          <w:sz w:val="22"/>
          <w:szCs w:val="22"/>
        </w:rPr>
      </w:pPr>
    </w:p>
    <w:p w14:paraId="10DA685E" w14:textId="77777777" w:rsidR="00461EB4" w:rsidRPr="007C2BDC" w:rsidRDefault="00461EB4" w:rsidP="00461EB4">
      <w:pPr>
        <w:pStyle w:val="ListParagraph"/>
        <w:numPr>
          <w:ilvl w:val="0"/>
          <w:numId w:val="1"/>
        </w:numPr>
        <w:spacing w:line="360" w:lineRule="auto"/>
        <w:rPr>
          <w:rFonts w:ascii="Arial" w:hAnsi="Arial" w:cs="Arial"/>
          <w:color w:val="000000" w:themeColor="text1"/>
          <w:sz w:val="22"/>
          <w:szCs w:val="22"/>
        </w:rPr>
      </w:pPr>
      <w:r w:rsidRPr="007C2BDC">
        <w:rPr>
          <w:rFonts w:ascii="Arial" w:hAnsi="Arial" w:cs="Arial"/>
          <w:color w:val="000000" w:themeColor="text1"/>
          <w:sz w:val="22"/>
          <w:szCs w:val="22"/>
        </w:rPr>
        <w:t xml:space="preserve">Citizens Advice. (2015). </w:t>
      </w:r>
      <w:r w:rsidRPr="007C2BDC">
        <w:rPr>
          <w:rFonts w:ascii="Arial" w:hAnsi="Arial" w:cs="Arial"/>
          <w:i/>
          <w:iCs/>
          <w:color w:val="000000" w:themeColor="text1"/>
          <w:sz w:val="22"/>
          <w:szCs w:val="22"/>
        </w:rPr>
        <w:t>How to run focus groups.</w:t>
      </w:r>
    </w:p>
    <w:p w14:paraId="25E2972C" w14:textId="77777777" w:rsidR="00461EB4" w:rsidRDefault="00461EB4" w:rsidP="00461EB4">
      <w:pPr>
        <w:pStyle w:val="ListParagraph"/>
        <w:spacing w:line="360" w:lineRule="auto"/>
        <w:rPr>
          <w:rFonts w:ascii="Arial" w:hAnsi="Arial" w:cs="Arial"/>
          <w:color w:val="000000" w:themeColor="text1"/>
          <w:sz w:val="22"/>
          <w:szCs w:val="22"/>
        </w:rPr>
      </w:pPr>
      <w:hyperlink r:id="rId11" w:history="1">
        <w:r w:rsidRPr="007C2BDC">
          <w:rPr>
            <w:rStyle w:val="Hyperlink"/>
            <w:rFonts w:cs="Arial"/>
            <w:sz w:val="22"/>
            <w:szCs w:val="22"/>
          </w:rPr>
          <w:t>https://www.citizensadvice.org.uk/Global/CitizensAdvice/Equalities/How%20to%20run%20focus%20groups%20guide.pdf</w:t>
        </w:r>
      </w:hyperlink>
    </w:p>
    <w:p w14:paraId="00CE2F3B" w14:textId="77777777" w:rsidR="00461EB4" w:rsidRDefault="00461EB4" w:rsidP="00461EB4">
      <w:pPr>
        <w:pStyle w:val="ListParagraph"/>
        <w:spacing w:line="360" w:lineRule="auto"/>
        <w:rPr>
          <w:rFonts w:ascii="Arial" w:hAnsi="Arial" w:cs="Arial"/>
          <w:color w:val="000000" w:themeColor="text1"/>
          <w:sz w:val="22"/>
          <w:szCs w:val="22"/>
        </w:rPr>
      </w:pPr>
    </w:p>
    <w:p w14:paraId="00F69F69" w14:textId="77777777" w:rsidR="00461EB4" w:rsidRPr="00872DCB" w:rsidRDefault="00461EB4" w:rsidP="00461EB4">
      <w:pPr>
        <w:pStyle w:val="ListParagraph"/>
        <w:numPr>
          <w:ilvl w:val="0"/>
          <w:numId w:val="1"/>
        </w:numPr>
        <w:spacing w:line="360" w:lineRule="auto"/>
        <w:rPr>
          <w:rFonts w:ascii="Arial" w:hAnsi="Arial" w:cs="Arial"/>
          <w:color w:val="000000" w:themeColor="text1"/>
          <w:sz w:val="22"/>
          <w:szCs w:val="22"/>
        </w:rPr>
      </w:pPr>
      <w:proofErr w:type="spellStart"/>
      <w:r>
        <w:rPr>
          <w:rFonts w:ascii="Arial" w:hAnsi="Arial" w:cs="Arial"/>
          <w:color w:val="000000" w:themeColor="text1"/>
          <w:sz w:val="22"/>
          <w:szCs w:val="22"/>
        </w:rPr>
        <w:t>Clerkin</w:t>
      </w:r>
      <w:proofErr w:type="spellEnd"/>
      <w:r>
        <w:rPr>
          <w:rFonts w:ascii="Arial" w:hAnsi="Arial" w:cs="Arial"/>
          <w:color w:val="000000" w:themeColor="text1"/>
          <w:sz w:val="22"/>
          <w:szCs w:val="22"/>
        </w:rPr>
        <w:t xml:space="preserve">, A and </w:t>
      </w:r>
      <w:proofErr w:type="spellStart"/>
      <w:r>
        <w:rPr>
          <w:rFonts w:ascii="Arial" w:hAnsi="Arial" w:cs="Arial"/>
          <w:color w:val="000000" w:themeColor="text1"/>
          <w:sz w:val="22"/>
          <w:szCs w:val="22"/>
        </w:rPr>
        <w:t>Creaven</w:t>
      </w:r>
      <w:proofErr w:type="spellEnd"/>
      <w:r>
        <w:rPr>
          <w:rFonts w:ascii="Arial" w:hAnsi="Arial" w:cs="Arial"/>
          <w:color w:val="000000" w:themeColor="text1"/>
          <w:sz w:val="22"/>
          <w:szCs w:val="22"/>
        </w:rPr>
        <w:t xml:space="preserve"> A-M. (2013). </w:t>
      </w:r>
      <w:r>
        <w:rPr>
          <w:rFonts w:ascii="Arial" w:hAnsi="Arial" w:cs="Arial"/>
          <w:i/>
          <w:iCs/>
          <w:color w:val="000000" w:themeColor="text1"/>
          <w:sz w:val="22"/>
          <w:szCs w:val="22"/>
        </w:rPr>
        <w:t>Pupil engagement.</w:t>
      </w:r>
    </w:p>
    <w:p w14:paraId="104E42BC" w14:textId="77777777" w:rsidR="00461EB4" w:rsidRDefault="00461EB4" w:rsidP="00461EB4">
      <w:pPr>
        <w:pStyle w:val="ListParagraph"/>
        <w:spacing w:line="360" w:lineRule="auto"/>
        <w:rPr>
          <w:rFonts w:ascii="Arial" w:hAnsi="Arial" w:cs="Arial"/>
          <w:color w:val="000000" w:themeColor="text1"/>
          <w:sz w:val="22"/>
          <w:szCs w:val="22"/>
        </w:rPr>
      </w:pPr>
      <w:hyperlink r:id="rId12" w:history="1">
        <w:r w:rsidRPr="00363E39">
          <w:rPr>
            <w:rStyle w:val="Hyperlink"/>
            <w:rFonts w:cs="Arial"/>
            <w:sz w:val="22"/>
            <w:szCs w:val="22"/>
          </w:rPr>
          <w:t>https://www.researchgate.net/profile/Aidan_Clerkin/publication/281548675_Pupil_Engagement/links/55ed412008ae3e121847fcea/Pupil-Engagement.pdf</w:t>
        </w:r>
      </w:hyperlink>
    </w:p>
    <w:p w14:paraId="2562DF21" w14:textId="77777777" w:rsidR="00461EB4" w:rsidRDefault="00461EB4" w:rsidP="00461EB4">
      <w:pPr>
        <w:pStyle w:val="ListParagraph"/>
        <w:spacing w:line="360" w:lineRule="auto"/>
        <w:rPr>
          <w:rFonts w:ascii="Arial" w:hAnsi="Arial" w:cs="Arial"/>
          <w:color w:val="000000" w:themeColor="text1"/>
          <w:sz w:val="22"/>
          <w:szCs w:val="22"/>
        </w:rPr>
      </w:pPr>
    </w:p>
    <w:p w14:paraId="5D16C25A" w14:textId="77777777" w:rsidR="00461EB4" w:rsidRPr="006C0D65" w:rsidRDefault="00461EB4" w:rsidP="00461EB4">
      <w:pPr>
        <w:pStyle w:val="ListParagraph"/>
        <w:numPr>
          <w:ilvl w:val="0"/>
          <w:numId w:val="1"/>
        </w:num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Covell, K. (2010). </w:t>
      </w:r>
      <w:r>
        <w:rPr>
          <w:rFonts w:ascii="Arial" w:hAnsi="Arial" w:cs="Arial"/>
          <w:i/>
          <w:iCs/>
          <w:color w:val="000000" w:themeColor="text1"/>
          <w:sz w:val="22"/>
          <w:szCs w:val="22"/>
        </w:rPr>
        <w:t>School engagement and rights-respecting schools.</w:t>
      </w:r>
    </w:p>
    <w:p w14:paraId="4D2AD238" w14:textId="77777777" w:rsidR="00461EB4" w:rsidRPr="006C0D65" w:rsidRDefault="00461EB4" w:rsidP="00461EB4">
      <w:pPr>
        <w:pStyle w:val="ListParagraph"/>
        <w:spacing w:line="360" w:lineRule="auto"/>
        <w:rPr>
          <w:rFonts w:ascii="Arial" w:hAnsi="Arial" w:cs="Arial"/>
          <w:color w:val="000000" w:themeColor="text1"/>
          <w:sz w:val="22"/>
          <w:szCs w:val="22"/>
        </w:rPr>
      </w:pPr>
      <w:r>
        <w:rPr>
          <w:rFonts w:ascii="Arial" w:hAnsi="Arial" w:cs="Arial"/>
          <w:color w:val="000000" w:themeColor="text1"/>
          <w:sz w:val="22"/>
          <w:szCs w:val="22"/>
        </w:rPr>
        <w:t>Taylor and Francis Ltd. Cambridge Journal of Education, 2010, Vol.40 (1), p.39-52</w:t>
      </w:r>
    </w:p>
    <w:p w14:paraId="7ECF967E" w14:textId="77777777" w:rsidR="00461EB4" w:rsidRPr="007C2BDC" w:rsidRDefault="00461EB4" w:rsidP="00461EB4">
      <w:pPr>
        <w:pStyle w:val="ListParagraph"/>
        <w:spacing w:line="360" w:lineRule="auto"/>
        <w:rPr>
          <w:rFonts w:ascii="Arial" w:hAnsi="Arial" w:cs="Arial"/>
          <w:color w:val="000000" w:themeColor="text1"/>
          <w:sz w:val="22"/>
          <w:szCs w:val="22"/>
        </w:rPr>
      </w:pPr>
    </w:p>
    <w:p w14:paraId="7CCD4C0B" w14:textId="77777777" w:rsidR="00461EB4" w:rsidRPr="007C2BDC" w:rsidRDefault="00461EB4" w:rsidP="00461EB4">
      <w:pPr>
        <w:pStyle w:val="ListParagraph"/>
        <w:numPr>
          <w:ilvl w:val="0"/>
          <w:numId w:val="1"/>
        </w:numPr>
        <w:spacing w:line="360" w:lineRule="auto"/>
        <w:rPr>
          <w:rFonts w:ascii="Arial" w:hAnsi="Arial" w:cs="Arial"/>
          <w:color w:val="000000" w:themeColor="text1"/>
          <w:sz w:val="22"/>
          <w:szCs w:val="22"/>
          <w:u w:val="single"/>
        </w:rPr>
      </w:pPr>
      <w:r w:rsidRPr="007C2BDC">
        <w:rPr>
          <w:rFonts w:ascii="Arial" w:hAnsi="Arial" w:cs="Arial"/>
          <w:color w:val="000000" w:themeColor="text1"/>
          <w:sz w:val="22"/>
          <w:szCs w:val="22"/>
        </w:rPr>
        <w:t xml:space="preserve">Donaldson, G. (2015). </w:t>
      </w:r>
      <w:r w:rsidRPr="007C2BDC">
        <w:rPr>
          <w:rFonts w:ascii="Arial" w:hAnsi="Arial" w:cs="Arial"/>
          <w:i/>
          <w:iCs/>
          <w:color w:val="000000" w:themeColor="text1"/>
          <w:sz w:val="22"/>
          <w:szCs w:val="22"/>
        </w:rPr>
        <w:t>Successful Futures</w:t>
      </w:r>
      <w:r w:rsidRPr="007C2BDC">
        <w:rPr>
          <w:rFonts w:ascii="Arial" w:hAnsi="Arial" w:cs="Arial"/>
          <w:color w:val="000000" w:themeColor="text1"/>
          <w:sz w:val="22"/>
          <w:szCs w:val="22"/>
        </w:rPr>
        <w:t xml:space="preserve">. </w:t>
      </w:r>
      <w:hyperlink r:id="rId13" w:history="1">
        <w:r w:rsidRPr="00363E39">
          <w:rPr>
            <w:rStyle w:val="Hyperlink"/>
            <w:rFonts w:cs="Arial"/>
            <w:sz w:val="22"/>
            <w:szCs w:val="22"/>
          </w:rPr>
          <w:t>https://www.nasuwt.org.uk/uploads/assets/uploaded/ad5b4d73-76eb-462a-8ba00412eb6e572a.pdf</w:t>
        </w:r>
      </w:hyperlink>
    </w:p>
    <w:p w14:paraId="6AEB2DF7" w14:textId="77777777" w:rsidR="00461EB4" w:rsidRPr="007C2BDC" w:rsidRDefault="00461EB4" w:rsidP="00461EB4">
      <w:pPr>
        <w:spacing w:line="360" w:lineRule="auto"/>
        <w:rPr>
          <w:rFonts w:ascii="Arial" w:hAnsi="Arial" w:cs="Arial"/>
          <w:color w:val="000000" w:themeColor="text1"/>
          <w:u w:val="single"/>
        </w:rPr>
      </w:pPr>
    </w:p>
    <w:p w14:paraId="5B4F5331" w14:textId="77777777" w:rsidR="00461EB4" w:rsidRPr="007C2BDC" w:rsidRDefault="00461EB4" w:rsidP="00461EB4">
      <w:pPr>
        <w:pStyle w:val="ListParagraph"/>
        <w:numPr>
          <w:ilvl w:val="0"/>
          <w:numId w:val="1"/>
        </w:numPr>
        <w:spacing w:line="360" w:lineRule="auto"/>
        <w:rPr>
          <w:rFonts w:ascii="Arial" w:hAnsi="Arial" w:cs="Arial"/>
          <w:color w:val="000000" w:themeColor="text1"/>
          <w:sz w:val="22"/>
          <w:szCs w:val="22"/>
          <w:u w:val="single"/>
        </w:rPr>
      </w:pPr>
      <w:r w:rsidRPr="007C2BDC">
        <w:rPr>
          <w:rFonts w:ascii="Arial" w:hAnsi="Arial" w:cs="Arial"/>
          <w:color w:val="000000" w:themeColor="text1"/>
          <w:sz w:val="22"/>
          <w:szCs w:val="22"/>
        </w:rPr>
        <w:t xml:space="preserve">Dudley, P. (2014). </w:t>
      </w:r>
      <w:r w:rsidRPr="007C2BDC">
        <w:rPr>
          <w:rFonts w:ascii="Arial" w:hAnsi="Arial" w:cs="Arial"/>
          <w:i/>
          <w:iCs/>
          <w:color w:val="000000" w:themeColor="text1"/>
          <w:sz w:val="22"/>
          <w:szCs w:val="22"/>
        </w:rPr>
        <w:t>Lesson Study: a handbook.</w:t>
      </w:r>
    </w:p>
    <w:p w14:paraId="0D375F63" w14:textId="77777777" w:rsidR="00461EB4" w:rsidRPr="007C2BDC" w:rsidRDefault="00461EB4" w:rsidP="00461EB4">
      <w:pPr>
        <w:pStyle w:val="ListParagraph"/>
        <w:spacing w:line="360" w:lineRule="auto"/>
        <w:rPr>
          <w:rFonts w:ascii="Arial" w:hAnsi="Arial" w:cs="Arial"/>
          <w:color w:val="000000" w:themeColor="text1"/>
          <w:sz w:val="22"/>
          <w:szCs w:val="22"/>
        </w:rPr>
      </w:pPr>
      <w:hyperlink r:id="rId14" w:history="1">
        <w:r w:rsidRPr="007C2BDC">
          <w:rPr>
            <w:rStyle w:val="Hyperlink"/>
            <w:rFonts w:cs="Arial"/>
            <w:sz w:val="22"/>
            <w:szCs w:val="22"/>
          </w:rPr>
          <w:t>http://lessonstudy.co.uk/2015/11/download-a-free-copy-of-the-lesson-study-handbook/</w:t>
        </w:r>
      </w:hyperlink>
    </w:p>
    <w:p w14:paraId="2053119D" w14:textId="77777777" w:rsidR="00461EB4" w:rsidRPr="007C2BDC" w:rsidRDefault="00461EB4" w:rsidP="00461EB4">
      <w:pPr>
        <w:pStyle w:val="ListParagraph"/>
        <w:spacing w:line="360" w:lineRule="auto"/>
        <w:rPr>
          <w:rFonts w:ascii="Arial" w:hAnsi="Arial" w:cs="Arial"/>
          <w:color w:val="000000" w:themeColor="text1"/>
          <w:sz w:val="22"/>
          <w:szCs w:val="22"/>
          <w:u w:val="single"/>
        </w:rPr>
      </w:pPr>
    </w:p>
    <w:p w14:paraId="2DD773CD" w14:textId="77777777" w:rsidR="00461EB4" w:rsidRPr="007C2BDC" w:rsidRDefault="00461EB4" w:rsidP="00461EB4">
      <w:pPr>
        <w:pStyle w:val="ListParagraph"/>
        <w:numPr>
          <w:ilvl w:val="0"/>
          <w:numId w:val="1"/>
        </w:numPr>
        <w:spacing w:line="360" w:lineRule="auto"/>
        <w:rPr>
          <w:rFonts w:ascii="Arial" w:hAnsi="Arial" w:cs="Arial"/>
          <w:color w:val="000000" w:themeColor="text1"/>
          <w:sz w:val="22"/>
          <w:szCs w:val="22"/>
          <w:u w:val="single"/>
        </w:rPr>
      </w:pPr>
      <w:r w:rsidRPr="007C2BDC">
        <w:rPr>
          <w:rFonts w:ascii="Arial" w:hAnsi="Arial" w:cs="Arial"/>
          <w:color w:val="000000" w:themeColor="text1"/>
          <w:sz w:val="22"/>
          <w:szCs w:val="22"/>
        </w:rPr>
        <w:t xml:space="preserve">Dudley, P. (2015). </w:t>
      </w:r>
      <w:r w:rsidRPr="007C2BDC">
        <w:rPr>
          <w:rFonts w:ascii="Arial" w:hAnsi="Arial" w:cs="Arial"/>
          <w:i/>
          <w:iCs/>
          <w:color w:val="000000" w:themeColor="text1"/>
          <w:sz w:val="22"/>
          <w:szCs w:val="22"/>
        </w:rPr>
        <w:t>Lesson Study.</w:t>
      </w:r>
    </w:p>
    <w:p w14:paraId="3D82490D" w14:textId="77777777" w:rsidR="00461EB4" w:rsidRDefault="00461EB4" w:rsidP="00461EB4">
      <w:pPr>
        <w:pStyle w:val="ListParagraph"/>
        <w:spacing w:line="360" w:lineRule="auto"/>
        <w:rPr>
          <w:rFonts w:ascii="Arial" w:hAnsi="Arial" w:cs="Arial"/>
          <w:color w:val="000000" w:themeColor="text1"/>
          <w:sz w:val="22"/>
          <w:szCs w:val="22"/>
        </w:rPr>
      </w:pPr>
      <w:r w:rsidRPr="007C2BDC">
        <w:rPr>
          <w:rFonts w:ascii="Arial" w:hAnsi="Arial" w:cs="Arial"/>
          <w:color w:val="000000" w:themeColor="text1"/>
          <w:sz w:val="22"/>
          <w:szCs w:val="22"/>
        </w:rPr>
        <w:t>Routledge</w:t>
      </w:r>
    </w:p>
    <w:p w14:paraId="4A395FCC" w14:textId="77777777" w:rsidR="00461EB4" w:rsidRDefault="00461EB4" w:rsidP="00461EB4">
      <w:pPr>
        <w:pStyle w:val="ListParagraph"/>
        <w:spacing w:line="360" w:lineRule="auto"/>
        <w:rPr>
          <w:rFonts w:ascii="Arial" w:hAnsi="Arial" w:cs="Arial"/>
          <w:color w:val="000000" w:themeColor="text1"/>
          <w:sz w:val="22"/>
          <w:szCs w:val="22"/>
        </w:rPr>
      </w:pPr>
    </w:p>
    <w:p w14:paraId="161CFA6A" w14:textId="77777777" w:rsidR="00461EB4" w:rsidRPr="00787DFF" w:rsidRDefault="00461EB4" w:rsidP="00461EB4">
      <w:pPr>
        <w:pStyle w:val="ListParagraph"/>
        <w:numPr>
          <w:ilvl w:val="0"/>
          <w:numId w:val="1"/>
        </w:numPr>
        <w:spacing w:line="360" w:lineRule="auto"/>
        <w:rPr>
          <w:rFonts w:ascii="Arial" w:hAnsi="Arial" w:cs="Arial"/>
          <w:color w:val="000000" w:themeColor="text1"/>
          <w:sz w:val="22"/>
          <w:szCs w:val="22"/>
        </w:rPr>
      </w:pPr>
      <w:proofErr w:type="spellStart"/>
      <w:r w:rsidRPr="00787DFF">
        <w:rPr>
          <w:rFonts w:ascii="Arial" w:hAnsi="Arial" w:cs="Arial"/>
          <w:color w:val="000000" w:themeColor="text1"/>
          <w:sz w:val="22"/>
          <w:szCs w:val="22"/>
        </w:rPr>
        <w:t>Ebadi</w:t>
      </w:r>
      <w:proofErr w:type="spellEnd"/>
      <w:r w:rsidRPr="00787DFF">
        <w:rPr>
          <w:rFonts w:ascii="Arial" w:hAnsi="Arial" w:cs="Arial"/>
          <w:color w:val="000000" w:themeColor="text1"/>
          <w:sz w:val="22"/>
          <w:szCs w:val="22"/>
        </w:rPr>
        <w:t xml:space="preserve">, S, Khatib, M and </w:t>
      </w:r>
      <w:proofErr w:type="spellStart"/>
      <w:r w:rsidRPr="00787DFF">
        <w:rPr>
          <w:rFonts w:ascii="Arial" w:hAnsi="Arial" w:cs="Arial"/>
          <w:color w:val="000000" w:themeColor="text1"/>
          <w:sz w:val="22"/>
          <w:szCs w:val="22"/>
        </w:rPr>
        <w:t>Shabani</w:t>
      </w:r>
      <w:proofErr w:type="spellEnd"/>
      <w:r w:rsidRPr="00787DFF">
        <w:rPr>
          <w:rFonts w:ascii="Arial" w:hAnsi="Arial" w:cs="Arial"/>
          <w:color w:val="000000" w:themeColor="text1"/>
          <w:sz w:val="22"/>
          <w:szCs w:val="22"/>
        </w:rPr>
        <w:t xml:space="preserve">, K. (2010). </w:t>
      </w:r>
      <w:r w:rsidRPr="00787DFF">
        <w:rPr>
          <w:rFonts w:ascii="Arial" w:hAnsi="Arial" w:cs="Arial"/>
          <w:i/>
          <w:iCs/>
          <w:sz w:val="22"/>
          <w:szCs w:val="22"/>
        </w:rPr>
        <w:t>Vygotsky's Zone of Proximal Development: Instructional Implications and Teachers' Professional Development</w:t>
      </w:r>
      <w:r>
        <w:rPr>
          <w:rFonts w:ascii="Arial" w:hAnsi="Arial" w:cs="Arial"/>
          <w:i/>
          <w:iCs/>
          <w:sz w:val="22"/>
          <w:szCs w:val="22"/>
        </w:rPr>
        <w:t>.</w:t>
      </w:r>
    </w:p>
    <w:p w14:paraId="70BF7E29" w14:textId="77777777" w:rsidR="00461EB4" w:rsidRPr="00787DFF" w:rsidRDefault="00461EB4" w:rsidP="00461EB4">
      <w:pPr>
        <w:spacing w:line="360" w:lineRule="auto"/>
        <w:ind w:left="720"/>
        <w:rPr>
          <w:rFonts w:ascii="Arial" w:hAnsi="Arial" w:cs="Arial"/>
          <w:color w:val="000000" w:themeColor="text1"/>
        </w:rPr>
      </w:pPr>
      <w:r>
        <w:rPr>
          <w:rFonts w:ascii="Arial" w:hAnsi="Arial" w:cs="Arial"/>
          <w:color w:val="000000" w:themeColor="text1"/>
        </w:rPr>
        <w:t>English Language Teaching Vol. 3, No. 4; December 2010</w:t>
      </w:r>
    </w:p>
    <w:p w14:paraId="7D57D9EF" w14:textId="77777777" w:rsidR="00461EB4" w:rsidRPr="007C2BDC" w:rsidRDefault="00461EB4" w:rsidP="00461EB4">
      <w:pPr>
        <w:pStyle w:val="ListParagraph"/>
        <w:spacing w:line="360" w:lineRule="auto"/>
        <w:rPr>
          <w:rFonts w:ascii="Arial" w:hAnsi="Arial" w:cs="Arial"/>
          <w:color w:val="000000" w:themeColor="text1"/>
          <w:sz w:val="22"/>
          <w:szCs w:val="22"/>
        </w:rPr>
      </w:pPr>
    </w:p>
    <w:p w14:paraId="2E50AD85" w14:textId="77777777" w:rsidR="00461EB4" w:rsidRPr="007C2BDC" w:rsidRDefault="00461EB4" w:rsidP="00461EB4">
      <w:pPr>
        <w:pStyle w:val="ListParagraph"/>
        <w:numPr>
          <w:ilvl w:val="0"/>
          <w:numId w:val="1"/>
        </w:numPr>
        <w:spacing w:line="360" w:lineRule="auto"/>
        <w:rPr>
          <w:rFonts w:ascii="Arial" w:hAnsi="Arial" w:cs="Arial"/>
          <w:color w:val="000000" w:themeColor="text1"/>
          <w:sz w:val="22"/>
          <w:szCs w:val="22"/>
          <w:u w:val="single"/>
        </w:rPr>
      </w:pPr>
      <w:r w:rsidRPr="007C2BDC">
        <w:rPr>
          <w:rFonts w:ascii="Arial" w:hAnsi="Arial" w:cs="Arial"/>
          <w:color w:val="000000" w:themeColor="text1"/>
          <w:sz w:val="22"/>
          <w:szCs w:val="22"/>
        </w:rPr>
        <w:t xml:space="preserve">Fernandez, C and Yoshida, M. (2004). </w:t>
      </w:r>
      <w:r w:rsidRPr="007C2BDC">
        <w:rPr>
          <w:rFonts w:ascii="Arial" w:hAnsi="Arial" w:cs="Arial"/>
          <w:i/>
          <w:iCs/>
          <w:color w:val="000000" w:themeColor="text1"/>
          <w:sz w:val="22"/>
          <w:szCs w:val="22"/>
        </w:rPr>
        <w:t>Lesson Study: A Japanese Approach to Improving Mathematics Teaching and Learning.</w:t>
      </w:r>
    </w:p>
    <w:p w14:paraId="681D9F5B" w14:textId="77777777" w:rsidR="00461EB4" w:rsidRPr="007C2BDC" w:rsidRDefault="00461EB4" w:rsidP="00461EB4">
      <w:pPr>
        <w:pStyle w:val="ListParagraph"/>
        <w:spacing w:line="360" w:lineRule="auto"/>
        <w:rPr>
          <w:rFonts w:ascii="Arial" w:hAnsi="Arial" w:cs="Arial"/>
          <w:color w:val="000000" w:themeColor="text1"/>
          <w:sz w:val="22"/>
          <w:szCs w:val="22"/>
          <w:u w:val="single"/>
        </w:rPr>
      </w:pPr>
      <w:r w:rsidRPr="007C2BDC">
        <w:rPr>
          <w:rFonts w:ascii="Arial" w:hAnsi="Arial" w:cs="Arial"/>
          <w:color w:val="000000" w:themeColor="text1"/>
          <w:sz w:val="22"/>
          <w:szCs w:val="22"/>
        </w:rPr>
        <w:t>Lawrence Erlbaum Associates, Inc.</w:t>
      </w:r>
    </w:p>
    <w:p w14:paraId="5377504E" w14:textId="77777777" w:rsidR="00461EB4" w:rsidRPr="007C2BDC" w:rsidRDefault="00461EB4" w:rsidP="00461EB4">
      <w:pPr>
        <w:spacing w:line="360" w:lineRule="auto"/>
        <w:rPr>
          <w:rFonts w:ascii="Arial" w:hAnsi="Arial" w:cs="Arial"/>
          <w:color w:val="000000" w:themeColor="text1"/>
          <w:u w:val="single"/>
        </w:rPr>
      </w:pPr>
    </w:p>
    <w:p w14:paraId="2350AFE8" w14:textId="77777777" w:rsidR="00461EB4" w:rsidRPr="007C2BDC" w:rsidRDefault="00461EB4" w:rsidP="00461EB4">
      <w:pPr>
        <w:pStyle w:val="ListParagraph"/>
        <w:numPr>
          <w:ilvl w:val="0"/>
          <w:numId w:val="1"/>
        </w:numPr>
        <w:spacing w:line="360" w:lineRule="auto"/>
        <w:rPr>
          <w:rFonts w:ascii="Arial" w:hAnsi="Arial" w:cs="Arial"/>
          <w:color w:val="000000" w:themeColor="text1"/>
          <w:sz w:val="22"/>
          <w:szCs w:val="22"/>
          <w:u w:val="single"/>
        </w:rPr>
      </w:pPr>
      <w:proofErr w:type="spellStart"/>
      <w:r w:rsidRPr="007C2BDC">
        <w:rPr>
          <w:rFonts w:ascii="Arial" w:hAnsi="Arial" w:cs="Arial"/>
          <w:color w:val="000000" w:themeColor="text1"/>
          <w:sz w:val="22"/>
          <w:szCs w:val="22"/>
        </w:rPr>
        <w:t>Frickey</w:t>
      </w:r>
      <w:proofErr w:type="spellEnd"/>
      <w:r w:rsidRPr="007C2BDC">
        <w:rPr>
          <w:rFonts w:ascii="Arial" w:hAnsi="Arial" w:cs="Arial"/>
          <w:color w:val="000000" w:themeColor="text1"/>
          <w:sz w:val="22"/>
          <w:szCs w:val="22"/>
        </w:rPr>
        <w:t xml:space="preserve">, A, Fung, A and Little, J. (2019). </w:t>
      </w:r>
      <w:r w:rsidRPr="007C2BDC">
        <w:rPr>
          <w:rFonts w:ascii="Arial" w:hAnsi="Arial" w:cs="Arial"/>
          <w:i/>
          <w:iCs/>
          <w:color w:val="000000" w:themeColor="text1"/>
          <w:sz w:val="22"/>
          <w:szCs w:val="22"/>
        </w:rPr>
        <w:t xml:space="preserve">The Role of Retrieval in Answering Multiple-Choice Questions. </w:t>
      </w:r>
    </w:p>
    <w:p w14:paraId="69791C83" w14:textId="77777777" w:rsidR="00461EB4" w:rsidRDefault="00461EB4" w:rsidP="00461EB4">
      <w:pPr>
        <w:spacing w:line="360" w:lineRule="auto"/>
        <w:ind w:left="720"/>
        <w:rPr>
          <w:rFonts w:ascii="Arial" w:hAnsi="Arial" w:cs="Arial"/>
        </w:rPr>
      </w:pPr>
      <w:r w:rsidRPr="007C2BDC">
        <w:rPr>
          <w:rFonts w:ascii="Arial" w:hAnsi="Arial" w:cs="Arial"/>
          <w:color w:val="000000" w:themeColor="text1"/>
        </w:rPr>
        <w:t xml:space="preserve">Journal of Experimental Psychology: Learning, Memory, and Cognition, 2019, Vol. 45, No. 8, 1473-1485 </w:t>
      </w:r>
      <w:hyperlink r:id="rId15" w:history="1">
        <w:r w:rsidRPr="00363E39">
          <w:rPr>
            <w:rStyle w:val="Hyperlink"/>
            <w:rFonts w:cs="Arial"/>
          </w:rPr>
          <w:t>http://dx.doi.org/10.1037/xlm0000638</w:t>
        </w:r>
      </w:hyperlink>
    </w:p>
    <w:p w14:paraId="6647C77F" w14:textId="77777777" w:rsidR="00461EB4" w:rsidRDefault="00461EB4" w:rsidP="00461EB4">
      <w:pPr>
        <w:spacing w:line="360" w:lineRule="auto"/>
        <w:ind w:left="720"/>
        <w:rPr>
          <w:rFonts w:ascii="Arial" w:hAnsi="Arial" w:cs="Arial"/>
        </w:rPr>
      </w:pPr>
    </w:p>
    <w:p w14:paraId="6ABD4147" w14:textId="77777777" w:rsidR="00461EB4" w:rsidRPr="00E377F0" w:rsidRDefault="00461EB4" w:rsidP="00461EB4">
      <w:pPr>
        <w:pStyle w:val="ListParagraph"/>
        <w:numPr>
          <w:ilvl w:val="0"/>
          <w:numId w:val="1"/>
        </w:numPr>
        <w:spacing w:line="360" w:lineRule="auto"/>
        <w:rPr>
          <w:rFonts w:ascii="Arial" w:hAnsi="Arial" w:cs="Arial"/>
          <w:color w:val="000000" w:themeColor="text1"/>
          <w:sz w:val="22"/>
          <w:szCs w:val="22"/>
        </w:rPr>
      </w:pPr>
      <w:proofErr w:type="spellStart"/>
      <w:r>
        <w:rPr>
          <w:rFonts w:ascii="Arial" w:hAnsi="Arial" w:cs="Arial"/>
          <w:color w:val="000000" w:themeColor="text1"/>
          <w:sz w:val="22"/>
          <w:szCs w:val="22"/>
        </w:rPr>
        <w:t>Isoda</w:t>
      </w:r>
      <w:proofErr w:type="spellEnd"/>
      <w:r>
        <w:rPr>
          <w:rFonts w:ascii="Arial" w:hAnsi="Arial" w:cs="Arial"/>
          <w:color w:val="000000" w:themeColor="text1"/>
          <w:sz w:val="22"/>
          <w:szCs w:val="22"/>
        </w:rPr>
        <w:t xml:space="preserve">, M et al. (2007). </w:t>
      </w:r>
      <w:r>
        <w:rPr>
          <w:rFonts w:ascii="Arial" w:hAnsi="Arial" w:cs="Arial"/>
          <w:i/>
          <w:iCs/>
          <w:color w:val="000000" w:themeColor="text1"/>
          <w:sz w:val="22"/>
          <w:szCs w:val="22"/>
        </w:rPr>
        <w:t>Japanese Lesson Study in Mathematics.</w:t>
      </w:r>
    </w:p>
    <w:p w14:paraId="797E4171" w14:textId="77777777" w:rsidR="00461EB4" w:rsidRPr="00E377F0" w:rsidRDefault="00461EB4" w:rsidP="00461EB4">
      <w:pPr>
        <w:pStyle w:val="ListParagraph"/>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World Scientific Publishing Co. </w:t>
      </w:r>
      <w:proofErr w:type="spellStart"/>
      <w:r>
        <w:rPr>
          <w:rFonts w:ascii="Arial" w:hAnsi="Arial" w:cs="Arial"/>
          <w:color w:val="000000" w:themeColor="text1"/>
          <w:sz w:val="22"/>
          <w:szCs w:val="22"/>
        </w:rPr>
        <w:t>Pte.</w:t>
      </w:r>
      <w:proofErr w:type="spellEnd"/>
      <w:r>
        <w:rPr>
          <w:rFonts w:ascii="Arial" w:hAnsi="Arial" w:cs="Arial"/>
          <w:color w:val="000000" w:themeColor="text1"/>
          <w:sz w:val="22"/>
          <w:szCs w:val="22"/>
        </w:rPr>
        <w:t xml:space="preserve"> Ltd.</w:t>
      </w:r>
    </w:p>
    <w:p w14:paraId="7BA18787" w14:textId="77777777" w:rsidR="00461EB4" w:rsidRPr="007C2BDC" w:rsidRDefault="00461EB4" w:rsidP="00461EB4">
      <w:pPr>
        <w:spacing w:line="360" w:lineRule="auto"/>
        <w:rPr>
          <w:rFonts w:ascii="Arial" w:hAnsi="Arial" w:cs="Arial"/>
          <w:color w:val="000000" w:themeColor="text1"/>
        </w:rPr>
      </w:pPr>
    </w:p>
    <w:p w14:paraId="7ED9536E" w14:textId="77777777" w:rsidR="00461EB4" w:rsidRPr="007C2BDC" w:rsidRDefault="00461EB4" w:rsidP="00461EB4">
      <w:pPr>
        <w:pStyle w:val="ListParagraph"/>
        <w:numPr>
          <w:ilvl w:val="0"/>
          <w:numId w:val="1"/>
        </w:numPr>
        <w:spacing w:line="360" w:lineRule="auto"/>
        <w:rPr>
          <w:rFonts w:ascii="Arial" w:hAnsi="Arial" w:cs="Arial"/>
          <w:color w:val="000000" w:themeColor="text1"/>
          <w:sz w:val="22"/>
          <w:szCs w:val="22"/>
        </w:rPr>
      </w:pPr>
      <w:r w:rsidRPr="007C2BDC">
        <w:rPr>
          <w:rFonts w:ascii="Arial" w:hAnsi="Arial" w:cs="Arial"/>
          <w:color w:val="000000" w:themeColor="text1"/>
          <w:sz w:val="22"/>
          <w:szCs w:val="22"/>
        </w:rPr>
        <w:t xml:space="preserve">Krathwohl, D. (2002). </w:t>
      </w:r>
      <w:r w:rsidRPr="007C2BDC">
        <w:rPr>
          <w:rFonts w:ascii="Arial" w:hAnsi="Arial" w:cs="Arial"/>
          <w:i/>
          <w:iCs/>
          <w:color w:val="000000" w:themeColor="text1"/>
          <w:sz w:val="22"/>
          <w:szCs w:val="22"/>
        </w:rPr>
        <w:t>A Revision of Bloom’s Taxonomy: An Overview.</w:t>
      </w:r>
    </w:p>
    <w:p w14:paraId="726299DF" w14:textId="77777777" w:rsidR="00461EB4" w:rsidRPr="007C2BDC" w:rsidRDefault="00461EB4" w:rsidP="00461EB4">
      <w:pPr>
        <w:pStyle w:val="ListParagraph"/>
        <w:spacing w:line="360" w:lineRule="auto"/>
        <w:rPr>
          <w:rFonts w:ascii="Arial" w:hAnsi="Arial" w:cs="Arial"/>
          <w:color w:val="000000" w:themeColor="text1"/>
          <w:sz w:val="22"/>
          <w:szCs w:val="22"/>
        </w:rPr>
      </w:pPr>
      <w:r w:rsidRPr="007C2BDC">
        <w:rPr>
          <w:rFonts w:ascii="Arial" w:hAnsi="Arial" w:cs="Arial"/>
          <w:color w:val="000000" w:themeColor="text1"/>
          <w:sz w:val="22"/>
          <w:szCs w:val="22"/>
        </w:rPr>
        <w:t>Theory Into Practice, Volume 41, Number 4, Autumn 2002.</w:t>
      </w:r>
    </w:p>
    <w:p w14:paraId="4BB5E40A" w14:textId="77777777" w:rsidR="00461EB4" w:rsidRPr="007C2BDC" w:rsidRDefault="00461EB4" w:rsidP="00461EB4">
      <w:pPr>
        <w:pStyle w:val="ListParagraph"/>
        <w:spacing w:line="360" w:lineRule="auto"/>
        <w:rPr>
          <w:rFonts w:ascii="Arial" w:hAnsi="Arial" w:cs="Arial"/>
          <w:color w:val="000000" w:themeColor="text1"/>
          <w:sz w:val="22"/>
          <w:szCs w:val="22"/>
        </w:rPr>
      </w:pPr>
    </w:p>
    <w:p w14:paraId="1BFA405B" w14:textId="77777777" w:rsidR="00461EB4" w:rsidRPr="007C2BDC" w:rsidRDefault="00461EB4" w:rsidP="00461EB4">
      <w:pPr>
        <w:pStyle w:val="ListParagraph"/>
        <w:numPr>
          <w:ilvl w:val="0"/>
          <w:numId w:val="1"/>
        </w:numPr>
        <w:spacing w:line="360" w:lineRule="auto"/>
        <w:rPr>
          <w:rFonts w:ascii="Arial" w:hAnsi="Arial" w:cs="Arial"/>
          <w:color w:val="000000" w:themeColor="text1"/>
          <w:sz w:val="22"/>
          <w:szCs w:val="22"/>
        </w:rPr>
      </w:pPr>
      <w:r w:rsidRPr="007C2BDC">
        <w:rPr>
          <w:rFonts w:ascii="Arial" w:hAnsi="Arial" w:cs="Arial"/>
          <w:color w:val="000000" w:themeColor="text1"/>
          <w:sz w:val="22"/>
          <w:szCs w:val="22"/>
        </w:rPr>
        <w:t xml:space="preserve">Kumar, R. (2014). </w:t>
      </w:r>
      <w:r w:rsidRPr="00856BDF">
        <w:rPr>
          <w:rFonts w:ascii="Arial" w:hAnsi="Arial" w:cs="Arial"/>
          <w:i/>
          <w:iCs/>
          <w:color w:val="000000"/>
          <w:sz w:val="22"/>
          <w:szCs w:val="22"/>
        </w:rPr>
        <w:t>Research Methodology</w:t>
      </w:r>
      <w:r w:rsidRPr="00856BDF">
        <w:rPr>
          <w:rFonts w:ascii="Arial" w:hAnsi="Arial" w:cs="Arial"/>
          <w:color w:val="000000"/>
          <w:sz w:val="22"/>
          <w:szCs w:val="22"/>
        </w:rPr>
        <w:t xml:space="preserve">. London: SAGE. </w:t>
      </w:r>
      <w:r w:rsidRPr="007C2BDC">
        <w:rPr>
          <w:rFonts w:ascii="Arial" w:hAnsi="Arial" w:cs="Arial"/>
          <w:color w:val="000000" w:themeColor="text1"/>
          <w:sz w:val="22"/>
          <w:szCs w:val="22"/>
        </w:rPr>
        <w:t xml:space="preserve"> </w:t>
      </w:r>
    </w:p>
    <w:p w14:paraId="6A83AC09" w14:textId="77777777" w:rsidR="00461EB4" w:rsidRPr="007C2BDC" w:rsidRDefault="00461EB4" w:rsidP="00461EB4">
      <w:pPr>
        <w:spacing w:line="360" w:lineRule="auto"/>
        <w:ind w:firstLine="720"/>
        <w:rPr>
          <w:rFonts w:ascii="Arial" w:hAnsi="Arial" w:cs="Arial"/>
          <w:color w:val="000000" w:themeColor="text1"/>
        </w:rPr>
      </w:pPr>
    </w:p>
    <w:p w14:paraId="586BD253" w14:textId="77777777" w:rsidR="00461EB4" w:rsidRPr="007C2BDC" w:rsidRDefault="00461EB4" w:rsidP="00461EB4">
      <w:pPr>
        <w:pStyle w:val="ListParagraph"/>
        <w:numPr>
          <w:ilvl w:val="0"/>
          <w:numId w:val="1"/>
        </w:numPr>
        <w:spacing w:line="360" w:lineRule="auto"/>
        <w:rPr>
          <w:rFonts w:ascii="Arial" w:hAnsi="Arial" w:cs="Arial"/>
          <w:color w:val="000000" w:themeColor="text1"/>
          <w:sz w:val="22"/>
          <w:szCs w:val="22"/>
        </w:rPr>
      </w:pPr>
      <w:r w:rsidRPr="007C2BDC">
        <w:rPr>
          <w:rFonts w:ascii="Arial" w:hAnsi="Arial" w:cs="Arial"/>
          <w:color w:val="000000" w:themeColor="text1"/>
          <w:sz w:val="22"/>
          <w:szCs w:val="22"/>
        </w:rPr>
        <w:t xml:space="preserve">Leach, L and </w:t>
      </w:r>
      <w:proofErr w:type="spellStart"/>
      <w:r w:rsidRPr="007C2BDC">
        <w:rPr>
          <w:rFonts w:ascii="Arial" w:hAnsi="Arial" w:cs="Arial"/>
          <w:color w:val="000000" w:themeColor="text1"/>
          <w:sz w:val="22"/>
          <w:szCs w:val="22"/>
        </w:rPr>
        <w:t>Zepke</w:t>
      </w:r>
      <w:proofErr w:type="spellEnd"/>
      <w:r w:rsidRPr="007C2BDC">
        <w:rPr>
          <w:rFonts w:ascii="Arial" w:hAnsi="Arial" w:cs="Arial"/>
          <w:color w:val="000000" w:themeColor="text1"/>
          <w:sz w:val="22"/>
          <w:szCs w:val="22"/>
        </w:rPr>
        <w:t xml:space="preserve">, N. (2010). </w:t>
      </w:r>
      <w:r w:rsidRPr="007C2BDC">
        <w:rPr>
          <w:rFonts w:ascii="Arial" w:hAnsi="Arial" w:cs="Arial"/>
          <w:i/>
          <w:iCs/>
          <w:color w:val="000000" w:themeColor="text1"/>
          <w:sz w:val="22"/>
          <w:szCs w:val="22"/>
        </w:rPr>
        <w:t xml:space="preserve">Improving student engagement: Ten proposals for action. </w:t>
      </w:r>
    </w:p>
    <w:p w14:paraId="3B709A10" w14:textId="77777777" w:rsidR="00461EB4" w:rsidRPr="007C2BDC" w:rsidRDefault="00461EB4" w:rsidP="00461EB4">
      <w:pPr>
        <w:pStyle w:val="ListParagraph"/>
        <w:spacing w:line="360" w:lineRule="auto"/>
        <w:rPr>
          <w:rFonts w:ascii="Arial" w:hAnsi="Arial" w:cs="Arial"/>
          <w:color w:val="000000" w:themeColor="text1"/>
          <w:sz w:val="22"/>
          <w:szCs w:val="22"/>
        </w:rPr>
      </w:pPr>
      <w:r w:rsidRPr="007C2BDC">
        <w:rPr>
          <w:rFonts w:ascii="Arial" w:hAnsi="Arial" w:cs="Arial"/>
          <w:color w:val="000000" w:themeColor="text1"/>
          <w:sz w:val="22"/>
          <w:szCs w:val="22"/>
        </w:rPr>
        <w:t>Active Learning in Higher Education, November 2010, Vol.11 (3), pp.167-177</w:t>
      </w:r>
    </w:p>
    <w:p w14:paraId="69D31E78" w14:textId="77777777" w:rsidR="00461EB4" w:rsidRPr="007C2BDC" w:rsidRDefault="00461EB4" w:rsidP="00461EB4">
      <w:pPr>
        <w:pStyle w:val="ListParagraph"/>
        <w:spacing w:line="360" w:lineRule="auto"/>
        <w:rPr>
          <w:rFonts w:ascii="Arial" w:hAnsi="Arial" w:cs="Arial"/>
          <w:color w:val="000000" w:themeColor="text1"/>
          <w:sz w:val="22"/>
          <w:szCs w:val="22"/>
        </w:rPr>
      </w:pPr>
    </w:p>
    <w:p w14:paraId="6344C672" w14:textId="77777777" w:rsidR="00461EB4" w:rsidRPr="007C2BDC" w:rsidRDefault="00461EB4" w:rsidP="00461EB4">
      <w:pPr>
        <w:pStyle w:val="ListParagraph"/>
        <w:numPr>
          <w:ilvl w:val="0"/>
          <w:numId w:val="1"/>
        </w:numPr>
        <w:spacing w:line="360" w:lineRule="auto"/>
        <w:rPr>
          <w:rFonts w:ascii="Arial" w:hAnsi="Arial" w:cs="Arial"/>
          <w:color w:val="000000" w:themeColor="text1"/>
          <w:sz w:val="22"/>
          <w:szCs w:val="22"/>
        </w:rPr>
      </w:pPr>
      <w:proofErr w:type="spellStart"/>
      <w:r w:rsidRPr="007C2BDC">
        <w:rPr>
          <w:rFonts w:ascii="Arial" w:hAnsi="Arial" w:cs="Arial"/>
          <w:color w:val="000000" w:themeColor="text1"/>
          <w:sz w:val="22"/>
          <w:szCs w:val="22"/>
        </w:rPr>
        <w:t>McLeon</w:t>
      </w:r>
      <w:proofErr w:type="spellEnd"/>
      <w:r w:rsidRPr="007C2BDC">
        <w:rPr>
          <w:rFonts w:ascii="Arial" w:hAnsi="Arial" w:cs="Arial"/>
          <w:color w:val="000000" w:themeColor="text1"/>
          <w:sz w:val="22"/>
          <w:szCs w:val="22"/>
        </w:rPr>
        <w:t xml:space="preserve">, S. (2019). </w:t>
      </w:r>
      <w:r w:rsidRPr="007C2BDC">
        <w:rPr>
          <w:rFonts w:ascii="Arial" w:hAnsi="Arial" w:cs="Arial"/>
          <w:i/>
          <w:iCs/>
          <w:color w:val="000000" w:themeColor="text1"/>
          <w:sz w:val="22"/>
          <w:szCs w:val="22"/>
        </w:rPr>
        <w:t>What’s the difference between qualitative and quantitative research?</w:t>
      </w:r>
    </w:p>
    <w:p w14:paraId="607DEFFC" w14:textId="77777777" w:rsidR="00461EB4" w:rsidRDefault="00461EB4" w:rsidP="00461EB4">
      <w:pPr>
        <w:pStyle w:val="ListParagraph"/>
        <w:spacing w:line="360" w:lineRule="auto"/>
        <w:rPr>
          <w:rFonts w:ascii="Arial" w:eastAsia="Times New Roman" w:hAnsi="Arial" w:cs="Arial"/>
          <w:color w:val="000000"/>
          <w:sz w:val="22"/>
          <w:szCs w:val="22"/>
          <w:shd w:val="clear" w:color="auto" w:fill="FFFFFF"/>
          <w:lang w:eastAsia="en-GB"/>
        </w:rPr>
      </w:pPr>
      <w:hyperlink r:id="rId16" w:history="1">
        <w:r w:rsidRPr="00363E39">
          <w:rPr>
            <w:rStyle w:val="Hyperlink"/>
            <w:rFonts w:eastAsia="Times New Roman" w:cs="Arial"/>
            <w:sz w:val="22"/>
            <w:szCs w:val="22"/>
            <w:shd w:val="clear" w:color="auto" w:fill="FFFFFF"/>
            <w:lang w:eastAsia="en-GB"/>
          </w:rPr>
          <w:t>https://www.simplypsychology.org/qualitative-quantitative.html</w:t>
        </w:r>
      </w:hyperlink>
    </w:p>
    <w:p w14:paraId="5A6C77F4" w14:textId="77777777" w:rsidR="00461EB4" w:rsidRDefault="00461EB4" w:rsidP="00461EB4">
      <w:pPr>
        <w:pStyle w:val="ListParagraph"/>
        <w:spacing w:line="360" w:lineRule="auto"/>
        <w:rPr>
          <w:rFonts w:ascii="Arial" w:eastAsia="Times New Roman" w:hAnsi="Arial" w:cs="Arial"/>
          <w:color w:val="000000"/>
          <w:sz w:val="22"/>
          <w:szCs w:val="22"/>
          <w:shd w:val="clear" w:color="auto" w:fill="FFFFFF"/>
          <w:lang w:eastAsia="en-GB"/>
        </w:rPr>
      </w:pPr>
    </w:p>
    <w:p w14:paraId="0E42AA94" w14:textId="77777777" w:rsidR="00461EB4" w:rsidRPr="00B209B6" w:rsidRDefault="00461EB4" w:rsidP="00461EB4">
      <w:pPr>
        <w:pStyle w:val="ListParagraph"/>
        <w:numPr>
          <w:ilvl w:val="0"/>
          <w:numId w:val="1"/>
        </w:numPr>
        <w:spacing w:line="360" w:lineRule="auto"/>
        <w:rPr>
          <w:rFonts w:ascii="Arial" w:eastAsia="Times New Roman" w:hAnsi="Arial" w:cs="Arial"/>
          <w:sz w:val="22"/>
          <w:szCs w:val="22"/>
          <w:lang w:eastAsia="en-GB"/>
        </w:rPr>
      </w:pPr>
      <w:proofErr w:type="spellStart"/>
      <w:r>
        <w:rPr>
          <w:rFonts w:ascii="Arial" w:eastAsia="Times New Roman" w:hAnsi="Arial" w:cs="Arial"/>
          <w:color w:val="000000"/>
          <w:sz w:val="22"/>
          <w:szCs w:val="22"/>
          <w:shd w:val="clear" w:color="auto" w:fill="FFFFFF"/>
          <w:lang w:eastAsia="en-GB"/>
        </w:rPr>
        <w:t>Murase</w:t>
      </w:r>
      <w:proofErr w:type="spellEnd"/>
      <w:r>
        <w:rPr>
          <w:rFonts w:ascii="Arial" w:eastAsia="Times New Roman" w:hAnsi="Arial" w:cs="Arial"/>
          <w:color w:val="000000"/>
          <w:sz w:val="22"/>
          <w:szCs w:val="22"/>
          <w:shd w:val="clear" w:color="auto" w:fill="FFFFFF"/>
          <w:lang w:eastAsia="en-GB"/>
        </w:rPr>
        <w:t xml:space="preserve">, M et al. (2015). </w:t>
      </w:r>
      <w:r>
        <w:rPr>
          <w:rFonts w:ascii="Arial" w:eastAsia="Times New Roman" w:hAnsi="Arial" w:cs="Arial"/>
          <w:i/>
          <w:iCs/>
          <w:color w:val="000000"/>
          <w:sz w:val="22"/>
          <w:szCs w:val="22"/>
          <w:shd w:val="clear" w:color="auto" w:fill="FFFFFF"/>
          <w:lang w:eastAsia="en-GB"/>
        </w:rPr>
        <w:t>Lesson Study for Learning Community.</w:t>
      </w:r>
    </w:p>
    <w:p w14:paraId="2E96A890" w14:textId="77777777" w:rsidR="00461EB4" w:rsidRPr="00B209B6" w:rsidRDefault="00461EB4" w:rsidP="00461EB4">
      <w:pPr>
        <w:pStyle w:val="ListParagraph"/>
        <w:spacing w:line="360" w:lineRule="auto"/>
        <w:rPr>
          <w:rFonts w:ascii="Arial" w:eastAsia="Times New Roman" w:hAnsi="Arial" w:cs="Arial"/>
          <w:sz w:val="22"/>
          <w:szCs w:val="22"/>
          <w:lang w:eastAsia="en-GB"/>
        </w:rPr>
      </w:pPr>
      <w:r>
        <w:rPr>
          <w:rFonts w:ascii="Arial" w:eastAsia="Times New Roman" w:hAnsi="Arial" w:cs="Arial"/>
          <w:color w:val="000000"/>
          <w:sz w:val="22"/>
          <w:szCs w:val="22"/>
          <w:shd w:val="clear" w:color="auto" w:fill="FFFFFF"/>
          <w:lang w:eastAsia="en-GB"/>
        </w:rPr>
        <w:t>Routledge.</w:t>
      </w:r>
    </w:p>
    <w:p w14:paraId="64CD6A03" w14:textId="77777777" w:rsidR="00461EB4" w:rsidRPr="00D741B6" w:rsidRDefault="00461EB4" w:rsidP="00461EB4">
      <w:pPr>
        <w:spacing w:line="360" w:lineRule="auto"/>
        <w:rPr>
          <w:rFonts w:ascii="Arial" w:hAnsi="Arial" w:cs="Arial"/>
          <w:color w:val="000000" w:themeColor="text1"/>
        </w:rPr>
      </w:pPr>
    </w:p>
    <w:p w14:paraId="3768DCCB" w14:textId="77777777" w:rsidR="00461EB4" w:rsidRPr="007C2BDC" w:rsidRDefault="00461EB4" w:rsidP="00461EB4">
      <w:pPr>
        <w:pStyle w:val="ListParagraph"/>
        <w:numPr>
          <w:ilvl w:val="0"/>
          <w:numId w:val="1"/>
        </w:numPr>
        <w:spacing w:line="360" w:lineRule="auto"/>
        <w:rPr>
          <w:rFonts w:ascii="Arial" w:hAnsi="Arial" w:cs="Arial"/>
          <w:color w:val="000000" w:themeColor="text1"/>
          <w:sz w:val="22"/>
          <w:szCs w:val="22"/>
        </w:rPr>
      </w:pPr>
      <w:proofErr w:type="spellStart"/>
      <w:r w:rsidRPr="007C2BDC">
        <w:rPr>
          <w:rFonts w:ascii="Arial" w:hAnsi="Arial" w:cs="Arial"/>
          <w:color w:val="000000" w:themeColor="text1"/>
          <w:sz w:val="22"/>
          <w:szCs w:val="22"/>
        </w:rPr>
        <w:t>Özdemïr</w:t>
      </w:r>
      <w:proofErr w:type="spellEnd"/>
      <w:r w:rsidRPr="007C2BDC">
        <w:rPr>
          <w:rFonts w:ascii="Arial" w:hAnsi="Arial" w:cs="Arial"/>
          <w:color w:val="000000" w:themeColor="text1"/>
          <w:sz w:val="22"/>
          <w:szCs w:val="22"/>
        </w:rPr>
        <w:t xml:space="preserve">, S. (2009). </w:t>
      </w:r>
      <w:r w:rsidRPr="007C2BDC">
        <w:rPr>
          <w:rFonts w:ascii="Arial" w:hAnsi="Arial" w:cs="Arial"/>
          <w:i/>
          <w:iCs/>
          <w:color w:val="000000" w:themeColor="text1"/>
          <w:sz w:val="22"/>
          <w:szCs w:val="22"/>
        </w:rPr>
        <w:t>Implementation of the Lesson Study as a Tool to Improve Students’ Learning and Professional Development of Teachers.</w:t>
      </w:r>
    </w:p>
    <w:p w14:paraId="4CEB1A35" w14:textId="77777777" w:rsidR="00461EB4" w:rsidRPr="007C2BDC" w:rsidRDefault="00461EB4" w:rsidP="00461EB4">
      <w:pPr>
        <w:pStyle w:val="ListParagraph"/>
        <w:autoSpaceDE w:val="0"/>
        <w:autoSpaceDN w:val="0"/>
        <w:adjustRightInd w:val="0"/>
        <w:spacing w:line="360" w:lineRule="auto"/>
        <w:rPr>
          <w:rFonts w:ascii="Arial" w:hAnsi="Arial" w:cs="Arial"/>
          <w:sz w:val="22"/>
          <w:szCs w:val="22"/>
        </w:rPr>
      </w:pPr>
      <w:r w:rsidRPr="007C2BDC">
        <w:rPr>
          <w:rFonts w:ascii="Arial" w:hAnsi="Arial" w:cs="Arial"/>
          <w:sz w:val="22"/>
          <w:szCs w:val="22"/>
        </w:rPr>
        <w:t>Participatory Educational Research (PER) Vol. 6(1), pp. 36-53, June, 2019</w:t>
      </w:r>
    </w:p>
    <w:p w14:paraId="72594183" w14:textId="77777777" w:rsidR="00461EB4" w:rsidRPr="007C2BDC" w:rsidRDefault="00461EB4" w:rsidP="00461EB4">
      <w:pPr>
        <w:spacing w:line="360" w:lineRule="auto"/>
        <w:ind w:firstLine="720"/>
        <w:rPr>
          <w:rFonts w:ascii="Arial" w:hAnsi="Arial" w:cs="Arial"/>
          <w:color w:val="000000" w:themeColor="text1"/>
        </w:rPr>
      </w:pPr>
    </w:p>
    <w:p w14:paraId="65332BC2" w14:textId="77777777" w:rsidR="00461EB4" w:rsidRPr="007C2BDC" w:rsidRDefault="00461EB4" w:rsidP="00461EB4">
      <w:pPr>
        <w:pStyle w:val="ListParagraph"/>
        <w:numPr>
          <w:ilvl w:val="0"/>
          <w:numId w:val="1"/>
        </w:numPr>
        <w:autoSpaceDE w:val="0"/>
        <w:autoSpaceDN w:val="0"/>
        <w:adjustRightInd w:val="0"/>
        <w:spacing w:line="360" w:lineRule="auto"/>
        <w:rPr>
          <w:rFonts w:ascii="Arial" w:hAnsi="Arial" w:cs="Arial"/>
          <w:color w:val="000000" w:themeColor="text1"/>
          <w:sz w:val="22"/>
          <w:szCs w:val="22"/>
        </w:rPr>
      </w:pPr>
      <w:r w:rsidRPr="007C2BDC">
        <w:rPr>
          <w:rFonts w:ascii="Arial" w:hAnsi="Arial" w:cs="Arial"/>
          <w:color w:val="000000" w:themeColor="text1"/>
          <w:sz w:val="22"/>
          <w:szCs w:val="22"/>
        </w:rPr>
        <w:t xml:space="preserve">Parsons, J and Taylor, L. (2011). </w:t>
      </w:r>
      <w:r w:rsidRPr="007C2BDC">
        <w:rPr>
          <w:rFonts w:ascii="Arial" w:hAnsi="Arial" w:cs="Arial"/>
          <w:i/>
          <w:iCs/>
          <w:color w:val="000000" w:themeColor="text1"/>
          <w:sz w:val="22"/>
          <w:szCs w:val="22"/>
        </w:rPr>
        <w:t>Improving Student Engagement</w:t>
      </w:r>
      <w:r w:rsidRPr="007C2BDC">
        <w:rPr>
          <w:rFonts w:ascii="Arial" w:hAnsi="Arial" w:cs="Arial"/>
          <w:color w:val="000000" w:themeColor="text1"/>
          <w:sz w:val="22"/>
          <w:szCs w:val="22"/>
        </w:rPr>
        <w:t xml:space="preserve">. </w:t>
      </w:r>
    </w:p>
    <w:p w14:paraId="7722A457" w14:textId="77777777" w:rsidR="00461EB4" w:rsidRPr="007C2BDC" w:rsidRDefault="00461EB4" w:rsidP="00461EB4">
      <w:pPr>
        <w:pStyle w:val="ListParagraph"/>
        <w:autoSpaceDE w:val="0"/>
        <w:autoSpaceDN w:val="0"/>
        <w:adjustRightInd w:val="0"/>
        <w:spacing w:line="360" w:lineRule="auto"/>
        <w:rPr>
          <w:rFonts w:ascii="Arial" w:hAnsi="Arial" w:cs="Arial"/>
          <w:color w:val="000000" w:themeColor="text1"/>
          <w:sz w:val="22"/>
          <w:szCs w:val="22"/>
        </w:rPr>
      </w:pPr>
      <w:r w:rsidRPr="007C2BDC">
        <w:rPr>
          <w:rFonts w:ascii="Arial" w:hAnsi="Arial" w:cs="Arial"/>
          <w:color w:val="000000" w:themeColor="text1"/>
          <w:sz w:val="22"/>
          <w:szCs w:val="22"/>
        </w:rPr>
        <w:t>Current Issues in Education, 14(1). Retrieved from http://cie.asu.edu/</w:t>
      </w:r>
    </w:p>
    <w:p w14:paraId="070788E8" w14:textId="77777777" w:rsidR="00461EB4" w:rsidRDefault="00461EB4" w:rsidP="00461EB4">
      <w:pPr>
        <w:spacing w:line="360" w:lineRule="auto"/>
        <w:rPr>
          <w:rFonts w:ascii="Arial" w:hAnsi="Arial" w:cs="Arial"/>
          <w:color w:val="000000" w:themeColor="text1"/>
        </w:rPr>
      </w:pPr>
    </w:p>
    <w:p w14:paraId="471BE3F4" w14:textId="77777777" w:rsidR="00461EB4" w:rsidRDefault="00461EB4" w:rsidP="00461EB4">
      <w:pPr>
        <w:pStyle w:val="ListParagraph"/>
        <w:numPr>
          <w:ilvl w:val="0"/>
          <w:numId w:val="1"/>
        </w:numPr>
        <w:autoSpaceDE w:val="0"/>
        <w:autoSpaceDN w:val="0"/>
        <w:adjustRightInd w:val="0"/>
        <w:spacing w:line="360" w:lineRule="auto"/>
        <w:rPr>
          <w:rFonts w:ascii="Arial" w:hAnsi="Arial" w:cs="Arial"/>
          <w:sz w:val="22"/>
          <w:szCs w:val="22"/>
        </w:rPr>
      </w:pPr>
      <w:r w:rsidRPr="0064425C">
        <w:rPr>
          <w:rFonts w:ascii="Arial" w:hAnsi="Arial" w:cs="Arial"/>
          <w:color w:val="000000" w:themeColor="text1"/>
          <w:sz w:val="22"/>
          <w:szCs w:val="22"/>
        </w:rPr>
        <w:t xml:space="preserve">Schott, C and </w:t>
      </w:r>
      <w:proofErr w:type="spellStart"/>
      <w:r w:rsidRPr="0064425C">
        <w:rPr>
          <w:rFonts w:ascii="Arial" w:hAnsi="Arial" w:cs="Arial"/>
          <w:color w:val="000000" w:themeColor="text1"/>
          <w:sz w:val="22"/>
          <w:szCs w:val="22"/>
        </w:rPr>
        <w:t>Weske</w:t>
      </w:r>
      <w:proofErr w:type="spellEnd"/>
      <w:r w:rsidRPr="0064425C">
        <w:rPr>
          <w:rFonts w:ascii="Arial" w:hAnsi="Arial" w:cs="Arial"/>
          <w:color w:val="000000" w:themeColor="text1"/>
          <w:sz w:val="22"/>
          <w:szCs w:val="22"/>
        </w:rPr>
        <w:t xml:space="preserve">, U. (2018). </w:t>
      </w:r>
      <w:r w:rsidRPr="0064425C">
        <w:rPr>
          <w:rFonts w:ascii="Arial" w:hAnsi="Arial" w:cs="Arial"/>
          <w:i/>
          <w:iCs/>
          <w:sz w:val="22"/>
          <w:szCs w:val="22"/>
        </w:rPr>
        <w:t>What Motivates Different Groups of Public Employees Working for Dutch Municipalities? Combining Autonomous and Controlled Types of Motivation.</w:t>
      </w:r>
    </w:p>
    <w:p w14:paraId="1404DFE9" w14:textId="77777777" w:rsidR="00461EB4" w:rsidRPr="0064425C" w:rsidRDefault="00461EB4" w:rsidP="00461EB4">
      <w:pPr>
        <w:pStyle w:val="ListParagraph"/>
        <w:autoSpaceDE w:val="0"/>
        <w:autoSpaceDN w:val="0"/>
        <w:adjustRightInd w:val="0"/>
        <w:spacing w:line="360" w:lineRule="auto"/>
        <w:rPr>
          <w:rFonts w:ascii="Arial" w:hAnsi="Arial" w:cs="Arial"/>
          <w:sz w:val="22"/>
          <w:szCs w:val="22"/>
        </w:rPr>
      </w:pPr>
      <w:r>
        <w:rPr>
          <w:rFonts w:ascii="Arial" w:hAnsi="Arial" w:cs="Arial"/>
          <w:sz w:val="22"/>
          <w:szCs w:val="22"/>
        </w:rPr>
        <w:t>Review of Public Personnel Administration 2018, Vol. 38(4) 415-430</w:t>
      </w:r>
    </w:p>
    <w:p w14:paraId="1A0EA013" w14:textId="77777777" w:rsidR="00461EB4" w:rsidRPr="007C2BDC" w:rsidRDefault="00461EB4" w:rsidP="00461EB4">
      <w:pPr>
        <w:spacing w:line="360" w:lineRule="auto"/>
        <w:ind w:left="720"/>
        <w:rPr>
          <w:rFonts w:ascii="Arial" w:hAnsi="Arial" w:cs="Arial"/>
          <w:color w:val="000000" w:themeColor="text1"/>
        </w:rPr>
      </w:pPr>
    </w:p>
    <w:p w14:paraId="3E1FB5BF" w14:textId="77777777" w:rsidR="00461EB4" w:rsidRPr="0064425C" w:rsidRDefault="00461EB4" w:rsidP="00461EB4">
      <w:pPr>
        <w:pStyle w:val="ListParagraph"/>
        <w:numPr>
          <w:ilvl w:val="0"/>
          <w:numId w:val="1"/>
        </w:numPr>
        <w:spacing w:line="360" w:lineRule="auto"/>
        <w:rPr>
          <w:rFonts w:ascii="Arial" w:hAnsi="Arial" w:cs="Arial"/>
          <w:color w:val="000000" w:themeColor="text1"/>
          <w:sz w:val="22"/>
          <w:szCs w:val="22"/>
          <w:u w:val="single"/>
        </w:rPr>
      </w:pPr>
      <w:r w:rsidRPr="0064425C">
        <w:rPr>
          <w:rFonts w:ascii="Arial" w:hAnsi="Arial" w:cs="Arial"/>
          <w:color w:val="000000" w:themeColor="text1"/>
          <w:sz w:val="22"/>
          <w:szCs w:val="22"/>
        </w:rPr>
        <w:t xml:space="preserve">van der Merwe, H. (2015). </w:t>
      </w:r>
      <w:r w:rsidRPr="0064425C">
        <w:rPr>
          <w:rFonts w:ascii="Arial" w:hAnsi="Arial" w:cs="Arial"/>
          <w:i/>
          <w:iCs/>
          <w:color w:val="000000" w:themeColor="text1"/>
          <w:sz w:val="22"/>
          <w:szCs w:val="22"/>
        </w:rPr>
        <w:t xml:space="preserve">Quality Assuring Multiple-Choice Question Assessment In Higher Education. </w:t>
      </w:r>
    </w:p>
    <w:p w14:paraId="618C26BE" w14:textId="77777777" w:rsidR="00461EB4" w:rsidRPr="007C2BDC" w:rsidRDefault="00461EB4" w:rsidP="00461EB4">
      <w:pPr>
        <w:pStyle w:val="ListParagraph"/>
        <w:spacing w:line="360" w:lineRule="auto"/>
        <w:rPr>
          <w:rFonts w:ascii="Arial" w:hAnsi="Arial" w:cs="Arial"/>
          <w:color w:val="000000" w:themeColor="text1"/>
          <w:sz w:val="22"/>
          <w:szCs w:val="22"/>
        </w:rPr>
      </w:pPr>
      <w:r w:rsidRPr="007C2BDC">
        <w:rPr>
          <w:rFonts w:ascii="Arial" w:hAnsi="Arial" w:cs="Arial"/>
          <w:color w:val="000000" w:themeColor="text1"/>
          <w:sz w:val="22"/>
          <w:szCs w:val="22"/>
        </w:rPr>
        <w:t xml:space="preserve">Sabinet Online Limited. </w:t>
      </w:r>
    </w:p>
    <w:p w14:paraId="58B7365E" w14:textId="77777777" w:rsidR="00461EB4" w:rsidRPr="007C2BDC" w:rsidRDefault="00461EB4" w:rsidP="00461EB4">
      <w:pPr>
        <w:pStyle w:val="ListParagraph"/>
        <w:spacing w:line="360" w:lineRule="auto"/>
        <w:rPr>
          <w:rFonts w:ascii="Arial" w:hAnsi="Arial" w:cs="Arial"/>
          <w:color w:val="000000" w:themeColor="text1"/>
          <w:sz w:val="22"/>
          <w:szCs w:val="22"/>
          <w:u w:val="single"/>
        </w:rPr>
      </w:pPr>
      <w:r w:rsidRPr="007C2BDC">
        <w:rPr>
          <w:rFonts w:ascii="Arial" w:hAnsi="Arial" w:cs="Arial"/>
          <w:color w:val="000000" w:themeColor="text1"/>
          <w:sz w:val="22"/>
          <w:szCs w:val="22"/>
        </w:rPr>
        <w:t>South African Journal of Higher Education, 2015, Vol.29 (2), p.279-298</w:t>
      </w:r>
    </w:p>
    <w:p w14:paraId="0D2F6EA6" w14:textId="154D6E50" w:rsidR="00E611D9" w:rsidRPr="00E611D9" w:rsidRDefault="00E611D9" w:rsidP="00E611D9">
      <w:pPr>
        <w:pStyle w:val="AssignBody"/>
      </w:pPr>
    </w:p>
    <w:sectPr w:rsidR="00E611D9" w:rsidRPr="00E611D9">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9D3B8F" w14:textId="77777777" w:rsidR="00D638DF" w:rsidRDefault="00D638DF" w:rsidP="00E611D9">
      <w:pPr>
        <w:spacing w:after="0" w:line="240" w:lineRule="auto"/>
      </w:pPr>
      <w:r>
        <w:separator/>
      </w:r>
    </w:p>
  </w:endnote>
  <w:endnote w:type="continuationSeparator" w:id="0">
    <w:p w14:paraId="05309DC8" w14:textId="77777777" w:rsidR="00D638DF" w:rsidRDefault="00D638DF"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4CF3EC72"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B457F0">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B2CC2D" w14:textId="77777777" w:rsidR="00D638DF" w:rsidRDefault="00D638DF" w:rsidP="00E611D9">
      <w:pPr>
        <w:spacing w:after="0" w:line="240" w:lineRule="auto"/>
      </w:pPr>
      <w:r>
        <w:separator/>
      </w:r>
    </w:p>
  </w:footnote>
  <w:footnote w:type="continuationSeparator" w:id="0">
    <w:p w14:paraId="4B28E783" w14:textId="77777777" w:rsidR="00D638DF" w:rsidRDefault="00D638DF"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3CF72" w14:textId="04B0F91A" w:rsidR="00755E37" w:rsidRDefault="00755E37">
    <w:pPr>
      <w:pStyle w:val="Header"/>
    </w:pPr>
    <w:r>
      <w:t>ECAD7004/C</w:t>
    </w:r>
  </w:p>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D3554F"/>
    <w:multiLevelType w:val="hybridMultilevel"/>
    <w:tmpl w:val="E208F90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E6AB0"/>
    <w:rsid w:val="002229F0"/>
    <w:rsid w:val="00410932"/>
    <w:rsid w:val="00461EB4"/>
    <w:rsid w:val="006419C3"/>
    <w:rsid w:val="006B5861"/>
    <w:rsid w:val="00755E37"/>
    <w:rsid w:val="00817F7A"/>
    <w:rsid w:val="00B457F0"/>
    <w:rsid w:val="00BC651E"/>
    <w:rsid w:val="00CD1240"/>
    <w:rsid w:val="00D638DF"/>
    <w:rsid w:val="00D83A40"/>
    <w:rsid w:val="00E61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BC651E"/>
    <w:rPr>
      <w:b/>
      <w:i/>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BC651E"/>
    <w:rPr>
      <w:rFonts w:ascii="Arial" w:hAnsi="Arial"/>
      <w:b/>
      <w:i/>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55E3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61EB4"/>
    <w:pPr>
      <w:spacing w:after="0" w:line="240" w:lineRule="auto"/>
      <w:ind w:left="720"/>
      <w:contextualSpacing/>
    </w:pPr>
    <w:rPr>
      <w:sz w:val="24"/>
      <w:szCs w:val="24"/>
    </w:rPr>
  </w:style>
  <w:style w:type="paragraph" w:customStyle="1" w:styleId="Default">
    <w:name w:val="Default"/>
    <w:rsid w:val="00461EB4"/>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461EB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65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asuwt.org.uk/uploads/assets/uploaded/ad5b4d73-76eb-462a-8ba00412eb6e572a.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researchgate.net/profile/Aidan_Clerkin/publication/281548675_Pupil_Engagement/links/55ed412008ae3e121847fcea/Pupil-Engagement.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simplypsychology.org/qualitative-quantitative.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itizensadvice.org.uk/Global/CitizensAdvice/Equalities/How%20to%20run%20focus%20groups%20guide.pdf" TargetMode="External"/><Relationship Id="rId5" Type="http://schemas.openxmlformats.org/officeDocument/2006/relationships/styles" Target="styles.xml"/><Relationship Id="rId15" Type="http://schemas.openxmlformats.org/officeDocument/2006/relationships/hyperlink" Target="http://dx.doi.org/10.1037/xlm0000638" TargetMode="External"/><Relationship Id="rId10" Type="http://schemas.openxmlformats.org/officeDocument/2006/relationships/hyperlink" Target="https://cft.vanderbilt.edu/guides-sub-pages/writing-good-multiple-choice-test-questions/"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lessonstudy.co.uk/2015/11/download-a-free-copy-of-the-lesson-study-han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17</Pages>
  <Words>6008</Words>
  <Characters>34248</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David Battell</cp:lastModifiedBy>
  <cp:revision>3</cp:revision>
  <dcterms:created xsi:type="dcterms:W3CDTF">2020-02-23T23:38:00Z</dcterms:created>
  <dcterms:modified xsi:type="dcterms:W3CDTF">2020-02-23T23:39:00Z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