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D60F79" w14:textId="77777777" w:rsidR="00A645B9" w:rsidRDefault="00F65E47">
      <w:r>
        <w:t xml:space="preserve"> </w:t>
      </w:r>
      <w:r w:rsidR="00E12098">
        <w:t xml:space="preserve">Amanda Wilson </w:t>
      </w:r>
      <w:r w:rsidR="00C13AA9">
        <w:t xml:space="preserve">2603044 </w:t>
      </w:r>
    </w:p>
    <w:p w14:paraId="63D5602D" w14:textId="77777777" w:rsidR="00A645B9" w:rsidRDefault="00A645B9"/>
    <w:p w14:paraId="7974E587" w14:textId="7F0456AB" w:rsidR="00E12098" w:rsidRDefault="00C13AA9">
      <w:r>
        <w:t>13</w:t>
      </w:r>
      <w:r w:rsidRPr="00C13AA9">
        <w:rPr>
          <w:vertAlign w:val="superscript"/>
        </w:rPr>
        <w:t>th</w:t>
      </w:r>
      <w:r>
        <w:t xml:space="preserve"> October 2026 </w:t>
      </w:r>
      <w:r w:rsidR="00E12098">
        <w:t>Formative exercise</w:t>
      </w:r>
    </w:p>
    <w:p w14:paraId="44108554" w14:textId="4A85532A" w:rsidR="00C13AA9" w:rsidRPr="00A645B9" w:rsidRDefault="00C13AA9" w:rsidP="00A645B9">
      <w:pPr>
        <w:numPr>
          <w:ilvl w:val="0"/>
          <w:numId w:val="1"/>
        </w:numPr>
        <w:spacing w:before="100" w:beforeAutospacing="1" w:after="100" w:afterAutospacing="1" w:line="240" w:lineRule="auto"/>
        <w:rPr>
          <w:rFonts w:ascii="Segoe UI" w:eastAsia="Times New Roman" w:hAnsi="Segoe UI" w:cs="Segoe UI"/>
          <w:color w:val="1D2125"/>
          <w:kern w:val="0"/>
          <w:sz w:val="23"/>
          <w:szCs w:val="23"/>
          <w:lang w:eastAsia="en-GB"/>
          <w14:ligatures w14:val="none"/>
        </w:rPr>
      </w:pPr>
      <w:r w:rsidRPr="00C13AA9">
        <w:rPr>
          <w:rFonts w:ascii="Segoe UI" w:eastAsia="Times New Roman" w:hAnsi="Segoe UI" w:cs="Segoe UI"/>
          <w:color w:val="000000"/>
          <w:kern w:val="0"/>
          <w:sz w:val="27"/>
          <w:szCs w:val="27"/>
          <w:lang w:eastAsia="en-GB"/>
          <w14:ligatures w14:val="none"/>
        </w:rPr>
        <w:t>Janet E Burton, </w:t>
      </w:r>
      <w:hyperlink r:id="rId8" w:history="1">
        <w:r w:rsidRPr="00C13AA9">
          <w:rPr>
            <w:rFonts w:ascii="Segoe UI" w:eastAsia="Times New Roman" w:hAnsi="Segoe UI" w:cs="Segoe UI"/>
            <w:color w:val="000000"/>
            <w:kern w:val="0"/>
            <w:sz w:val="27"/>
            <w:szCs w:val="27"/>
            <w:lang w:eastAsia="en-GB"/>
            <w14:ligatures w14:val="none"/>
          </w:rPr>
          <w:t>'Authority and Conflict at the Cistercian Abbey of Strata Florida</w:t>
        </w:r>
      </w:hyperlink>
      <w:r w:rsidRPr="00C13AA9">
        <w:rPr>
          <w:rFonts w:ascii="Segoe UI" w:eastAsia="Times New Roman" w:hAnsi="Segoe UI" w:cs="Segoe UI"/>
          <w:color w:val="000000"/>
          <w:kern w:val="0"/>
          <w:sz w:val="27"/>
          <w:szCs w:val="27"/>
          <w:lang w:eastAsia="en-GB"/>
          <w14:ligatures w14:val="none"/>
        </w:rPr>
        <w:t>,' </w:t>
      </w:r>
      <w:r w:rsidRPr="00C13AA9">
        <w:rPr>
          <w:rFonts w:ascii="Segoe UI" w:eastAsia="Times New Roman" w:hAnsi="Segoe UI" w:cs="Segoe UI"/>
          <w:i/>
          <w:iCs/>
          <w:color w:val="000000"/>
          <w:kern w:val="0"/>
          <w:sz w:val="27"/>
          <w:szCs w:val="27"/>
          <w:lang w:eastAsia="en-GB"/>
          <w14:ligatures w14:val="none"/>
        </w:rPr>
        <w:t>Welsh History Review/Cylchgrawn Hanes Cymru</w:t>
      </w:r>
      <w:r w:rsidRPr="00C13AA9">
        <w:rPr>
          <w:rFonts w:ascii="Segoe UI" w:eastAsia="Times New Roman" w:hAnsi="Segoe UI" w:cs="Segoe UI"/>
          <w:color w:val="000000"/>
          <w:kern w:val="0"/>
          <w:sz w:val="27"/>
          <w:szCs w:val="27"/>
          <w:lang w:eastAsia="en-GB"/>
          <w14:ligatures w14:val="none"/>
        </w:rPr>
        <w:t>, 29/3 (2019): 377–407.</w:t>
      </w:r>
    </w:p>
    <w:p w14:paraId="68833790" w14:textId="77777777" w:rsidR="00C13AA9" w:rsidRPr="00C13AA9" w:rsidRDefault="00C13AA9" w:rsidP="00C13AA9">
      <w:pPr>
        <w:numPr>
          <w:ilvl w:val="0"/>
          <w:numId w:val="1"/>
        </w:numPr>
        <w:spacing w:before="100" w:beforeAutospacing="1" w:after="100" w:afterAutospacing="1" w:line="240" w:lineRule="auto"/>
        <w:rPr>
          <w:rFonts w:ascii="Segoe UI" w:eastAsia="Times New Roman" w:hAnsi="Segoe UI" w:cs="Segoe UI"/>
          <w:color w:val="1D2125"/>
          <w:kern w:val="0"/>
          <w:sz w:val="23"/>
          <w:szCs w:val="23"/>
          <w:lang w:eastAsia="en-GB"/>
          <w14:ligatures w14:val="none"/>
        </w:rPr>
      </w:pPr>
      <w:r w:rsidRPr="00C13AA9">
        <w:rPr>
          <w:rFonts w:ascii="Segoe UI" w:eastAsia="Times New Roman" w:hAnsi="Segoe UI" w:cs="Segoe UI"/>
          <w:color w:val="000000"/>
          <w:kern w:val="0"/>
          <w:sz w:val="27"/>
          <w:szCs w:val="27"/>
          <w:lang w:eastAsia="en-GB"/>
          <w14:ligatures w14:val="none"/>
        </w:rPr>
        <w:t>Harriett R Webster, '</w:t>
      </w:r>
      <w:hyperlink r:id="rId9" w:history="1">
        <w:r w:rsidRPr="00C13AA9">
          <w:rPr>
            <w:rFonts w:ascii="Segoe UI" w:eastAsia="Times New Roman" w:hAnsi="Segoe UI" w:cs="Segoe UI"/>
            <w:i/>
            <w:iCs/>
            <w:color w:val="000000"/>
            <w:kern w:val="0"/>
            <w:sz w:val="27"/>
            <w:szCs w:val="27"/>
            <w:shd w:val="clear" w:color="auto" w:fill="FFFFFF"/>
            <w:lang w:eastAsia="en-GB"/>
            <w14:ligatures w14:val="none"/>
          </w:rPr>
          <w:t>The Annals of Dunstable Priory</w:t>
        </w:r>
        <w:r w:rsidRPr="00C13AA9">
          <w:rPr>
            <w:rFonts w:ascii="Segoe UI" w:eastAsia="Times New Roman" w:hAnsi="Segoe UI" w:cs="Segoe UI"/>
            <w:color w:val="000000"/>
            <w:kern w:val="0"/>
            <w:sz w:val="27"/>
            <w:szCs w:val="27"/>
            <w:shd w:val="clear" w:color="auto" w:fill="FFFFFF"/>
            <w:lang w:eastAsia="en-GB"/>
            <w14:ligatures w14:val="none"/>
          </w:rPr>
          <w:t>: From Living Memory to Written Record in a Thirteenth-Century Textual Community</w:t>
        </w:r>
      </w:hyperlink>
      <w:r w:rsidRPr="00C13AA9">
        <w:rPr>
          <w:rFonts w:ascii="Segoe UI" w:eastAsia="Times New Roman" w:hAnsi="Segoe UI" w:cs="Segoe UI"/>
          <w:color w:val="000000"/>
          <w:kern w:val="0"/>
          <w:sz w:val="27"/>
          <w:szCs w:val="27"/>
          <w:lang w:eastAsia="en-GB"/>
          <w14:ligatures w14:val="none"/>
        </w:rPr>
        <w:t>,' </w:t>
      </w:r>
      <w:r w:rsidRPr="00C13AA9">
        <w:rPr>
          <w:rFonts w:ascii="Segoe UI" w:eastAsia="Times New Roman" w:hAnsi="Segoe UI" w:cs="Segoe UI"/>
          <w:i/>
          <w:iCs/>
          <w:color w:val="000080"/>
          <w:kern w:val="0"/>
          <w:sz w:val="27"/>
          <w:szCs w:val="27"/>
          <w:lang w:eastAsia="en-GB"/>
          <w14:ligatures w14:val="none"/>
        </w:rPr>
        <w:t>Journal of Medieval Monastic Studies </w:t>
      </w:r>
      <w:r w:rsidRPr="00C13AA9">
        <w:rPr>
          <w:rFonts w:ascii="Segoe UI" w:eastAsia="Times New Roman" w:hAnsi="Segoe UI" w:cs="Segoe UI"/>
          <w:color w:val="000000"/>
          <w:kern w:val="0"/>
          <w:sz w:val="27"/>
          <w:szCs w:val="27"/>
          <w:lang w:eastAsia="en-GB"/>
          <w14:ligatures w14:val="none"/>
        </w:rPr>
        <w:t>9 (2020): 47—173.</w:t>
      </w:r>
    </w:p>
    <w:p w14:paraId="7DBE3203" w14:textId="77777777" w:rsidR="00E43462" w:rsidRDefault="00E43462"/>
    <w:p w14:paraId="1A5D2CF4" w14:textId="73751616" w:rsidR="0097773D" w:rsidRPr="00A645B9" w:rsidRDefault="00E43462">
      <w:pPr>
        <w:rPr>
          <w:b/>
          <w:bCs/>
        </w:rPr>
      </w:pPr>
      <w:r w:rsidRPr="00507ABC">
        <w:rPr>
          <w:b/>
          <w:bCs/>
        </w:rPr>
        <w:t>How did authors come up with the ideas</w:t>
      </w:r>
      <w:r w:rsidR="00613204">
        <w:rPr>
          <w:b/>
          <w:bCs/>
        </w:rPr>
        <w:t>?</w:t>
      </w:r>
    </w:p>
    <w:p w14:paraId="1E1140CB" w14:textId="08B13F19" w:rsidR="0097773D" w:rsidRDefault="0097773D">
      <w:r>
        <w:t>The</w:t>
      </w:r>
      <w:r w:rsidR="00A645B9">
        <w:t xml:space="preserve"> authors</w:t>
      </w:r>
      <w:r>
        <w:t xml:space="preserve"> already have extensive knowledge of the institution</w:t>
      </w:r>
      <w:r w:rsidR="00507ABC">
        <w:t>s</w:t>
      </w:r>
      <w:r>
        <w:t>/document</w:t>
      </w:r>
      <w:r w:rsidR="00507ABC">
        <w:t>s</w:t>
      </w:r>
      <w:r>
        <w:t xml:space="preserve"> through previous projects</w:t>
      </w:r>
      <w:r w:rsidR="00507ABC">
        <w:t>. Experience and wider reading will suggest areas of interest and gaps in research which could usefully be developed further.</w:t>
      </w:r>
    </w:p>
    <w:p w14:paraId="64694747" w14:textId="12CE52B7" w:rsidR="00507ABC" w:rsidRDefault="00E43462">
      <w:r>
        <w:t xml:space="preserve">Webster references a similar project (Jamroziak’s </w:t>
      </w:r>
      <w:r>
        <w:rPr>
          <w:i/>
          <w:iCs/>
        </w:rPr>
        <w:t>Rievaulx Abbey and its Social Context</w:t>
      </w:r>
      <w:r>
        <w:t>).</w:t>
      </w:r>
      <w:r w:rsidR="00A645B9">
        <w:rPr>
          <w:rStyle w:val="FootnoteReference"/>
        </w:rPr>
        <w:footnoteReference w:id="1"/>
      </w:r>
      <w:r w:rsidR="00A645B9">
        <w:t xml:space="preserve"> </w:t>
      </w:r>
      <w:r>
        <w:t xml:space="preserve">She had already edited the 2018 Preest translation and </w:t>
      </w:r>
      <w:proofErr w:type="gramStart"/>
      <w:r>
        <w:t>was connected with</w:t>
      </w:r>
      <w:proofErr w:type="gramEnd"/>
      <w:r>
        <w:t xml:space="preserve"> the Medieval Dunstable Project.</w:t>
      </w:r>
      <w:r w:rsidR="00A645B9">
        <w:t xml:space="preserve"> </w:t>
      </w:r>
      <w:r w:rsidR="00662421">
        <w:t>Having a deep knowledge of the Dunstable Annals, and familiarity with other similar projects, it seems a natural step to use the document to consider the priory’s context within the broader community at the time</w:t>
      </w:r>
      <w:r w:rsidR="00A645B9">
        <w:t>.</w:t>
      </w:r>
    </w:p>
    <w:p w14:paraId="4639A7AC" w14:textId="0D37EA03" w:rsidR="00662421" w:rsidRDefault="00A645B9">
      <w:r>
        <w:t>Janet Burton</w:t>
      </w:r>
      <w:r w:rsidR="0097773D">
        <w:t xml:space="preserve"> was co-director of the ‘Monastic Wales’ project</w:t>
      </w:r>
      <w:r>
        <w:rPr>
          <w:rStyle w:val="FootnoteReference"/>
        </w:rPr>
        <w:footnoteReference w:id="2"/>
      </w:r>
      <w:r w:rsidR="0097773D">
        <w:t xml:space="preserve">, as well as being closely linked to the AHRC-funded project ‘The sacred landscaped </w:t>
      </w:r>
      <w:r w:rsidR="00507ABC">
        <w:t>of</w:t>
      </w:r>
      <w:r w:rsidR="0097773D">
        <w:t xml:space="preserve"> medieval monasteries:an interdisciplinary study of meaning embedded in space’. Strata Florida was one of the case studies on this project. She also refers to the work of Martin Heale on English monastic communities as an inspiration for a similar study in Wales.</w:t>
      </w:r>
      <w:r w:rsidR="00451411">
        <w:rPr>
          <w:rStyle w:val="FootnoteReference"/>
        </w:rPr>
        <w:footnoteReference w:id="3"/>
      </w:r>
    </w:p>
    <w:p w14:paraId="150F8B6A" w14:textId="77777777" w:rsidR="00507ABC" w:rsidRPr="00E43462" w:rsidRDefault="00507ABC"/>
    <w:p w14:paraId="0E8C5D67" w14:textId="3395AACE" w:rsidR="00507ABC" w:rsidRPr="00507ABC" w:rsidRDefault="00507ABC" w:rsidP="00507ABC">
      <w:pPr>
        <w:rPr>
          <w:b/>
          <w:bCs/>
        </w:rPr>
      </w:pPr>
      <w:r w:rsidRPr="00507ABC">
        <w:rPr>
          <w:b/>
          <w:bCs/>
        </w:rPr>
        <w:t xml:space="preserve">How did they </w:t>
      </w:r>
      <w:proofErr w:type="gramStart"/>
      <w:r w:rsidRPr="00507ABC">
        <w:rPr>
          <w:b/>
          <w:bCs/>
        </w:rPr>
        <w:t>actually do</w:t>
      </w:r>
      <w:proofErr w:type="gramEnd"/>
      <w:r w:rsidRPr="00507ABC">
        <w:rPr>
          <w:b/>
          <w:bCs/>
        </w:rPr>
        <w:t xml:space="preserve"> the research that led to the publications?</w:t>
      </w:r>
    </w:p>
    <w:p w14:paraId="520E7D43" w14:textId="47F6E429" w:rsidR="00110C8B" w:rsidRDefault="00613204" w:rsidP="00110C8B">
      <w:r>
        <w:t>Identification and e</w:t>
      </w:r>
      <w:r w:rsidR="00451411">
        <w:t>xamination of primary sources</w:t>
      </w:r>
      <w:r>
        <w:t>,</w:t>
      </w:r>
      <w:r w:rsidR="00451411">
        <w:t xml:space="preserve"> and extensive reading of secondary sources. Visiting archives eg British Library and National Archive. Looking at online </w:t>
      </w:r>
      <w:r w:rsidR="00451411">
        <w:lastRenderedPageBreak/>
        <w:t xml:space="preserve">digital archives. </w:t>
      </w:r>
      <w:r w:rsidR="00110C8B">
        <w:t xml:space="preserve">Site visits and collaboration with other historians working on connected projects. </w:t>
      </w:r>
    </w:p>
    <w:p w14:paraId="4CFBD59F" w14:textId="0DFAC413" w:rsidR="00507ABC" w:rsidRDefault="00451411" w:rsidP="00507ABC">
      <w:r>
        <w:t xml:space="preserve">Burton’s </w:t>
      </w:r>
      <w:proofErr w:type="gramStart"/>
      <w:r>
        <w:t>article in particular, demonstrates</w:t>
      </w:r>
      <w:proofErr w:type="gramEnd"/>
      <w:r>
        <w:t xml:space="preserve"> a great deal of cross-referencing of primary sources</w:t>
      </w:r>
      <w:r w:rsidR="00110C8B">
        <w:t xml:space="preserve"> as well as using academic reference books. Webster has looked in detail at a particular text to consider matters of authorship and a timeline for its construction.</w:t>
      </w:r>
    </w:p>
    <w:p w14:paraId="63DD662B" w14:textId="743F1857" w:rsidR="00507ABC" w:rsidRDefault="00507ABC" w:rsidP="00507ABC">
      <w:pPr>
        <w:tabs>
          <w:tab w:val="left" w:pos="1972"/>
        </w:tabs>
      </w:pPr>
    </w:p>
    <w:p w14:paraId="3077944F" w14:textId="090741FD" w:rsidR="00507ABC" w:rsidRDefault="00507ABC">
      <w:r>
        <w:rPr>
          <w:b/>
          <w:bCs/>
        </w:rPr>
        <w:t>What primary sources were used by the authors?</w:t>
      </w:r>
      <w:r w:rsidR="00110C8B">
        <w:rPr>
          <w:b/>
          <w:bCs/>
        </w:rPr>
        <w:t xml:space="preserve"> Why were they chosen? How were they accessed?</w:t>
      </w:r>
    </w:p>
    <w:p w14:paraId="3AEC498E" w14:textId="381407B2" w:rsidR="00A0671C" w:rsidRDefault="00E12098">
      <w:r>
        <w:t xml:space="preserve">Webster is an </w:t>
      </w:r>
      <w:r w:rsidR="00110C8B">
        <w:t>in-depth</w:t>
      </w:r>
      <w:r>
        <w:t xml:space="preserve"> study of a particular document </w:t>
      </w:r>
      <w:r w:rsidR="00A645B9">
        <w:t>and its implications</w:t>
      </w:r>
      <w:r w:rsidR="00110C8B">
        <w:t xml:space="preserve">. The article draws on </w:t>
      </w:r>
      <w:r>
        <w:t xml:space="preserve">three </w:t>
      </w:r>
      <w:r w:rsidR="00110C8B">
        <w:t>presentations</w:t>
      </w:r>
      <w:r>
        <w:t xml:space="preserve"> of it</w:t>
      </w:r>
      <w:r w:rsidR="00A645B9">
        <w:t>:</w:t>
      </w:r>
    </w:p>
    <w:p w14:paraId="30FC35FD" w14:textId="40355451" w:rsidR="00A0671C" w:rsidRPr="00A0671C" w:rsidRDefault="00A0671C">
      <w:r>
        <w:t>The manuscript itself – London, British Library, Cotton MS Tiberius A. X</w:t>
      </w:r>
    </w:p>
    <w:p w14:paraId="1EDF22A4" w14:textId="5E2397D4" w:rsidR="00E12098" w:rsidRDefault="00A0671C">
      <w:r>
        <w:t>A 19</w:t>
      </w:r>
      <w:r w:rsidRPr="00A0671C">
        <w:rPr>
          <w:vertAlign w:val="superscript"/>
        </w:rPr>
        <w:t>th</w:t>
      </w:r>
      <w:r>
        <w:t xml:space="preserve"> century edition </w:t>
      </w:r>
      <w:r w:rsidR="00E63149">
        <w:t xml:space="preserve">- </w:t>
      </w:r>
      <w:r>
        <w:rPr>
          <w:i/>
          <w:iCs/>
        </w:rPr>
        <w:t>Annales Prioratus de Dunstaplia,</w:t>
      </w:r>
      <w:r>
        <w:t xml:space="preserve"> in </w:t>
      </w:r>
      <w:r>
        <w:rPr>
          <w:i/>
          <w:iCs/>
        </w:rPr>
        <w:t xml:space="preserve">Annales monastici, III: Annales prioratus de Dunstaplia (A&gt;D&gt;1-1297); Annales monasterii de Bermundeseia (A&gt;A&gt; 1042-1432), </w:t>
      </w:r>
      <w:r>
        <w:t>ed. By Henry Richards Luard, Rerum Britannicarum medii aevi scriptores, 36 (</w:t>
      </w:r>
      <w:proofErr w:type="gramStart"/>
      <w:r>
        <w:t>London:Longman</w:t>
      </w:r>
      <w:proofErr w:type="gramEnd"/>
      <w:r>
        <w:t>, Green, Reader and Dyer, 1866), pp3-408</w:t>
      </w:r>
    </w:p>
    <w:p w14:paraId="7823201A" w14:textId="21F9536F" w:rsidR="00E63149" w:rsidRDefault="00E63149">
      <w:r>
        <w:t xml:space="preserve">And a modern English translation – </w:t>
      </w:r>
      <w:r>
        <w:rPr>
          <w:i/>
          <w:iCs/>
        </w:rPr>
        <w:t xml:space="preserve">The Annals of Dunstable Priory, </w:t>
      </w:r>
      <w:r>
        <w:t>ed. By Harriet</w:t>
      </w:r>
      <w:r w:rsidR="00A645B9">
        <w:t>t</w:t>
      </w:r>
      <w:r>
        <w:t xml:space="preserve"> Webster and trans. By David Preest (Woodbridge: Boydell and Drewer, 2018)</w:t>
      </w:r>
    </w:p>
    <w:p w14:paraId="175082DA" w14:textId="77777777" w:rsidR="00D94D2F" w:rsidRDefault="00D94D2F"/>
    <w:p w14:paraId="74835C1C" w14:textId="212343CF" w:rsidR="00D94D2F" w:rsidRDefault="00D94D2F">
      <w:r>
        <w:t xml:space="preserve">Tiberius A.X will have been accessed at the British Library in London. </w:t>
      </w:r>
      <w:r w:rsidR="00A00963">
        <w:t xml:space="preserve">It has been damaged by fire and the Latin within it will be difficult to decipher. </w:t>
      </w:r>
      <w:r>
        <w:t>Luard’s edition (used by Webster for Latin quotations) is available through academic libraries (</w:t>
      </w:r>
      <w:proofErr w:type="gramStart"/>
      <w:r>
        <w:t>and also</w:t>
      </w:r>
      <w:proofErr w:type="gramEnd"/>
      <w:r>
        <w:t xml:space="preserve"> digital platforms as it is in the public domain), and Preest’s translation </w:t>
      </w:r>
      <w:r w:rsidR="00A00963">
        <w:t xml:space="preserve">(used by Webster for English quotations) </w:t>
      </w:r>
      <w:r>
        <w:t>is widely available</w:t>
      </w:r>
      <w:r w:rsidR="00A00963">
        <w:t>. These are three different versions of the same primary source, each serving a different function.</w:t>
      </w:r>
    </w:p>
    <w:p w14:paraId="03433458" w14:textId="77777777" w:rsidR="00E63149" w:rsidRDefault="00E63149"/>
    <w:p w14:paraId="5752FD0D" w14:textId="20B32134" w:rsidR="00580068" w:rsidRDefault="00E63149">
      <w:r>
        <w:t xml:space="preserve">Burton draws on a much wider range of primary sources for her study of </w:t>
      </w:r>
      <w:r w:rsidR="00E43462">
        <w:t>a series of incidents at Strata Florida.</w:t>
      </w:r>
      <w:r w:rsidR="003A4CC4">
        <w:t xml:space="preserve"> These are used to clarify names, dates and events, as well as to provide a contemporary voice.</w:t>
      </w:r>
    </w:p>
    <w:p w14:paraId="3BE6EE06" w14:textId="63BCCC88" w:rsidR="00580068" w:rsidRPr="007D66CC" w:rsidRDefault="00580068">
      <w:r>
        <w:t xml:space="preserve">She has consulted </w:t>
      </w:r>
      <w:r w:rsidR="003A4CC4">
        <w:t>multiple</w:t>
      </w:r>
      <w:r>
        <w:t xml:space="preserve"> official documents from the time, including </w:t>
      </w:r>
      <w:r w:rsidR="007D66CC">
        <w:t>Charter Rolls, Close Rolls, and Patent Rolls.</w:t>
      </w:r>
    </w:p>
    <w:p w14:paraId="04D4EB1D" w14:textId="2B55B4A6" w:rsidR="00A00963" w:rsidRDefault="005379EF">
      <w:r>
        <w:t xml:space="preserve">Many of these have been accessed through The National Archives (TNA). I think Burton has accessed the original documents in person at Kew – they can also be </w:t>
      </w:r>
      <w:r w:rsidR="003A4CC4">
        <w:t xml:space="preserve">ordered and </w:t>
      </w:r>
      <w:r>
        <w:t>viewed online but the footnotes don’t mention this.</w:t>
      </w:r>
    </w:p>
    <w:p w14:paraId="6544A201" w14:textId="25C916C8" w:rsidR="00725B8F" w:rsidRDefault="007D66CC">
      <w:r>
        <w:lastRenderedPageBreak/>
        <w:t xml:space="preserve">Burton also references Calendars in her footnotes (eg </w:t>
      </w:r>
      <w:r w:rsidR="009A15B9">
        <w:rPr>
          <w:i/>
          <w:iCs/>
        </w:rPr>
        <w:t>Calendar of the Charter Rolls/Calendar of the Close Rolls/Calendar of the Patent Rolls</w:t>
      </w:r>
      <w:r>
        <w:t>)</w:t>
      </w:r>
      <w:r w:rsidR="009A15B9">
        <w:rPr>
          <w:i/>
          <w:iCs/>
        </w:rPr>
        <w:t xml:space="preserve"> </w:t>
      </w:r>
      <w:r w:rsidR="009A15B9">
        <w:t xml:space="preserve">– these are summaries of the information on original manuscripts </w:t>
      </w:r>
      <w:r w:rsidR="000F7590">
        <w:t>compiled</w:t>
      </w:r>
      <w:r w:rsidR="009A15B9">
        <w:t xml:space="preserve"> and published by H.</w:t>
      </w:r>
      <w:proofErr w:type="gramStart"/>
      <w:r w:rsidR="009A15B9">
        <w:t>M.Station</w:t>
      </w:r>
      <w:r w:rsidR="000F7590">
        <w:t>e</w:t>
      </w:r>
      <w:r w:rsidR="009A15B9">
        <w:t>ry</w:t>
      </w:r>
      <w:proofErr w:type="gramEnd"/>
      <w:r w:rsidR="009A15B9">
        <w:t xml:space="preserve"> Office in the first part of the 20</w:t>
      </w:r>
      <w:r w:rsidR="009A15B9" w:rsidRPr="009A15B9">
        <w:rPr>
          <w:vertAlign w:val="superscript"/>
        </w:rPr>
        <w:t>th</w:t>
      </w:r>
      <w:r w:rsidR="009A15B9">
        <w:t xml:space="preserve"> century.</w:t>
      </w:r>
      <w:r>
        <w:t xml:space="preserve"> Very often the archive documents that she cites are also accessible through the calendars.</w:t>
      </w:r>
    </w:p>
    <w:p w14:paraId="0F9983DB" w14:textId="56E44278" w:rsidR="00725B8F" w:rsidRDefault="00725B8F">
      <w:r>
        <w:rPr>
          <w:i/>
          <w:iCs/>
        </w:rPr>
        <w:t xml:space="preserve">Littere Wallie </w:t>
      </w:r>
      <w:r>
        <w:t>– this is a primary source which Burton has accessed via a transcription made by Goronwy Edwards, published in 1940</w:t>
      </w:r>
    </w:p>
    <w:p w14:paraId="0E9A16B0" w14:textId="49BF8331" w:rsidR="00725B8F" w:rsidRDefault="00725B8F">
      <w:r>
        <w:rPr>
          <w:i/>
          <w:iCs/>
        </w:rPr>
        <w:t xml:space="preserve">Brut y Tywysogyon, </w:t>
      </w:r>
      <w:proofErr w:type="gramStart"/>
      <w:r>
        <w:rPr>
          <w:i/>
          <w:iCs/>
        </w:rPr>
        <w:t>or,</w:t>
      </w:r>
      <w:proofErr w:type="gramEnd"/>
      <w:r>
        <w:rPr>
          <w:i/>
          <w:iCs/>
        </w:rPr>
        <w:t xml:space="preserve"> the Chronicle of the Princes: Red Book of Hergest Version </w:t>
      </w:r>
      <w:r>
        <w:t>– this primary source has been accessed through Thomas Jones’ 1955 translation. The original manuscript is in Middle Welsh and housed at Jesus College Oxford.</w:t>
      </w:r>
    </w:p>
    <w:p w14:paraId="582530DB" w14:textId="00666FF6" w:rsidR="007D66CC" w:rsidRPr="007D66CC" w:rsidRDefault="007D66CC">
      <w:r>
        <w:t xml:space="preserve">Gwilym Dodd and Alison K, McHardy (eds), </w:t>
      </w:r>
      <w:r>
        <w:rPr>
          <w:i/>
          <w:iCs/>
        </w:rPr>
        <w:t xml:space="preserve">Petitions to the Crown from English Religious Houses c. 1272-c. 1485, </w:t>
      </w:r>
      <w:r>
        <w:t>Canterbury and York Society, 100 (2010) – this is a collection of source documents presented as transcriptions in their original languages.</w:t>
      </w:r>
      <w:r w:rsidR="00CA7CF9">
        <w:t xml:space="preserve"> It includes summaries in English as well as TNA catalogue references </w:t>
      </w:r>
      <w:r>
        <w:t xml:space="preserve"> </w:t>
      </w:r>
    </w:p>
    <w:p w14:paraId="2DB01DE0" w14:textId="77777777" w:rsidR="00725B8F" w:rsidRPr="009A15B9" w:rsidRDefault="00725B8F"/>
    <w:p w14:paraId="6C0DD6E2" w14:textId="00D4407D" w:rsidR="00A0671C" w:rsidRDefault="00CA7CF9">
      <w:pPr>
        <w:rPr>
          <w:b/>
          <w:bCs/>
        </w:rPr>
      </w:pPr>
      <w:r>
        <w:rPr>
          <w:b/>
          <w:bCs/>
        </w:rPr>
        <w:t>How does the authors’ use of primary sources inform their arguments?</w:t>
      </w:r>
    </w:p>
    <w:p w14:paraId="3120FD8F" w14:textId="2FEA38A7" w:rsidR="00D92872" w:rsidRDefault="00CA7CF9">
      <w:r>
        <w:t xml:space="preserve">Webster – the author </w:t>
      </w:r>
      <w:r w:rsidR="00D92872">
        <w:t>establishes</w:t>
      </w:r>
      <w:r>
        <w:t xml:space="preserve"> polyvocal authorship of the annals by referencing ‘changes in ink and hand’</w:t>
      </w:r>
      <w:r w:rsidR="009B7BC3">
        <w:t xml:space="preserve"> </w:t>
      </w:r>
      <w:r w:rsidR="009B7BC3">
        <w:rPr>
          <w:rStyle w:val="FootnoteReference"/>
        </w:rPr>
        <w:footnoteReference w:id="4"/>
      </w:r>
      <w:r w:rsidR="009B7BC3">
        <w:t xml:space="preserve"> </w:t>
      </w:r>
      <w:r>
        <w:t>which can be seen on the original document, but obviously not on the transcription or translation.</w:t>
      </w:r>
      <w:r w:rsidR="003A4CC4">
        <w:t xml:space="preserve"> </w:t>
      </w:r>
      <w:r>
        <w:t xml:space="preserve">She highlights changes in writing style </w:t>
      </w:r>
      <w:r>
        <w:rPr>
          <w:rStyle w:val="FootnoteReference"/>
        </w:rPr>
        <w:footnoteReference w:id="5"/>
      </w:r>
      <w:r w:rsidR="00D92872">
        <w:t xml:space="preserve"> to demonstrate when the writer is reflecting the views of the community, or ‘addressing the reader directly’.</w:t>
      </w:r>
      <w:r w:rsidR="003A4CC4">
        <w:rPr>
          <w:rStyle w:val="FootnoteReference"/>
        </w:rPr>
        <w:footnoteReference w:id="6"/>
      </w:r>
      <w:r w:rsidR="003A4CC4">
        <w:t xml:space="preserve"> </w:t>
      </w:r>
      <w:r w:rsidR="00613204">
        <w:t>Extracts from</w:t>
      </w:r>
      <w:r w:rsidR="00D92872">
        <w:t xml:space="preserve"> Luard’s Latin transcription </w:t>
      </w:r>
      <w:r w:rsidR="00613204">
        <w:t>are</w:t>
      </w:r>
      <w:r w:rsidR="00D92872">
        <w:t xml:space="preserve"> used alongside Preest’s English translation to clarify.</w:t>
      </w:r>
    </w:p>
    <w:p w14:paraId="3D938A29" w14:textId="4F6B1003" w:rsidR="00D92872" w:rsidRDefault="00D92872">
      <w:r>
        <w:t xml:space="preserve">Burton </w:t>
      </w:r>
      <w:r w:rsidR="002262CD">
        <w:t>is looking at authority at Strata Florida and</w:t>
      </w:r>
      <w:r>
        <w:t xml:space="preserve"> uses quotations from TNA documents</w:t>
      </w:r>
      <w:r w:rsidR="002262CD">
        <w:t>, in this case petitions,</w:t>
      </w:r>
      <w:r>
        <w:t xml:space="preserve"> to demonstrate the way in which 14</w:t>
      </w:r>
      <w:r w:rsidRPr="00D92872">
        <w:rPr>
          <w:vertAlign w:val="superscript"/>
        </w:rPr>
        <w:t>th</w:t>
      </w:r>
      <w:r>
        <w:t xml:space="preserve"> century Welsh abbots acknowledged the patronage of the English Crown </w:t>
      </w:r>
      <w:r>
        <w:rPr>
          <w:rStyle w:val="FootnoteReference"/>
        </w:rPr>
        <w:footnoteReference w:id="7"/>
      </w:r>
      <w:r w:rsidR="000F7590">
        <w:t>.</w:t>
      </w:r>
    </w:p>
    <w:p w14:paraId="509BD032" w14:textId="0BF869C2" w:rsidR="002262CD" w:rsidRDefault="002262CD">
      <w:r>
        <w:t>In both cases, the primary sources give definitive evidence from the time by which the authors can justify their arguments. The footnotes give sufficient information for the reader to follow the same line of enquiry.</w:t>
      </w:r>
    </w:p>
    <w:p w14:paraId="5147CC00" w14:textId="77777777" w:rsidR="002262CD" w:rsidRDefault="002262CD"/>
    <w:p w14:paraId="5CD8587C" w14:textId="77777777" w:rsidR="002262CD" w:rsidRDefault="002262CD"/>
    <w:p w14:paraId="3E3DE75B" w14:textId="77777777" w:rsidR="000F7590" w:rsidRDefault="000F7590"/>
    <w:p w14:paraId="68EACB4E" w14:textId="47A8A7E9" w:rsidR="002262CD" w:rsidRDefault="002262CD">
      <w:pPr>
        <w:rPr>
          <w:b/>
          <w:bCs/>
        </w:rPr>
      </w:pPr>
      <w:r>
        <w:rPr>
          <w:b/>
          <w:bCs/>
        </w:rPr>
        <w:lastRenderedPageBreak/>
        <w:t>List the different types of primary source</w:t>
      </w:r>
    </w:p>
    <w:p w14:paraId="6FC9966D" w14:textId="5C1D66C6" w:rsidR="002262CD" w:rsidRDefault="00E13AEA">
      <w:r>
        <w:t xml:space="preserve">Original manuscripts eg Tiberius A. X </w:t>
      </w:r>
    </w:p>
    <w:p w14:paraId="6BEE7087" w14:textId="43D1C8BD" w:rsidR="00E13AEA" w:rsidRDefault="00E13AEA">
      <w:r>
        <w:t xml:space="preserve">Transcriptions of original documents eg </w:t>
      </w:r>
      <w:r>
        <w:rPr>
          <w:i/>
          <w:iCs/>
        </w:rPr>
        <w:t xml:space="preserve">Littere Walli </w:t>
      </w:r>
      <w:r>
        <w:t xml:space="preserve">(Edwards 1941) – these are in the original language of </w:t>
      </w:r>
      <w:proofErr w:type="gramStart"/>
      <w:r>
        <w:t>writing, but</w:t>
      </w:r>
      <w:proofErr w:type="gramEnd"/>
      <w:r>
        <w:t xml:space="preserve"> cleaned up and typeset.</w:t>
      </w:r>
    </w:p>
    <w:p w14:paraId="4E89480E" w14:textId="5CE074A4" w:rsidR="00E13AEA" w:rsidRDefault="00E13AEA">
      <w:r>
        <w:t xml:space="preserve">‘Calendars’ of documents – usually published in the </w:t>
      </w:r>
      <w:r w:rsidR="00613204">
        <w:t>late 19</w:t>
      </w:r>
      <w:r w:rsidR="00613204" w:rsidRPr="00613204">
        <w:rPr>
          <w:vertAlign w:val="superscript"/>
        </w:rPr>
        <w:t>th</w:t>
      </w:r>
      <w:r w:rsidR="00613204">
        <w:t xml:space="preserve"> and </w:t>
      </w:r>
      <w:r>
        <w:t>early 20</w:t>
      </w:r>
      <w:r w:rsidRPr="00E13AEA">
        <w:rPr>
          <w:vertAlign w:val="superscript"/>
        </w:rPr>
        <w:t>th</w:t>
      </w:r>
      <w:r>
        <w:t xml:space="preserve"> centur</w:t>
      </w:r>
      <w:r w:rsidR="00613204">
        <w:t>ies</w:t>
      </w:r>
      <w:r>
        <w:t>. Transcribed in original language.</w:t>
      </w:r>
    </w:p>
    <w:p w14:paraId="04239329" w14:textId="29E7A49A" w:rsidR="00E13AEA" w:rsidRDefault="00E13AEA" w:rsidP="00E13AEA">
      <w:r>
        <w:t xml:space="preserve">Translations of original documents </w:t>
      </w:r>
      <w:proofErr w:type="gramStart"/>
      <w:r>
        <w:t xml:space="preserve">eg  </w:t>
      </w:r>
      <w:r>
        <w:rPr>
          <w:i/>
          <w:iCs/>
        </w:rPr>
        <w:t>The</w:t>
      </w:r>
      <w:proofErr w:type="gramEnd"/>
      <w:r>
        <w:rPr>
          <w:i/>
          <w:iCs/>
        </w:rPr>
        <w:t xml:space="preserve"> Annals of Dunstable Priory, </w:t>
      </w:r>
      <w:r>
        <w:t>ed. By Harriet</w:t>
      </w:r>
      <w:r w:rsidR="00613204">
        <w:t>t</w:t>
      </w:r>
      <w:r>
        <w:t xml:space="preserve"> Webster and trans. By David Preest (Woodbridge: Boydell and Drewer, 2018)</w:t>
      </w:r>
    </w:p>
    <w:p w14:paraId="29FF2E35" w14:textId="70B9DEC3" w:rsidR="00E13AEA" w:rsidRDefault="00E13AEA" w:rsidP="00E13AEA">
      <w:r>
        <w:t xml:space="preserve">Collections of primary source documents eg Gwilym Dodd and Alison K, McHardy (eds), </w:t>
      </w:r>
      <w:r>
        <w:rPr>
          <w:i/>
          <w:iCs/>
        </w:rPr>
        <w:t xml:space="preserve">Petitions to the Crown from English Religious Houses c. 1272-c. 1485, </w:t>
      </w:r>
      <w:r>
        <w:t>Canterbury and York Society, 100 (2010) – this is a collection of source documents presented as transcriptions in their original languages. It also includes summaries in English as well as TNA catalogue references.</w:t>
      </w:r>
    </w:p>
    <w:p w14:paraId="7D3E7EE8" w14:textId="77777777" w:rsidR="00E13AEA" w:rsidRDefault="00E13AEA" w:rsidP="00E13AEA"/>
    <w:p w14:paraId="0A66EE4D" w14:textId="19514747" w:rsidR="00E13AEA" w:rsidRDefault="00E13AEA" w:rsidP="00E13AEA">
      <w:pPr>
        <w:rPr>
          <w:b/>
          <w:bCs/>
        </w:rPr>
      </w:pPr>
      <w:r>
        <w:rPr>
          <w:b/>
          <w:bCs/>
        </w:rPr>
        <w:t>List any archives</w:t>
      </w:r>
      <w:r w:rsidR="00791E28">
        <w:rPr>
          <w:b/>
          <w:bCs/>
        </w:rPr>
        <w:t xml:space="preserve"> that you can identify</w:t>
      </w:r>
    </w:p>
    <w:p w14:paraId="3CCFDE99" w14:textId="77777777" w:rsidR="00613204" w:rsidRDefault="00791E28" w:rsidP="00E13AEA">
      <w:r>
        <w:t>The National Archive, Kew</w:t>
      </w:r>
    </w:p>
    <w:p w14:paraId="52B9663C" w14:textId="0F409CE6" w:rsidR="00791E28" w:rsidRDefault="00791E28" w:rsidP="00E13AEA">
      <w:r>
        <w:t>The British Library</w:t>
      </w:r>
    </w:p>
    <w:p w14:paraId="12E6BE36" w14:textId="550840A4" w:rsidR="00791E28" w:rsidRDefault="00791E28" w:rsidP="00E13AEA">
      <w:r>
        <w:t>Jesus College, Oxford</w:t>
      </w:r>
    </w:p>
    <w:p w14:paraId="20671601" w14:textId="77777777" w:rsidR="00791E28" w:rsidRDefault="00791E28" w:rsidP="00E13AEA"/>
    <w:p w14:paraId="4D6742D6" w14:textId="069C5938" w:rsidR="00791E28" w:rsidRDefault="00791E28" w:rsidP="00E13AEA">
      <w:pPr>
        <w:rPr>
          <w:b/>
          <w:bCs/>
        </w:rPr>
      </w:pPr>
      <w:r>
        <w:rPr>
          <w:b/>
          <w:bCs/>
        </w:rPr>
        <w:t>Online Sources</w:t>
      </w:r>
    </w:p>
    <w:p w14:paraId="183DCB65" w14:textId="730132BC" w:rsidR="00791E28" w:rsidRPr="00791E28" w:rsidRDefault="00791E28" w:rsidP="00E13AEA">
      <w:r>
        <w:t xml:space="preserve">Neither article cites online resources, but the TNA citations </w:t>
      </w:r>
      <w:r w:rsidR="00613204">
        <w:t xml:space="preserve">in Burton </w:t>
      </w:r>
      <w:r>
        <w:t>can be found online through the TNA website. The Calendars of the Rolls can be accessed via the Internet Archive.</w:t>
      </w:r>
    </w:p>
    <w:p w14:paraId="026508CF" w14:textId="3D9C7674" w:rsidR="00E13AEA" w:rsidRDefault="00E13AEA" w:rsidP="00E13AEA"/>
    <w:p w14:paraId="6E797E7B" w14:textId="63D14E47" w:rsidR="00E13AEA" w:rsidRPr="00E13AEA" w:rsidRDefault="00E13AEA"/>
    <w:sectPr w:rsidR="00E13AEA" w:rsidRPr="00E13A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558062" w14:textId="77777777" w:rsidR="00EF7982" w:rsidRDefault="00EF7982" w:rsidP="00CA7CF9">
      <w:pPr>
        <w:spacing w:after="0" w:line="240" w:lineRule="auto"/>
      </w:pPr>
      <w:r>
        <w:separator/>
      </w:r>
    </w:p>
  </w:endnote>
  <w:endnote w:type="continuationSeparator" w:id="0">
    <w:p w14:paraId="7209D846" w14:textId="77777777" w:rsidR="00EF7982" w:rsidRDefault="00EF7982" w:rsidP="00CA7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8FDC27" w14:textId="77777777" w:rsidR="00EF7982" w:rsidRDefault="00EF7982" w:rsidP="00CA7CF9">
      <w:pPr>
        <w:spacing w:after="0" w:line="240" w:lineRule="auto"/>
      </w:pPr>
      <w:r>
        <w:separator/>
      </w:r>
    </w:p>
  </w:footnote>
  <w:footnote w:type="continuationSeparator" w:id="0">
    <w:p w14:paraId="3ECC199C" w14:textId="77777777" w:rsidR="00EF7982" w:rsidRDefault="00EF7982" w:rsidP="00CA7CF9">
      <w:pPr>
        <w:spacing w:after="0" w:line="240" w:lineRule="auto"/>
      </w:pPr>
      <w:r>
        <w:continuationSeparator/>
      </w:r>
    </w:p>
  </w:footnote>
  <w:footnote w:id="1">
    <w:p w14:paraId="642C40FA" w14:textId="232736F6" w:rsidR="00A645B9" w:rsidRDefault="00A645B9">
      <w:pPr>
        <w:pStyle w:val="FootnoteText"/>
      </w:pPr>
      <w:r>
        <w:rPr>
          <w:rStyle w:val="FootnoteReference"/>
        </w:rPr>
        <w:footnoteRef/>
      </w:r>
      <w:r>
        <w:t xml:space="preserve"> Harriett R Webster, ‘</w:t>
      </w:r>
      <w:r>
        <w:rPr>
          <w:i/>
          <w:iCs/>
        </w:rPr>
        <w:t>The Annals of Dunstable Priory:</w:t>
      </w:r>
      <w:r>
        <w:t xml:space="preserve"> From Living Memory to Written Record in a Thirteenth-Century Textual Community,’ Journal of Medieval Monastic Studies 9 (2020): p148</w:t>
      </w:r>
    </w:p>
  </w:footnote>
  <w:footnote w:id="2">
    <w:p w14:paraId="36600552" w14:textId="29D22C90" w:rsidR="00A645B9" w:rsidRDefault="00A645B9">
      <w:pPr>
        <w:pStyle w:val="FootnoteText"/>
      </w:pPr>
      <w:r>
        <w:rPr>
          <w:rStyle w:val="FootnoteReference"/>
        </w:rPr>
        <w:footnoteRef/>
      </w:r>
      <w:r>
        <w:t xml:space="preserve"> Janet E Burton, ‘Authority and Conflict at the Cistercian Abbey of Strata Florida,’ </w:t>
      </w:r>
      <w:r>
        <w:rPr>
          <w:i/>
          <w:iCs/>
        </w:rPr>
        <w:t xml:space="preserve">Welsh History Review/Cylchgrawn Hanes Cymru, 29/3 </w:t>
      </w:r>
      <w:r>
        <w:t>(2019</w:t>
      </w:r>
      <w:proofErr w:type="gramStart"/>
      <w:r>
        <w:t>):p</w:t>
      </w:r>
      <w:proofErr w:type="gramEnd"/>
      <w:r>
        <w:t>380</w:t>
      </w:r>
    </w:p>
  </w:footnote>
  <w:footnote w:id="3">
    <w:p w14:paraId="35192665" w14:textId="5DBFD3A5" w:rsidR="00451411" w:rsidRDefault="00451411">
      <w:pPr>
        <w:pStyle w:val="FootnoteText"/>
      </w:pPr>
      <w:r>
        <w:rPr>
          <w:rStyle w:val="FootnoteReference"/>
        </w:rPr>
        <w:footnoteRef/>
      </w:r>
      <w:r>
        <w:t xml:space="preserve"> Burton p380</w:t>
      </w:r>
    </w:p>
  </w:footnote>
  <w:footnote w:id="4">
    <w:p w14:paraId="74783CD9" w14:textId="4344786B" w:rsidR="009B7BC3" w:rsidRPr="009B7BC3" w:rsidRDefault="009B7BC3">
      <w:pPr>
        <w:pStyle w:val="FootnoteText"/>
      </w:pPr>
      <w:r>
        <w:rPr>
          <w:rStyle w:val="FootnoteReference"/>
        </w:rPr>
        <w:footnoteRef/>
      </w:r>
      <w:r>
        <w:t xml:space="preserve"> </w:t>
      </w:r>
      <w:r w:rsidR="00A645B9">
        <w:t>Webster</w:t>
      </w:r>
      <w:r>
        <w:t xml:space="preserve"> p150</w:t>
      </w:r>
    </w:p>
  </w:footnote>
  <w:footnote w:id="5">
    <w:p w14:paraId="6DF766A2" w14:textId="168B9CC3" w:rsidR="00CA7CF9" w:rsidRDefault="00CA7CF9">
      <w:pPr>
        <w:pStyle w:val="FootnoteText"/>
      </w:pPr>
      <w:r>
        <w:rPr>
          <w:rStyle w:val="FootnoteReference"/>
        </w:rPr>
        <w:footnoteRef/>
      </w:r>
      <w:r>
        <w:t xml:space="preserve"> Webster p151</w:t>
      </w:r>
    </w:p>
  </w:footnote>
  <w:footnote w:id="6">
    <w:p w14:paraId="21E38F12" w14:textId="43E5002C" w:rsidR="003A4CC4" w:rsidRDefault="003A4CC4">
      <w:pPr>
        <w:pStyle w:val="FootnoteText"/>
      </w:pPr>
      <w:r>
        <w:rPr>
          <w:rStyle w:val="FootnoteReference"/>
        </w:rPr>
        <w:footnoteRef/>
      </w:r>
      <w:r>
        <w:t xml:space="preserve"> Webster p151</w:t>
      </w:r>
    </w:p>
  </w:footnote>
  <w:footnote w:id="7">
    <w:p w14:paraId="2D1034AA" w14:textId="3D463A66" w:rsidR="00D92872" w:rsidRDefault="00D92872">
      <w:pPr>
        <w:pStyle w:val="FootnoteText"/>
      </w:pPr>
      <w:r>
        <w:rPr>
          <w:rStyle w:val="FootnoteReference"/>
        </w:rPr>
        <w:footnoteRef/>
      </w:r>
      <w:r>
        <w:t xml:space="preserve"> </w:t>
      </w:r>
      <w:r w:rsidR="009B7BC3">
        <w:t xml:space="preserve">Janet E Burton, ‘Authority and Conflict at the Cistercian Abbey of Strata Florida,’ </w:t>
      </w:r>
      <w:r w:rsidR="009B7BC3">
        <w:rPr>
          <w:i/>
          <w:iCs/>
        </w:rPr>
        <w:t xml:space="preserve">Welsh History Review/Cylchgrawn Hanes Cymru, 29/3 </w:t>
      </w:r>
      <w:r w:rsidR="009B7BC3">
        <w:t xml:space="preserve">(2019): </w:t>
      </w:r>
      <w:r w:rsidR="002262CD">
        <w:t>p 382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39481F"/>
    <w:multiLevelType w:val="multilevel"/>
    <w:tmpl w:val="326C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292C7D"/>
    <w:multiLevelType w:val="multilevel"/>
    <w:tmpl w:val="0BB2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5963993">
    <w:abstractNumId w:val="1"/>
  </w:num>
  <w:num w:numId="2" w16cid:durableId="47306469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47"/>
    <w:rsid w:val="000F7590"/>
    <w:rsid w:val="00110C8B"/>
    <w:rsid w:val="002262CD"/>
    <w:rsid w:val="003A4CC4"/>
    <w:rsid w:val="00451411"/>
    <w:rsid w:val="00507ABC"/>
    <w:rsid w:val="005379EF"/>
    <w:rsid w:val="00580068"/>
    <w:rsid w:val="00613204"/>
    <w:rsid w:val="00641A73"/>
    <w:rsid w:val="00662421"/>
    <w:rsid w:val="00725B8F"/>
    <w:rsid w:val="00791E28"/>
    <w:rsid w:val="007B592E"/>
    <w:rsid w:val="007D66CC"/>
    <w:rsid w:val="0097773D"/>
    <w:rsid w:val="009A15B9"/>
    <w:rsid w:val="009B7BC3"/>
    <w:rsid w:val="00A00963"/>
    <w:rsid w:val="00A0671C"/>
    <w:rsid w:val="00A12DAF"/>
    <w:rsid w:val="00A645B9"/>
    <w:rsid w:val="00BE72C7"/>
    <w:rsid w:val="00C13AA9"/>
    <w:rsid w:val="00C43A88"/>
    <w:rsid w:val="00CA7CF9"/>
    <w:rsid w:val="00D92872"/>
    <w:rsid w:val="00D94D2F"/>
    <w:rsid w:val="00E12098"/>
    <w:rsid w:val="00E13AEA"/>
    <w:rsid w:val="00E43462"/>
    <w:rsid w:val="00E63149"/>
    <w:rsid w:val="00EC4619"/>
    <w:rsid w:val="00EF7982"/>
    <w:rsid w:val="00F65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D9D4E9"/>
  <w15:chartTrackingRefBased/>
  <w15:docId w15:val="{49D0192F-2481-8945-892A-52B6AD436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E47"/>
    <w:rPr>
      <w:rFonts w:eastAsiaTheme="majorEastAsia" w:cstheme="majorBidi"/>
      <w:color w:val="272727" w:themeColor="text1" w:themeTint="D8"/>
    </w:rPr>
  </w:style>
  <w:style w:type="paragraph" w:styleId="Title">
    <w:name w:val="Title"/>
    <w:basedOn w:val="Normal"/>
    <w:next w:val="Normal"/>
    <w:link w:val="TitleChar"/>
    <w:uiPriority w:val="10"/>
    <w:qFormat/>
    <w:rsid w:val="00F65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E47"/>
    <w:pPr>
      <w:spacing w:before="160"/>
      <w:jc w:val="center"/>
    </w:pPr>
    <w:rPr>
      <w:i/>
      <w:iCs/>
      <w:color w:val="404040" w:themeColor="text1" w:themeTint="BF"/>
    </w:rPr>
  </w:style>
  <w:style w:type="character" w:customStyle="1" w:styleId="QuoteChar">
    <w:name w:val="Quote Char"/>
    <w:basedOn w:val="DefaultParagraphFont"/>
    <w:link w:val="Quote"/>
    <w:uiPriority w:val="29"/>
    <w:rsid w:val="00F65E47"/>
    <w:rPr>
      <w:i/>
      <w:iCs/>
      <w:color w:val="404040" w:themeColor="text1" w:themeTint="BF"/>
    </w:rPr>
  </w:style>
  <w:style w:type="paragraph" w:styleId="ListParagraph">
    <w:name w:val="List Paragraph"/>
    <w:basedOn w:val="Normal"/>
    <w:uiPriority w:val="34"/>
    <w:qFormat/>
    <w:rsid w:val="00F65E47"/>
    <w:pPr>
      <w:ind w:left="720"/>
      <w:contextualSpacing/>
    </w:pPr>
  </w:style>
  <w:style w:type="character" w:styleId="IntenseEmphasis">
    <w:name w:val="Intense Emphasis"/>
    <w:basedOn w:val="DefaultParagraphFont"/>
    <w:uiPriority w:val="21"/>
    <w:qFormat/>
    <w:rsid w:val="00F65E47"/>
    <w:rPr>
      <w:i/>
      <w:iCs/>
      <w:color w:val="0F4761" w:themeColor="accent1" w:themeShade="BF"/>
    </w:rPr>
  </w:style>
  <w:style w:type="paragraph" w:styleId="IntenseQuote">
    <w:name w:val="Intense Quote"/>
    <w:basedOn w:val="Normal"/>
    <w:next w:val="Normal"/>
    <w:link w:val="IntenseQuoteChar"/>
    <w:uiPriority w:val="30"/>
    <w:qFormat/>
    <w:rsid w:val="00F65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E47"/>
    <w:rPr>
      <w:i/>
      <w:iCs/>
      <w:color w:val="0F4761" w:themeColor="accent1" w:themeShade="BF"/>
    </w:rPr>
  </w:style>
  <w:style w:type="character" w:styleId="IntenseReference">
    <w:name w:val="Intense Reference"/>
    <w:basedOn w:val="DefaultParagraphFont"/>
    <w:uiPriority w:val="32"/>
    <w:qFormat/>
    <w:rsid w:val="00F65E47"/>
    <w:rPr>
      <w:b/>
      <w:bCs/>
      <w:smallCaps/>
      <w:color w:val="0F4761" w:themeColor="accent1" w:themeShade="BF"/>
      <w:spacing w:val="5"/>
    </w:rPr>
  </w:style>
  <w:style w:type="paragraph" w:styleId="FootnoteText">
    <w:name w:val="footnote text"/>
    <w:basedOn w:val="Normal"/>
    <w:link w:val="FootnoteTextChar"/>
    <w:uiPriority w:val="99"/>
    <w:semiHidden/>
    <w:unhideWhenUsed/>
    <w:rsid w:val="00CA7C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7CF9"/>
    <w:rPr>
      <w:sz w:val="20"/>
      <w:szCs w:val="20"/>
    </w:rPr>
  </w:style>
  <w:style w:type="character" w:styleId="FootnoteReference">
    <w:name w:val="footnote reference"/>
    <w:basedOn w:val="DefaultParagraphFont"/>
    <w:uiPriority w:val="99"/>
    <w:semiHidden/>
    <w:unhideWhenUsed/>
    <w:rsid w:val="00CA7CF9"/>
    <w:rPr>
      <w:vertAlign w:val="superscript"/>
    </w:rPr>
  </w:style>
  <w:style w:type="character" w:customStyle="1" w:styleId="apple-converted-space">
    <w:name w:val="apple-converted-space"/>
    <w:basedOn w:val="DefaultParagraphFont"/>
    <w:rsid w:val="00C13AA9"/>
  </w:style>
  <w:style w:type="character" w:styleId="Hyperlink">
    <w:name w:val="Hyperlink"/>
    <w:basedOn w:val="DefaultParagraphFont"/>
    <w:uiPriority w:val="99"/>
    <w:semiHidden/>
    <w:unhideWhenUsed/>
    <w:rsid w:val="00C13AA9"/>
    <w:rPr>
      <w:color w:val="0000FF"/>
      <w:u w:val="single"/>
    </w:rPr>
  </w:style>
  <w:style w:type="character" w:styleId="Emphasis">
    <w:name w:val="Emphasis"/>
    <w:basedOn w:val="DefaultParagraphFont"/>
    <w:uiPriority w:val="20"/>
    <w:qFormat/>
    <w:rsid w:val="00C13A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425683/mod_resource/content/1/Welsh%20History%20Review%20June%202019.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odle.uwtsd.ac.uk/pluginfile.php/425299/mod_resource/content/1/Harriett%20Webster_GREEN%20%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FA513-9483-444D-888F-ECF8A0B24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4</Pages>
  <Words>1105</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Wilson</dc:creator>
  <cp:keywords/>
  <dc:description/>
  <cp:lastModifiedBy>Amanda Wilson</cp:lastModifiedBy>
  <cp:revision>2</cp:revision>
  <cp:lastPrinted>2026-10-12T11:03:00Z</cp:lastPrinted>
  <dcterms:created xsi:type="dcterms:W3CDTF">2026-10-11T18:50:00Z</dcterms:created>
  <dcterms:modified xsi:type="dcterms:W3CDTF">2026-10-13T15:50:00Z</dcterms:modified>
</cp:coreProperties>
</file>