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8AE57" w14:textId="5FF0CC9B" w:rsidR="00A76049" w:rsidRDefault="00DD0D3C" w:rsidP="00DD0D3C">
      <w:pPr>
        <w:jc w:val="center"/>
        <w:rPr>
          <w:rFonts w:cstheme="minorHAnsi"/>
          <w:b/>
          <w:color w:val="373A3C"/>
          <w:sz w:val="28"/>
          <w:u w:val="single"/>
        </w:rPr>
      </w:pPr>
      <w:r w:rsidRPr="00DD0D3C">
        <w:rPr>
          <w:rFonts w:cstheme="minorHAnsi"/>
          <w:b/>
          <w:color w:val="373A3C"/>
          <w:sz w:val="28"/>
          <w:u w:val="single"/>
        </w:rPr>
        <w:t>Discuss the role of the royal women during the Amarna Age. To what exten</w:t>
      </w:r>
      <w:r w:rsidR="00AC73F9">
        <w:rPr>
          <w:rFonts w:cstheme="minorHAnsi"/>
          <w:b/>
          <w:color w:val="373A3C"/>
          <w:sz w:val="28"/>
          <w:u w:val="single"/>
        </w:rPr>
        <w:t>t</w:t>
      </w:r>
      <w:r w:rsidRPr="00DD0D3C">
        <w:rPr>
          <w:rFonts w:cstheme="minorHAnsi"/>
          <w:b/>
          <w:color w:val="373A3C"/>
          <w:sz w:val="28"/>
          <w:u w:val="single"/>
        </w:rPr>
        <w:t xml:space="preserve"> does their position fit into the development of the 18th dynasty before the Amarna Period? Refer your answer to particular women.</w:t>
      </w:r>
    </w:p>
    <w:p w14:paraId="6D25176B" w14:textId="790EE6CB" w:rsidR="00DD0D3C" w:rsidRDefault="007804AF" w:rsidP="00666B70">
      <w:pPr>
        <w:jc w:val="both"/>
        <w:rPr>
          <w:rFonts w:cstheme="minorHAnsi"/>
          <w:sz w:val="24"/>
        </w:rPr>
      </w:pPr>
      <w:r>
        <w:rPr>
          <w:rFonts w:cstheme="minorHAnsi"/>
          <w:sz w:val="24"/>
        </w:rPr>
        <w:t xml:space="preserve">In order to understand the position of the role of royal women during the Amarna age we must first </w:t>
      </w:r>
      <w:r w:rsidR="00DC69FB">
        <w:rPr>
          <w:rFonts w:cstheme="minorHAnsi"/>
          <w:sz w:val="24"/>
        </w:rPr>
        <w:t>look</w:t>
      </w:r>
      <w:r>
        <w:rPr>
          <w:rFonts w:cstheme="minorHAnsi"/>
          <w:sz w:val="24"/>
        </w:rPr>
        <w:t xml:space="preserve"> a</w:t>
      </w:r>
      <w:r w:rsidR="00CD01BD">
        <w:rPr>
          <w:rFonts w:cstheme="minorHAnsi"/>
          <w:sz w:val="24"/>
        </w:rPr>
        <w:t xml:space="preserve">t </w:t>
      </w:r>
      <w:r w:rsidR="00882942">
        <w:rPr>
          <w:rFonts w:cstheme="minorHAnsi"/>
          <w:sz w:val="24"/>
        </w:rPr>
        <w:t xml:space="preserve">how the </w:t>
      </w:r>
      <w:r w:rsidR="00CE4FD8">
        <w:rPr>
          <w:rFonts w:cstheme="minorHAnsi"/>
          <w:sz w:val="24"/>
        </w:rPr>
        <w:t xml:space="preserve">royal </w:t>
      </w:r>
      <w:r w:rsidR="00882942">
        <w:rPr>
          <w:rFonts w:cstheme="minorHAnsi"/>
          <w:sz w:val="24"/>
        </w:rPr>
        <w:t>woman</w:t>
      </w:r>
      <w:r w:rsidR="00CE4FD8">
        <w:rPr>
          <w:rFonts w:cstheme="minorHAnsi"/>
          <w:sz w:val="24"/>
        </w:rPr>
        <w:t>, specifically</w:t>
      </w:r>
      <w:r w:rsidR="00F96DCA">
        <w:rPr>
          <w:rFonts w:cstheme="minorHAnsi"/>
          <w:sz w:val="24"/>
        </w:rPr>
        <w:t xml:space="preserve"> particular queens,</w:t>
      </w:r>
      <w:r w:rsidR="00882942">
        <w:rPr>
          <w:rFonts w:cstheme="minorHAnsi"/>
          <w:sz w:val="24"/>
        </w:rPr>
        <w:t xml:space="preserve"> </w:t>
      </w:r>
      <w:r w:rsidR="007E1F40">
        <w:rPr>
          <w:rFonts w:cstheme="minorHAnsi"/>
          <w:sz w:val="24"/>
        </w:rPr>
        <w:t>of the 18</w:t>
      </w:r>
      <w:r w:rsidR="007E1F40" w:rsidRPr="007E1F40">
        <w:rPr>
          <w:rFonts w:cstheme="minorHAnsi"/>
          <w:sz w:val="24"/>
          <w:vertAlign w:val="superscript"/>
        </w:rPr>
        <w:t>th</w:t>
      </w:r>
      <w:r w:rsidR="007E1F40">
        <w:rPr>
          <w:rFonts w:cstheme="minorHAnsi"/>
          <w:sz w:val="24"/>
        </w:rPr>
        <w:t xml:space="preserve"> Dynasty </w:t>
      </w:r>
      <w:r w:rsidR="00ED46C5">
        <w:rPr>
          <w:rFonts w:cstheme="minorHAnsi"/>
          <w:sz w:val="24"/>
        </w:rPr>
        <w:t xml:space="preserve">before Amarna developed the </w:t>
      </w:r>
      <w:r w:rsidR="00F96DCA">
        <w:rPr>
          <w:rFonts w:cstheme="minorHAnsi"/>
          <w:sz w:val="24"/>
        </w:rPr>
        <w:t xml:space="preserve">position. </w:t>
      </w:r>
      <w:r w:rsidR="007B6A06">
        <w:rPr>
          <w:rFonts w:cstheme="minorHAnsi"/>
          <w:sz w:val="24"/>
        </w:rPr>
        <w:t xml:space="preserve">The main </w:t>
      </w:r>
      <w:r w:rsidR="00703383">
        <w:rPr>
          <w:rFonts w:cstheme="minorHAnsi"/>
          <w:sz w:val="24"/>
        </w:rPr>
        <w:t xml:space="preserve">figures that will be </w:t>
      </w:r>
      <w:r w:rsidR="007636DB">
        <w:rPr>
          <w:rFonts w:cstheme="minorHAnsi"/>
          <w:sz w:val="24"/>
        </w:rPr>
        <w:t xml:space="preserve">up for discussion </w:t>
      </w:r>
      <w:r w:rsidR="001828C7">
        <w:rPr>
          <w:rFonts w:cstheme="minorHAnsi"/>
          <w:sz w:val="24"/>
        </w:rPr>
        <w:t xml:space="preserve">that </w:t>
      </w:r>
      <w:r w:rsidR="007636DB">
        <w:rPr>
          <w:rFonts w:cstheme="minorHAnsi"/>
          <w:sz w:val="24"/>
        </w:rPr>
        <w:t>are from before the Amarna Age are</w:t>
      </w:r>
      <w:r w:rsidR="00CF1015">
        <w:rPr>
          <w:rFonts w:cstheme="minorHAnsi"/>
          <w:sz w:val="24"/>
        </w:rPr>
        <w:t xml:space="preserve"> </w:t>
      </w:r>
      <w:r w:rsidR="007636DB">
        <w:rPr>
          <w:rFonts w:cstheme="minorHAnsi"/>
          <w:sz w:val="24"/>
        </w:rPr>
        <w:t>Ahmose Nefertari, Hatshepsut</w:t>
      </w:r>
      <w:r w:rsidR="00CF1015">
        <w:rPr>
          <w:rFonts w:cstheme="minorHAnsi"/>
          <w:sz w:val="24"/>
        </w:rPr>
        <w:t xml:space="preserve"> and Tiye. However, Tiye also connects us to the Amarna Age</w:t>
      </w:r>
      <w:r w:rsidR="00DB309C">
        <w:rPr>
          <w:rFonts w:cstheme="minorHAnsi"/>
          <w:sz w:val="24"/>
        </w:rPr>
        <w:t>, where we will then discuss the role of Nefertiti</w:t>
      </w:r>
      <w:r w:rsidR="009E5114">
        <w:rPr>
          <w:rFonts w:cstheme="minorHAnsi"/>
          <w:sz w:val="24"/>
        </w:rPr>
        <w:t xml:space="preserve">, </w:t>
      </w:r>
      <w:r w:rsidR="002204DC">
        <w:rPr>
          <w:rFonts w:cstheme="minorHAnsi"/>
          <w:sz w:val="24"/>
        </w:rPr>
        <w:t xml:space="preserve">as well as a brief mention of </w:t>
      </w:r>
      <w:r w:rsidR="001A2515">
        <w:rPr>
          <w:rFonts w:cstheme="minorHAnsi"/>
          <w:sz w:val="24"/>
        </w:rPr>
        <w:t xml:space="preserve">Akhenaten’s </w:t>
      </w:r>
      <w:r w:rsidR="001A2515">
        <w:rPr>
          <w:rFonts w:cstheme="minorHAnsi"/>
          <w:sz w:val="24"/>
        </w:rPr>
        <w:t xml:space="preserve">secondary wife Kiya </w:t>
      </w:r>
      <w:r w:rsidR="001A2515">
        <w:rPr>
          <w:rFonts w:cstheme="minorHAnsi"/>
          <w:sz w:val="24"/>
        </w:rPr>
        <w:t xml:space="preserve">and his daughter </w:t>
      </w:r>
      <w:r w:rsidR="00A5437E">
        <w:rPr>
          <w:rFonts w:cstheme="minorHAnsi"/>
          <w:sz w:val="24"/>
        </w:rPr>
        <w:t>Meretaten</w:t>
      </w:r>
      <w:r w:rsidR="003E6509">
        <w:rPr>
          <w:rFonts w:cstheme="minorHAnsi"/>
          <w:sz w:val="24"/>
        </w:rPr>
        <w:t xml:space="preserve">, </w:t>
      </w:r>
      <w:r w:rsidR="009E5114">
        <w:rPr>
          <w:rFonts w:cstheme="minorHAnsi"/>
          <w:sz w:val="24"/>
        </w:rPr>
        <w:t xml:space="preserve"> </w:t>
      </w:r>
      <w:r w:rsidR="003E6509">
        <w:rPr>
          <w:rFonts w:cstheme="minorHAnsi"/>
          <w:sz w:val="24"/>
        </w:rPr>
        <w:t xml:space="preserve">in order to </w:t>
      </w:r>
      <w:r w:rsidR="001416CE">
        <w:rPr>
          <w:rFonts w:cstheme="minorHAnsi"/>
          <w:sz w:val="24"/>
        </w:rPr>
        <w:t xml:space="preserve">see how their </w:t>
      </w:r>
      <w:r w:rsidR="00AA2995">
        <w:rPr>
          <w:rFonts w:cstheme="minorHAnsi"/>
          <w:sz w:val="24"/>
        </w:rPr>
        <w:t>positions</w:t>
      </w:r>
      <w:r w:rsidR="00282FBB">
        <w:rPr>
          <w:rFonts w:cstheme="minorHAnsi"/>
          <w:sz w:val="24"/>
        </w:rPr>
        <w:t xml:space="preserve"> fit into the overall characterisation of the role of royal women </w:t>
      </w:r>
      <w:r w:rsidR="006D6728">
        <w:rPr>
          <w:rFonts w:cstheme="minorHAnsi"/>
          <w:sz w:val="24"/>
        </w:rPr>
        <w:t>during the 18</w:t>
      </w:r>
      <w:r w:rsidR="006D6728" w:rsidRPr="006D6728">
        <w:rPr>
          <w:rFonts w:cstheme="minorHAnsi"/>
          <w:sz w:val="24"/>
          <w:vertAlign w:val="superscript"/>
        </w:rPr>
        <w:t>th</w:t>
      </w:r>
      <w:r w:rsidR="006D6728">
        <w:rPr>
          <w:rFonts w:cstheme="minorHAnsi"/>
          <w:sz w:val="24"/>
        </w:rPr>
        <w:t xml:space="preserve"> Dynasty.</w:t>
      </w:r>
    </w:p>
    <w:p w14:paraId="04F0CF5E" w14:textId="4E68A286" w:rsidR="006D6728" w:rsidRDefault="00767D6A" w:rsidP="00666B70">
      <w:pPr>
        <w:jc w:val="both"/>
        <w:rPr>
          <w:rFonts w:cstheme="minorHAnsi"/>
          <w:sz w:val="24"/>
        </w:rPr>
      </w:pPr>
      <w:r>
        <w:rPr>
          <w:rFonts w:cstheme="minorHAnsi"/>
          <w:sz w:val="24"/>
        </w:rPr>
        <w:t xml:space="preserve">We will begin this discussion by taking </w:t>
      </w:r>
      <w:r w:rsidR="00CA5445">
        <w:rPr>
          <w:rFonts w:cstheme="minorHAnsi"/>
          <w:sz w:val="24"/>
        </w:rPr>
        <w:t xml:space="preserve">a look at the first </w:t>
      </w:r>
      <w:r w:rsidR="00214A97">
        <w:rPr>
          <w:rFonts w:cstheme="minorHAnsi"/>
          <w:sz w:val="24"/>
        </w:rPr>
        <w:t>queen of the 18</w:t>
      </w:r>
      <w:r w:rsidR="00214A97" w:rsidRPr="00214A97">
        <w:rPr>
          <w:rFonts w:cstheme="minorHAnsi"/>
          <w:sz w:val="24"/>
          <w:vertAlign w:val="superscript"/>
        </w:rPr>
        <w:t>th</w:t>
      </w:r>
      <w:r w:rsidR="00214A97">
        <w:rPr>
          <w:rFonts w:cstheme="minorHAnsi"/>
          <w:sz w:val="24"/>
        </w:rPr>
        <w:t xml:space="preserve"> Dynasty, Ahmose Nefertari. </w:t>
      </w:r>
      <w:r w:rsidR="00DB4A8C">
        <w:rPr>
          <w:rFonts w:cstheme="minorHAnsi"/>
          <w:sz w:val="24"/>
        </w:rPr>
        <w:t>During the reign of Ahmose, he bestowed upon his queen the title of ‘god’s wife of Amun’, making her the first queen to hold this title</w:t>
      </w:r>
      <w:r w:rsidR="00247D3E">
        <w:rPr>
          <w:rFonts w:cstheme="minorHAnsi"/>
          <w:sz w:val="24"/>
        </w:rPr>
        <w:t xml:space="preserve"> (</w:t>
      </w:r>
      <w:r w:rsidR="00252DCF" w:rsidRPr="006F6009">
        <w:rPr>
          <w:rFonts w:cstheme="minorHAnsi"/>
          <w:sz w:val="24"/>
        </w:rPr>
        <w:t>Brewer and Teeter, 2007: 49)</w:t>
      </w:r>
      <w:r w:rsidR="00DB4A8C">
        <w:rPr>
          <w:rFonts w:cstheme="minorHAnsi"/>
          <w:sz w:val="24"/>
        </w:rPr>
        <w:t>.</w:t>
      </w:r>
      <w:r w:rsidR="008667F0">
        <w:rPr>
          <w:rFonts w:cstheme="minorHAnsi"/>
          <w:sz w:val="24"/>
        </w:rPr>
        <w:t xml:space="preserve"> Ahmose Nefertari </w:t>
      </w:r>
      <w:r w:rsidR="0015564A">
        <w:rPr>
          <w:rFonts w:cstheme="minorHAnsi"/>
          <w:sz w:val="24"/>
        </w:rPr>
        <w:t xml:space="preserve">took this role very </w:t>
      </w:r>
      <w:r w:rsidR="000026D9">
        <w:rPr>
          <w:rFonts w:cstheme="minorHAnsi"/>
          <w:sz w:val="24"/>
        </w:rPr>
        <w:t>seriously and</w:t>
      </w:r>
      <w:r w:rsidR="0015564A">
        <w:rPr>
          <w:rFonts w:cstheme="minorHAnsi"/>
          <w:sz w:val="24"/>
        </w:rPr>
        <w:t xml:space="preserve"> was mostly referred to as the ‘god’s wife’, over other titles </w:t>
      </w:r>
      <w:r w:rsidR="00046C30">
        <w:rPr>
          <w:rFonts w:cstheme="minorHAnsi"/>
          <w:sz w:val="24"/>
        </w:rPr>
        <w:t>that were normally used by queens, such as “‘king’s wife’, ‘king’s principal wife, or ‘king’s mother’”</w:t>
      </w:r>
      <w:r w:rsidR="008E3F93">
        <w:rPr>
          <w:rFonts w:cstheme="minorHAnsi"/>
          <w:sz w:val="24"/>
        </w:rPr>
        <w:t xml:space="preserve"> (Robins, 1993: 44)</w:t>
      </w:r>
      <w:r w:rsidR="00513BD6">
        <w:rPr>
          <w:rFonts w:cstheme="minorHAnsi"/>
          <w:sz w:val="24"/>
        </w:rPr>
        <w:t>.</w:t>
      </w:r>
      <w:r w:rsidR="00CB7242">
        <w:rPr>
          <w:rFonts w:cstheme="minorHAnsi"/>
          <w:sz w:val="24"/>
        </w:rPr>
        <w:t xml:space="preserve"> Beyond </w:t>
      </w:r>
      <w:r w:rsidR="00250CA4">
        <w:rPr>
          <w:rFonts w:cstheme="minorHAnsi"/>
          <w:sz w:val="24"/>
        </w:rPr>
        <w:t xml:space="preserve">her main title, she also </w:t>
      </w:r>
      <w:r w:rsidR="00E1756D">
        <w:rPr>
          <w:rFonts w:cstheme="minorHAnsi"/>
          <w:sz w:val="24"/>
        </w:rPr>
        <w:t xml:space="preserve">made a substantial </w:t>
      </w:r>
      <w:r w:rsidR="00DC69FB">
        <w:rPr>
          <w:rFonts w:cstheme="minorHAnsi"/>
          <w:sz w:val="24"/>
        </w:rPr>
        <w:t>number</w:t>
      </w:r>
      <w:r w:rsidR="00E1756D">
        <w:rPr>
          <w:rFonts w:cstheme="minorHAnsi"/>
          <w:sz w:val="24"/>
        </w:rPr>
        <w:t xml:space="preserve"> of ritual offerings at various temples that outnumber other queens, and even kings. Furthermore, Ahmose Nefertari was heavily involved in major building projects, to the point where it was stated by Ahmose that </w:t>
      </w:r>
      <w:r w:rsidR="00D05511">
        <w:rPr>
          <w:rFonts w:cstheme="minorHAnsi"/>
          <w:sz w:val="24"/>
        </w:rPr>
        <w:t>h</w:t>
      </w:r>
      <w:r w:rsidR="00E1756D">
        <w:rPr>
          <w:rFonts w:cstheme="minorHAnsi"/>
          <w:sz w:val="24"/>
        </w:rPr>
        <w:t xml:space="preserve">e needed to seek </w:t>
      </w:r>
      <w:r w:rsidR="00D05511">
        <w:rPr>
          <w:rFonts w:cstheme="minorHAnsi"/>
          <w:sz w:val="24"/>
        </w:rPr>
        <w:t xml:space="preserve">approval of his consort in order to </w:t>
      </w:r>
      <w:r w:rsidR="0087508A">
        <w:rPr>
          <w:rFonts w:cstheme="minorHAnsi"/>
          <w:sz w:val="24"/>
        </w:rPr>
        <w:t xml:space="preserve">erect a cenotaph of his relatives, thus emphasising how </w:t>
      </w:r>
      <w:r w:rsidR="0004262C">
        <w:rPr>
          <w:rFonts w:cstheme="minorHAnsi"/>
          <w:sz w:val="24"/>
        </w:rPr>
        <w:t xml:space="preserve">integral she </w:t>
      </w:r>
      <w:r w:rsidR="00CC54BF">
        <w:rPr>
          <w:rFonts w:cstheme="minorHAnsi"/>
          <w:sz w:val="24"/>
        </w:rPr>
        <w:t xml:space="preserve">was in regards to building projects. </w:t>
      </w:r>
      <w:r w:rsidR="00AA2995">
        <w:rPr>
          <w:rFonts w:cstheme="minorHAnsi"/>
          <w:sz w:val="24"/>
        </w:rPr>
        <w:t xml:space="preserve">Ahmose Nefertari’s importance did not wane after her </w:t>
      </w:r>
      <w:r w:rsidR="00DC69FB">
        <w:rPr>
          <w:rFonts w:cstheme="minorHAnsi"/>
          <w:sz w:val="24"/>
        </w:rPr>
        <w:t>husband’s</w:t>
      </w:r>
      <w:r w:rsidR="00AA2995">
        <w:rPr>
          <w:rFonts w:cstheme="minorHAnsi"/>
          <w:sz w:val="24"/>
        </w:rPr>
        <w:t xml:space="preserve"> death</w:t>
      </w:r>
      <w:r w:rsidR="00DC69FB">
        <w:rPr>
          <w:rFonts w:cstheme="minorHAnsi"/>
          <w:sz w:val="24"/>
        </w:rPr>
        <w:t xml:space="preserve"> as she </w:t>
      </w:r>
      <w:r w:rsidR="007A5363">
        <w:rPr>
          <w:rFonts w:cstheme="minorHAnsi"/>
          <w:sz w:val="24"/>
        </w:rPr>
        <w:t xml:space="preserve">appears on stela </w:t>
      </w:r>
      <w:r w:rsidR="00470BCF">
        <w:rPr>
          <w:rFonts w:cstheme="minorHAnsi"/>
          <w:sz w:val="24"/>
        </w:rPr>
        <w:t xml:space="preserve">along with her son’s successor, Thutmose I. Moreover, her preferred title would seem to also have been kept up until her death as </w:t>
      </w:r>
      <w:r w:rsidR="00486E8F">
        <w:rPr>
          <w:rFonts w:cstheme="minorHAnsi"/>
          <w:sz w:val="24"/>
        </w:rPr>
        <w:t xml:space="preserve">can be seen on </w:t>
      </w:r>
      <w:r w:rsidR="001513EF">
        <w:rPr>
          <w:rFonts w:cstheme="minorHAnsi"/>
          <w:sz w:val="24"/>
        </w:rPr>
        <w:t>a fragment from a private stela</w:t>
      </w:r>
      <w:r w:rsidR="00486E8F">
        <w:rPr>
          <w:rFonts w:cstheme="minorHAnsi"/>
          <w:sz w:val="24"/>
        </w:rPr>
        <w:t xml:space="preserve"> that</w:t>
      </w:r>
      <w:r w:rsidR="001513EF">
        <w:rPr>
          <w:rFonts w:cstheme="minorHAnsi"/>
          <w:sz w:val="24"/>
        </w:rPr>
        <w:t xml:space="preserve"> mentions her death, “ ‘when the god’s wife Ahmose Nefertari, justified with the great god, lord of the west, flew to heaven’” (Robins, 1993: 44)</w:t>
      </w:r>
      <w:r w:rsidR="00486E8F">
        <w:rPr>
          <w:rFonts w:cstheme="minorHAnsi"/>
          <w:sz w:val="24"/>
        </w:rPr>
        <w:t>.</w:t>
      </w:r>
      <w:r w:rsidR="004172C6">
        <w:rPr>
          <w:rFonts w:cstheme="minorHAnsi"/>
          <w:sz w:val="24"/>
        </w:rPr>
        <w:t xml:space="preserve"> Even after her death, Ahmose Nefertari</w:t>
      </w:r>
      <w:r w:rsidR="004A3D1B">
        <w:rPr>
          <w:rFonts w:cstheme="minorHAnsi"/>
          <w:sz w:val="24"/>
        </w:rPr>
        <w:t xml:space="preserve"> continued to be prominent within ancient Egypt as </w:t>
      </w:r>
      <w:r w:rsidR="004320DC">
        <w:rPr>
          <w:rFonts w:cstheme="minorHAnsi"/>
          <w:sz w:val="24"/>
        </w:rPr>
        <w:t xml:space="preserve">she, </w:t>
      </w:r>
      <w:r w:rsidR="004A3D1B">
        <w:rPr>
          <w:rFonts w:cstheme="minorHAnsi"/>
          <w:sz w:val="24"/>
        </w:rPr>
        <w:t xml:space="preserve">along with her </w:t>
      </w:r>
      <w:r w:rsidR="00203CDE">
        <w:rPr>
          <w:rFonts w:cstheme="minorHAnsi"/>
          <w:sz w:val="24"/>
        </w:rPr>
        <w:t>son, Amenhotep I</w:t>
      </w:r>
      <w:r w:rsidR="002B438D">
        <w:rPr>
          <w:rFonts w:cstheme="minorHAnsi"/>
          <w:sz w:val="24"/>
        </w:rPr>
        <w:t xml:space="preserve">, </w:t>
      </w:r>
      <w:r w:rsidR="006500E4">
        <w:rPr>
          <w:rFonts w:cstheme="minorHAnsi"/>
          <w:sz w:val="24"/>
        </w:rPr>
        <w:t>“was deified and worshipped by the workmen of Deir el-Medina as their patron” (Robins, 1993:</w:t>
      </w:r>
      <w:r w:rsidR="001F4E92">
        <w:rPr>
          <w:rFonts w:cstheme="minorHAnsi"/>
          <w:sz w:val="24"/>
        </w:rPr>
        <w:t xml:space="preserve"> 44)</w:t>
      </w:r>
      <w:r w:rsidR="00900093">
        <w:rPr>
          <w:rFonts w:cstheme="minorHAnsi"/>
          <w:sz w:val="24"/>
        </w:rPr>
        <w:t xml:space="preserve">, </w:t>
      </w:r>
      <w:r w:rsidR="001E6FA4">
        <w:rPr>
          <w:rFonts w:cstheme="minorHAnsi"/>
          <w:sz w:val="24"/>
        </w:rPr>
        <w:t xml:space="preserve">which was </w:t>
      </w:r>
      <w:r w:rsidR="00935514">
        <w:rPr>
          <w:rFonts w:cstheme="minorHAnsi"/>
          <w:sz w:val="24"/>
        </w:rPr>
        <w:t>a village constructed for those that were involved in the construction of the Valley of Kings. Ahmose Nefertari was worshipped here until the end of the New Kingdom (</w:t>
      </w:r>
      <w:r w:rsidR="000438EE">
        <w:rPr>
          <w:rFonts w:cstheme="minorHAnsi"/>
          <w:sz w:val="24"/>
        </w:rPr>
        <w:t xml:space="preserve">Tyldesley, 1998: </w:t>
      </w:r>
      <w:r w:rsidR="006C364C">
        <w:rPr>
          <w:rFonts w:cstheme="minorHAnsi"/>
          <w:sz w:val="24"/>
        </w:rPr>
        <w:t xml:space="preserve">57; </w:t>
      </w:r>
      <w:r w:rsidR="00935514">
        <w:rPr>
          <w:rFonts w:cstheme="minorHAnsi"/>
          <w:sz w:val="24"/>
        </w:rPr>
        <w:t>Tyldesley</w:t>
      </w:r>
      <w:r w:rsidR="00D36FB9">
        <w:rPr>
          <w:rFonts w:cstheme="minorHAnsi"/>
          <w:sz w:val="24"/>
        </w:rPr>
        <w:t>, 2015:</w:t>
      </w:r>
      <w:r w:rsidR="00914ED9">
        <w:rPr>
          <w:rFonts w:cstheme="minorHAnsi"/>
          <w:sz w:val="24"/>
        </w:rPr>
        <w:t xml:space="preserve"> 15).</w:t>
      </w:r>
    </w:p>
    <w:p w14:paraId="08BEDF1A" w14:textId="375D2024" w:rsidR="00F82A88" w:rsidRDefault="00F76130" w:rsidP="00666B70">
      <w:pPr>
        <w:jc w:val="both"/>
        <w:rPr>
          <w:rFonts w:cstheme="minorHAnsi"/>
          <w:sz w:val="24"/>
        </w:rPr>
      </w:pPr>
      <w:r>
        <w:rPr>
          <w:rFonts w:cstheme="minorHAnsi"/>
          <w:sz w:val="24"/>
        </w:rPr>
        <w:t>The next figure that we are going to discuss is</w:t>
      </w:r>
      <w:r w:rsidR="00693461">
        <w:rPr>
          <w:rFonts w:cstheme="minorHAnsi"/>
          <w:sz w:val="24"/>
        </w:rPr>
        <w:t xml:space="preserve"> Hatshepsut, who was not only a queen of the 18</w:t>
      </w:r>
      <w:r w:rsidR="00693461" w:rsidRPr="00693461">
        <w:rPr>
          <w:rFonts w:cstheme="minorHAnsi"/>
          <w:sz w:val="24"/>
          <w:vertAlign w:val="superscript"/>
        </w:rPr>
        <w:t>th</w:t>
      </w:r>
      <w:r w:rsidR="00693461">
        <w:rPr>
          <w:rFonts w:cstheme="minorHAnsi"/>
          <w:sz w:val="24"/>
        </w:rPr>
        <w:t xml:space="preserve"> Dynasty, but also a king. During the time that she was queen,</w:t>
      </w:r>
      <w:r w:rsidR="00CB2FAD">
        <w:rPr>
          <w:rFonts w:cstheme="minorHAnsi"/>
          <w:sz w:val="24"/>
        </w:rPr>
        <w:t xml:space="preserve"> Hatshep</w:t>
      </w:r>
      <w:r w:rsidR="004118EB">
        <w:rPr>
          <w:rFonts w:cstheme="minorHAnsi"/>
          <w:sz w:val="24"/>
        </w:rPr>
        <w:t>s</w:t>
      </w:r>
      <w:r w:rsidR="00CB2FAD">
        <w:rPr>
          <w:rFonts w:cstheme="minorHAnsi"/>
          <w:sz w:val="24"/>
        </w:rPr>
        <w:t>ut</w:t>
      </w:r>
      <w:r>
        <w:rPr>
          <w:rFonts w:cstheme="minorHAnsi"/>
          <w:sz w:val="24"/>
        </w:rPr>
        <w:t xml:space="preserve"> </w:t>
      </w:r>
      <w:r w:rsidR="00753FC7">
        <w:rPr>
          <w:rFonts w:cstheme="minorHAnsi"/>
          <w:sz w:val="24"/>
        </w:rPr>
        <w:t xml:space="preserve">was </w:t>
      </w:r>
      <w:r w:rsidR="00BD7DAE">
        <w:rPr>
          <w:rFonts w:cstheme="minorHAnsi"/>
          <w:sz w:val="24"/>
        </w:rPr>
        <w:t>a</w:t>
      </w:r>
      <w:r w:rsidR="00753FC7">
        <w:rPr>
          <w:rFonts w:cstheme="minorHAnsi"/>
          <w:sz w:val="24"/>
        </w:rPr>
        <w:t xml:space="preserve">lso </w:t>
      </w:r>
      <w:r w:rsidR="00BD7DAE">
        <w:rPr>
          <w:rFonts w:cstheme="minorHAnsi"/>
          <w:sz w:val="24"/>
        </w:rPr>
        <w:t xml:space="preserve">known as the </w:t>
      </w:r>
      <w:r w:rsidR="005D1CFB">
        <w:rPr>
          <w:rFonts w:cstheme="minorHAnsi"/>
          <w:sz w:val="24"/>
        </w:rPr>
        <w:t>god’s wife</w:t>
      </w:r>
      <w:r w:rsidR="00560E05">
        <w:rPr>
          <w:rFonts w:cstheme="minorHAnsi"/>
          <w:sz w:val="24"/>
        </w:rPr>
        <w:t xml:space="preserve">, and she also preferred this title over the others. </w:t>
      </w:r>
      <w:r w:rsidR="008B63F1">
        <w:rPr>
          <w:rFonts w:cstheme="minorHAnsi"/>
          <w:sz w:val="24"/>
        </w:rPr>
        <w:t xml:space="preserve">Hatshepsut continued to </w:t>
      </w:r>
      <w:r w:rsidR="00A20496">
        <w:rPr>
          <w:rFonts w:cstheme="minorHAnsi"/>
          <w:sz w:val="24"/>
        </w:rPr>
        <w:t xml:space="preserve">use the </w:t>
      </w:r>
      <w:r w:rsidR="00265928">
        <w:rPr>
          <w:rFonts w:cstheme="minorHAnsi"/>
          <w:sz w:val="24"/>
        </w:rPr>
        <w:t>titles</w:t>
      </w:r>
      <w:r w:rsidR="00A20496">
        <w:rPr>
          <w:rFonts w:cstheme="minorHAnsi"/>
          <w:sz w:val="24"/>
        </w:rPr>
        <w:t xml:space="preserve"> of queen after Thutmose II</w:t>
      </w:r>
      <w:r w:rsidR="00114F14">
        <w:rPr>
          <w:rFonts w:cstheme="minorHAnsi"/>
          <w:sz w:val="24"/>
        </w:rPr>
        <w:t xml:space="preserve">’s death, however, beyond this “she departed from queenly </w:t>
      </w:r>
      <w:r w:rsidR="004455EC">
        <w:rPr>
          <w:rFonts w:cstheme="minorHAnsi"/>
          <w:sz w:val="24"/>
        </w:rPr>
        <w:t>precedents</w:t>
      </w:r>
      <w:r w:rsidR="00114F14">
        <w:rPr>
          <w:rFonts w:cstheme="minorHAnsi"/>
          <w:sz w:val="24"/>
        </w:rPr>
        <w:t>” (Robins, 1993:</w:t>
      </w:r>
      <w:r w:rsidR="00220995">
        <w:rPr>
          <w:rFonts w:cstheme="minorHAnsi"/>
          <w:sz w:val="24"/>
        </w:rPr>
        <w:t xml:space="preserve"> 46). From this point, Hatshepsut became the regent for Thutmose III, who was not actually her son,</w:t>
      </w:r>
      <w:r w:rsidR="00544D25">
        <w:rPr>
          <w:rFonts w:cstheme="minorHAnsi"/>
          <w:sz w:val="24"/>
        </w:rPr>
        <w:t xml:space="preserve"> and during this time she begins to depict herself within scenes normally associated with the king, as well as eventually using titles </w:t>
      </w:r>
      <w:r w:rsidR="00F81EB6">
        <w:rPr>
          <w:rFonts w:cstheme="minorHAnsi"/>
          <w:sz w:val="24"/>
        </w:rPr>
        <w:t xml:space="preserve">normally used by the king. </w:t>
      </w:r>
      <w:r w:rsidR="00940851">
        <w:rPr>
          <w:rFonts w:cstheme="minorHAnsi"/>
          <w:sz w:val="24"/>
        </w:rPr>
        <w:t xml:space="preserve">While she was still regent, she </w:t>
      </w:r>
      <w:r w:rsidR="0022677D">
        <w:rPr>
          <w:rFonts w:cstheme="minorHAnsi"/>
          <w:sz w:val="24"/>
        </w:rPr>
        <w:t xml:space="preserve">was “depicted in a building at Karnak in scenes offering directly to the gods” (Robins, 1993:46), another aspect of kingship that she avails herself of. </w:t>
      </w:r>
      <w:r w:rsidR="0017020E">
        <w:rPr>
          <w:rFonts w:cstheme="minorHAnsi"/>
          <w:sz w:val="24"/>
        </w:rPr>
        <w:t>No later than year 7 of Thutmose III’s reign, Hat</w:t>
      </w:r>
      <w:r w:rsidR="007429D2">
        <w:rPr>
          <w:rFonts w:cstheme="minorHAnsi"/>
          <w:sz w:val="24"/>
        </w:rPr>
        <w:t>shepsut</w:t>
      </w:r>
      <w:r w:rsidR="00C06CE8">
        <w:rPr>
          <w:rFonts w:cstheme="minorHAnsi"/>
          <w:sz w:val="24"/>
        </w:rPr>
        <w:t xml:space="preserve"> abandons her titles as queen and takes on those of a king, th</w:t>
      </w:r>
      <w:r w:rsidR="00F97023">
        <w:rPr>
          <w:rFonts w:cstheme="minorHAnsi"/>
          <w:sz w:val="24"/>
        </w:rPr>
        <w:t>us</w:t>
      </w:r>
      <w:r w:rsidR="00C06CE8">
        <w:rPr>
          <w:rFonts w:cstheme="minorHAnsi"/>
          <w:sz w:val="24"/>
        </w:rPr>
        <w:t xml:space="preserve"> beginning her coregency with Thutmose III.</w:t>
      </w:r>
      <w:r w:rsidR="00714B73">
        <w:rPr>
          <w:rFonts w:cstheme="minorHAnsi"/>
          <w:sz w:val="24"/>
        </w:rPr>
        <w:t xml:space="preserve"> As she </w:t>
      </w:r>
      <w:r w:rsidR="00714B73">
        <w:rPr>
          <w:rFonts w:cstheme="minorHAnsi"/>
          <w:sz w:val="24"/>
        </w:rPr>
        <w:lastRenderedPageBreak/>
        <w:t>would have had to give up her title of god’s wife during this process</w:t>
      </w:r>
      <w:r w:rsidR="004A6E0F">
        <w:rPr>
          <w:rFonts w:cstheme="minorHAnsi"/>
          <w:sz w:val="24"/>
        </w:rPr>
        <w:t xml:space="preserve">, and </w:t>
      </w:r>
      <w:r w:rsidR="00265928">
        <w:rPr>
          <w:rFonts w:cstheme="minorHAnsi"/>
          <w:sz w:val="24"/>
        </w:rPr>
        <w:t>because</w:t>
      </w:r>
      <w:r w:rsidR="004A6E0F">
        <w:rPr>
          <w:rFonts w:cstheme="minorHAnsi"/>
          <w:sz w:val="24"/>
        </w:rPr>
        <w:t xml:space="preserve"> she valued this </w:t>
      </w:r>
      <w:r w:rsidR="007A5C72">
        <w:rPr>
          <w:rFonts w:cstheme="minorHAnsi"/>
          <w:sz w:val="24"/>
        </w:rPr>
        <w:t xml:space="preserve">position, it is only natural that she then bestowed this title onto another female of the royal family, her daughter Neferura. </w:t>
      </w:r>
      <w:r w:rsidR="00A82675">
        <w:rPr>
          <w:rFonts w:cstheme="minorHAnsi"/>
          <w:sz w:val="24"/>
        </w:rPr>
        <w:t xml:space="preserve">From this point on Neferura, is shown within </w:t>
      </w:r>
      <w:r w:rsidR="005720FC">
        <w:rPr>
          <w:rFonts w:cstheme="minorHAnsi"/>
          <w:sz w:val="24"/>
        </w:rPr>
        <w:t xml:space="preserve">“temple scenes following Hatshepsut who, as king, offered to a deity” (Robins, 1993: 48). </w:t>
      </w:r>
      <w:r w:rsidR="00C53527">
        <w:rPr>
          <w:rFonts w:cstheme="minorHAnsi"/>
          <w:sz w:val="24"/>
        </w:rPr>
        <w:t xml:space="preserve">From this we can see that Hatshepsut took on all aspects of kingship during her </w:t>
      </w:r>
      <w:r w:rsidR="00523E44">
        <w:rPr>
          <w:rFonts w:cstheme="minorHAnsi"/>
          <w:sz w:val="24"/>
        </w:rPr>
        <w:t>coregency, including going so far as to bestow upon her daughter a title that would li</w:t>
      </w:r>
      <w:r w:rsidR="0086131B">
        <w:rPr>
          <w:rFonts w:cstheme="minorHAnsi"/>
          <w:sz w:val="24"/>
        </w:rPr>
        <w:t>nk</w:t>
      </w:r>
      <w:r w:rsidR="00523E44">
        <w:rPr>
          <w:rFonts w:cstheme="minorHAnsi"/>
          <w:sz w:val="24"/>
        </w:rPr>
        <w:t xml:space="preserve"> Neferura to the office of the queen</w:t>
      </w:r>
      <w:r w:rsidR="0086131B">
        <w:rPr>
          <w:rFonts w:cstheme="minorHAnsi"/>
          <w:sz w:val="24"/>
        </w:rPr>
        <w:t xml:space="preserve">, thus placing another </w:t>
      </w:r>
      <w:r w:rsidR="00F82A88">
        <w:rPr>
          <w:rFonts w:cstheme="minorHAnsi"/>
          <w:sz w:val="24"/>
        </w:rPr>
        <w:t xml:space="preserve">female </w:t>
      </w:r>
      <w:r w:rsidR="0086131B">
        <w:rPr>
          <w:rFonts w:cstheme="minorHAnsi"/>
          <w:sz w:val="24"/>
        </w:rPr>
        <w:t xml:space="preserve">of her line </w:t>
      </w:r>
      <w:r w:rsidR="00F82A88">
        <w:rPr>
          <w:rFonts w:cstheme="minorHAnsi"/>
          <w:sz w:val="24"/>
        </w:rPr>
        <w:t>in a position of power.</w:t>
      </w:r>
      <w:r w:rsidR="00151549">
        <w:rPr>
          <w:rFonts w:cstheme="minorHAnsi"/>
          <w:sz w:val="24"/>
        </w:rPr>
        <w:t xml:space="preserve"> Another aspect of Hatshepsut’s reign that is of note is her diplomatic campaigns that she </w:t>
      </w:r>
      <w:r w:rsidR="006335C1">
        <w:rPr>
          <w:rFonts w:cstheme="minorHAnsi"/>
          <w:sz w:val="24"/>
        </w:rPr>
        <w:t xml:space="preserve">embarked on with the land of punt. </w:t>
      </w:r>
    </w:p>
    <w:p w14:paraId="2648E021" w14:textId="0CAA26A5" w:rsidR="00F82A88" w:rsidRDefault="005C333B" w:rsidP="00666B70">
      <w:pPr>
        <w:jc w:val="both"/>
        <w:rPr>
          <w:sz w:val="24"/>
        </w:rPr>
      </w:pPr>
      <w:r>
        <w:rPr>
          <w:rFonts w:cstheme="minorHAnsi"/>
          <w:sz w:val="24"/>
        </w:rPr>
        <w:t>Queen Tiye is the last of the prominent female figures of the 18</w:t>
      </w:r>
      <w:r w:rsidRPr="005C333B">
        <w:rPr>
          <w:rFonts w:cstheme="minorHAnsi"/>
          <w:sz w:val="24"/>
          <w:vertAlign w:val="superscript"/>
        </w:rPr>
        <w:t>th</w:t>
      </w:r>
      <w:r>
        <w:rPr>
          <w:rFonts w:cstheme="minorHAnsi"/>
          <w:sz w:val="24"/>
        </w:rPr>
        <w:t xml:space="preserve"> Dynasty, before the Amarna age that we will be </w:t>
      </w:r>
      <w:r w:rsidR="00265928">
        <w:rPr>
          <w:rFonts w:cstheme="minorHAnsi"/>
          <w:sz w:val="24"/>
        </w:rPr>
        <w:t>looking</w:t>
      </w:r>
      <w:r>
        <w:rPr>
          <w:rFonts w:cstheme="minorHAnsi"/>
          <w:sz w:val="24"/>
        </w:rPr>
        <w:t xml:space="preserve"> at. </w:t>
      </w:r>
      <w:r w:rsidR="0000107A">
        <w:rPr>
          <w:rFonts w:cstheme="minorHAnsi"/>
          <w:sz w:val="24"/>
        </w:rPr>
        <w:t>Tiye was from a prominent</w:t>
      </w:r>
      <w:r w:rsidR="007D52DA">
        <w:rPr>
          <w:rFonts w:cstheme="minorHAnsi"/>
          <w:sz w:val="24"/>
        </w:rPr>
        <w:t xml:space="preserve"> family of </w:t>
      </w:r>
      <w:r w:rsidR="006B1A19">
        <w:rPr>
          <w:rFonts w:cstheme="minorHAnsi"/>
          <w:sz w:val="24"/>
        </w:rPr>
        <w:t>the</w:t>
      </w:r>
      <w:r w:rsidR="007D52DA">
        <w:rPr>
          <w:rFonts w:cstheme="minorHAnsi"/>
          <w:sz w:val="24"/>
        </w:rPr>
        <w:t xml:space="preserve"> Upper Egyptian city of Akhmim (Kemp, 2012: 14)</w:t>
      </w:r>
      <w:r w:rsidR="00B70469">
        <w:rPr>
          <w:rFonts w:cstheme="minorHAnsi"/>
          <w:sz w:val="24"/>
        </w:rPr>
        <w:t xml:space="preserve">, their prominence highlighted by the fact that Amenhotep III mentions the names of her parents on commemorative scarabs </w:t>
      </w:r>
      <w:r w:rsidR="00FF6391">
        <w:rPr>
          <w:rFonts w:cstheme="minorHAnsi"/>
          <w:sz w:val="24"/>
        </w:rPr>
        <w:t>that were issued early in his reign (Montserrat, 2003: 31)</w:t>
      </w:r>
      <w:r w:rsidR="00842E27">
        <w:rPr>
          <w:rFonts w:cstheme="minorHAnsi"/>
          <w:sz w:val="24"/>
        </w:rPr>
        <w:t xml:space="preserve">. </w:t>
      </w:r>
      <w:r w:rsidR="00864A69">
        <w:rPr>
          <w:rFonts w:cstheme="minorHAnsi"/>
          <w:sz w:val="24"/>
        </w:rPr>
        <w:t xml:space="preserve">It would seem that unlike previous queens </w:t>
      </w:r>
      <w:r w:rsidR="009E4B99">
        <w:rPr>
          <w:rFonts w:cstheme="minorHAnsi"/>
          <w:sz w:val="24"/>
        </w:rPr>
        <w:t xml:space="preserve">Tiye </w:t>
      </w:r>
      <w:r w:rsidR="00864A69">
        <w:rPr>
          <w:rFonts w:cstheme="minorHAnsi"/>
          <w:sz w:val="24"/>
        </w:rPr>
        <w:t>does not prefer the title of</w:t>
      </w:r>
      <w:r w:rsidR="009E4B99">
        <w:rPr>
          <w:rFonts w:cstheme="minorHAnsi"/>
          <w:sz w:val="24"/>
        </w:rPr>
        <w:t xml:space="preserve"> god’s wife of Amun, and this could be interpreted to represent the beginning of </w:t>
      </w:r>
      <w:r w:rsidR="00E6400A">
        <w:rPr>
          <w:rFonts w:cstheme="minorHAnsi"/>
          <w:sz w:val="24"/>
        </w:rPr>
        <w:t>the stripping of power away from the Amun priesthood, but in a more subtle manner</w:t>
      </w:r>
      <w:r w:rsidR="00733AA2">
        <w:rPr>
          <w:rFonts w:cstheme="minorHAnsi"/>
          <w:sz w:val="24"/>
        </w:rPr>
        <w:t>. Tiye takes on</w:t>
      </w:r>
      <w:r w:rsidR="00A61FC1">
        <w:rPr>
          <w:rFonts w:cstheme="minorHAnsi"/>
          <w:sz w:val="24"/>
        </w:rPr>
        <w:t xml:space="preserve"> the title of ‘king’s principal wife</w:t>
      </w:r>
      <w:r w:rsidR="00DC66A8">
        <w:rPr>
          <w:rFonts w:cstheme="minorHAnsi"/>
          <w:sz w:val="24"/>
        </w:rPr>
        <w:t>’ and</w:t>
      </w:r>
      <w:r w:rsidR="00A959BE">
        <w:rPr>
          <w:rFonts w:cstheme="minorHAnsi"/>
          <w:sz w:val="24"/>
        </w:rPr>
        <w:t xml:space="preserve"> would one day bear the future king of Egypt, Amenhotep IV/ Akhenaten. </w:t>
      </w:r>
      <w:r w:rsidR="00155DF2">
        <w:rPr>
          <w:rFonts w:cstheme="minorHAnsi"/>
          <w:sz w:val="24"/>
        </w:rPr>
        <w:t xml:space="preserve">A partial deification happens when it comes to Tiye, although her husband was fully deified, and this occurs </w:t>
      </w:r>
      <w:r w:rsidR="00B86AFA">
        <w:rPr>
          <w:rFonts w:cstheme="minorHAnsi"/>
          <w:sz w:val="24"/>
        </w:rPr>
        <w:t>within a Nubian temple</w:t>
      </w:r>
      <w:r w:rsidR="002211BB">
        <w:rPr>
          <w:rFonts w:cstheme="minorHAnsi"/>
          <w:sz w:val="24"/>
        </w:rPr>
        <w:t xml:space="preserve"> at Sedeinga. </w:t>
      </w:r>
      <w:r w:rsidR="00C022D6">
        <w:rPr>
          <w:rFonts w:cstheme="minorHAnsi"/>
          <w:sz w:val="24"/>
        </w:rPr>
        <w:t xml:space="preserve">At this temple Tiye was worshipped as the goddess Hathor, </w:t>
      </w:r>
      <w:r w:rsidR="00AB34AC">
        <w:rPr>
          <w:rFonts w:cstheme="minorHAnsi"/>
          <w:sz w:val="24"/>
        </w:rPr>
        <w:t xml:space="preserve">who </w:t>
      </w:r>
      <w:r w:rsidR="00B557C9">
        <w:rPr>
          <w:rFonts w:cstheme="minorHAnsi"/>
          <w:sz w:val="24"/>
        </w:rPr>
        <w:t>was</w:t>
      </w:r>
      <w:r w:rsidR="00AB34AC">
        <w:rPr>
          <w:rFonts w:cstheme="minorHAnsi"/>
          <w:sz w:val="24"/>
        </w:rPr>
        <w:t xml:space="preserve"> </w:t>
      </w:r>
      <w:r w:rsidR="006B5A40">
        <w:rPr>
          <w:rFonts w:cstheme="minorHAnsi"/>
          <w:sz w:val="24"/>
        </w:rPr>
        <w:t>“</w:t>
      </w:r>
      <w:r w:rsidR="00AB34AC">
        <w:rPr>
          <w:rFonts w:cstheme="minorHAnsi"/>
          <w:sz w:val="24"/>
        </w:rPr>
        <w:t>the goddess o</w:t>
      </w:r>
      <w:r w:rsidR="006B5A40">
        <w:rPr>
          <w:rFonts w:cstheme="minorHAnsi"/>
          <w:sz w:val="24"/>
        </w:rPr>
        <w:t>f love and sexuality” (</w:t>
      </w:r>
      <w:r w:rsidR="00152C5F">
        <w:rPr>
          <w:rFonts w:cstheme="minorHAnsi"/>
          <w:sz w:val="24"/>
        </w:rPr>
        <w:t xml:space="preserve">Kozloff, 2012: </w:t>
      </w:r>
      <w:r w:rsidR="006B5A40">
        <w:rPr>
          <w:rFonts w:cstheme="minorHAnsi"/>
          <w:sz w:val="24"/>
        </w:rPr>
        <w:t>173</w:t>
      </w:r>
      <w:r w:rsidR="00E45997">
        <w:rPr>
          <w:rFonts w:cstheme="minorHAnsi"/>
          <w:sz w:val="24"/>
        </w:rPr>
        <w:t>)</w:t>
      </w:r>
      <w:r w:rsidR="007319A1">
        <w:rPr>
          <w:rFonts w:cstheme="minorHAnsi"/>
          <w:sz w:val="24"/>
        </w:rPr>
        <w:t>, which was for</w:t>
      </w:r>
      <w:r w:rsidR="00952081">
        <w:rPr>
          <w:rFonts w:cstheme="minorHAnsi"/>
          <w:sz w:val="24"/>
        </w:rPr>
        <w:t xml:space="preserve">tuitous at the time as Amenhotep III was nearing his </w:t>
      </w:r>
      <w:r w:rsidR="00952081">
        <w:rPr>
          <w:rFonts w:cstheme="minorHAnsi"/>
          <w:i/>
          <w:iCs/>
          <w:sz w:val="24"/>
        </w:rPr>
        <w:t xml:space="preserve">sed </w:t>
      </w:r>
      <w:r w:rsidR="00952081">
        <w:rPr>
          <w:rFonts w:cstheme="minorHAnsi"/>
          <w:sz w:val="24"/>
        </w:rPr>
        <w:t xml:space="preserve">festival in which </w:t>
      </w:r>
      <w:r w:rsidR="00ED7DFA">
        <w:rPr>
          <w:rFonts w:cstheme="minorHAnsi"/>
          <w:sz w:val="24"/>
        </w:rPr>
        <w:t>his sexual prowess would be renewed.</w:t>
      </w:r>
      <w:r w:rsidR="00541B7A">
        <w:rPr>
          <w:rFonts w:cstheme="minorHAnsi"/>
          <w:sz w:val="24"/>
        </w:rPr>
        <w:t xml:space="preserve"> This deification was also realised by the fact that </w:t>
      </w:r>
      <w:r w:rsidR="00CB50B2">
        <w:rPr>
          <w:rFonts w:cstheme="minorHAnsi"/>
          <w:sz w:val="24"/>
        </w:rPr>
        <w:t xml:space="preserve">Hathor was also known as Re’s solar eye </w:t>
      </w:r>
      <w:r w:rsidR="00622C4F">
        <w:rPr>
          <w:rFonts w:cstheme="minorHAnsi"/>
          <w:sz w:val="24"/>
        </w:rPr>
        <w:t xml:space="preserve">and in </w:t>
      </w:r>
      <w:r w:rsidR="008118FA">
        <w:rPr>
          <w:rFonts w:cstheme="minorHAnsi"/>
          <w:sz w:val="24"/>
        </w:rPr>
        <w:t>another area of Nubia, Soleb</w:t>
      </w:r>
      <w:r w:rsidR="00622C4F">
        <w:rPr>
          <w:rFonts w:cstheme="minorHAnsi"/>
          <w:sz w:val="24"/>
        </w:rPr>
        <w:t>, there was a</w:t>
      </w:r>
      <w:r w:rsidR="008118FA">
        <w:rPr>
          <w:rFonts w:cstheme="minorHAnsi"/>
          <w:sz w:val="24"/>
        </w:rPr>
        <w:t xml:space="preserve"> temple dedicated to Amenhotep III as Re’s lunar eye</w:t>
      </w:r>
      <w:r w:rsidR="00622C4F">
        <w:rPr>
          <w:rFonts w:cstheme="minorHAnsi"/>
          <w:sz w:val="24"/>
        </w:rPr>
        <w:t>.</w:t>
      </w:r>
      <w:r w:rsidR="00EF6FBB">
        <w:rPr>
          <w:rFonts w:cstheme="minorHAnsi"/>
          <w:sz w:val="24"/>
        </w:rPr>
        <w:t xml:space="preserve"> This in affect </w:t>
      </w:r>
      <w:r w:rsidR="00D80B84">
        <w:rPr>
          <w:rFonts w:cstheme="minorHAnsi"/>
          <w:sz w:val="24"/>
        </w:rPr>
        <w:t xml:space="preserve">established Amenhotep III </w:t>
      </w:r>
      <w:r w:rsidR="00877749">
        <w:rPr>
          <w:rFonts w:cstheme="minorHAnsi"/>
          <w:sz w:val="24"/>
        </w:rPr>
        <w:t>as a god, with</w:t>
      </w:r>
      <w:r w:rsidR="00F466F6">
        <w:rPr>
          <w:rFonts w:cstheme="minorHAnsi"/>
          <w:sz w:val="24"/>
        </w:rPr>
        <w:t>in</w:t>
      </w:r>
      <w:r w:rsidR="00877749">
        <w:rPr>
          <w:rFonts w:cstheme="minorHAnsi"/>
          <w:sz w:val="24"/>
        </w:rPr>
        <w:t xml:space="preserve"> Nubia, as well as establish</w:t>
      </w:r>
      <w:r w:rsidR="00AB62FD">
        <w:rPr>
          <w:rFonts w:cstheme="minorHAnsi"/>
          <w:sz w:val="24"/>
        </w:rPr>
        <w:t>ing</w:t>
      </w:r>
      <w:r w:rsidR="00877749">
        <w:rPr>
          <w:rFonts w:cstheme="minorHAnsi"/>
          <w:sz w:val="24"/>
        </w:rPr>
        <w:t xml:space="preserve"> Tiye, his principal wife</w:t>
      </w:r>
      <w:r w:rsidR="00AB62FD">
        <w:rPr>
          <w:rFonts w:cstheme="minorHAnsi"/>
          <w:sz w:val="24"/>
        </w:rPr>
        <w:t>,</w:t>
      </w:r>
      <w:r w:rsidR="00877749">
        <w:rPr>
          <w:rFonts w:cstheme="minorHAnsi"/>
          <w:sz w:val="24"/>
        </w:rPr>
        <w:t xml:space="preserve"> as a goddess</w:t>
      </w:r>
      <w:r w:rsidR="00F2617B">
        <w:rPr>
          <w:rFonts w:cstheme="minorHAnsi"/>
          <w:sz w:val="24"/>
        </w:rPr>
        <w:t xml:space="preserve"> although her full deification never occurs. </w:t>
      </w:r>
      <w:r w:rsidR="006F19CB">
        <w:rPr>
          <w:rFonts w:cstheme="minorHAnsi"/>
          <w:sz w:val="24"/>
        </w:rPr>
        <w:t xml:space="preserve">It was during </w:t>
      </w:r>
      <w:r w:rsidR="00DB5C12">
        <w:rPr>
          <w:rFonts w:cstheme="minorHAnsi"/>
          <w:sz w:val="24"/>
        </w:rPr>
        <w:t xml:space="preserve">Amenhotep III’s reign that the queen first adopts the horns and disk of Hathor as part of her insignia, which links her to the solar cult in which Amenhotep III was putting more </w:t>
      </w:r>
      <w:r w:rsidR="00077B64">
        <w:rPr>
          <w:rFonts w:cstheme="minorHAnsi"/>
          <w:sz w:val="24"/>
        </w:rPr>
        <w:t xml:space="preserve">attention into during his reign. </w:t>
      </w:r>
      <w:r w:rsidR="008C64EA">
        <w:rPr>
          <w:rFonts w:cstheme="minorHAnsi"/>
          <w:sz w:val="24"/>
        </w:rPr>
        <w:t xml:space="preserve">As with all other queens of ancient Egypt Tiye is depicted within offering </w:t>
      </w:r>
      <w:r w:rsidR="00534E39">
        <w:rPr>
          <w:rFonts w:cstheme="minorHAnsi"/>
          <w:sz w:val="24"/>
        </w:rPr>
        <w:t xml:space="preserve">scenes accompanying the king. However, Tiye can also be seen depicted </w:t>
      </w:r>
      <w:r w:rsidR="00684002">
        <w:rPr>
          <w:rFonts w:cstheme="minorHAnsi"/>
          <w:sz w:val="24"/>
        </w:rPr>
        <w:t xml:space="preserve">within scenes that </w:t>
      </w:r>
      <w:r w:rsidR="00CE515C">
        <w:rPr>
          <w:rFonts w:cstheme="minorHAnsi"/>
          <w:sz w:val="24"/>
        </w:rPr>
        <w:t xml:space="preserve">are normally seen as kingly iconography, </w:t>
      </w:r>
      <w:r w:rsidR="001C2489">
        <w:rPr>
          <w:rFonts w:cstheme="minorHAnsi"/>
          <w:sz w:val="24"/>
        </w:rPr>
        <w:t xml:space="preserve">where </w:t>
      </w:r>
      <w:r w:rsidR="00590A07">
        <w:rPr>
          <w:rFonts w:cstheme="minorHAnsi"/>
          <w:sz w:val="24"/>
        </w:rPr>
        <w:t>“</w:t>
      </w:r>
      <w:r w:rsidR="001C2489">
        <w:rPr>
          <w:rFonts w:cstheme="minorHAnsi"/>
          <w:sz w:val="24"/>
        </w:rPr>
        <w:t xml:space="preserve">she is depicted </w:t>
      </w:r>
      <w:r w:rsidR="00590A07">
        <w:rPr>
          <w:sz w:val="24"/>
        </w:rPr>
        <w:t>in a private tomb scene sitting on a throne, on the arm of which she appears in the form of a sphinx trampling enemies”</w:t>
      </w:r>
      <w:r w:rsidR="00AD7FD0">
        <w:rPr>
          <w:sz w:val="24"/>
        </w:rPr>
        <w:t xml:space="preserve"> (Robins, 1993: 52)</w:t>
      </w:r>
      <w:r w:rsidR="00CD3ED4">
        <w:rPr>
          <w:sz w:val="24"/>
        </w:rPr>
        <w:t>, thus continuing on what Hatshepsut had begun</w:t>
      </w:r>
      <w:r w:rsidR="00AD7FD0">
        <w:rPr>
          <w:sz w:val="24"/>
        </w:rPr>
        <w:t>.</w:t>
      </w:r>
      <w:r w:rsidR="00FD47AF">
        <w:rPr>
          <w:sz w:val="24"/>
        </w:rPr>
        <w:t xml:space="preserve"> Another aspect of Tiye’s queenship that she als</w:t>
      </w:r>
      <w:r w:rsidR="00761A3B">
        <w:rPr>
          <w:sz w:val="24"/>
        </w:rPr>
        <w:t xml:space="preserve">o </w:t>
      </w:r>
      <w:r w:rsidR="00860462">
        <w:rPr>
          <w:sz w:val="24"/>
        </w:rPr>
        <w:t xml:space="preserve">mimics Hatshepsut </w:t>
      </w:r>
      <w:r w:rsidR="003B2202">
        <w:rPr>
          <w:sz w:val="24"/>
        </w:rPr>
        <w:t>in that she participated in international relations. This is attested to by one of the Amarna Letters</w:t>
      </w:r>
      <w:r w:rsidR="00546B88">
        <w:rPr>
          <w:sz w:val="24"/>
        </w:rPr>
        <w:t xml:space="preserve">, in which the relationship between Tiye and the Mitanni court </w:t>
      </w:r>
      <w:r w:rsidR="00E942D4">
        <w:rPr>
          <w:sz w:val="24"/>
        </w:rPr>
        <w:t xml:space="preserve">is obviously displayed. Within this letter </w:t>
      </w:r>
      <w:r w:rsidR="00562174">
        <w:rPr>
          <w:sz w:val="24"/>
        </w:rPr>
        <w:t>addressed the Amenhotep IV after his father</w:t>
      </w:r>
      <w:r w:rsidR="00E800EC">
        <w:rPr>
          <w:sz w:val="24"/>
        </w:rPr>
        <w:t>’s</w:t>
      </w:r>
      <w:r w:rsidR="00562174">
        <w:rPr>
          <w:sz w:val="24"/>
        </w:rPr>
        <w:t xml:space="preserve"> death, </w:t>
      </w:r>
      <w:r w:rsidR="00E942D4">
        <w:rPr>
          <w:sz w:val="24"/>
        </w:rPr>
        <w:t>the king of Mitanni, Tushratta</w:t>
      </w:r>
      <w:r w:rsidR="00307C62">
        <w:rPr>
          <w:sz w:val="24"/>
        </w:rPr>
        <w:t xml:space="preserve"> </w:t>
      </w:r>
      <w:r w:rsidR="00AE0FB0">
        <w:rPr>
          <w:sz w:val="24"/>
        </w:rPr>
        <w:t xml:space="preserve">states that </w:t>
      </w:r>
      <w:r w:rsidR="00562174">
        <w:rPr>
          <w:sz w:val="24"/>
        </w:rPr>
        <w:t>Tiye, “your mother, knows all the words that I spoke with your father. No one else knows them” (Kozloff</w:t>
      </w:r>
      <w:r w:rsidR="00C070FE">
        <w:rPr>
          <w:sz w:val="24"/>
        </w:rPr>
        <w:t xml:space="preserve">, 2012: 102). </w:t>
      </w:r>
    </w:p>
    <w:p w14:paraId="1E7593D4" w14:textId="0EBFED95" w:rsidR="00FE2AE1" w:rsidRDefault="00FE38EB" w:rsidP="00666B70">
      <w:pPr>
        <w:jc w:val="both"/>
        <w:rPr>
          <w:sz w:val="24"/>
        </w:rPr>
      </w:pPr>
      <w:r>
        <w:rPr>
          <w:sz w:val="24"/>
        </w:rPr>
        <w:t>With Amenhotep III’s death Amenhotep IV becomes the king of Egypt</w:t>
      </w:r>
      <w:r w:rsidR="00C806CE">
        <w:rPr>
          <w:sz w:val="24"/>
        </w:rPr>
        <w:t xml:space="preserve"> along with his wife Nefertiti, who becomes queen. </w:t>
      </w:r>
      <w:r w:rsidR="00606EE0">
        <w:rPr>
          <w:sz w:val="24"/>
        </w:rPr>
        <w:t>Nefertiti had many titles but the most interesting one is the “Lady of the Two Lands” (</w:t>
      </w:r>
      <w:r w:rsidR="0019040A">
        <w:rPr>
          <w:sz w:val="24"/>
        </w:rPr>
        <w:t>Tyldesley, 2015</w:t>
      </w:r>
      <w:r w:rsidR="00872AF6">
        <w:rPr>
          <w:sz w:val="24"/>
        </w:rPr>
        <w:t>: 53)</w:t>
      </w:r>
      <w:r w:rsidR="00C1355A">
        <w:rPr>
          <w:sz w:val="24"/>
        </w:rPr>
        <w:t xml:space="preserve"> title, which </w:t>
      </w:r>
      <w:r w:rsidR="00FE2F6C">
        <w:rPr>
          <w:sz w:val="24"/>
        </w:rPr>
        <w:t xml:space="preserve">links her to the male equivalent, the kings title of </w:t>
      </w:r>
      <w:r w:rsidR="0022242B">
        <w:rPr>
          <w:sz w:val="24"/>
        </w:rPr>
        <w:t>‘Lord of the Two Lands’, thus we can see connections between Nefertiti and a past queen</w:t>
      </w:r>
      <w:r w:rsidR="00191DB7">
        <w:rPr>
          <w:sz w:val="24"/>
        </w:rPr>
        <w:t>,</w:t>
      </w:r>
      <w:r w:rsidR="0022242B">
        <w:rPr>
          <w:sz w:val="24"/>
        </w:rPr>
        <w:t xml:space="preserve"> Hatshepsut.</w:t>
      </w:r>
      <w:r w:rsidR="00FE2AE1">
        <w:rPr>
          <w:sz w:val="24"/>
        </w:rPr>
        <w:t xml:space="preserve"> Kiya who was a secondary wife of Akhenaten</w:t>
      </w:r>
      <w:r w:rsidR="000D0D11">
        <w:rPr>
          <w:sz w:val="24"/>
        </w:rPr>
        <w:t xml:space="preserve">, and she was given the </w:t>
      </w:r>
      <w:r w:rsidR="000D0D11">
        <w:rPr>
          <w:sz w:val="24"/>
        </w:rPr>
        <w:lastRenderedPageBreak/>
        <w:t xml:space="preserve">title of </w:t>
      </w:r>
      <w:r w:rsidR="009914FE">
        <w:rPr>
          <w:sz w:val="24"/>
        </w:rPr>
        <w:t>“W</w:t>
      </w:r>
      <w:r w:rsidR="00AC5059" w:rsidRPr="00AC5059">
        <w:rPr>
          <w:sz w:val="24"/>
        </w:rPr>
        <w:t>ife, greatly beloved of the king” (Kemp, 2012: 15)</w:t>
      </w:r>
      <w:r w:rsidR="00DB1428">
        <w:rPr>
          <w:sz w:val="24"/>
        </w:rPr>
        <w:t>,</w:t>
      </w:r>
      <w:r w:rsidR="00103A38">
        <w:rPr>
          <w:sz w:val="24"/>
        </w:rPr>
        <w:t xml:space="preserve"> and unlike other wives of kings throughout the ages she was “not given the title of ‘king’s wife’” (</w:t>
      </w:r>
      <w:r w:rsidR="0000667C">
        <w:rPr>
          <w:sz w:val="24"/>
        </w:rPr>
        <w:t>Robins, 1993: 54)</w:t>
      </w:r>
      <w:r w:rsidR="00E07093">
        <w:rPr>
          <w:sz w:val="24"/>
        </w:rPr>
        <w:t xml:space="preserve">, perhaps trying to limit the amount of authority she could </w:t>
      </w:r>
      <w:r w:rsidR="00D64EE7">
        <w:rPr>
          <w:sz w:val="24"/>
        </w:rPr>
        <w:t>wield</w:t>
      </w:r>
      <w:r w:rsidR="0000667C">
        <w:rPr>
          <w:sz w:val="24"/>
        </w:rPr>
        <w:t>.</w:t>
      </w:r>
      <w:r w:rsidR="0022242B">
        <w:rPr>
          <w:sz w:val="24"/>
        </w:rPr>
        <w:t xml:space="preserve"> </w:t>
      </w:r>
      <w:r w:rsidR="00191DB7">
        <w:rPr>
          <w:sz w:val="24"/>
        </w:rPr>
        <w:t xml:space="preserve">Queen Nefertiti also is depicted wearing various crowns, from the double feathered traditional crown, to the solar </w:t>
      </w:r>
      <w:r w:rsidR="0008736D">
        <w:rPr>
          <w:sz w:val="24"/>
        </w:rPr>
        <w:t xml:space="preserve">crown of Hathor, and finally her iconic blue </w:t>
      </w:r>
      <w:r w:rsidR="00A55138">
        <w:rPr>
          <w:sz w:val="24"/>
        </w:rPr>
        <w:t>crown</w:t>
      </w:r>
      <w:r w:rsidR="00F85264">
        <w:rPr>
          <w:sz w:val="24"/>
        </w:rPr>
        <w:t xml:space="preserve">, however Nefertiti is never depicted wearing the vulture headdress </w:t>
      </w:r>
      <w:r w:rsidR="007B34F1">
        <w:rPr>
          <w:sz w:val="24"/>
        </w:rPr>
        <w:t>(Robins, 1993: 54).</w:t>
      </w:r>
      <w:r w:rsidR="00542EA2">
        <w:rPr>
          <w:sz w:val="24"/>
        </w:rPr>
        <w:t xml:space="preserve"> </w:t>
      </w:r>
      <w:r w:rsidR="00296BBE">
        <w:rPr>
          <w:sz w:val="24"/>
        </w:rPr>
        <w:t xml:space="preserve">Nefertiti was heavily involved </w:t>
      </w:r>
      <w:r w:rsidR="007F6F88">
        <w:rPr>
          <w:sz w:val="24"/>
        </w:rPr>
        <w:t xml:space="preserve">in the Atenist religion, </w:t>
      </w:r>
      <w:r w:rsidR="009A55BF">
        <w:rPr>
          <w:sz w:val="24"/>
        </w:rPr>
        <w:t xml:space="preserve">as evidenced by the fact that she is depicted </w:t>
      </w:r>
      <w:r w:rsidR="00C10442">
        <w:rPr>
          <w:sz w:val="24"/>
        </w:rPr>
        <w:t>on</w:t>
      </w:r>
      <w:r w:rsidR="009A55BF">
        <w:rPr>
          <w:sz w:val="24"/>
        </w:rPr>
        <w:t xml:space="preserve"> </w:t>
      </w:r>
      <w:r w:rsidR="00C10442">
        <w:rPr>
          <w:sz w:val="24"/>
        </w:rPr>
        <w:t>“</w:t>
      </w:r>
      <w:r w:rsidR="009A55BF">
        <w:rPr>
          <w:sz w:val="24"/>
        </w:rPr>
        <w:t xml:space="preserve">household altars </w:t>
      </w:r>
      <w:r w:rsidR="00C10442">
        <w:rPr>
          <w:sz w:val="24"/>
        </w:rPr>
        <w:t>seated with Akhenaten below the disk of the Aten</w:t>
      </w:r>
      <w:r w:rsidR="00CA67D8">
        <w:rPr>
          <w:sz w:val="24"/>
        </w:rPr>
        <w:t>” (Robins</w:t>
      </w:r>
      <w:r w:rsidR="00B56687">
        <w:rPr>
          <w:sz w:val="24"/>
        </w:rPr>
        <w:t>, 1993: 54)</w:t>
      </w:r>
      <w:r w:rsidR="00833C89">
        <w:rPr>
          <w:sz w:val="24"/>
        </w:rPr>
        <w:t xml:space="preserve">, which shows that the royal couple along with the Aten form a triad that was then </w:t>
      </w:r>
      <w:r w:rsidR="00C26A23">
        <w:rPr>
          <w:sz w:val="24"/>
        </w:rPr>
        <w:t>“worshipped, echoing the triads of deities” (Robins, 1993: 54) from traditional religion</w:t>
      </w:r>
      <w:r w:rsidR="00851438">
        <w:rPr>
          <w:sz w:val="24"/>
        </w:rPr>
        <w:t xml:space="preserve">, effectively deifying the couple. </w:t>
      </w:r>
      <w:r w:rsidR="008664EF">
        <w:rPr>
          <w:sz w:val="24"/>
        </w:rPr>
        <w:t xml:space="preserve">Furthermore, Robins tells us that there is other evidence that </w:t>
      </w:r>
      <w:r w:rsidR="00867BA6">
        <w:rPr>
          <w:sz w:val="24"/>
        </w:rPr>
        <w:t>alludes to the fact that private people could address prayers to Nefertiti.</w:t>
      </w:r>
      <w:r w:rsidR="00B67649">
        <w:rPr>
          <w:sz w:val="24"/>
        </w:rPr>
        <w:t xml:space="preserve"> Beyond being depicted alongside the king with religious iconography Nefertiti is also depicted </w:t>
      </w:r>
      <w:r w:rsidR="00415E28">
        <w:rPr>
          <w:sz w:val="24"/>
        </w:rPr>
        <w:t>“offering directly to the Aten” (Robins, 1993: 53)</w:t>
      </w:r>
      <w:r w:rsidR="00F316C5">
        <w:rPr>
          <w:sz w:val="24"/>
        </w:rPr>
        <w:t xml:space="preserve"> with</w:t>
      </w:r>
      <w:r w:rsidR="00554F8B">
        <w:rPr>
          <w:sz w:val="24"/>
        </w:rPr>
        <w:t xml:space="preserve">out the king, but accompanied by </w:t>
      </w:r>
      <w:r w:rsidR="00ED7BCA">
        <w:rPr>
          <w:sz w:val="24"/>
        </w:rPr>
        <w:t>her daughter Meretaten</w:t>
      </w:r>
      <w:r w:rsidR="002576FF">
        <w:rPr>
          <w:sz w:val="24"/>
        </w:rPr>
        <w:t xml:space="preserve"> who in this scene acts as the feminine aspect normally associated to the office of the queen</w:t>
      </w:r>
      <w:r w:rsidR="000F69CE">
        <w:rPr>
          <w:sz w:val="24"/>
        </w:rPr>
        <w:t xml:space="preserve">, </w:t>
      </w:r>
      <w:r w:rsidR="009E2E66">
        <w:rPr>
          <w:sz w:val="24"/>
        </w:rPr>
        <w:t>echoing the depiction of Hatshepsut and her daughter</w:t>
      </w:r>
      <w:r w:rsidR="00775F53">
        <w:rPr>
          <w:sz w:val="24"/>
        </w:rPr>
        <w:t xml:space="preserve">. This depiction of Nefertiti and her daughter is traditionally part of kingly iconography, however Nefertiti was not afraid to be depicted </w:t>
      </w:r>
      <w:r w:rsidR="000C5303">
        <w:rPr>
          <w:sz w:val="24"/>
        </w:rPr>
        <w:t>in scenes that within early reigns were exclusively meant for the king, such as the depiction of Nefertiti</w:t>
      </w:r>
      <w:r w:rsidR="00AA225B">
        <w:rPr>
          <w:sz w:val="24"/>
        </w:rPr>
        <w:t xml:space="preserve"> wearing the crowns of the king, as well as being depicted smiting the enemies of Egypt (Robins, 1993: 54).</w:t>
      </w:r>
      <w:r w:rsidR="0043279D">
        <w:rPr>
          <w:sz w:val="24"/>
        </w:rPr>
        <w:t xml:space="preserve"> </w:t>
      </w:r>
      <w:r w:rsidR="00120F10">
        <w:rPr>
          <w:sz w:val="24"/>
        </w:rPr>
        <w:t>Another oddity of the Amarna Age when it came to the women is that although Kiya was not the principal wife of Akhenaten she was depicted alongside him in monuments</w:t>
      </w:r>
      <w:r w:rsidR="00FD0778">
        <w:rPr>
          <w:sz w:val="24"/>
        </w:rPr>
        <w:t xml:space="preserve">, which is contrary to tradition. </w:t>
      </w:r>
    </w:p>
    <w:p w14:paraId="5DC23430" w14:textId="513F8938" w:rsidR="002204DC" w:rsidRPr="00952081" w:rsidRDefault="004D1CEF" w:rsidP="00666B70">
      <w:pPr>
        <w:jc w:val="both"/>
        <w:rPr>
          <w:rFonts w:cstheme="minorHAnsi"/>
          <w:sz w:val="24"/>
        </w:rPr>
      </w:pPr>
      <w:r>
        <w:rPr>
          <w:rFonts w:cstheme="minorHAnsi"/>
          <w:sz w:val="24"/>
        </w:rPr>
        <w:t>Through this discussion of a few royal female figures of the 18</w:t>
      </w:r>
      <w:r w:rsidRPr="004D1CEF">
        <w:rPr>
          <w:rFonts w:cstheme="minorHAnsi"/>
          <w:sz w:val="24"/>
          <w:vertAlign w:val="superscript"/>
        </w:rPr>
        <w:t>th</w:t>
      </w:r>
      <w:r>
        <w:rPr>
          <w:rFonts w:cstheme="minorHAnsi"/>
          <w:sz w:val="24"/>
        </w:rPr>
        <w:t xml:space="preserve"> Dynasty, as well as</w:t>
      </w:r>
      <w:r w:rsidR="001A2515">
        <w:rPr>
          <w:rFonts w:cstheme="minorHAnsi"/>
          <w:sz w:val="24"/>
        </w:rPr>
        <w:t xml:space="preserve"> the discussion of the role Nefertiti played with</w:t>
      </w:r>
      <w:r w:rsidR="003256AF">
        <w:rPr>
          <w:rFonts w:cstheme="minorHAnsi"/>
          <w:sz w:val="24"/>
        </w:rPr>
        <w:t>in</w:t>
      </w:r>
      <w:r w:rsidR="001A2515">
        <w:rPr>
          <w:rFonts w:cstheme="minorHAnsi"/>
          <w:sz w:val="24"/>
        </w:rPr>
        <w:t xml:space="preserve"> the Amarna Age, along with the brief mention of both Kiya and Meretaten</w:t>
      </w:r>
      <w:r w:rsidR="003D540E">
        <w:rPr>
          <w:rFonts w:cstheme="minorHAnsi"/>
          <w:sz w:val="24"/>
        </w:rPr>
        <w:t xml:space="preserve"> we have outlined how the royal women of Amarna fit into the development of the 18</w:t>
      </w:r>
      <w:r w:rsidR="003D540E" w:rsidRPr="003D540E">
        <w:rPr>
          <w:rFonts w:cstheme="minorHAnsi"/>
          <w:sz w:val="24"/>
          <w:vertAlign w:val="superscript"/>
        </w:rPr>
        <w:t>th</w:t>
      </w:r>
      <w:r w:rsidR="003D540E">
        <w:rPr>
          <w:rFonts w:cstheme="minorHAnsi"/>
          <w:sz w:val="24"/>
        </w:rPr>
        <w:t xml:space="preserve"> Dynasty, as well as how they do not. </w:t>
      </w:r>
      <w:r w:rsidR="003165A6">
        <w:rPr>
          <w:rFonts w:cstheme="minorHAnsi"/>
          <w:sz w:val="24"/>
        </w:rPr>
        <w:t xml:space="preserve">Nefertiti, along with </w:t>
      </w:r>
      <w:r w:rsidR="003742FA">
        <w:rPr>
          <w:rFonts w:cstheme="minorHAnsi"/>
          <w:sz w:val="24"/>
        </w:rPr>
        <w:t>Kiya and Meretaten do not bear the title of God’s Wife of Amun</w:t>
      </w:r>
      <w:r w:rsidR="00A653CA">
        <w:rPr>
          <w:rFonts w:cstheme="minorHAnsi"/>
          <w:sz w:val="24"/>
        </w:rPr>
        <w:t xml:space="preserve">. This is for obvious reasons, as the official religion of Egypt at the time had moved away from Amun, and his priesthood, to the worship of the Aten. </w:t>
      </w:r>
      <w:r w:rsidR="00135D04">
        <w:rPr>
          <w:rFonts w:cstheme="minorHAnsi"/>
          <w:sz w:val="24"/>
        </w:rPr>
        <w:t xml:space="preserve">Furthermore, during the time of </w:t>
      </w:r>
      <w:r w:rsidR="000737D7">
        <w:rPr>
          <w:rFonts w:cstheme="minorHAnsi"/>
          <w:sz w:val="24"/>
        </w:rPr>
        <w:t>Amarna</w:t>
      </w:r>
      <w:r w:rsidR="00CF041B">
        <w:rPr>
          <w:rFonts w:cstheme="minorHAnsi"/>
          <w:sz w:val="24"/>
        </w:rPr>
        <w:t xml:space="preserve"> the correspondence with Egypt’s vassals was neglected so unlike Tiye, Nefertiti was not involved </w:t>
      </w:r>
      <w:r w:rsidR="003D51FB">
        <w:rPr>
          <w:rFonts w:cstheme="minorHAnsi"/>
          <w:sz w:val="24"/>
        </w:rPr>
        <w:t>with international relations. Besides these two points however, the position of the royal women of Amarna fits quite well into the development of the role during the 18</w:t>
      </w:r>
      <w:r w:rsidR="003D51FB" w:rsidRPr="003D51FB">
        <w:rPr>
          <w:rFonts w:cstheme="minorHAnsi"/>
          <w:sz w:val="24"/>
          <w:vertAlign w:val="superscript"/>
        </w:rPr>
        <w:t>th</w:t>
      </w:r>
      <w:r w:rsidR="003D51FB">
        <w:rPr>
          <w:rFonts w:cstheme="minorHAnsi"/>
          <w:sz w:val="24"/>
        </w:rPr>
        <w:t xml:space="preserve"> Dynasty. </w:t>
      </w:r>
      <w:r w:rsidR="004D0F18">
        <w:rPr>
          <w:rFonts w:cstheme="minorHAnsi"/>
          <w:sz w:val="24"/>
        </w:rPr>
        <w:t xml:space="preserve">Nefertiti </w:t>
      </w:r>
      <w:r w:rsidR="00061061">
        <w:rPr>
          <w:rFonts w:cstheme="minorHAnsi"/>
          <w:sz w:val="24"/>
        </w:rPr>
        <w:t xml:space="preserve">was </w:t>
      </w:r>
      <w:r w:rsidR="004D0F18">
        <w:rPr>
          <w:rFonts w:cstheme="minorHAnsi"/>
          <w:sz w:val="24"/>
        </w:rPr>
        <w:t>extremely involved with the cult, to the point that she was deified, this echo’s the actions of another queen, the first queen</w:t>
      </w:r>
      <w:r w:rsidR="007D497A">
        <w:rPr>
          <w:rFonts w:cstheme="minorHAnsi"/>
          <w:sz w:val="24"/>
        </w:rPr>
        <w:t xml:space="preserve"> of the 18</w:t>
      </w:r>
      <w:r w:rsidR="007D497A" w:rsidRPr="007D497A">
        <w:rPr>
          <w:rFonts w:cstheme="minorHAnsi"/>
          <w:sz w:val="24"/>
          <w:vertAlign w:val="superscript"/>
        </w:rPr>
        <w:t>th</w:t>
      </w:r>
      <w:r w:rsidR="007D497A">
        <w:rPr>
          <w:rFonts w:cstheme="minorHAnsi"/>
          <w:sz w:val="24"/>
        </w:rPr>
        <w:t xml:space="preserve"> Dynasty</w:t>
      </w:r>
      <w:r w:rsidR="004D0F18">
        <w:rPr>
          <w:rFonts w:cstheme="minorHAnsi"/>
          <w:sz w:val="24"/>
        </w:rPr>
        <w:t xml:space="preserve"> in fact, Ahmose Nefertari. </w:t>
      </w:r>
      <w:r w:rsidR="00CD4913">
        <w:rPr>
          <w:rFonts w:cstheme="minorHAnsi"/>
          <w:sz w:val="24"/>
        </w:rPr>
        <w:t xml:space="preserve">Like this previous queen it could be said that Nefertiti was also heavily involved in building works as she was </w:t>
      </w:r>
      <w:r w:rsidR="00502A4A">
        <w:rPr>
          <w:rFonts w:cstheme="minorHAnsi"/>
          <w:sz w:val="24"/>
        </w:rPr>
        <w:t xml:space="preserve">depicted quite </w:t>
      </w:r>
      <w:r w:rsidR="00D61714">
        <w:rPr>
          <w:rFonts w:cstheme="minorHAnsi"/>
          <w:sz w:val="24"/>
        </w:rPr>
        <w:t>often and</w:t>
      </w:r>
      <w:r w:rsidR="00502A4A">
        <w:rPr>
          <w:rFonts w:cstheme="minorHAnsi"/>
          <w:sz w:val="24"/>
        </w:rPr>
        <w:t xml:space="preserve"> had </w:t>
      </w:r>
      <w:r w:rsidR="00D61714">
        <w:rPr>
          <w:rFonts w:cstheme="minorHAnsi"/>
          <w:sz w:val="24"/>
        </w:rPr>
        <w:t xml:space="preserve">a </w:t>
      </w:r>
      <w:r w:rsidR="00502A4A">
        <w:rPr>
          <w:rFonts w:cstheme="minorHAnsi"/>
          <w:sz w:val="24"/>
        </w:rPr>
        <w:t>temple or ‘sunshade</w:t>
      </w:r>
      <w:r w:rsidR="0092292B">
        <w:rPr>
          <w:rFonts w:cstheme="minorHAnsi"/>
          <w:sz w:val="24"/>
        </w:rPr>
        <w:t>’ of Aten that w</w:t>
      </w:r>
      <w:r w:rsidR="00B36DE7">
        <w:rPr>
          <w:rFonts w:cstheme="minorHAnsi"/>
          <w:sz w:val="24"/>
        </w:rPr>
        <w:t>as</w:t>
      </w:r>
      <w:r w:rsidR="0092292B">
        <w:rPr>
          <w:rFonts w:cstheme="minorHAnsi"/>
          <w:sz w:val="24"/>
        </w:rPr>
        <w:t xml:space="preserve"> dedicated to her. </w:t>
      </w:r>
      <w:r w:rsidR="00B1110F">
        <w:rPr>
          <w:rFonts w:cstheme="minorHAnsi"/>
          <w:sz w:val="24"/>
        </w:rPr>
        <w:t>This is evidenced by the fact that in Boundary Stela K at Amarna it was decreed that “At Akhet-Aten in this place I make the sunshade of the [King’s Chief] Wife [NEFERNEFRUATEN-NEFERTITI] for the Aten, my father” (</w:t>
      </w:r>
      <w:r w:rsidR="008A1E25">
        <w:rPr>
          <w:rFonts w:cstheme="minorHAnsi"/>
          <w:sz w:val="24"/>
        </w:rPr>
        <w:t>Murnane and William, 1995:</w:t>
      </w:r>
      <w:r w:rsidR="000356EA">
        <w:rPr>
          <w:rFonts w:cstheme="minorHAnsi"/>
          <w:sz w:val="24"/>
        </w:rPr>
        <w:t xml:space="preserve"> 77).</w:t>
      </w:r>
      <w:r w:rsidR="008A73B4">
        <w:rPr>
          <w:rFonts w:cstheme="minorHAnsi"/>
          <w:sz w:val="24"/>
        </w:rPr>
        <w:t xml:space="preserve"> </w:t>
      </w:r>
      <w:r w:rsidR="00720901">
        <w:rPr>
          <w:rFonts w:cstheme="minorHAnsi"/>
          <w:sz w:val="24"/>
        </w:rPr>
        <w:t>Like both Ahmose Nefertari and Tiye, Nefertiti is depicted in scenes that are normally used as part of kingly iconography</w:t>
      </w:r>
      <w:r w:rsidR="004148AE">
        <w:rPr>
          <w:rFonts w:cstheme="minorHAnsi"/>
          <w:sz w:val="24"/>
        </w:rPr>
        <w:t>. Moreover,</w:t>
      </w:r>
      <w:r w:rsidR="00C05D53">
        <w:rPr>
          <w:rFonts w:cstheme="minorHAnsi"/>
          <w:sz w:val="24"/>
        </w:rPr>
        <w:t xml:space="preserve"> the imagery of Nefertiti beside Akhenaten under the Aten, making Nefertiti on equal footing to the King, also links in with how Tiye was depicted during the reign of Amenhotep III</w:t>
      </w:r>
      <w:r w:rsidR="00DA4E2C">
        <w:rPr>
          <w:rFonts w:cstheme="minorHAnsi"/>
          <w:sz w:val="24"/>
        </w:rPr>
        <w:t xml:space="preserve"> in the form of a colossal seated statue alongside </w:t>
      </w:r>
      <w:r w:rsidR="005818C3">
        <w:rPr>
          <w:rFonts w:cstheme="minorHAnsi"/>
          <w:sz w:val="24"/>
        </w:rPr>
        <w:t>her husband</w:t>
      </w:r>
      <w:r w:rsidR="00DA4E2C">
        <w:rPr>
          <w:rFonts w:cstheme="minorHAnsi"/>
          <w:sz w:val="24"/>
        </w:rPr>
        <w:t xml:space="preserve">. </w:t>
      </w:r>
      <w:r w:rsidR="000E5953">
        <w:rPr>
          <w:rFonts w:cstheme="minorHAnsi"/>
          <w:sz w:val="24"/>
        </w:rPr>
        <w:t xml:space="preserve">Finally, the emphasis of Nefertiti being on equal footing to the king is emphasised within the iconography that displays her as </w:t>
      </w:r>
      <w:r w:rsidR="000E5953">
        <w:rPr>
          <w:rFonts w:cstheme="minorHAnsi"/>
          <w:sz w:val="24"/>
        </w:rPr>
        <w:lastRenderedPageBreak/>
        <w:t>offering directly to Aten, while being assisted by her daughter Meretaten. This scene is reminiscent of the depict</w:t>
      </w:r>
      <w:r w:rsidR="00FC72FB">
        <w:rPr>
          <w:rFonts w:cstheme="minorHAnsi"/>
          <w:sz w:val="24"/>
        </w:rPr>
        <w:t>ion</w:t>
      </w:r>
      <w:r w:rsidR="000E5953">
        <w:rPr>
          <w:rFonts w:cstheme="minorHAnsi"/>
          <w:sz w:val="24"/>
        </w:rPr>
        <w:t xml:space="preserve"> of Hatshepsut alongside her daughter in an offering scene when Hatshepsut was king.</w:t>
      </w:r>
      <w:r w:rsidR="00776A0A">
        <w:rPr>
          <w:rFonts w:cstheme="minorHAnsi"/>
          <w:sz w:val="24"/>
        </w:rPr>
        <w:t xml:space="preserve"> As we have seen the royal women of the 18</w:t>
      </w:r>
      <w:r w:rsidR="00776A0A" w:rsidRPr="00776A0A">
        <w:rPr>
          <w:rFonts w:cstheme="minorHAnsi"/>
          <w:sz w:val="24"/>
          <w:vertAlign w:val="superscript"/>
        </w:rPr>
        <w:t>th</w:t>
      </w:r>
      <w:r w:rsidR="00776A0A">
        <w:rPr>
          <w:rFonts w:cstheme="minorHAnsi"/>
          <w:sz w:val="24"/>
        </w:rPr>
        <w:t xml:space="preserve"> Dynasty </w:t>
      </w:r>
      <w:r w:rsidR="00F13EA8">
        <w:rPr>
          <w:rFonts w:cstheme="minorHAnsi"/>
          <w:sz w:val="24"/>
        </w:rPr>
        <w:t xml:space="preserve">before Amarna </w:t>
      </w:r>
      <w:r w:rsidR="00776A0A">
        <w:rPr>
          <w:rFonts w:cstheme="minorHAnsi"/>
          <w:sz w:val="24"/>
        </w:rPr>
        <w:t>were pioneering in their pursuit of power and recognition</w:t>
      </w:r>
      <w:r w:rsidR="00F13EA8">
        <w:rPr>
          <w:rFonts w:cstheme="minorHAnsi"/>
          <w:sz w:val="24"/>
        </w:rPr>
        <w:t xml:space="preserve">, and this was no different to how the royal women of Amarna exercised their power. </w:t>
      </w:r>
    </w:p>
    <w:p w14:paraId="01914490" w14:textId="77777777" w:rsidR="00FC72FB" w:rsidRDefault="00FC72FB" w:rsidP="00A11BC0">
      <w:pPr>
        <w:jc w:val="both"/>
        <w:rPr>
          <w:rFonts w:cstheme="minorHAnsi"/>
          <w:b/>
          <w:bCs/>
          <w:sz w:val="28"/>
          <w:szCs w:val="24"/>
          <w:u w:val="single"/>
        </w:rPr>
      </w:pPr>
    </w:p>
    <w:p w14:paraId="56CFF170" w14:textId="0D7FF972" w:rsidR="00891449" w:rsidRPr="00891449" w:rsidRDefault="008E3F93" w:rsidP="00A11BC0">
      <w:pPr>
        <w:jc w:val="both"/>
        <w:rPr>
          <w:rFonts w:cstheme="minorHAnsi"/>
          <w:b/>
          <w:bCs/>
          <w:sz w:val="28"/>
          <w:szCs w:val="24"/>
          <w:u w:val="single"/>
        </w:rPr>
      </w:pPr>
      <w:bookmarkStart w:id="0" w:name="_GoBack"/>
      <w:bookmarkEnd w:id="0"/>
      <w:r w:rsidRPr="008E3F93">
        <w:rPr>
          <w:rFonts w:cstheme="minorHAnsi"/>
          <w:b/>
          <w:bCs/>
          <w:sz w:val="28"/>
          <w:szCs w:val="24"/>
          <w:u w:val="single"/>
        </w:rPr>
        <w:t>Bibliography</w:t>
      </w:r>
    </w:p>
    <w:p w14:paraId="026E3D3E" w14:textId="77777777" w:rsidR="00891449" w:rsidRDefault="00891449" w:rsidP="00666B70">
      <w:pPr>
        <w:spacing w:before="240" w:after="0" w:line="0" w:lineRule="atLeast"/>
        <w:jc w:val="both"/>
        <w:rPr>
          <w:bCs/>
          <w:sz w:val="24"/>
          <w:szCs w:val="24"/>
        </w:rPr>
      </w:pPr>
      <w:r w:rsidRPr="004F3838">
        <w:rPr>
          <w:bCs/>
          <w:sz w:val="24"/>
          <w:szCs w:val="24"/>
        </w:rPr>
        <w:t>Brewer, D. and Teeter, E. (2007). Egypt and the Egyptians. 2nd ed. Cambridge: Cambridge University Press.</w:t>
      </w:r>
    </w:p>
    <w:p w14:paraId="5A30280C" w14:textId="6CF1C77A" w:rsidR="00891449" w:rsidRDefault="00891449" w:rsidP="00666B70">
      <w:pPr>
        <w:spacing w:before="240" w:after="0" w:line="0" w:lineRule="atLeast"/>
        <w:jc w:val="both"/>
        <w:rPr>
          <w:bCs/>
          <w:sz w:val="24"/>
          <w:szCs w:val="24"/>
        </w:rPr>
      </w:pPr>
      <w:r w:rsidRPr="00C40BA9">
        <w:rPr>
          <w:bCs/>
          <w:sz w:val="24"/>
          <w:szCs w:val="24"/>
        </w:rPr>
        <w:t>Kemp, B. (2012). The City of Akhenaten and Nefertiti: Amarna and its People. London: Thames &amp; Hudson.</w:t>
      </w:r>
    </w:p>
    <w:p w14:paraId="127E79FA" w14:textId="4BB959BF" w:rsidR="00152C5F" w:rsidRDefault="00152C5F" w:rsidP="00666B70">
      <w:pPr>
        <w:spacing w:before="240" w:after="0" w:line="0" w:lineRule="atLeast"/>
        <w:jc w:val="both"/>
        <w:rPr>
          <w:bCs/>
          <w:sz w:val="24"/>
          <w:szCs w:val="24"/>
        </w:rPr>
      </w:pPr>
      <w:r w:rsidRPr="00152C5F">
        <w:rPr>
          <w:bCs/>
          <w:sz w:val="24"/>
          <w:szCs w:val="24"/>
        </w:rPr>
        <w:t>Kozloff, A. (2012). Amenhotep III: Egypt's Radiant Pharaoh. Cambridge: Cambridge University Press.</w:t>
      </w:r>
    </w:p>
    <w:p w14:paraId="047D3ADE" w14:textId="25328C96" w:rsidR="00891449" w:rsidRDefault="00891449" w:rsidP="00252546">
      <w:pPr>
        <w:spacing w:before="240" w:after="0" w:line="0" w:lineRule="atLeast"/>
        <w:rPr>
          <w:bCs/>
          <w:sz w:val="24"/>
          <w:szCs w:val="24"/>
        </w:rPr>
      </w:pPr>
      <w:r w:rsidRPr="00C40BA9">
        <w:rPr>
          <w:bCs/>
          <w:sz w:val="24"/>
          <w:szCs w:val="24"/>
        </w:rPr>
        <w:t>Montserrat, D. (2003). Akhenaten: History, Fantasy and Ancient Egypt. London: Routledge.</w:t>
      </w:r>
    </w:p>
    <w:p w14:paraId="1F482971" w14:textId="4B5D5ADC" w:rsidR="008A1E25" w:rsidRPr="00001959" w:rsidRDefault="008A1E25" w:rsidP="00252546">
      <w:pPr>
        <w:spacing w:before="240" w:after="0" w:line="0" w:lineRule="atLeast"/>
        <w:rPr>
          <w:bCs/>
          <w:sz w:val="24"/>
          <w:szCs w:val="24"/>
        </w:rPr>
      </w:pPr>
      <w:r w:rsidRPr="008A1E25">
        <w:rPr>
          <w:bCs/>
          <w:sz w:val="24"/>
          <w:szCs w:val="24"/>
        </w:rPr>
        <w:t>Murnane and William J. (1995).  Texts from the Amarna Period in Egypt. 73 – 81. Atlanta: Scholars Press.</w:t>
      </w:r>
    </w:p>
    <w:p w14:paraId="53480D58" w14:textId="77777777" w:rsidR="00891449" w:rsidRDefault="00891449" w:rsidP="00666B70">
      <w:pPr>
        <w:spacing w:before="240" w:after="0" w:line="0" w:lineRule="atLeast"/>
        <w:jc w:val="both"/>
        <w:rPr>
          <w:sz w:val="24"/>
          <w:szCs w:val="24"/>
        </w:rPr>
      </w:pPr>
      <w:r w:rsidRPr="001D15EA">
        <w:rPr>
          <w:sz w:val="24"/>
          <w:szCs w:val="24"/>
        </w:rPr>
        <w:t>Robins, G. (1993). Women in ancient Egypt. London: British Museum Press.</w:t>
      </w:r>
    </w:p>
    <w:p w14:paraId="0E34D9BD" w14:textId="77777777" w:rsidR="00891449" w:rsidRDefault="00891449" w:rsidP="00664827">
      <w:pPr>
        <w:spacing w:before="240" w:after="0" w:line="0" w:lineRule="atLeast"/>
        <w:rPr>
          <w:sz w:val="24"/>
          <w:szCs w:val="24"/>
        </w:rPr>
      </w:pPr>
      <w:r w:rsidRPr="00033EDC">
        <w:rPr>
          <w:bCs/>
          <w:sz w:val="24"/>
          <w:szCs w:val="24"/>
        </w:rPr>
        <w:t>Tyldesley, J. (1998). Hatshepsut: The Female Pharaoh. London: Pe</w:t>
      </w:r>
      <w:r>
        <w:rPr>
          <w:bCs/>
          <w:sz w:val="24"/>
          <w:szCs w:val="24"/>
        </w:rPr>
        <w:t>n</w:t>
      </w:r>
      <w:r w:rsidRPr="00033EDC">
        <w:rPr>
          <w:bCs/>
          <w:sz w:val="24"/>
          <w:szCs w:val="24"/>
        </w:rPr>
        <w:t>guin Group.</w:t>
      </w:r>
    </w:p>
    <w:p w14:paraId="1C91E94D" w14:textId="2596B35F" w:rsidR="00891449" w:rsidRDefault="00891449" w:rsidP="00666B70">
      <w:pPr>
        <w:spacing w:before="240" w:after="0" w:line="0" w:lineRule="atLeast"/>
        <w:jc w:val="both"/>
        <w:rPr>
          <w:sz w:val="24"/>
          <w:szCs w:val="24"/>
        </w:rPr>
      </w:pPr>
      <w:r w:rsidRPr="00D778A8">
        <w:rPr>
          <w:sz w:val="24"/>
          <w:szCs w:val="24"/>
        </w:rPr>
        <w:t>Tyldesley, J. (2015)</w:t>
      </w:r>
      <w:r>
        <w:rPr>
          <w:sz w:val="24"/>
          <w:szCs w:val="24"/>
        </w:rPr>
        <w:t>.</w:t>
      </w:r>
      <w:r w:rsidRPr="00D778A8">
        <w:rPr>
          <w:sz w:val="24"/>
          <w:szCs w:val="24"/>
        </w:rPr>
        <w:t xml:space="preserve"> ‘Queens of the Early New Kingdom The Politically Active Queens’, Ancient Egypt Magazine, 15(5), pp. 12–15. Available at: https://search-ebscohost-com.ezproxy.uwtsd.ac.uk/login.aspx?direct=true&amp;db=hus&amp;AN=102242126&amp;site=ehost-live (Accessed: 6 June 2019).</w:t>
      </w:r>
    </w:p>
    <w:p w14:paraId="216C04A0" w14:textId="6236113C" w:rsidR="0019040A" w:rsidRPr="00D778A8" w:rsidRDefault="0019040A" w:rsidP="00666B70">
      <w:pPr>
        <w:spacing w:before="240" w:after="0" w:line="0" w:lineRule="atLeast"/>
        <w:jc w:val="both"/>
        <w:rPr>
          <w:sz w:val="24"/>
          <w:szCs w:val="24"/>
        </w:rPr>
      </w:pPr>
      <w:r w:rsidRPr="0019040A">
        <w:rPr>
          <w:sz w:val="24"/>
          <w:szCs w:val="24"/>
        </w:rPr>
        <w:t>Tyldesley, J. (2015) ‘Egypt’s Sun Queens: Part 2 - Nefertiti’, Ancient Egypt Magazine, 16(2), pp. 48–53.</w:t>
      </w:r>
      <w:r>
        <w:rPr>
          <w:sz w:val="24"/>
          <w:szCs w:val="24"/>
        </w:rPr>
        <w:t xml:space="preserve"> </w:t>
      </w:r>
      <w:r w:rsidRPr="0019040A">
        <w:rPr>
          <w:sz w:val="24"/>
          <w:szCs w:val="24"/>
        </w:rPr>
        <w:t>Available</w:t>
      </w:r>
      <w:r>
        <w:rPr>
          <w:sz w:val="24"/>
          <w:szCs w:val="24"/>
        </w:rPr>
        <w:t xml:space="preserve"> </w:t>
      </w:r>
      <w:r w:rsidRPr="0019040A">
        <w:rPr>
          <w:sz w:val="24"/>
          <w:szCs w:val="24"/>
        </w:rPr>
        <w:t>at:</w:t>
      </w:r>
      <w:r>
        <w:rPr>
          <w:sz w:val="24"/>
          <w:szCs w:val="24"/>
        </w:rPr>
        <w:t xml:space="preserve"> </w:t>
      </w:r>
      <w:r w:rsidRPr="0019040A">
        <w:rPr>
          <w:sz w:val="24"/>
          <w:szCs w:val="24"/>
        </w:rPr>
        <w:t>https://search-ebscohost-com.ezproxy.uwtsd.ac.uk/login.aspx?direct=true&amp;db=hus&amp;AN=110585798&amp;site=ehost-live (Accessed: 7 June 2019).</w:t>
      </w:r>
    </w:p>
    <w:sectPr w:rsidR="0019040A" w:rsidRPr="00D778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D3C"/>
    <w:rsid w:val="0000107A"/>
    <w:rsid w:val="00001959"/>
    <w:rsid w:val="000026D9"/>
    <w:rsid w:val="000030EC"/>
    <w:rsid w:val="0000667C"/>
    <w:rsid w:val="000356EA"/>
    <w:rsid w:val="0004262C"/>
    <w:rsid w:val="000438EE"/>
    <w:rsid w:val="00046C30"/>
    <w:rsid w:val="00061061"/>
    <w:rsid w:val="000737D7"/>
    <w:rsid w:val="00077B64"/>
    <w:rsid w:val="0008736D"/>
    <w:rsid w:val="00092AFE"/>
    <w:rsid w:val="000C5303"/>
    <w:rsid w:val="000D0D11"/>
    <w:rsid w:val="000E5953"/>
    <w:rsid w:val="000F69CE"/>
    <w:rsid w:val="00103A38"/>
    <w:rsid w:val="00114F14"/>
    <w:rsid w:val="00120F10"/>
    <w:rsid w:val="00135D04"/>
    <w:rsid w:val="001416CE"/>
    <w:rsid w:val="001478CA"/>
    <w:rsid w:val="001513EF"/>
    <w:rsid w:val="00151549"/>
    <w:rsid w:val="00152C5F"/>
    <w:rsid w:val="0015564A"/>
    <w:rsid w:val="00155DF2"/>
    <w:rsid w:val="0017020E"/>
    <w:rsid w:val="001828C7"/>
    <w:rsid w:val="0019040A"/>
    <w:rsid w:val="00191DB7"/>
    <w:rsid w:val="001A2515"/>
    <w:rsid w:val="001C2489"/>
    <w:rsid w:val="001C7DC0"/>
    <w:rsid w:val="001E6FA4"/>
    <w:rsid w:val="001F4E92"/>
    <w:rsid w:val="00203CDE"/>
    <w:rsid w:val="00214A97"/>
    <w:rsid w:val="002204DC"/>
    <w:rsid w:val="00220995"/>
    <w:rsid w:val="002211BB"/>
    <w:rsid w:val="0022242B"/>
    <w:rsid w:val="002263DC"/>
    <w:rsid w:val="0022677D"/>
    <w:rsid w:val="00247D3E"/>
    <w:rsid w:val="00250CA4"/>
    <w:rsid w:val="00252546"/>
    <w:rsid w:val="00252DCF"/>
    <w:rsid w:val="002576FF"/>
    <w:rsid w:val="00264004"/>
    <w:rsid w:val="00265928"/>
    <w:rsid w:val="00282FBB"/>
    <w:rsid w:val="00296BBE"/>
    <w:rsid w:val="002B438D"/>
    <w:rsid w:val="00307C62"/>
    <w:rsid w:val="003165A6"/>
    <w:rsid w:val="003256AF"/>
    <w:rsid w:val="003742FA"/>
    <w:rsid w:val="003B2202"/>
    <w:rsid w:val="003D51FB"/>
    <w:rsid w:val="003D540E"/>
    <w:rsid w:val="003E6509"/>
    <w:rsid w:val="004118EB"/>
    <w:rsid w:val="004148AE"/>
    <w:rsid w:val="00415E28"/>
    <w:rsid w:val="004172C6"/>
    <w:rsid w:val="004320DC"/>
    <w:rsid w:val="0043279D"/>
    <w:rsid w:val="004455EC"/>
    <w:rsid w:val="00466E27"/>
    <w:rsid w:val="00470BCF"/>
    <w:rsid w:val="00486E8F"/>
    <w:rsid w:val="004A3D1B"/>
    <w:rsid w:val="004A6E0F"/>
    <w:rsid w:val="004D0F18"/>
    <w:rsid w:val="004D1CEF"/>
    <w:rsid w:val="004E16E0"/>
    <w:rsid w:val="00502A4A"/>
    <w:rsid w:val="00513BD6"/>
    <w:rsid w:val="00523E44"/>
    <w:rsid w:val="00534E39"/>
    <w:rsid w:val="00540290"/>
    <w:rsid w:val="00541B7A"/>
    <w:rsid w:val="00542EA2"/>
    <w:rsid w:val="00544D25"/>
    <w:rsid w:val="00546B88"/>
    <w:rsid w:val="00554F8B"/>
    <w:rsid w:val="00560E05"/>
    <w:rsid w:val="00562174"/>
    <w:rsid w:val="005623B7"/>
    <w:rsid w:val="005720FC"/>
    <w:rsid w:val="005818C3"/>
    <w:rsid w:val="00590A07"/>
    <w:rsid w:val="005C333B"/>
    <w:rsid w:val="005D1CFB"/>
    <w:rsid w:val="00606EBE"/>
    <w:rsid w:val="00606EE0"/>
    <w:rsid w:val="00622C4F"/>
    <w:rsid w:val="006231A4"/>
    <w:rsid w:val="006335C1"/>
    <w:rsid w:val="006500E4"/>
    <w:rsid w:val="00664827"/>
    <w:rsid w:val="00666B70"/>
    <w:rsid w:val="00684002"/>
    <w:rsid w:val="00693461"/>
    <w:rsid w:val="006B1A19"/>
    <w:rsid w:val="006B5A40"/>
    <w:rsid w:val="006C364C"/>
    <w:rsid w:val="006C6A5E"/>
    <w:rsid w:val="006D6728"/>
    <w:rsid w:val="006F19CB"/>
    <w:rsid w:val="00703383"/>
    <w:rsid w:val="00714B73"/>
    <w:rsid w:val="00720901"/>
    <w:rsid w:val="007319A1"/>
    <w:rsid w:val="00733AA2"/>
    <w:rsid w:val="007429D2"/>
    <w:rsid w:val="00753FC7"/>
    <w:rsid w:val="00761A3B"/>
    <w:rsid w:val="007636DB"/>
    <w:rsid w:val="00767D6A"/>
    <w:rsid w:val="00775F53"/>
    <w:rsid w:val="00776A0A"/>
    <w:rsid w:val="007804AF"/>
    <w:rsid w:val="007A5363"/>
    <w:rsid w:val="007A5C72"/>
    <w:rsid w:val="007B34F1"/>
    <w:rsid w:val="007B6A06"/>
    <w:rsid w:val="007D497A"/>
    <w:rsid w:val="007D52DA"/>
    <w:rsid w:val="007E1F40"/>
    <w:rsid w:val="007F6F88"/>
    <w:rsid w:val="008118FA"/>
    <w:rsid w:val="00833C89"/>
    <w:rsid w:val="00842E27"/>
    <w:rsid w:val="00851438"/>
    <w:rsid w:val="00860462"/>
    <w:rsid w:val="0086131B"/>
    <w:rsid w:val="00864A69"/>
    <w:rsid w:val="008664EF"/>
    <w:rsid w:val="008667F0"/>
    <w:rsid w:val="00867BA6"/>
    <w:rsid w:val="00872AF6"/>
    <w:rsid w:val="0087508A"/>
    <w:rsid w:val="00877749"/>
    <w:rsid w:val="00877FF4"/>
    <w:rsid w:val="00882942"/>
    <w:rsid w:val="00891449"/>
    <w:rsid w:val="008A1E25"/>
    <w:rsid w:val="008A73B4"/>
    <w:rsid w:val="008B63F1"/>
    <w:rsid w:val="008C64EA"/>
    <w:rsid w:val="008E3F93"/>
    <w:rsid w:val="00900093"/>
    <w:rsid w:val="00914ED9"/>
    <w:rsid w:val="0092292B"/>
    <w:rsid w:val="00935514"/>
    <w:rsid w:val="00940851"/>
    <w:rsid w:val="00952081"/>
    <w:rsid w:val="009914FE"/>
    <w:rsid w:val="009A0A91"/>
    <w:rsid w:val="009A55BF"/>
    <w:rsid w:val="009E2E66"/>
    <w:rsid w:val="009E4B99"/>
    <w:rsid w:val="009E5114"/>
    <w:rsid w:val="00A11BC0"/>
    <w:rsid w:val="00A20496"/>
    <w:rsid w:val="00A5437E"/>
    <w:rsid w:val="00A55138"/>
    <w:rsid w:val="00A61FC1"/>
    <w:rsid w:val="00A653CA"/>
    <w:rsid w:val="00A76049"/>
    <w:rsid w:val="00A82675"/>
    <w:rsid w:val="00A959BE"/>
    <w:rsid w:val="00AA225B"/>
    <w:rsid w:val="00AA2995"/>
    <w:rsid w:val="00AB34AC"/>
    <w:rsid w:val="00AB62FD"/>
    <w:rsid w:val="00AC5059"/>
    <w:rsid w:val="00AC73F9"/>
    <w:rsid w:val="00AD7FD0"/>
    <w:rsid w:val="00AE0FB0"/>
    <w:rsid w:val="00AE7C0B"/>
    <w:rsid w:val="00B1110F"/>
    <w:rsid w:val="00B36DE7"/>
    <w:rsid w:val="00B557C9"/>
    <w:rsid w:val="00B56687"/>
    <w:rsid w:val="00B67649"/>
    <w:rsid w:val="00B70469"/>
    <w:rsid w:val="00B8466C"/>
    <w:rsid w:val="00B847DC"/>
    <w:rsid w:val="00B86AFA"/>
    <w:rsid w:val="00BB3F13"/>
    <w:rsid w:val="00BD7DAE"/>
    <w:rsid w:val="00C022D6"/>
    <w:rsid w:val="00C05D53"/>
    <w:rsid w:val="00C06CE8"/>
    <w:rsid w:val="00C070FE"/>
    <w:rsid w:val="00C10442"/>
    <w:rsid w:val="00C118DE"/>
    <w:rsid w:val="00C1355A"/>
    <w:rsid w:val="00C26A23"/>
    <w:rsid w:val="00C53527"/>
    <w:rsid w:val="00C806CE"/>
    <w:rsid w:val="00CA5445"/>
    <w:rsid w:val="00CA67D8"/>
    <w:rsid w:val="00CB2FAD"/>
    <w:rsid w:val="00CB50B2"/>
    <w:rsid w:val="00CB7242"/>
    <w:rsid w:val="00CC54BF"/>
    <w:rsid w:val="00CD01BD"/>
    <w:rsid w:val="00CD3ED4"/>
    <w:rsid w:val="00CD4913"/>
    <w:rsid w:val="00CE4FD8"/>
    <w:rsid w:val="00CE515C"/>
    <w:rsid w:val="00CF041B"/>
    <w:rsid w:val="00CF050A"/>
    <w:rsid w:val="00CF1015"/>
    <w:rsid w:val="00D05511"/>
    <w:rsid w:val="00D36FB9"/>
    <w:rsid w:val="00D50AD4"/>
    <w:rsid w:val="00D61714"/>
    <w:rsid w:val="00D64EE7"/>
    <w:rsid w:val="00D778A8"/>
    <w:rsid w:val="00D80B84"/>
    <w:rsid w:val="00DA4E2C"/>
    <w:rsid w:val="00DB1428"/>
    <w:rsid w:val="00DB309C"/>
    <w:rsid w:val="00DB4A8C"/>
    <w:rsid w:val="00DB5C12"/>
    <w:rsid w:val="00DC66A8"/>
    <w:rsid w:val="00DC69FB"/>
    <w:rsid w:val="00DD0D3C"/>
    <w:rsid w:val="00E07093"/>
    <w:rsid w:val="00E1756D"/>
    <w:rsid w:val="00E45997"/>
    <w:rsid w:val="00E6400A"/>
    <w:rsid w:val="00E800EC"/>
    <w:rsid w:val="00E942D4"/>
    <w:rsid w:val="00ED46C5"/>
    <w:rsid w:val="00ED7BCA"/>
    <w:rsid w:val="00ED7DFA"/>
    <w:rsid w:val="00EF6FBB"/>
    <w:rsid w:val="00F13EA8"/>
    <w:rsid w:val="00F2617B"/>
    <w:rsid w:val="00F316C5"/>
    <w:rsid w:val="00F466F6"/>
    <w:rsid w:val="00F76130"/>
    <w:rsid w:val="00F81EB6"/>
    <w:rsid w:val="00F82A88"/>
    <w:rsid w:val="00F85264"/>
    <w:rsid w:val="00F85BCD"/>
    <w:rsid w:val="00F96DCA"/>
    <w:rsid w:val="00F97023"/>
    <w:rsid w:val="00FC72FB"/>
    <w:rsid w:val="00FD0778"/>
    <w:rsid w:val="00FD47AF"/>
    <w:rsid w:val="00FE2AE1"/>
    <w:rsid w:val="00FE2F6C"/>
    <w:rsid w:val="00FE38EB"/>
    <w:rsid w:val="00FF0E6A"/>
    <w:rsid w:val="00FF6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A6DE1"/>
  <w15:chartTrackingRefBased/>
  <w15:docId w15:val="{518A8944-90B3-4847-BF2E-3C3AAEFD8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1956</Words>
  <Characters>11153</Characters>
  <Application>Microsoft Office Word</Application>
  <DocSecurity>0</DocSecurity>
  <Lines>92</Lines>
  <Paragraphs>26</Paragraphs>
  <ScaleCrop>false</ScaleCrop>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Leer</dc:creator>
  <cp:keywords/>
  <dc:description/>
  <cp:lastModifiedBy>Caroline Leer</cp:lastModifiedBy>
  <cp:revision>263</cp:revision>
  <dcterms:created xsi:type="dcterms:W3CDTF">2019-06-04T16:38:00Z</dcterms:created>
  <dcterms:modified xsi:type="dcterms:W3CDTF">2019-06-07T17:03:00Z</dcterms:modified>
</cp:coreProperties>
</file>