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C5FA7" w14:textId="77777777" w:rsidR="00195025" w:rsidRPr="00195025" w:rsidRDefault="00195025" w:rsidP="00195025">
      <w:pPr>
        <w:jc w:val="center"/>
        <w:rPr>
          <w:rFonts w:ascii="Arial" w:hAnsi="Arial" w:cs="Arial"/>
        </w:rPr>
      </w:pPr>
      <w:bookmarkStart w:id="0" w:name="_Hlk131341612"/>
      <w:r w:rsidRPr="00195025">
        <w:rPr>
          <w:rFonts w:ascii="Arial" w:hAnsi="Arial" w:cs="Arial"/>
          <w:noProof/>
          <w14:ligatures w14:val="standardContextual"/>
        </w:rPr>
        <w:drawing>
          <wp:inline distT="0" distB="0" distL="0" distR="0" wp14:anchorId="5305D3C6" wp14:editId="219A41D3">
            <wp:extent cx="3381375" cy="1238250"/>
            <wp:effectExtent l="0" t="0" r="9525" b="0"/>
            <wp:docPr id="828559076"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59076" name="Picture 1" descr="A close-up of black text&#10;&#10;AI-generated content may be incorrect."/>
                    <pic:cNvPicPr/>
                  </pic:nvPicPr>
                  <pic:blipFill>
                    <a:blip r:embed="rId7"/>
                    <a:stretch>
                      <a:fillRect/>
                    </a:stretch>
                  </pic:blipFill>
                  <pic:spPr>
                    <a:xfrm>
                      <a:off x="0" y="0"/>
                      <a:ext cx="3381375" cy="1238250"/>
                    </a:xfrm>
                    <a:prstGeom prst="rect">
                      <a:avLst/>
                    </a:prstGeom>
                  </pic:spPr>
                </pic:pic>
              </a:graphicData>
            </a:graphic>
          </wp:inline>
        </w:drawing>
      </w:r>
    </w:p>
    <w:p w14:paraId="7D658725" w14:textId="77777777" w:rsidR="00195025" w:rsidRPr="00195025" w:rsidRDefault="00195025" w:rsidP="00195025">
      <w:pPr>
        <w:rPr>
          <w:rFonts w:ascii="Arial" w:hAnsi="Arial" w:cs="Arial"/>
          <w:sz w:val="32"/>
          <w:szCs w:val="36"/>
        </w:rPr>
      </w:pPr>
    </w:p>
    <w:p w14:paraId="3AFE90CD" w14:textId="77777777" w:rsidR="00195025" w:rsidRPr="00195025" w:rsidRDefault="00195025" w:rsidP="00195025">
      <w:pPr>
        <w:jc w:val="center"/>
        <w:rPr>
          <w:rFonts w:ascii="Arial" w:hAnsi="Arial" w:cs="Arial"/>
          <w:sz w:val="32"/>
          <w:szCs w:val="36"/>
        </w:rPr>
      </w:pPr>
      <w:r w:rsidRPr="00195025">
        <w:rPr>
          <w:rFonts w:ascii="Arial" w:hAnsi="Arial" w:cs="Arial"/>
          <w:b/>
          <w:bCs/>
          <w:sz w:val="32"/>
          <w:szCs w:val="36"/>
        </w:rPr>
        <w:t>Programme:</w:t>
      </w:r>
      <w:r w:rsidRPr="00195025">
        <w:rPr>
          <w:rFonts w:ascii="Arial" w:hAnsi="Arial" w:cs="Arial"/>
          <w:sz w:val="32"/>
          <w:szCs w:val="36"/>
        </w:rPr>
        <w:t xml:space="preserve"> Master of Business Administration</w:t>
      </w:r>
    </w:p>
    <w:p w14:paraId="3AEA9546" w14:textId="77777777" w:rsidR="00195025" w:rsidRPr="00195025" w:rsidRDefault="00195025" w:rsidP="00195025">
      <w:pPr>
        <w:spacing w:before="200"/>
        <w:jc w:val="center"/>
        <w:rPr>
          <w:rFonts w:ascii="Arial" w:hAnsi="Arial" w:cs="Arial"/>
        </w:rPr>
      </w:pPr>
      <w:r w:rsidRPr="00195025">
        <w:rPr>
          <w:rFonts w:ascii="Arial" w:hAnsi="Arial" w:cs="Arial"/>
        </w:rPr>
        <w:t>Module Name: Marketing Management</w:t>
      </w:r>
    </w:p>
    <w:p w14:paraId="546D7113" w14:textId="77777777" w:rsidR="00195025" w:rsidRPr="00195025" w:rsidRDefault="00195025" w:rsidP="00195025">
      <w:pPr>
        <w:spacing w:before="200"/>
        <w:jc w:val="center"/>
        <w:rPr>
          <w:rFonts w:ascii="Arial" w:hAnsi="Arial" w:cs="Arial"/>
        </w:rPr>
      </w:pPr>
      <w:r w:rsidRPr="00195025">
        <w:rPr>
          <w:rFonts w:ascii="Arial" w:hAnsi="Arial" w:cs="Arial"/>
        </w:rPr>
        <w:t>Module Code: LCMB7024</w:t>
      </w:r>
    </w:p>
    <w:p w14:paraId="6F69BDB2" w14:textId="77777777" w:rsidR="00195025" w:rsidRPr="00195025" w:rsidRDefault="00195025" w:rsidP="00195025">
      <w:pPr>
        <w:spacing w:before="200"/>
        <w:jc w:val="center"/>
        <w:rPr>
          <w:rFonts w:ascii="Arial" w:hAnsi="Arial" w:cs="Arial"/>
        </w:rPr>
      </w:pPr>
      <w:r w:rsidRPr="00195025">
        <w:rPr>
          <w:rFonts w:ascii="Arial" w:hAnsi="Arial" w:cs="Arial"/>
        </w:rPr>
        <w:t>Assessment: Assessment Component 1 - Essay</w:t>
      </w:r>
    </w:p>
    <w:p w14:paraId="027AB0BF" w14:textId="77777777" w:rsidR="00195025" w:rsidRPr="00195025" w:rsidRDefault="00195025" w:rsidP="0045057B">
      <w:pPr>
        <w:pStyle w:val="Title"/>
        <w:rPr>
          <w:rFonts w:ascii="Arial" w:hAnsi="Arial" w:cs="Arial"/>
        </w:rPr>
      </w:pPr>
    </w:p>
    <w:p w14:paraId="1509BEE3" w14:textId="2FD231AE" w:rsidR="00143FAF" w:rsidRPr="00195025" w:rsidRDefault="00C7635A" w:rsidP="0045057B">
      <w:pPr>
        <w:pStyle w:val="Title"/>
        <w:rPr>
          <w:rFonts w:ascii="Arial" w:hAnsi="Arial" w:cs="Arial"/>
          <w:sz w:val="32"/>
          <w:szCs w:val="32"/>
        </w:rPr>
      </w:pPr>
      <w:r w:rsidRPr="00195025">
        <w:rPr>
          <w:rFonts w:ascii="Arial" w:hAnsi="Arial" w:cs="Arial"/>
          <w:sz w:val="32"/>
          <w:szCs w:val="32"/>
        </w:rPr>
        <w:t xml:space="preserve">Essay </w:t>
      </w:r>
      <w:r w:rsidR="00195025">
        <w:rPr>
          <w:rFonts w:ascii="Arial" w:hAnsi="Arial" w:cs="Arial"/>
          <w:sz w:val="32"/>
          <w:szCs w:val="32"/>
        </w:rPr>
        <w:t>Title</w:t>
      </w:r>
      <w:r w:rsidRPr="00195025">
        <w:rPr>
          <w:rFonts w:ascii="Arial" w:hAnsi="Arial" w:cs="Arial"/>
          <w:sz w:val="32"/>
          <w:szCs w:val="32"/>
        </w:rPr>
        <w:t xml:space="preserve"> “Pioneer vs. Follower Strategies in Marketing: Advantages, Product Life Cycle Strategies, and Competitive Growth”</w:t>
      </w:r>
    </w:p>
    <w:p w14:paraId="31ECC835" w14:textId="77777777" w:rsidR="00143FAF" w:rsidRPr="00195025" w:rsidRDefault="00143FAF" w:rsidP="00143FAF">
      <w:pPr>
        <w:rPr>
          <w:rFonts w:ascii="Arial" w:hAnsi="Arial" w:cs="Arial"/>
        </w:rPr>
      </w:pPr>
    </w:p>
    <w:p w14:paraId="63C96681" w14:textId="77777777" w:rsidR="00143FAF" w:rsidRPr="00195025" w:rsidRDefault="00143FAF" w:rsidP="00143FAF">
      <w:pPr>
        <w:rPr>
          <w:rFonts w:ascii="Arial" w:hAnsi="Arial" w:cs="Arial"/>
        </w:rPr>
      </w:pPr>
    </w:p>
    <w:p w14:paraId="02204C74" w14:textId="77777777" w:rsidR="00143FAF" w:rsidRPr="00195025" w:rsidRDefault="00143FAF" w:rsidP="00143FAF">
      <w:pPr>
        <w:spacing w:before="200"/>
        <w:rPr>
          <w:rFonts w:ascii="Arial" w:hAnsi="Arial" w:cs="Arial"/>
          <w:sz w:val="20"/>
          <w:szCs w:val="20"/>
        </w:rPr>
      </w:pPr>
    </w:p>
    <w:p w14:paraId="7DD6FC47" w14:textId="68EA7D5B" w:rsidR="00143FAF" w:rsidRPr="00195025" w:rsidRDefault="00143FAF" w:rsidP="00143FAF">
      <w:pPr>
        <w:spacing w:before="200"/>
        <w:jc w:val="center"/>
        <w:rPr>
          <w:rFonts w:ascii="Arial" w:hAnsi="Arial" w:cs="Arial"/>
        </w:rPr>
      </w:pPr>
      <w:r w:rsidRPr="00195025">
        <w:rPr>
          <w:rFonts w:ascii="Arial" w:hAnsi="Arial" w:cs="Arial"/>
        </w:rPr>
        <w:t>Word Count:</w:t>
      </w:r>
      <w:r w:rsidR="00A133DD" w:rsidRPr="00195025">
        <w:rPr>
          <w:rFonts w:ascii="Arial" w:hAnsi="Arial" w:cs="Arial"/>
        </w:rPr>
        <w:t xml:space="preserve"> 26</w:t>
      </w:r>
      <w:r w:rsidR="00AD24A6">
        <w:rPr>
          <w:rFonts w:ascii="Arial" w:hAnsi="Arial" w:cs="Arial"/>
        </w:rPr>
        <w:t>34</w:t>
      </w:r>
    </w:p>
    <w:p w14:paraId="3B992B80" w14:textId="3F59B1AD" w:rsidR="00143FAF" w:rsidRPr="00195025" w:rsidRDefault="00143FAF" w:rsidP="00143FAF">
      <w:pPr>
        <w:spacing w:before="200"/>
        <w:jc w:val="center"/>
        <w:rPr>
          <w:rFonts w:ascii="Arial" w:hAnsi="Arial" w:cs="Arial"/>
        </w:rPr>
      </w:pPr>
      <w:r w:rsidRPr="00195025">
        <w:rPr>
          <w:rFonts w:ascii="Arial" w:hAnsi="Arial" w:cs="Arial"/>
        </w:rPr>
        <w:t>Student Name:</w:t>
      </w:r>
      <w:r w:rsidR="00E80776">
        <w:rPr>
          <w:rFonts w:ascii="Arial" w:hAnsi="Arial" w:cs="Arial"/>
        </w:rPr>
        <w:t xml:space="preserve"> Md Nafiz Ahamed</w:t>
      </w:r>
    </w:p>
    <w:p w14:paraId="7E26A324" w14:textId="0222CE1C" w:rsidR="00143FAF" w:rsidRPr="00195025" w:rsidRDefault="00143FAF" w:rsidP="00143FAF">
      <w:pPr>
        <w:spacing w:before="200"/>
        <w:jc w:val="center"/>
        <w:rPr>
          <w:rFonts w:ascii="Arial" w:hAnsi="Arial" w:cs="Arial"/>
          <w:sz w:val="20"/>
          <w:szCs w:val="20"/>
        </w:rPr>
      </w:pPr>
      <w:r w:rsidRPr="00195025">
        <w:rPr>
          <w:rFonts w:ascii="Arial" w:hAnsi="Arial" w:cs="Arial"/>
        </w:rPr>
        <w:t>Student ID:</w:t>
      </w:r>
      <w:r w:rsidR="00E80776">
        <w:rPr>
          <w:rFonts w:ascii="Arial" w:hAnsi="Arial" w:cs="Arial"/>
        </w:rPr>
        <w:t xml:space="preserve"> 2421271</w:t>
      </w:r>
      <w:r w:rsidRPr="00195025">
        <w:rPr>
          <w:rFonts w:ascii="Arial" w:hAnsi="Arial" w:cs="Arial"/>
        </w:rPr>
        <w:br w:type="page"/>
      </w:r>
    </w:p>
    <w:p w14:paraId="609E72A9" w14:textId="77777777" w:rsidR="00143FAF" w:rsidRPr="00195025" w:rsidRDefault="00143FAF" w:rsidP="00143FAF">
      <w:pPr>
        <w:pStyle w:val="Heading1"/>
        <w:spacing w:before="200"/>
        <w:rPr>
          <w:rFonts w:ascii="Arial" w:hAnsi="Arial" w:cs="Arial"/>
        </w:rPr>
      </w:pPr>
      <w:bookmarkStart w:id="1" w:name="_Toc192274019"/>
      <w:r w:rsidRPr="00195025">
        <w:rPr>
          <w:rFonts w:ascii="Arial" w:hAnsi="Arial" w:cs="Arial"/>
        </w:rPr>
        <w:lastRenderedPageBreak/>
        <w:t>Introduction</w:t>
      </w:r>
      <w:bookmarkEnd w:id="1"/>
    </w:p>
    <w:p w14:paraId="0288622B" w14:textId="17D991B2" w:rsidR="00BD2D51" w:rsidRPr="00195025" w:rsidRDefault="00BD2D51" w:rsidP="00BD2D51">
      <w:pPr>
        <w:rPr>
          <w:rFonts w:ascii="Arial" w:hAnsi="Arial" w:cs="Arial"/>
          <w:noProof/>
        </w:rPr>
      </w:pPr>
      <w:r w:rsidRPr="00195025">
        <w:rPr>
          <w:rFonts w:ascii="Arial" w:hAnsi="Arial" w:cs="Arial"/>
          <w:noProof/>
        </w:rPr>
        <w:t>Making strategic market entry decisions is integral for developing a strategic competitive advantage for an organization. Every business must assess whether they want to be pioneers</w:t>
      </w:r>
      <w:r w:rsidR="00271AF2">
        <w:rPr>
          <w:rFonts w:ascii="Arial" w:hAnsi="Arial" w:cs="Arial"/>
          <w:noProof/>
        </w:rPr>
        <w:t>—</w:t>
      </w:r>
      <w:r w:rsidRPr="00195025">
        <w:rPr>
          <w:rFonts w:ascii="Arial" w:hAnsi="Arial" w:cs="Arial"/>
          <w:noProof/>
        </w:rPr>
        <w:t>those who first and foremost introduce new products or technologies</w:t>
      </w:r>
      <w:r w:rsidR="00271AF2">
        <w:rPr>
          <w:rFonts w:ascii="Arial" w:hAnsi="Arial" w:cs="Arial"/>
          <w:noProof/>
        </w:rPr>
        <w:t xml:space="preserve"> </w:t>
      </w:r>
      <w:r w:rsidRPr="00195025">
        <w:rPr>
          <w:rFonts w:ascii="Arial" w:hAnsi="Arial" w:cs="Arial"/>
          <w:noProof/>
        </w:rPr>
        <w:t>or followers who join in later and have learned from the roots. Both approaches have their pros and cons, and they work well with a given set of conditions such as the state of the market, the pace of technological development, and the rate at which consumers adopt new products or services. Apple, Tesla, and Amazon are some of the companies that have dominated industries through the use of first mover advantages, while companies such as Samsung, Google, and TikTok have successfully employed a refined follower strategy and built on the innovations introduced by pioneers (Kotler et al., 2020).</w:t>
      </w:r>
    </w:p>
    <w:p w14:paraId="61A3A422" w14:textId="2F7DBF15" w:rsidR="00B4338B" w:rsidRPr="00195025" w:rsidRDefault="00B4338B" w:rsidP="00B4338B">
      <w:pPr>
        <w:rPr>
          <w:rFonts w:ascii="Arial" w:hAnsi="Arial" w:cs="Arial"/>
          <w:noProof/>
        </w:rPr>
      </w:pPr>
      <w:r w:rsidRPr="00195025">
        <w:rPr>
          <w:rFonts w:ascii="Arial" w:hAnsi="Arial" w:cs="Arial"/>
          <w:noProof/>
        </w:rPr>
        <w:t>This decision impacts the product life cycle (PLC) which defines how companies manage product introduction, growth, maturity, and decline phases. Pioneers face enormous R&amp;D expenses and demand uncertainty, like in the case of Tesla’s initial struggles with EV adoption (Moore, 2014). On the other hand, followers enjoy validation and lowered costs as with Samsung’s challenge to Apple.</w:t>
      </w:r>
    </w:p>
    <w:p w14:paraId="44A808F9" w14:textId="6DF704C0" w:rsidR="00BB21CA" w:rsidRPr="00195025" w:rsidRDefault="00BD2D51" w:rsidP="00BB21CA">
      <w:pPr>
        <w:rPr>
          <w:rFonts w:ascii="Arial" w:hAnsi="Arial" w:cs="Arial"/>
          <w:noProof/>
        </w:rPr>
      </w:pPr>
      <w:r w:rsidRPr="00195025">
        <w:rPr>
          <w:rFonts w:ascii="Arial" w:hAnsi="Arial" w:cs="Arial"/>
          <w:noProof/>
        </w:rPr>
        <w:t>This essay will focus on evaluating the real-world organizational strategies and how firms exploit PLC strategies to penetrate new markets discussing the merits of both pioneers and followers critically. The case analysis will showcase how businesses time innovation, competition, and positioning considering responsiveness to changing market dynamics.</w:t>
      </w:r>
    </w:p>
    <w:p w14:paraId="32AA9C7B" w14:textId="170305AB" w:rsidR="00632D30" w:rsidRPr="00195025" w:rsidRDefault="00632D30">
      <w:pPr>
        <w:spacing w:line="278" w:lineRule="auto"/>
        <w:jc w:val="left"/>
        <w:rPr>
          <w:rFonts w:ascii="Arial" w:hAnsi="Arial" w:cs="Arial"/>
          <w:noProof/>
        </w:rPr>
      </w:pPr>
      <w:r w:rsidRPr="00195025">
        <w:rPr>
          <w:rFonts w:ascii="Arial" w:hAnsi="Arial" w:cs="Arial"/>
          <w:noProof/>
        </w:rPr>
        <w:br w:type="page"/>
      </w:r>
    </w:p>
    <w:p w14:paraId="5DA381A3" w14:textId="61F8D9FE" w:rsidR="00187AF2" w:rsidRPr="00195025" w:rsidRDefault="0042574B" w:rsidP="00034560">
      <w:pPr>
        <w:pStyle w:val="Heading1"/>
        <w:rPr>
          <w:rFonts w:ascii="Arial" w:eastAsia="Times New Roman" w:hAnsi="Arial" w:cs="Arial"/>
          <w:noProof/>
        </w:rPr>
      </w:pPr>
      <w:bookmarkStart w:id="2" w:name="_Toc192274020"/>
      <w:r w:rsidRPr="00195025">
        <w:rPr>
          <w:rFonts w:ascii="Arial" w:eastAsia="Times New Roman" w:hAnsi="Arial" w:cs="Arial"/>
          <w:noProof/>
        </w:rPr>
        <w:lastRenderedPageBreak/>
        <w:t>A</w:t>
      </w:r>
      <w:r w:rsidR="00034560" w:rsidRPr="00195025">
        <w:rPr>
          <w:rFonts w:ascii="Arial" w:eastAsia="Times New Roman" w:hAnsi="Arial" w:cs="Arial"/>
          <w:noProof/>
        </w:rPr>
        <w:t xml:space="preserve">dvantages of </w:t>
      </w:r>
      <w:r w:rsidRPr="00195025">
        <w:rPr>
          <w:rFonts w:ascii="Arial" w:eastAsia="Times New Roman" w:hAnsi="Arial" w:cs="Arial"/>
          <w:noProof/>
        </w:rPr>
        <w:t>B</w:t>
      </w:r>
      <w:r w:rsidR="00034560" w:rsidRPr="00195025">
        <w:rPr>
          <w:rFonts w:ascii="Arial" w:eastAsia="Times New Roman" w:hAnsi="Arial" w:cs="Arial"/>
          <w:noProof/>
        </w:rPr>
        <w:t xml:space="preserve">eing a </w:t>
      </w:r>
      <w:r w:rsidRPr="00195025">
        <w:rPr>
          <w:rFonts w:ascii="Arial" w:eastAsia="Times New Roman" w:hAnsi="Arial" w:cs="Arial"/>
          <w:noProof/>
        </w:rPr>
        <w:t>P</w:t>
      </w:r>
      <w:r w:rsidR="00034560" w:rsidRPr="00195025">
        <w:rPr>
          <w:rFonts w:ascii="Arial" w:eastAsia="Times New Roman" w:hAnsi="Arial" w:cs="Arial"/>
          <w:noProof/>
        </w:rPr>
        <w:t xml:space="preserve">ioneer </w:t>
      </w:r>
      <w:r w:rsidRPr="00195025">
        <w:rPr>
          <w:rFonts w:ascii="Arial" w:eastAsia="Times New Roman" w:hAnsi="Arial" w:cs="Arial"/>
          <w:noProof/>
        </w:rPr>
        <w:t>C</w:t>
      </w:r>
      <w:r w:rsidR="00034560" w:rsidRPr="00195025">
        <w:rPr>
          <w:rFonts w:ascii="Arial" w:eastAsia="Times New Roman" w:hAnsi="Arial" w:cs="Arial"/>
          <w:noProof/>
        </w:rPr>
        <w:t>ompany</w:t>
      </w:r>
      <w:bookmarkEnd w:id="2"/>
    </w:p>
    <w:p w14:paraId="1CD6AADA" w14:textId="3BD50AB1" w:rsidR="00187AF2" w:rsidRPr="00195025" w:rsidRDefault="00ED15C1" w:rsidP="00187AF2">
      <w:pPr>
        <w:rPr>
          <w:rFonts w:ascii="Arial" w:hAnsi="Arial" w:cs="Arial"/>
          <w:noProof/>
        </w:rPr>
      </w:pPr>
      <w:r w:rsidRPr="00195025">
        <w:rPr>
          <w:rFonts w:ascii="Arial" w:hAnsi="Arial" w:cs="Arial"/>
          <w:noProof/>
        </w:rPr>
        <w:t>The most important benefits of being a pioneer in a market are defining the parameters of competition, building awareness of the brand, creating value in the organization, and capturing a significant portion of the market even if the competition emerges at a later date. However, pioneering has its challenges as even the most innovative firms suffer when faced with high risks, costs, uncertainty in the market, and more. The first cases of Apple, Tesla, and Amazon are brilliant examples of advantages that come with being first movers. On the other hand, Kodak and Nokia are classic examples of failure to adequately sustain innovation.</w:t>
      </w:r>
      <w:r w:rsidR="00B72B2C" w:rsidRPr="00195025">
        <w:rPr>
          <w:rFonts w:ascii="Arial" w:hAnsi="Arial" w:cs="Arial"/>
          <w:noProof/>
        </w:rPr>
        <w:t xml:space="preserve"> </w:t>
      </w:r>
      <w:r w:rsidR="00187AF2" w:rsidRPr="00195025">
        <w:rPr>
          <w:rFonts w:ascii="Arial" w:hAnsi="Arial" w:cs="Arial"/>
          <w:noProof/>
        </w:rPr>
        <w:t>One of the most significant advantages of pioneering is the ability to establish strong brand recognition and customer loyalty. Pioneers define the market and create consumer habits that make switching difficult for later entrants (Lalaounis, 2020). Apple, for instance, revolutionised the smartphone industry with the iPhone in 2007, setting the standard for touchscreen functionality, app ecosystems, and premium branding (Moore, 2014). Despite intense competition from followers such as Samsung, Apple continues to dominate the high-end smartphone market due to its entrenched customer loyalty, seamless ecosystem, and premium brand perception (Kotler et al., 2020).</w:t>
      </w:r>
      <w:r w:rsidR="00B72B2C" w:rsidRPr="00195025">
        <w:rPr>
          <w:rFonts w:ascii="Arial" w:hAnsi="Arial" w:cs="Arial"/>
          <w:noProof/>
        </w:rPr>
        <w:t xml:space="preserve"> </w:t>
      </w:r>
      <w:r w:rsidR="00187AF2" w:rsidRPr="00195025">
        <w:rPr>
          <w:rFonts w:ascii="Arial" w:hAnsi="Arial" w:cs="Arial"/>
          <w:noProof/>
        </w:rPr>
        <w:t>Another critical benefit of pioneering is market leadership and pricing power. Pioneers often set industry benchmarks, allowing them to dictate pricing and influence consumer expectations (Hooley et al., 2020). Tesla’s early entry into the electric vehicle (EV) market gave it an advantage in pricing strategy and battery technology development. By the time competitors like Volkswagen and Ford entered the EV sector, Tesla had already secured government incentives, established global Gigafactories, and gained a committed customer base (Rogers, 2010). However, maintaining pricing power requires continued innovation, as seen with Tesla’s ongoing investment in autonomous driving technology and battery efficiency.</w:t>
      </w:r>
      <w:r w:rsidR="00B72B2C" w:rsidRPr="00195025">
        <w:rPr>
          <w:rFonts w:ascii="Arial" w:hAnsi="Arial" w:cs="Arial"/>
          <w:noProof/>
        </w:rPr>
        <w:t xml:space="preserve"> </w:t>
      </w:r>
      <w:r w:rsidR="00187AF2" w:rsidRPr="00195025">
        <w:rPr>
          <w:rFonts w:ascii="Arial" w:hAnsi="Arial" w:cs="Arial"/>
          <w:noProof/>
        </w:rPr>
        <w:t xml:space="preserve">Technological and innovation leadership is another advantage of being a pioneer. First movers have the opportunity to develop proprietary technologies and secure patents that create barriers to entry for competitors (Sultan et al., 2012). Amazon, for example, pioneered e-commerce logistics with its Prime membership model and advanced warehouse automation. By the time traditional retailers like Walmart attempted to compete, Amazon had already developed an extensive </w:t>
      </w:r>
      <w:r w:rsidR="00187AF2" w:rsidRPr="00195025">
        <w:rPr>
          <w:rFonts w:ascii="Arial" w:hAnsi="Arial" w:cs="Arial"/>
          <w:noProof/>
        </w:rPr>
        <w:lastRenderedPageBreak/>
        <w:t>fulfilment network, making it difficult for competitors to match its delivery speed and efficiency (Valente, 2015). However, being first does not guarantee long-term success. Kodak, despite pioneering digital photography, failed to capitalise on its innovation and ultimately lost to later entrants such as Canon and Sony, who refined and commercialised the technology more effectively (Watts, 2011).</w:t>
      </w:r>
      <w:r w:rsidR="00B72B2C" w:rsidRPr="00195025">
        <w:rPr>
          <w:rFonts w:ascii="Arial" w:hAnsi="Arial" w:cs="Arial"/>
          <w:noProof/>
        </w:rPr>
        <w:t xml:space="preserve"> </w:t>
      </w:r>
      <w:r w:rsidR="00C85ED5" w:rsidRPr="00195025">
        <w:rPr>
          <w:rFonts w:ascii="Arial" w:hAnsi="Arial" w:cs="Arial"/>
          <w:noProof/>
        </w:rPr>
        <w:t>Pioneers create high switching costs, locking in customers and deterring competitors (Boulding &amp; Christen, 2011). Microsoft’s Windows dominance stemmed from its entrenched ecosystem, though Google’s Chrome OS now challenges it via cloud computing (Kalyanaram &amp; Gurumurthy, 2018).</w:t>
      </w:r>
      <w:r w:rsidR="00235930" w:rsidRPr="00195025">
        <w:rPr>
          <w:rFonts w:ascii="Arial" w:hAnsi="Arial" w:cs="Arial"/>
          <w:noProof/>
        </w:rPr>
        <w:t xml:space="preserve"> </w:t>
      </w:r>
      <w:r w:rsidR="00D23C23" w:rsidRPr="00195025">
        <w:rPr>
          <w:rFonts w:ascii="Arial" w:hAnsi="Arial" w:cs="Arial"/>
          <w:noProof/>
        </w:rPr>
        <w:t>However, pioneering carries risks—high R&amp;D costs, regulatory hurdles, and market uncertainty. Google Glass failed despite its AR innovation, demonstrating the perils of premature market entry (Kotler et al., 2020). Long-term pioneer success hinges on continuous innovation, adaptation, and strategic execution.</w:t>
      </w:r>
    </w:p>
    <w:p w14:paraId="42211551" w14:textId="12647980" w:rsidR="00366CB5" w:rsidRPr="00195025" w:rsidRDefault="00366CB5" w:rsidP="008942D9">
      <w:pPr>
        <w:pStyle w:val="Heading1"/>
        <w:rPr>
          <w:rFonts w:ascii="Arial" w:eastAsia="Times New Roman" w:hAnsi="Arial" w:cs="Arial"/>
          <w:noProof/>
        </w:rPr>
      </w:pPr>
      <w:r w:rsidRPr="00195025">
        <w:rPr>
          <w:rFonts w:ascii="Arial" w:eastAsia="Times New Roman" w:hAnsi="Arial" w:cs="Arial"/>
          <w:noProof/>
        </w:rPr>
        <w:t xml:space="preserve">Advantages of Being a </w:t>
      </w:r>
      <w:r w:rsidR="008942D9" w:rsidRPr="00195025">
        <w:rPr>
          <w:rFonts w:ascii="Arial" w:eastAsia="Times New Roman" w:hAnsi="Arial" w:cs="Arial"/>
          <w:noProof/>
        </w:rPr>
        <w:t>F</w:t>
      </w:r>
      <w:r w:rsidRPr="00195025">
        <w:rPr>
          <w:rFonts w:ascii="Arial" w:eastAsia="Times New Roman" w:hAnsi="Arial" w:cs="Arial"/>
          <w:noProof/>
        </w:rPr>
        <w:t xml:space="preserve">ollower </w:t>
      </w:r>
      <w:r w:rsidR="008942D9" w:rsidRPr="00195025">
        <w:rPr>
          <w:rFonts w:ascii="Arial" w:eastAsia="Times New Roman" w:hAnsi="Arial" w:cs="Arial"/>
          <w:noProof/>
        </w:rPr>
        <w:t>C</w:t>
      </w:r>
      <w:r w:rsidRPr="00195025">
        <w:rPr>
          <w:rFonts w:ascii="Arial" w:eastAsia="Times New Roman" w:hAnsi="Arial" w:cs="Arial"/>
          <w:noProof/>
        </w:rPr>
        <w:t>ompany</w:t>
      </w:r>
    </w:p>
    <w:p w14:paraId="1AB30EE3" w14:textId="2262C4B5" w:rsidR="005B15D2" w:rsidRPr="00195025" w:rsidRDefault="005B15D2" w:rsidP="00E907A9">
      <w:pPr>
        <w:rPr>
          <w:rFonts w:ascii="Arial" w:hAnsi="Arial" w:cs="Arial"/>
          <w:noProof/>
        </w:rPr>
      </w:pPr>
      <w:r w:rsidRPr="00195025">
        <w:rPr>
          <w:rFonts w:ascii="Arial" w:hAnsi="Arial" w:cs="Arial"/>
          <w:noProof/>
        </w:rPr>
        <w:t xml:space="preserve">While pioneering can provide firms with market leadership and brand dominance, being a follower offers distinct advantages, including lower risk, reduced costs, and the ability to capitalise on the mistakes of first movers. </w:t>
      </w:r>
      <w:r w:rsidR="00753199" w:rsidRPr="00195025">
        <w:rPr>
          <w:rFonts w:ascii="Arial" w:hAnsi="Arial" w:cs="Arial"/>
          <w:noProof/>
        </w:rPr>
        <w:t>Many successful companies have adopted a follower strategy, including Samsung, Google, and TikTok, who improved upon existing innovations and captured market share without the costs of pioneering. Nevertheless, this strategy does come with challenges, as followers must distinguish themselves and deal with the brand loyalty established by the pioneers.</w:t>
      </w:r>
      <w:r w:rsidR="00B72B2C" w:rsidRPr="00195025">
        <w:rPr>
          <w:rFonts w:ascii="Arial" w:hAnsi="Arial" w:cs="Arial"/>
          <w:noProof/>
        </w:rPr>
        <w:t xml:space="preserve"> </w:t>
      </w:r>
      <w:r w:rsidR="00B4171D" w:rsidRPr="00195025">
        <w:rPr>
          <w:rFonts w:ascii="Arial" w:hAnsi="Arial" w:cs="Arial"/>
          <w:noProof/>
        </w:rPr>
        <w:t xml:space="preserve">One of the follower's advantages is that they get to learn from the mistakes of the forerunners. The challenges of high R&amp;D spending, supporting regulations, and consumer spending tend to cause uncertainty for first movers. However, such challenges can be analyzed and tackled by followers (Lieberman &amp; Montgomery, 2012). For instance, Samsung entered the smartphone industry after Apple had already done so. Unlike Samsung, Apple had to go through the expensive process of creating an ecosystem from scratch. Instead, Samsung used Android’s open-source platform that allowed it to build an ecosystem. Moreover, it introduced a wide variety of smartphones at different price points, which helped it establish a strong foothold in the global market (Mahajan et al., 2013). Samsung </w:t>
      </w:r>
      <w:r w:rsidR="00B4171D" w:rsidRPr="00195025">
        <w:rPr>
          <w:rFonts w:ascii="Arial" w:hAnsi="Arial" w:cs="Arial"/>
          <w:noProof/>
        </w:rPr>
        <w:lastRenderedPageBreak/>
        <w:t>surpassed Apple by adopting Apple’s designs while adding larger screens and better hardware variety to lower-cost competitors that dominated the mobile market.</w:t>
      </w:r>
      <w:r w:rsidR="00B72B2C" w:rsidRPr="00195025">
        <w:rPr>
          <w:rFonts w:ascii="Arial" w:hAnsi="Arial" w:cs="Arial"/>
          <w:noProof/>
        </w:rPr>
        <w:t xml:space="preserve"> </w:t>
      </w:r>
      <w:r w:rsidR="00746B7C" w:rsidRPr="00195025">
        <w:rPr>
          <w:rFonts w:ascii="Arial" w:hAnsi="Arial" w:cs="Arial"/>
          <w:noProof/>
        </w:rPr>
        <w:t>As market educators and demand generators, pioneers foster an ecosystem that fulfills the market. Followers capitalize on reduced R&amp;D and marketing costs. Google’s victory in dominating the search engine market portrays this perfectly. Google did not invent the online search, Yahoo did. Google however, entered later and capitalized on improving their algorithms, increasing the speed at which searches were done, and increasing relevance (Kotler et al., 2020). Google took advantage of Yahoo's existing market validation and avoided spending on R&amp;D, allowing them to gain market dominance quickly. Using superior monetization strategy through AdWords, Google became the most profitable search engine in the world (Whittington et al., 2023). It is evident that followers can utilize pioneers’ initiatives while exercising calculated efficiency and profitability.</w:t>
      </w:r>
      <w:r w:rsidR="00B72B2C" w:rsidRPr="00195025">
        <w:rPr>
          <w:rFonts w:ascii="Arial" w:hAnsi="Arial" w:cs="Arial"/>
          <w:noProof/>
        </w:rPr>
        <w:t xml:space="preserve"> </w:t>
      </w:r>
      <w:r w:rsidR="006536F7" w:rsidRPr="00195025">
        <w:rPr>
          <w:rFonts w:ascii="Arial" w:hAnsi="Arial" w:cs="Arial"/>
          <w:noProof/>
        </w:rPr>
        <w:t xml:space="preserve">Being a follower in business comes with a set of advantages, such as entering the market more effectively and penetrating it deeply. </w:t>
      </w:r>
      <w:r w:rsidRPr="00195025">
        <w:rPr>
          <w:rFonts w:ascii="Arial" w:hAnsi="Arial" w:cs="Arial"/>
          <w:noProof/>
        </w:rPr>
        <w:t>Unlike pioneers who must convince early adopters, followers enter a validated market with an existing customer base and demand (Hooley et al., 2020). TikTok capitalised on this strategy by refining the short-video content model introduced by Vine. While Vine struggled with monetisation and lacked strong user retention strategies, TikTok improved the format by integrating an advanced AI-driven recommendation system, user engagement tools, and monetisation strategies for content creators. As a result, TikTok quickly outpaced Vine and even surpassed Instagram and Facebook in global downloads (Moore, 2014).</w:t>
      </w:r>
      <w:r w:rsidR="00B72B2C" w:rsidRPr="00195025">
        <w:rPr>
          <w:rFonts w:ascii="Arial" w:hAnsi="Arial" w:cs="Arial"/>
          <w:noProof/>
        </w:rPr>
        <w:t xml:space="preserve"> </w:t>
      </w:r>
      <w:r w:rsidR="00E907A9" w:rsidRPr="00195025">
        <w:rPr>
          <w:rFonts w:ascii="Arial" w:hAnsi="Arial" w:cs="Arial"/>
          <w:noProof/>
        </w:rPr>
        <w:t>Followers gain a competitive edge through flexibility and quick adaptation, refining pioneers' models and addressing market gaps (Kalyanaram &amp; Gurumurthy, 2018). Facebook’s acquisition of Instagram exemplifies this, leveraging financial strength to scale and dominate an emerging trend (Boulding &amp; Christen, 2011).</w:t>
      </w:r>
      <w:r w:rsidR="00332570" w:rsidRPr="00195025">
        <w:rPr>
          <w:rFonts w:ascii="Arial" w:hAnsi="Arial" w:cs="Arial"/>
          <w:noProof/>
        </w:rPr>
        <w:t xml:space="preserve"> </w:t>
      </w:r>
      <w:r w:rsidR="00E907A9" w:rsidRPr="00195025">
        <w:rPr>
          <w:rFonts w:ascii="Arial" w:hAnsi="Arial" w:cs="Arial"/>
          <w:noProof/>
        </w:rPr>
        <w:t>However, followers face brand recognition challenges, as pioneers often secure patents, supplier contracts, and distribution dominance, limiting market entry (Sultan et al., 2012). Microsoft’s Zune failed despite strong technical features, unable to rival Apple’s iTunes ecosystem and consumer loyalty (Watts, 2011).</w:t>
      </w:r>
      <w:r w:rsidR="00332570" w:rsidRPr="00195025">
        <w:rPr>
          <w:rFonts w:ascii="Arial" w:hAnsi="Arial" w:cs="Arial"/>
          <w:noProof/>
        </w:rPr>
        <w:t xml:space="preserve"> </w:t>
      </w:r>
      <w:r w:rsidR="00E907A9" w:rsidRPr="00195025">
        <w:rPr>
          <w:rFonts w:ascii="Arial" w:hAnsi="Arial" w:cs="Arial"/>
          <w:noProof/>
        </w:rPr>
        <w:t>While pioneers establish industries, followers benefit from lower risks and costs, refining innovations for success. Effective follower strategies rely on efficiency, market responsiveness, and differentiation to avoid being dismissed as mere imitators.</w:t>
      </w:r>
    </w:p>
    <w:p w14:paraId="7ABB8575" w14:textId="4289E751" w:rsidR="001749BB" w:rsidRPr="00195025" w:rsidRDefault="001749BB" w:rsidP="001749BB">
      <w:pPr>
        <w:pStyle w:val="Heading1"/>
        <w:rPr>
          <w:rFonts w:ascii="Arial" w:hAnsi="Arial" w:cs="Arial"/>
        </w:rPr>
      </w:pPr>
      <w:r w:rsidRPr="00195025">
        <w:rPr>
          <w:rFonts w:ascii="Arial" w:hAnsi="Arial" w:cs="Arial"/>
        </w:rPr>
        <w:lastRenderedPageBreak/>
        <w:t>Product Life Cycle Strategies for Pioneer and Follower Companies</w:t>
      </w:r>
    </w:p>
    <w:p w14:paraId="20779FCE" w14:textId="3EA72155" w:rsidR="00A8062F" w:rsidRDefault="00415E57" w:rsidP="00233E63">
      <w:pPr>
        <w:rPr>
          <w:rFonts w:ascii="Arial" w:hAnsi="Arial" w:cs="Arial"/>
        </w:rPr>
      </w:pPr>
      <w:r>
        <w:rPr>
          <w:rFonts w:ascii="Arial" w:hAnsi="Arial" w:cs="Arial"/>
        </w:rPr>
        <w:t xml:space="preserve">Pioneer and </w:t>
      </w:r>
      <w:r w:rsidR="004E139C">
        <w:rPr>
          <w:rFonts w:ascii="Arial" w:hAnsi="Arial" w:cs="Arial"/>
        </w:rPr>
        <w:t xml:space="preserve">follower companies implement specific strategies in every stage of the product life cycle to remain competitive in the market with maximum growth and profitability. The are four stages of the product life cycle such as introduction stage, growth stage, maturity stage and decline stage which are elaborated as follows: </w:t>
      </w:r>
    </w:p>
    <w:p w14:paraId="427F38D0" w14:textId="4D7AA311" w:rsidR="00415E57" w:rsidRDefault="00415E57" w:rsidP="00A8062F">
      <w:pPr>
        <w:jc w:val="center"/>
        <w:rPr>
          <w:rFonts w:ascii="Arial" w:hAnsi="Arial" w:cs="Arial"/>
        </w:rPr>
      </w:pPr>
    </w:p>
    <w:p w14:paraId="6A72685A" w14:textId="0E09B98B" w:rsidR="00415E57" w:rsidRDefault="00415E57" w:rsidP="00A8062F">
      <w:pPr>
        <w:jc w:val="center"/>
        <w:rPr>
          <w:rFonts w:ascii="Arial" w:hAnsi="Arial" w:cs="Arial"/>
        </w:rPr>
      </w:pPr>
      <w:r>
        <w:rPr>
          <w:noProof/>
        </w:rPr>
        <w:drawing>
          <wp:anchor distT="0" distB="0" distL="114300" distR="114300" simplePos="0" relativeHeight="251658240" behindDoc="1" locked="0" layoutInCell="1" allowOverlap="1" wp14:anchorId="25816C81" wp14:editId="5320EE92">
            <wp:simplePos x="0" y="0"/>
            <wp:positionH relativeFrom="margin">
              <wp:posOffset>-47625</wp:posOffset>
            </wp:positionH>
            <wp:positionV relativeFrom="paragraph">
              <wp:posOffset>458470</wp:posOffset>
            </wp:positionV>
            <wp:extent cx="5943600" cy="2400935"/>
            <wp:effectExtent l="0" t="0" r="0" b="0"/>
            <wp:wrapTight wrapText="bothSides">
              <wp:wrapPolygon edited="0">
                <wp:start x="0" y="0"/>
                <wp:lineTo x="0" y="21423"/>
                <wp:lineTo x="21531" y="21423"/>
                <wp:lineTo x="21531" y="0"/>
                <wp:lineTo x="0" y="0"/>
              </wp:wrapPolygon>
            </wp:wrapTight>
            <wp:docPr id="1101165925" name="Picture 1" descr="Product life cycle stages and how to use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life cycle stages and how to use th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400935"/>
                    </a:xfrm>
                    <a:prstGeom prst="rect">
                      <a:avLst/>
                    </a:prstGeom>
                    <a:noFill/>
                    <a:ln>
                      <a:noFill/>
                    </a:ln>
                  </pic:spPr>
                </pic:pic>
              </a:graphicData>
            </a:graphic>
          </wp:anchor>
        </w:drawing>
      </w:r>
    </w:p>
    <w:p w14:paraId="10462688" w14:textId="25B34BDF" w:rsidR="00A8062F" w:rsidRDefault="00A8062F" w:rsidP="00A8062F">
      <w:pPr>
        <w:jc w:val="center"/>
        <w:rPr>
          <w:rFonts w:ascii="Arial" w:hAnsi="Arial" w:cs="Arial"/>
        </w:rPr>
      </w:pPr>
      <w:r>
        <w:rPr>
          <w:rFonts w:ascii="Arial" w:hAnsi="Arial" w:cs="Arial"/>
        </w:rPr>
        <w:t xml:space="preserve">Figure 1: Stages of Product Life Cycle </w:t>
      </w:r>
      <w:r w:rsidRPr="00195025">
        <w:rPr>
          <w:rFonts w:ascii="Arial" w:hAnsi="Arial" w:cs="Arial"/>
        </w:rPr>
        <w:t>(Kotler et al., 2020)</w:t>
      </w:r>
    </w:p>
    <w:p w14:paraId="1F694982" w14:textId="2C764364" w:rsidR="0051473C" w:rsidRDefault="0051473C" w:rsidP="0051473C">
      <w:pPr>
        <w:jc w:val="left"/>
        <w:rPr>
          <w:rFonts w:ascii="Arial" w:hAnsi="Arial" w:cs="Arial"/>
        </w:rPr>
      </w:pPr>
      <w:r>
        <w:rPr>
          <w:rFonts w:ascii="Arial" w:hAnsi="Arial" w:cs="Arial"/>
          <w:b/>
          <w:bCs/>
        </w:rPr>
        <w:t>I</w:t>
      </w:r>
      <w:r w:rsidRPr="00A6708B">
        <w:rPr>
          <w:rFonts w:ascii="Arial" w:hAnsi="Arial" w:cs="Arial"/>
          <w:b/>
          <w:bCs/>
        </w:rPr>
        <w:t>n the introduction stage</w:t>
      </w:r>
      <w:r>
        <w:rPr>
          <w:rFonts w:ascii="Arial" w:hAnsi="Arial" w:cs="Arial"/>
        </w:rPr>
        <w:t xml:space="preserve">, </w:t>
      </w:r>
      <w:r w:rsidRPr="00A6708B">
        <w:rPr>
          <w:rFonts w:ascii="Arial" w:hAnsi="Arial" w:cs="Arial"/>
          <w:lang w:val="en-US"/>
        </w:rPr>
        <w:t xml:space="preserve">Pioneers spend heavily on product development, marketing and consumer </w:t>
      </w:r>
      <w:r>
        <w:rPr>
          <w:rFonts w:ascii="Arial" w:hAnsi="Arial" w:cs="Arial"/>
          <w:lang w:val="en-US"/>
        </w:rPr>
        <w:t>education to</w:t>
      </w:r>
      <w:r w:rsidRPr="00A6708B">
        <w:rPr>
          <w:rFonts w:ascii="Arial" w:hAnsi="Arial" w:cs="Arial"/>
          <w:lang w:val="en-US"/>
        </w:rPr>
        <w:t xml:space="preserve"> generate demand. As the first smartphone provider,</w:t>
      </w:r>
      <w:r>
        <w:rPr>
          <w:rFonts w:ascii="Arial" w:hAnsi="Arial" w:cs="Arial"/>
          <w:lang w:val="en-US"/>
        </w:rPr>
        <w:t xml:space="preserve"> </w:t>
      </w:r>
      <w:r w:rsidRPr="00A6708B">
        <w:rPr>
          <w:rFonts w:ascii="Arial" w:hAnsi="Arial" w:cs="Arial"/>
          <w:lang w:val="en-US"/>
        </w:rPr>
        <w:t>Apple introduced the iPhone in 2007 at a premium price and with limited distribution to create brand desirability. Tesla pursued a similar</w:t>
      </w:r>
      <w:r w:rsidRPr="00A6708B">
        <w:rPr>
          <w:rFonts w:ascii="Arial" w:hAnsi="Arial" w:cs="Arial"/>
          <w:lang w:val="en-US"/>
        </w:rPr>
        <w:t> </w:t>
      </w:r>
      <w:r w:rsidRPr="00A6708B">
        <w:rPr>
          <w:rFonts w:ascii="Arial" w:hAnsi="Arial" w:cs="Arial"/>
          <w:lang w:val="en-US"/>
        </w:rPr>
        <w:t>strategy with its 2008 Roadster, appealing to early adopters in order to finance future innovation (Whittington et al., 2023). Samsung and its followers gained ground by selling off models at competitive prices, while Xiaomi built market share with aggressive pricing in emerging economies (Kotler et</w:t>
      </w:r>
      <w:r w:rsidRPr="00A6708B">
        <w:rPr>
          <w:rFonts w:ascii="Arial" w:hAnsi="Arial" w:cs="Arial"/>
          <w:lang w:val="en-US"/>
        </w:rPr>
        <w:t> </w:t>
      </w:r>
      <w:r w:rsidRPr="00A6708B">
        <w:rPr>
          <w:rFonts w:ascii="Arial" w:hAnsi="Arial" w:cs="Arial"/>
          <w:lang w:val="en-US"/>
        </w:rPr>
        <w:t>al., 2020).</w:t>
      </w:r>
      <w:r>
        <w:rPr>
          <w:rFonts w:ascii="Arial" w:hAnsi="Arial" w:cs="Arial"/>
          <w:lang w:val="en-US"/>
        </w:rPr>
        <w:t xml:space="preserve"> </w:t>
      </w:r>
    </w:p>
    <w:p w14:paraId="0943DCC1" w14:textId="77777777" w:rsidR="007D50B1" w:rsidRPr="007D50B1" w:rsidRDefault="007D50B1" w:rsidP="007D50B1">
      <w:pPr>
        <w:rPr>
          <w:rFonts w:ascii="Arial" w:hAnsi="Arial" w:cs="Arial"/>
          <w:lang w:val="en-US"/>
        </w:rPr>
      </w:pPr>
      <w:r w:rsidRPr="007D50B1">
        <w:rPr>
          <w:rFonts w:ascii="Arial" w:hAnsi="Arial" w:cs="Arial"/>
          <w:b/>
          <w:bCs/>
          <w:lang w:val="en-US"/>
        </w:rPr>
        <w:t>The Growth Stage</w:t>
      </w:r>
      <w:r w:rsidRPr="007D50B1">
        <w:rPr>
          <w:rFonts w:ascii="Arial" w:hAnsi="Arial" w:cs="Arial"/>
          <w:lang w:val="en-US"/>
        </w:rPr>
        <w:t xml:space="preserve"> is the most important phase of the product life cycle, characterized by increased demand, competition, and market expansion (Hooley et al., 2020). While </w:t>
      </w:r>
      <w:r w:rsidRPr="007D50B1">
        <w:rPr>
          <w:rFonts w:ascii="Arial" w:hAnsi="Arial" w:cs="Arial"/>
          <w:lang w:val="en-US"/>
        </w:rPr>
        <w:lastRenderedPageBreak/>
        <w:t>companies enjoy peak sales, rising consumer adoption, and high profitability, they also face intense competition. To optimize profits, businesses must focus on marketing, distribution, and innovation while managing costs effectively (Kotler et al., 2020). Expanding into new markets while controlling expenditures is a significant challenge. Market pioneers initially capture demand, but to sustain their value, they must consistently enhance their offerings (Whittington et al., 2023). Tesla exemplifies this by dominating the EV market through rapid production, international scaling, and battery technology investments (Moore, 2014). However, its dominance was challenged by Ford and Volkswagen, who entered the EV market with lower-priced alternatives, highlighting the necessity of continuous innovation and brand development.</w:t>
      </w:r>
    </w:p>
    <w:p w14:paraId="0B789FD3" w14:textId="77777777" w:rsidR="007D50B1" w:rsidRPr="007D50B1" w:rsidRDefault="007D50B1" w:rsidP="007D50B1">
      <w:pPr>
        <w:rPr>
          <w:rFonts w:ascii="Arial" w:hAnsi="Arial" w:cs="Arial"/>
          <w:lang w:val="en-US"/>
        </w:rPr>
      </w:pPr>
      <w:r w:rsidRPr="007D50B1">
        <w:rPr>
          <w:rFonts w:ascii="Arial" w:hAnsi="Arial" w:cs="Arial"/>
          <w:lang w:val="en-US"/>
        </w:rPr>
        <w:t>To defend their emerging market position, pioneers must solidify brand development, advance technology, and form strategic partnerships. A key strategy is aggressive market penetration, where firms invest in advertising, promotions, and pricing strategies to build customer loyalty (Kotler et al., 2020). Apple followed this approach with the iPhone, making substantial investments in marketing, retail expansion, and product improvements to deter competition (Whittington et al., 2023). Sustaining growth requires continuous innovation and differentiation. Amazon expanded beyond books, introduced Prime, and developed a logistics network, creating an ecosystem difficult to replicate (Sultan et al., 2012). Fortress strategies, such as patents and exclusive partnerships, also protect market leadership (Rogers, 2010). Microsoft maintained its position by integrating Windows across devices and securing enterprise contracts. Conversely, BlackBerry’s failure to adopt touchscreen technology allowed Apple and Samsung to surpass it (Mahajan et al., 2013). Pioneers must balance expansion with innovation, as stagnation makes them vulnerable to agile competitors.</w:t>
      </w:r>
    </w:p>
    <w:p w14:paraId="2D980E9C" w14:textId="77777777" w:rsidR="007D50B1" w:rsidRPr="007D50B1" w:rsidRDefault="007D50B1" w:rsidP="007D50B1">
      <w:pPr>
        <w:rPr>
          <w:rFonts w:ascii="Arial" w:hAnsi="Arial" w:cs="Arial"/>
          <w:lang w:val="en-US"/>
        </w:rPr>
      </w:pPr>
      <w:r w:rsidRPr="007D50B1">
        <w:rPr>
          <w:rFonts w:ascii="Arial" w:hAnsi="Arial" w:cs="Arial"/>
          <w:lang w:val="en-US"/>
        </w:rPr>
        <w:t xml:space="preserve">Followers entering the growth stage must focus on strategic differentiation, competitive pricing, and market segmentation to challenge pioneers. Since pioneers establish brand awareness, followers must position themselves as offering superior value by enhancing features, reducing costs, or targeting overlooked segments (Lieberman &amp; Montgomery, 2012). Samsung’s smartphone success illustrates this, as it entered after Apple but leveraged manufacturing expertise to create high-quality alternatives with larger displays </w:t>
      </w:r>
      <w:r w:rsidRPr="007D50B1">
        <w:rPr>
          <w:rFonts w:ascii="Arial" w:hAnsi="Arial" w:cs="Arial"/>
          <w:lang w:val="en-US"/>
        </w:rPr>
        <w:lastRenderedPageBreak/>
        <w:t>and affordable options, broadening its consumer appeal (Mahajan et al., 2013). Followers thrive on aggressive pricing and differentiation, offering comparable quality at lower costs. Xiaomi gained market share by undercutting Apple and Samsung (Kotler et al., 2020). Rapid scalability and strategic partnerships also drive success. TikTok entered long after Facebook and Instagram but leveraged AI-driven recommendations and influencer engagement to dominate short-form video content (Whittington et al., 2023). This demonstrates how well-executed follower strategies can disrupt industry leaders.</w:t>
      </w:r>
    </w:p>
    <w:p w14:paraId="3D754FE9" w14:textId="77777777" w:rsidR="007D50B1" w:rsidRPr="007D50B1" w:rsidRDefault="007D50B1" w:rsidP="007D50B1">
      <w:pPr>
        <w:rPr>
          <w:rFonts w:ascii="Arial" w:hAnsi="Arial" w:cs="Arial"/>
          <w:lang w:val="en-US"/>
        </w:rPr>
      </w:pPr>
      <w:r w:rsidRPr="007D50B1">
        <w:rPr>
          <w:rFonts w:ascii="Arial" w:hAnsi="Arial" w:cs="Arial"/>
          <w:lang w:val="en-US"/>
        </w:rPr>
        <w:t>The Ansoff Matrix provides a systematic framework for expansion in the growth stage through four strategies: market penetration, product development, market development, and diversification (Whittington et al., 2023). Successful pioneers and followers use it to sustain competitive advantage. Market penetration involves increasing sales of existing products via pricing, promotions, or expanded distribution. Apple employs this strategy through trade-in programs and installment plans, ensuring repeat purchases (Kotler et al., 2020). Product development focuses on enhancing or adding new versions of existing products. Amazon’s introduction of Prime Video, Alexa, and same-day delivery demonstrates its dominance in e-commerce and technology (Sultan et al., 2012). Market development requires targeting new geographic regions or consumer segments. Tesla expanded beyond North America into China and Europe, leveraging government incentives and rising demand for sustainable transport (Rogers, 2010). Followers like Xiaomi apply this strategy by launching budget smartphones in untapped global markets, challenging premium brands (Mahajan et al., 2013). Diversification allows firms to enter new markets. Google transitioned from search engines to cloud computing, AI, and self-driving technology, ensuring long-term growth beyond its core domain (Watts, 2011). Companies strategically applying the Ansoff Matrix maintain market position and mitigate stagnation risks.</w:t>
      </w:r>
    </w:p>
    <w:p w14:paraId="5887844C" w14:textId="77777777" w:rsidR="007D50B1" w:rsidRDefault="007D50B1" w:rsidP="007D50B1">
      <w:pPr>
        <w:rPr>
          <w:rFonts w:ascii="Arial" w:hAnsi="Arial" w:cs="Arial"/>
          <w:lang w:val="en-US"/>
        </w:rPr>
      </w:pPr>
      <w:r w:rsidRPr="007D50B1">
        <w:rPr>
          <w:rFonts w:ascii="Arial" w:hAnsi="Arial" w:cs="Arial"/>
          <w:lang w:val="en-US"/>
        </w:rPr>
        <w:t xml:space="preserve">The Diffusion of Innovation (DOI) theory (Rogers, 2010) explains how new products gain market acceptance through different adopter categories: innovators, early adopters, early majority, late majority, and laggards. During the growth stage, businesses must transition from early adopters to the early and late majority to achieve mass-market adoption. Failure to do so leads to stagnation or decline, as seen with Google Glass, which </w:t>
      </w:r>
      <w:r w:rsidRPr="007D50B1">
        <w:rPr>
          <w:rFonts w:ascii="Arial" w:hAnsi="Arial" w:cs="Arial"/>
          <w:lang w:val="en-US"/>
        </w:rPr>
        <w:lastRenderedPageBreak/>
        <w:t>remained stuck in the Early Adopter phase due to high costs and privacy concerns (Kotler et al., 2020). A key factor in diffusion is relative advantage—how much a product surpasses existing solutions. Tesla demonstrated this by proving that EVs could outperform internal combustion cars in speed, efficiency, and sustainability (Mahajan et al., 2013). Pre-existing consumer behavior also impacts growth. Netflix seamlessly transitioned users from DVD rentals to streaming by making digital content widely accessible across multiple devices (Sultan et al., 2012). The rate of adoption is influenced by observability and trialability. TikTok grew rapidly by offering instant, engaging content that required minimal learning effort (Whittington et al., 2023). Businesses in the growth stage must tactfully apply DOI principles to maximize adoption and sustain momentum.</w:t>
      </w:r>
    </w:p>
    <w:p w14:paraId="61498D24" w14:textId="5A9D122E" w:rsidR="00681071" w:rsidRPr="00A6708B" w:rsidRDefault="00681071" w:rsidP="00681071">
      <w:pPr>
        <w:rPr>
          <w:rFonts w:ascii="Arial" w:hAnsi="Arial" w:cs="Arial"/>
          <w:lang w:val="en-US"/>
        </w:rPr>
      </w:pPr>
      <w:r w:rsidRPr="00A6708B">
        <w:rPr>
          <w:rFonts w:ascii="Arial" w:hAnsi="Arial" w:cs="Arial"/>
          <w:b/>
          <w:bCs/>
          <w:lang w:val="en-US"/>
        </w:rPr>
        <w:t>In the maturity stage</w:t>
      </w:r>
      <w:r w:rsidRPr="00A6708B">
        <w:rPr>
          <w:rFonts w:ascii="Arial" w:hAnsi="Arial" w:cs="Arial"/>
          <w:lang w:val="en-US"/>
        </w:rPr>
        <w:t xml:space="preserve">, firms </w:t>
      </w:r>
      <w:proofErr w:type="spellStart"/>
      <w:r>
        <w:rPr>
          <w:rFonts w:ascii="Arial" w:hAnsi="Arial" w:cs="Arial"/>
          <w:lang w:val="en-US"/>
        </w:rPr>
        <w:t>optimise</w:t>
      </w:r>
      <w:proofErr w:type="spellEnd"/>
      <w:r>
        <w:rPr>
          <w:rFonts w:ascii="Arial" w:hAnsi="Arial" w:cs="Arial"/>
          <w:lang w:val="en-US"/>
        </w:rPr>
        <w:t xml:space="preserve"> profit</w:t>
      </w:r>
      <w:r w:rsidRPr="00A6708B">
        <w:rPr>
          <w:rFonts w:ascii="Arial" w:hAnsi="Arial" w:cs="Arial"/>
          <w:lang w:val="en-US"/>
        </w:rPr>
        <w:t xml:space="preserve"> through branding, incremental innovation and bundling services. To maintain iPhone sales, Apple is eyeing upgrades as well as other services, for example, Apple Music and iCloud, finally bringing in</w:t>
      </w:r>
      <w:r w:rsidRPr="00A6708B">
        <w:rPr>
          <w:rFonts w:ascii="Arial" w:hAnsi="Arial" w:cs="Arial"/>
          <w:lang w:val="en-US"/>
        </w:rPr>
        <w:t> </w:t>
      </w:r>
      <w:r w:rsidRPr="00A6708B">
        <w:rPr>
          <w:rFonts w:ascii="Arial" w:hAnsi="Arial" w:cs="Arial"/>
          <w:lang w:val="en-US"/>
        </w:rPr>
        <w:t>$85 billion in revenue from just services (Apple Annual Report, 2023).</w:t>
      </w:r>
    </w:p>
    <w:p w14:paraId="5DB8985C" w14:textId="77777777" w:rsidR="00681071" w:rsidRPr="00A6708B" w:rsidRDefault="00681071" w:rsidP="00681071">
      <w:pPr>
        <w:rPr>
          <w:rFonts w:ascii="Arial" w:hAnsi="Arial" w:cs="Arial"/>
          <w:lang w:val="en-US"/>
        </w:rPr>
      </w:pPr>
      <w:r w:rsidRPr="00A6708B">
        <w:rPr>
          <w:rFonts w:ascii="Arial" w:hAnsi="Arial" w:cs="Arial"/>
          <w:lang w:val="en-US"/>
        </w:rPr>
        <w:t>Instead, followers compete on price</w:t>
      </w:r>
      <w:r w:rsidRPr="00A6708B">
        <w:rPr>
          <w:rFonts w:ascii="Arial" w:hAnsi="Arial" w:cs="Arial"/>
          <w:lang w:val="en-US"/>
        </w:rPr>
        <w:t> </w:t>
      </w:r>
      <w:r w:rsidRPr="00A6708B">
        <w:rPr>
          <w:rFonts w:ascii="Arial" w:hAnsi="Arial" w:cs="Arial"/>
          <w:lang w:val="en-US"/>
        </w:rPr>
        <w:t>and distinction. Huawei's excellence in superior camera technology has led them to</w:t>
      </w:r>
      <w:r w:rsidRPr="00A6708B">
        <w:rPr>
          <w:rFonts w:ascii="Arial" w:hAnsi="Arial" w:cs="Arial"/>
          <w:lang w:val="en-US"/>
        </w:rPr>
        <w:t> </w:t>
      </w:r>
      <w:r w:rsidRPr="00A6708B">
        <w:rPr>
          <w:rFonts w:ascii="Arial" w:hAnsi="Arial" w:cs="Arial"/>
          <w:lang w:val="en-US"/>
        </w:rPr>
        <w:t xml:space="preserve">become the second-largest smartphone vendor (in 2019 with 18% market share) overtaking </w:t>
      </w:r>
      <w:proofErr w:type="spellStart"/>
      <w:r w:rsidRPr="00A6708B">
        <w:rPr>
          <w:rFonts w:ascii="Arial" w:hAnsi="Arial" w:cs="Arial"/>
          <w:lang w:val="en-US"/>
        </w:rPr>
        <w:t>Aapple</w:t>
      </w:r>
      <w:proofErr w:type="spellEnd"/>
      <w:r w:rsidRPr="00A6708B">
        <w:rPr>
          <w:rFonts w:ascii="Arial" w:hAnsi="Arial" w:cs="Arial"/>
          <w:lang w:val="en-US"/>
        </w:rPr>
        <w:t xml:space="preserve"> (IDC, 2019). Now Netflix transitioned from DVD rentals to streaming and original content, accumulating 214 million subscribers (Netflix Annual Report, 2021)</w:t>
      </w:r>
      <w:r w:rsidRPr="00A6708B">
        <w:rPr>
          <w:rFonts w:ascii="Arial" w:hAnsi="Arial" w:cs="Arial"/>
          <w:lang w:val="en-US"/>
        </w:rPr>
        <w:t> </w:t>
      </w:r>
      <w:r w:rsidRPr="00A6708B">
        <w:rPr>
          <w:rFonts w:ascii="Arial" w:hAnsi="Arial" w:cs="Arial"/>
          <w:lang w:val="en-US"/>
        </w:rPr>
        <w:t>in 2021.</w:t>
      </w:r>
    </w:p>
    <w:p w14:paraId="0DB9EC0C" w14:textId="77777777" w:rsidR="00681071" w:rsidRPr="00A6708B" w:rsidRDefault="00681071" w:rsidP="00681071">
      <w:pPr>
        <w:rPr>
          <w:rFonts w:ascii="Arial" w:hAnsi="Arial" w:cs="Arial"/>
          <w:lang w:val="en-US"/>
        </w:rPr>
      </w:pPr>
      <w:r w:rsidRPr="00A6708B">
        <w:rPr>
          <w:rFonts w:ascii="Arial" w:hAnsi="Arial" w:cs="Arial"/>
          <w:b/>
          <w:bCs/>
          <w:lang w:val="en-US"/>
        </w:rPr>
        <w:t>In the Decline Stage</w:t>
      </w:r>
      <w:r>
        <w:rPr>
          <w:rFonts w:ascii="Arial" w:hAnsi="Arial" w:cs="Arial"/>
          <w:lang w:val="en-US"/>
        </w:rPr>
        <w:t xml:space="preserve">, </w:t>
      </w:r>
      <w:r w:rsidRPr="00A6708B">
        <w:rPr>
          <w:rFonts w:ascii="Arial" w:hAnsi="Arial" w:cs="Arial"/>
          <w:lang w:val="en-US"/>
        </w:rPr>
        <w:t>firms must choose</w:t>
      </w:r>
      <w:r>
        <w:rPr>
          <w:rFonts w:ascii="Arial" w:hAnsi="Arial" w:cs="Arial"/>
          <w:lang w:val="en-US"/>
        </w:rPr>
        <w:t xml:space="preserve"> either</w:t>
      </w:r>
      <w:r w:rsidRPr="00A6708B">
        <w:rPr>
          <w:rFonts w:ascii="Arial" w:hAnsi="Arial" w:cs="Arial"/>
          <w:lang w:val="en-US"/>
        </w:rPr>
        <w:t xml:space="preserve"> reinvent or die. BlackBerry’s inability to pivot shrank its market share, while Nokia shifted to be a 5G infrastructure provider (Whittington et</w:t>
      </w:r>
      <w:r w:rsidRPr="00A6708B">
        <w:rPr>
          <w:rFonts w:ascii="Arial" w:hAnsi="Arial" w:cs="Arial"/>
          <w:lang w:val="en-US"/>
        </w:rPr>
        <w:t> </w:t>
      </w:r>
      <w:r w:rsidRPr="00A6708B">
        <w:rPr>
          <w:rFonts w:ascii="Arial" w:hAnsi="Arial" w:cs="Arial"/>
          <w:lang w:val="en-US"/>
        </w:rPr>
        <w:t>al., 2023). The company made the transition</w:t>
      </w:r>
      <w:r w:rsidRPr="00A6708B">
        <w:rPr>
          <w:rFonts w:ascii="Arial" w:hAnsi="Arial" w:cs="Arial"/>
          <w:lang w:val="en-US"/>
        </w:rPr>
        <w:t> </w:t>
      </w:r>
      <w:r w:rsidRPr="00A6708B">
        <w:rPr>
          <w:rFonts w:ascii="Arial" w:hAnsi="Arial" w:cs="Arial"/>
          <w:lang w:val="en-US"/>
        </w:rPr>
        <w:t>to cloud computing by 2022, resulting in $22.4 billion in revenues (IBM Annual Report, 2022).</w:t>
      </w:r>
    </w:p>
    <w:p w14:paraId="1F5A2BA8" w14:textId="77777777" w:rsidR="00681071" w:rsidRPr="007D50B1" w:rsidRDefault="00681071" w:rsidP="007D50B1">
      <w:pPr>
        <w:rPr>
          <w:rFonts w:ascii="Arial" w:hAnsi="Arial" w:cs="Arial"/>
          <w:lang w:val="en-US"/>
        </w:rPr>
      </w:pPr>
    </w:p>
    <w:p w14:paraId="219C538C" w14:textId="053DE0F4" w:rsidR="00257C52" w:rsidRPr="00195025" w:rsidRDefault="00257C52">
      <w:pPr>
        <w:spacing w:line="278" w:lineRule="auto"/>
        <w:jc w:val="left"/>
        <w:rPr>
          <w:rFonts w:ascii="Arial" w:hAnsi="Arial" w:cs="Arial"/>
        </w:rPr>
      </w:pPr>
      <w:r w:rsidRPr="00195025">
        <w:rPr>
          <w:rFonts w:ascii="Arial" w:hAnsi="Arial" w:cs="Arial"/>
        </w:rPr>
        <w:br w:type="page"/>
      </w:r>
    </w:p>
    <w:p w14:paraId="03ACC15A" w14:textId="5DB7C9BD" w:rsidR="00921B25" w:rsidRPr="00195025" w:rsidRDefault="00921B25" w:rsidP="000854FA">
      <w:pPr>
        <w:pStyle w:val="Heading1"/>
        <w:rPr>
          <w:rFonts w:ascii="Arial" w:hAnsi="Arial" w:cs="Arial"/>
        </w:rPr>
      </w:pPr>
      <w:bookmarkStart w:id="3" w:name="_Toc192274022"/>
      <w:r w:rsidRPr="00195025">
        <w:rPr>
          <w:rFonts w:ascii="Arial" w:eastAsia="Times New Roman" w:hAnsi="Arial" w:cs="Arial"/>
        </w:rPr>
        <w:lastRenderedPageBreak/>
        <w:t>Conclusion</w:t>
      </w:r>
      <w:bookmarkEnd w:id="3"/>
    </w:p>
    <w:p w14:paraId="26A4C0FD" w14:textId="23E85414" w:rsidR="00921B25" w:rsidRDefault="00921B25" w:rsidP="00921B25">
      <w:pPr>
        <w:rPr>
          <w:rFonts w:ascii="Arial" w:hAnsi="Arial" w:cs="Arial"/>
        </w:rPr>
      </w:pPr>
      <w:r w:rsidRPr="00195025">
        <w:rPr>
          <w:rFonts w:ascii="Arial" w:hAnsi="Arial" w:cs="Arial"/>
        </w:rPr>
        <w:t>The decision to be a pioneer or a follower is a fundamental strategic choice that shapes a company’s market positioning, competitive advantage, and long-term success. Pioneers, such as Apple with the iPhone and Tesla with electric vehicles, benefit from brand recognition, technological leadership, and market dominance. However, these advantages come with significant risks, including high R&amp;D costs, uncertain demand, and vulnerability to agile competitors. Kodak’s failure to capitalise on its pioneering digital camera technology highlights the consequences of neglecting continuous innovation.</w:t>
      </w:r>
      <w:r w:rsidR="005A18C2" w:rsidRPr="00195025">
        <w:rPr>
          <w:rFonts w:ascii="Arial" w:hAnsi="Arial" w:cs="Arial"/>
        </w:rPr>
        <w:t xml:space="preserve"> </w:t>
      </w:r>
      <w:r w:rsidRPr="00195025">
        <w:rPr>
          <w:rFonts w:ascii="Arial" w:hAnsi="Arial" w:cs="Arial"/>
        </w:rPr>
        <w:t>Followers, on the other hand, can capitalise on the groundwork laid by pioneers, learning from their mistakes and refining product offerings. Samsung’s success in the smartphone industry, TikTok’s dominance in short-form video, and Google’s triumph over Yahoo in search engines illustrate how followers can strategically enter the market and disrupt industry leaders. However, followers must differentiate themselves and overcome strong brand loyalty established by pioneers. Microsoft’s Zune failed despite competing with the iPod, as it lacked Apple’s ecosystem and consumer appeal.</w:t>
      </w:r>
      <w:r w:rsidR="005A18C2" w:rsidRPr="00195025">
        <w:rPr>
          <w:rFonts w:ascii="Arial" w:hAnsi="Arial" w:cs="Arial"/>
        </w:rPr>
        <w:t xml:space="preserve"> </w:t>
      </w:r>
      <w:r w:rsidRPr="00195025">
        <w:rPr>
          <w:rFonts w:ascii="Arial" w:hAnsi="Arial" w:cs="Arial"/>
        </w:rPr>
        <w:t>The growth stage of the product life cycle is pivotal for both pioneers and followers. Pioneers must sustain innovation and defend market share, while followers must strategically position themselves through pricing, scalability, and improved value propositions. Diffusion of innovation theory plays a crucial role in sustaining mass adoption, as seen with Netflix’s transition to streaming and Tesla’s mainstream EV adoption. Ultimately, long-term success depends not only on entry timing but on the ability to sustain innovation, adapt to market shifts, and leverage competitive advantages effectively.</w:t>
      </w:r>
    </w:p>
    <w:p w14:paraId="095C58AF" w14:textId="11E4639E" w:rsidR="00A6708B" w:rsidRPr="00A6708B" w:rsidRDefault="00A6708B" w:rsidP="00A6708B">
      <w:pPr>
        <w:rPr>
          <w:rFonts w:ascii="Arial" w:hAnsi="Arial" w:cs="Arial"/>
          <w:lang w:val="en-US"/>
        </w:rPr>
      </w:pPr>
    </w:p>
    <w:p w14:paraId="0855FD79" w14:textId="36C2F16A" w:rsidR="00A6708B" w:rsidRPr="00195025" w:rsidRDefault="00A6708B" w:rsidP="00921B25">
      <w:pPr>
        <w:rPr>
          <w:rFonts w:ascii="Arial" w:hAnsi="Arial" w:cs="Arial"/>
        </w:rPr>
      </w:pPr>
    </w:p>
    <w:p w14:paraId="7D686BBE" w14:textId="77777777" w:rsidR="00233E63" w:rsidRPr="00195025" w:rsidRDefault="00233E63" w:rsidP="00233E63">
      <w:pPr>
        <w:rPr>
          <w:rFonts w:ascii="Arial" w:hAnsi="Arial" w:cs="Arial"/>
        </w:rPr>
      </w:pPr>
    </w:p>
    <w:p w14:paraId="09615162" w14:textId="77777777" w:rsidR="00143FAF" w:rsidRPr="00195025" w:rsidRDefault="00143FAF" w:rsidP="00143FAF">
      <w:pPr>
        <w:rPr>
          <w:rFonts w:ascii="Arial" w:hAnsi="Arial" w:cs="Arial"/>
          <w:noProof/>
        </w:rPr>
      </w:pPr>
    </w:p>
    <w:p w14:paraId="757BD5C5" w14:textId="77777777" w:rsidR="00143FAF" w:rsidRPr="00195025" w:rsidRDefault="00143FAF" w:rsidP="00143FAF">
      <w:pPr>
        <w:rPr>
          <w:rFonts w:ascii="Arial" w:hAnsi="Arial" w:cs="Arial"/>
          <w:noProof/>
        </w:rPr>
      </w:pPr>
    </w:p>
    <w:p w14:paraId="2AC4D71C" w14:textId="77777777" w:rsidR="00143FAF" w:rsidRPr="00195025" w:rsidRDefault="00143FAF" w:rsidP="00143FAF">
      <w:pPr>
        <w:spacing w:line="259" w:lineRule="auto"/>
        <w:jc w:val="left"/>
        <w:rPr>
          <w:rFonts w:ascii="Arial" w:hAnsi="Arial" w:cs="Arial"/>
          <w:noProof/>
        </w:rPr>
      </w:pPr>
      <w:r w:rsidRPr="00195025">
        <w:rPr>
          <w:rFonts w:ascii="Arial" w:hAnsi="Arial" w:cs="Arial"/>
          <w:noProof/>
        </w:rPr>
        <w:br w:type="page"/>
      </w:r>
    </w:p>
    <w:p w14:paraId="1456C4D1" w14:textId="77777777" w:rsidR="00143FAF" w:rsidRPr="00195025" w:rsidRDefault="00143FAF" w:rsidP="00143FAF">
      <w:pPr>
        <w:pStyle w:val="Heading1"/>
        <w:rPr>
          <w:rFonts w:ascii="Arial" w:hAnsi="Arial" w:cs="Arial"/>
        </w:rPr>
      </w:pPr>
      <w:bookmarkStart w:id="4" w:name="_y7tu2cmptes9" w:colFirst="0" w:colLast="0"/>
      <w:bookmarkStart w:id="5" w:name="_Toc192274023"/>
      <w:bookmarkEnd w:id="4"/>
      <w:r w:rsidRPr="00195025">
        <w:rPr>
          <w:rFonts w:ascii="Arial" w:hAnsi="Arial" w:cs="Arial"/>
        </w:rPr>
        <w:lastRenderedPageBreak/>
        <w:t>References</w:t>
      </w:r>
      <w:bookmarkEnd w:id="5"/>
    </w:p>
    <w:bookmarkEnd w:id="0"/>
    <w:p w14:paraId="57E6335B" w14:textId="77777777" w:rsidR="00E907A9" w:rsidRPr="00195025" w:rsidRDefault="00E907A9" w:rsidP="00E907A9">
      <w:pPr>
        <w:ind w:left="720" w:hanging="720"/>
        <w:rPr>
          <w:rFonts w:ascii="Arial" w:hAnsi="Arial" w:cs="Arial"/>
        </w:rPr>
      </w:pPr>
      <w:r w:rsidRPr="00195025">
        <w:rPr>
          <w:rFonts w:ascii="Arial" w:hAnsi="Arial" w:cs="Arial"/>
        </w:rPr>
        <w:t xml:space="preserve">Boulding, W., and Christen, M. (2011) 'First-Mover Disadvantage', </w:t>
      </w:r>
      <w:r w:rsidRPr="00195025">
        <w:rPr>
          <w:rFonts w:ascii="Arial" w:hAnsi="Arial" w:cs="Arial"/>
          <w:i/>
          <w:iCs/>
        </w:rPr>
        <w:t>Harvard Business Review</w:t>
      </w:r>
      <w:r w:rsidRPr="00195025">
        <w:rPr>
          <w:rFonts w:ascii="Arial" w:hAnsi="Arial" w:cs="Arial"/>
        </w:rPr>
        <w:t>, 79(9), pp. 20–21.</w:t>
      </w:r>
    </w:p>
    <w:p w14:paraId="354D211F" w14:textId="77777777" w:rsidR="00E907A9" w:rsidRPr="00195025" w:rsidRDefault="00E907A9" w:rsidP="00E907A9">
      <w:pPr>
        <w:ind w:left="720" w:hanging="720"/>
        <w:rPr>
          <w:rFonts w:ascii="Arial" w:hAnsi="Arial" w:cs="Arial"/>
        </w:rPr>
      </w:pPr>
      <w:r w:rsidRPr="00195025">
        <w:rPr>
          <w:rFonts w:ascii="Arial" w:hAnsi="Arial" w:cs="Arial"/>
        </w:rPr>
        <w:t xml:space="preserve">CMI (Chartered Management Institute). (2019) </w:t>
      </w:r>
      <w:r w:rsidRPr="00195025">
        <w:rPr>
          <w:rFonts w:ascii="Arial" w:hAnsi="Arial" w:cs="Arial"/>
          <w:i/>
          <w:iCs/>
        </w:rPr>
        <w:t>How to Build Your Personal Brand</w:t>
      </w:r>
      <w:r w:rsidRPr="00195025">
        <w:rPr>
          <w:rFonts w:ascii="Arial" w:hAnsi="Arial" w:cs="Arial"/>
        </w:rPr>
        <w:t xml:space="preserve">. Available at: </w:t>
      </w:r>
      <w:hyperlink r:id="rId9" w:tgtFrame="_new" w:history="1">
        <w:r w:rsidRPr="00195025">
          <w:rPr>
            <w:rStyle w:val="Hyperlink"/>
            <w:rFonts w:ascii="Arial" w:hAnsi="Arial" w:cs="Arial"/>
          </w:rPr>
          <w:t>https://www.managers.org.uk</w:t>
        </w:r>
      </w:hyperlink>
      <w:r w:rsidRPr="00195025">
        <w:rPr>
          <w:rFonts w:ascii="Arial" w:hAnsi="Arial" w:cs="Arial"/>
        </w:rPr>
        <w:t xml:space="preserve"> (Accessed: 07 March 2025).</w:t>
      </w:r>
    </w:p>
    <w:p w14:paraId="6AFC6DCA" w14:textId="77777777" w:rsidR="00E907A9" w:rsidRPr="00195025" w:rsidRDefault="00E907A9" w:rsidP="00E907A9">
      <w:pPr>
        <w:ind w:left="720" w:hanging="720"/>
        <w:rPr>
          <w:rFonts w:ascii="Arial" w:hAnsi="Arial" w:cs="Arial"/>
        </w:rPr>
      </w:pPr>
      <w:r w:rsidRPr="00195025">
        <w:rPr>
          <w:rFonts w:ascii="Arial" w:hAnsi="Arial" w:cs="Arial"/>
        </w:rPr>
        <w:t xml:space="preserve">Hague, P. (2019) </w:t>
      </w:r>
      <w:r w:rsidRPr="00195025">
        <w:rPr>
          <w:rFonts w:ascii="Arial" w:hAnsi="Arial" w:cs="Arial"/>
          <w:i/>
          <w:iCs/>
        </w:rPr>
        <w:t>The Business Models Handbook: Templates, Theory and Case Studies</w:t>
      </w:r>
      <w:r w:rsidRPr="00195025">
        <w:rPr>
          <w:rFonts w:ascii="Arial" w:hAnsi="Arial" w:cs="Arial"/>
        </w:rPr>
        <w:t>. London, United Kingdom; New York, NY: Kogan Page Limited.</w:t>
      </w:r>
    </w:p>
    <w:p w14:paraId="710CBBD1" w14:textId="77777777" w:rsidR="00E907A9" w:rsidRPr="00195025" w:rsidRDefault="00E907A9" w:rsidP="00E907A9">
      <w:pPr>
        <w:ind w:left="720" w:hanging="720"/>
        <w:rPr>
          <w:rFonts w:ascii="Arial" w:hAnsi="Arial" w:cs="Arial"/>
        </w:rPr>
      </w:pPr>
      <w:r w:rsidRPr="00195025">
        <w:rPr>
          <w:rFonts w:ascii="Arial" w:hAnsi="Arial" w:cs="Arial"/>
        </w:rPr>
        <w:t xml:space="preserve">Hooley, G.J., </w:t>
      </w:r>
      <w:proofErr w:type="spellStart"/>
      <w:r w:rsidRPr="00195025">
        <w:rPr>
          <w:rFonts w:ascii="Arial" w:hAnsi="Arial" w:cs="Arial"/>
        </w:rPr>
        <w:t>Nicoulaud</w:t>
      </w:r>
      <w:proofErr w:type="spellEnd"/>
      <w:r w:rsidRPr="00195025">
        <w:rPr>
          <w:rFonts w:ascii="Arial" w:hAnsi="Arial" w:cs="Arial"/>
        </w:rPr>
        <w:t xml:space="preserve">, B., Rudd, J.M., and Lee, N. (2020) </w:t>
      </w:r>
      <w:r w:rsidRPr="00195025">
        <w:rPr>
          <w:rFonts w:ascii="Arial" w:hAnsi="Arial" w:cs="Arial"/>
          <w:i/>
          <w:iCs/>
        </w:rPr>
        <w:t>Marketing Strategy and Competitive Positioning</w:t>
      </w:r>
      <w:r w:rsidRPr="00195025">
        <w:rPr>
          <w:rFonts w:ascii="Arial" w:hAnsi="Arial" w:cs="Arial"/>
        </w:rPr>
        <w:t xml:space="preserve">. 7th </w:t>
      </w:r>
      <w:proofErr w:type="spellStart"/>
      <w:r w:rsidRPr="00195025">
        <w:rPr>
          <w:rFonts w:ascii="Arial" w:hAnsi="Arial" w:cs="Arial"/>
        </w:rPr>
        <w:t>edn</w:t>
      </w:r>
      <w:proofErr w:type="spellEnd"/>
      <w:r w:rsidRPr="00195025">
        <w:rPr>
          <w:rFonts w:ascii="Arial" w:hAnsi="Arial" w:cs="Arial"/>
        </w:rPr>
        <w:t>. Harlow, England: Pearson.</w:t>
      </w:r>
    </w:p>
    <w:p w14:paraId="108E2E40" w14:textId="77777777" w:rsidR="00E907A9" w:rsidRPr="00195025" w:rsidRDefault="00E907A9" w:rsidP="00E907A9">
      <w:pPr>
        <w:ind w:left="720" w:hanging="720"/>
        <w:rPr>
          <w:rFonts w:ascii="Arial" w:hAnsi="Arial" w:cs="Arial"/>
        </w:rPr>
      </w:pPr>
      <w:proofErr w:type="spellStart"/>
      <w:r w:rsidRPr="00195025">
        <w:rPr>
          <w:rFonts w:ascii="Arial" w:hAnsi="Arial" w:cs="Arial"/>
        </w:rPr>
        <w:t>Kalyanaram</w:t>
      </w:r>
      <w:proofErr w:type="spellEnd"/>
      <w:r w:rsidRPr="00195025">
        <w:rPr>
          <w:rFonts w:ascii="Arial" w:hAnsi="Arial" w:cs="Arial"/>
        </w:rPr>
        <w:t xml:space="preserve">, G., and Gurumurthy, R. (2018) 'Market Entry Strategies: Pioneers versus Late Arrivals', </w:t>
      </w:r>
      <w:r w:rsidRPr="00195025">
        <w:rPr>
          <w:rFonts w:ascii="Arial" w:hAnsi="Arial" w:cs="Arial"/>
          <w:i/>
          <w:iCs/>
        </w:rPr>
        <w:t>Strategy and Business</w:t>
      </w:r>
      <w:r w:rsidRPr="00195025">
        <w:rPr>
          <w:rFonts w:ascii="Arial" w:hAnsi="Arial" w:cs="Arial"/>
        </w:rPr>
        <w:t>, (52), pp. 34–45.</w:t>
      </w:r>
    </w:p>
    <w:p w14:paraId="39910153" w14:textId="77777777" w:rsidR="00E907A9" w:rsidRPr="00195025" w:rsidRDefault="00E907A9" w:rsidP="00E907A9">
      <w:pPr>
        <w:ind w:left="720" w:hanging="720"/>
        <w:rPr>
          <w:rFonts w:ascii="Arial" w:hAnsi="Arial" w:cs="Arial"/>
        </w:rPr>
      </w:pPr>
      <w:r w:rsidRPr="00195025">
        <w:rPr>
          <w:rFonts w:ascii="Arial" w:hAnsi="Arial" w:cs="Arial"/>
        </w:rPr>
        <w:t xml:space="preserve">Kotler, P., Armstrong, G., Harris, L., and Piercy, N. (2020) </w:t>
      </w:r>
      <w:r w:rsidRPr="00195025">
        <w:rPr>
          <w:rFonts w:ascii="Arial" w:hAnsi="Arial" w:cs="Arial"/>
          <w:i/>
          <w:iCs/>
        </w:rPr>
        <w:t>Principles of Marketing</w:t>
      </w:r>
      <w:r w:rsidRPr="00195025">
        <w:rPr>
          <w:rFonts w:ascii="Arial" w:hAnsi="Arial" w:cs="Arial"/>
        </w:rPr>
        <w:t xml:space="preserve">. 8th European </w:t>
      </w:r>
      <w:proofErr w:type="spellStart"/>
      <w:r w:rsidRPr="00195025">
        <w:rPr>
          <w:rFonts w:ascii="Arial" w:hAnsi="Arial" w:cs="Arial"/>
        </w:rPr>
        <w:t>edn</w:t>
      </w:r>
      <w:proofErr w:type="spellEnd"/>
      <w:r w:rsidRPr="00195025">
        <w:rPr>
          <w:rFonts w:ascii="Arial" w:hAnsi="Arial" w:cs="Arial"/>
        </w:rPr>
        <w:t>. Harlow: Pearson.</w:t>
      </w:r>
    </w:p>
    <w:p w14:paraId="0AECB036" w14:textId="77777777" w:rsidR="00E907A9" w:rsidRPr="00195025" w:rsidRDefault="00E907A9" w:rsidP="00E907A9">
      <w:pPr>
        <w:ind w:left="720" w:hanging="720"/>
        <w:rPr>
          <w:rFonts w:ascii="Arial" w:hAnsi="Arial" w:cs="Arial"/>
        </w:rPr>
      </w:pPr>
      <w:proofErr w:type="spellStart"/>
      <w:r w:rsidRPr="00195025">
        <w:rPr>
          <w:rFonts w:ascii="Arial" w:hAnsi="Arial" w:cs="Arial"/>
        </w:rPr>
        <w:t>Lalaounis</w:t>
      </w:r>
      <w:proofErr w:type="spellEnd"/>
      <w:r w:rsidRPr="00195025">
        <w:rPr>
          <w:rFonts w:ascii="Arial" w:hAnsi="Arial" w:cs="Arial"/>
        </w:rPr>
        <w:t xml:space="preserve">, S.T. (2020) </w:t>
      </w:r>
      <w:r w:rsidRPr="00195025">
        <w:rPr>
          <w:rFonts w:ascii="Arial" w:hAnsi="Arial" w:cs="Arial"/>
          <w:i/>
          <w:iCs/>
        </w:rPr>
        <w:t>Strategic Brand Management and Development: Creating and Marketing Successful Brands</w:t>
      </w:r>
      <w:r w:rsidRPr="00195025">
        <w:rPr>
          <w:rFonts w:ascii="Arial" w:hAnsi="Arial" w:cs="Arial"/>
        </w:rPr>
        <w:t xml:space="preserve">. 1st </w:t>
      </w:r>
      <w:proofErr w:type="spellStart"/>
      <w:r w:rsidRPr="00195025">
        <w:rPr>
          <w:rFonts w:ascii="Arial" w:hAnsi="Arial" w:cs="Arial"/>
        </w:rPr>
        <w:t>edn</w:t>
      </w:r>
      <w:proofErr w:type="spellEnd"/>
      <w:r w:rsidRPr="00195025">
        <w:rPr>
          <w:rFonts w:ascii="Arial" w:hAnsi="Arial" w:cs="Arial"/>
        </w:rPr>
        <w:t>. United Kingdom: Routledge.</w:t>
      </w:r>
    </w:p>
    <w:p w14:paraId="3530C00A" w14:textId="77777777" w:rsidR="00E907A9" w:rsidRPr="00195025" w:rsidRDefault="00E907A9" w:rsidP="00E907A9">
      <w:pPr>
        <w:ind w:left="720" w:hanging="720"/>
        <w:rPr>
          <w:rFonts w:ascii="Arial" w:hAnsi="Arial" w:cs="Arial"/>
        </w:rPr>
      </w:pPr>
      <w:r w:rsidRPr="00195025">
        <w:rPr>
          <w:rFonts w:ascii="Arial" w:hAnsi="Arial" w:cs="Arial"/>
        </w:rPr>
        <w:t xml:space="preserve">Lieberman, M.B., and Montgomery, D.B. (2012) 'First-Mover (Dis)Advantages: Retrospective and Link with the Resource-Based View', </w:t>
      </w:r>
      <w:r w:rsidRPr="00195025">
        <w:rPr>
          <w:rFonts w:ascii="Arial" w:hAnsi="Arial" w:cs="Arial"/>
          <w:i/>
          <w:iCs/>
        </w:rPr>
        <w:t>Strategic Management Journal</w:t>
      </w:r>
      <w:r w:rsidRPr="00195025">
        <w:rPr>
          <w:rFonts w:ascii="Arial" w:hAnsi="Arial" w:cs="Arial"/>
        </w:rPr>
        <w:t>, 19(12), pp. 1111–1125.</w:t>
      </w:r>
    </w:p>
    <w:p w14:paraId="2A4410DB" w14:textId="77777777" w:rsidR="00E907A9" w:rsidRPr="00195025" w:rsidRDefault="00E907A9" w:rsidP="00E907A9">
      <w:pPr>
        <w:ind w:left="720" w:hanging="720"/>
        <w:rPr>
          <w:rFonts w:ascii="Arial" w:hAnsi="Arial" w:cs="Arial"/>
        </w:rPr>
      </w:pPr>
      <w:r w:rsidRPr="00195025">
        <w:rPr>
          <w:rFonts w:ascii="Arial" w:hAnsi="Arial" w:cs="Arial"/>
        </w:rPr>
        <w:t xml:space="preserve">Mahajan, V., Muller, E., and Srivastava, R.K. (2013) 'Determination of Adopter Categories by Using Innovation Diffusion Models', </w:t>
      </w:r>
      <w:r w:rsidRPr="00195025">
        <w:rPr>
          <w:rFonts w:ascii="Arial" w:hAnsi="Arial" w:cs="Arial"/>
          <w:i/>
          <w:iCs/>
        </w:rPr>
        <w:t>Journal of Marketing Research</w:t>
      </w:r>
      <w:r w:rsidRPr="00195025">
        <w:rPr>
          <w:rFonts w:ascii="Arial" w:hAnsi="Arial" w:cs="Arial"/>
        </w:rPr>
        <w:t>, 27(1), pp. 37–50.</w:t>
      </w:r>
    </w:p>
    <w:p w14:paraId="10477781" w14:textId="77777777" w:rsidR="00E907A9" w:rsidRPr="00195025" w:rsidRDefault="00E907A9" w:rsidP="00E907A9">
      <w:pPr>
        <w:ind w:left="720" w:hanging="720"/>
        <w:rPr>
          <w:rFonts w:ascii="Arial" w:hAnsi="Arial" w:cs="Arial"/>
        </w:rPr>
      </w:pPr>
      <w:r w:rsidRPr="00195025">
        <w:rPr>
          <w:rFonts w:ascii="Arial" w:hAnsi="Arial" w:cs="Arial"/>
        </w:rPr>
        <w:t xml:space="preserve">Moore, G.A. (2014) </w:t>
      </w:r>
      <w:r w:rsidRPr="00195025">
        <w:rPr>
          <w:rFonts w:ascii="Arial" w:hAnsi="Arial" w:cs="Arial"/>
          <w:i/>
          <w:iCs/>
        </w:rPr>
        <w:t>Crossing the Chasm: Marketing and Selling High-Tech Products to Mainstream Customers</w:t>
      </w:r>
      <w:r w:rsidRPr="00195025">
        <w:rPr>
          <w:rFonts w:ascii="Arial" w:hAnsi="Arial" w:cs="Arial"/>
        </w:rPr>
        <w:t xml:space="preserve">. 3rd </w:t>
      </w:r>
      <w:proofErr w:type="spellStart"/>
      <w:r w:rsidRPr="00195025">
        <w:rPr>
          <w:rFonts w:ascii="Arial" w:hAnsi="Arial" w:cs="Arial"/>
        </w:rPr>
        <w:t>edn</w:t>
      </w:r>
      <w:proofErr w:type="spellEnd"/>
      <w:r w:rsidRPr="00195025">
        <w:rPr>
          <w:rFonts w:ascii="Arial" w:hAnsi="Arial" w:cs="Arial"/>
        </w:rPr>
        <w:t>. Harper Business.</w:t>
      </w:r>
    </w:p>
    <w:p w14:paraId="20C05074" w14:textId="77777777" w:rsidR="00E907A9" w:rsidRPr="00195025" w:rsidRDefault="00E907A9" w:rsidP="00E907A9">
      <w:pPr>
        <w:ind w:left="720" w:hanging="720"/>
        <w:rPr>
          <w:rFonts w:ascii="Arial" w:hAnsi="Arial" w:cs="Arial"/>
        </w:rPr>
      </w:pPr>
      <w:r w:rsidRPr="00195025">
        <w:rPr>
          <w:rFonts w:ascii="Arial" w:hAnsi="Arial" w:cs="Arial"/>
        </w:rPr>
        <w:t xml:space="preserve">Rogers, E.M. (2010) </w:t>
      </w:r>
      <w:r w:rsidRPr="00195025">
        <w:rPr>
          <w:rFonts w:ascii="Arial" w:hAnsi="Arial" w:cs="Arial"/>
          <w:i/>
          <w:iCs/>
        </w:rPr>
        <w:t>Diffusion of Innovations</w:t>
      </w:r>
      <w:r w:rsidRPr="00195025">
        <w:rPr>
          <w:rFonts w:ascii="Arial" w:hAnsi="Arial" w:cs="Arial"/>
        </w:rPr>
        <w:t xml:space="preserve">. 5th </w:t>
      </w:r>
      <w:proofErr w:type="spellStart"/>
      <w:r w:rsidRPr="00195025">
        <w:rPr>
          <w:rFonts w:ascii="Arial" w:hAnsi="Arial" w:cs="Arial"/>
        </w:rPr>
        <w:t>edn</w:t>
      </w:r>
      <w:proofErr w:type="spellEnd"/>
      <w:r w:rsidRPr="00195025">
        <w:rPr>
          <w:rFonts w:ascii="Arial" w:hAnsi="Arial" w:cs="Arial"/>
        </w:rPr>
        <w:t>. Free Press.</w:t>
      </w:r>
    </w:p>
    <w:p w14:paraId="0CDB3BA6" w14:textId="77777777" w:rsidR="00E907A9" w:rsidRPr="00195025" w:rsidRDefault="00E907A9" w:rsidP="00E907A9">
      <w:pPr>
        <w:ind w:left="720" w:hanging="720"/>
        <w:rPr>
          <w:rFonts w:ascii="Arial" w:hAnsi="Arial" w:cs="Arial"/>
        </w:rPr>
      </w:pPr>
      <w:r w:rsidRPr="00195025">
        <w:rPr>
          <w:rFonts w:ascii="Arial" w:hAnsi="Arial" w:cs="Arial"/>
        </w:rPr>
        <w:t xml:space="preserve">Sultan, F., Farley, J.U., and Lehmann, D.R. (2012) 'A Meta-Analysis of Applications of Diffusion Models', </w:t>
      </w:r>
      <w:r w:rsidRPr="00195025">
        <w:rPr>
          <w:rFonts w:ascii="Arial" w:hAnsi="Arial" w:cs="Arial"/>
          <w:i/>
          <w:iCs/>
        </w:rPr>
        <w:t>Journal of Marketing Research</w:t>
      </w:r>
      <w:r w:rsidRPr="00195025">
        <w:rPr>
          <w:rFonts w:ascii="Arial" w:hAnsi="Arial" w:cs="Arial"/>
        </w:rPr>
        <w:t>, 27(1), pp. 70–77.</w:t>
      </w:r>
    </w:p>
    <w:p w14:paraId="518C0A0C" w14:textId="77777777" w:rsidR="00E907A9" w:rsidRPr="00195025" w:rsidRDefault="00E907A9" w:rsidP="00E907A9">
      <w:pPr>
        <w:ind w:left="720" w:hanging="720"/>
        <w:rPr>
          <w:rFonts w:ascii="Arial" w:hAnsi="Arial" w:cs="Arial"/>
        </w:rPr>
      </w:pPr>
      <w:r w:rsidRPr="00195025">
        <w:rPr>
          <w:rFonts w:ascii="Arial" w:hAnsi="Arial" w:cs="Arial"/>
        </w:rPr>
        <w:lastRenderedPageBreak/>
        <w:t xml:space="preserve">Valente, T.W. (2015) 'Social Network Thresholds in the Diffusion of Innovations', </w:t>
      </w:r>
      <w:r w:rsidRPr="00195025">
        <w:rPr>
          <w:rFonts w:ascii="Arial" w:hAnsi="Arial" w:cs="Arial"/>
          <w:i/>
          <w:iCs/>
        </w:rPr>
        <w:t>Social Networks</w:t>
      </w:r>
      <w:r w:rsidRPr="00195025">
        <w:rPr>
          <w:rFonts w:ascii="Arial" w:hAnsi="Arial" w:cs="Arial"/>
        </w:rPr>
        <w:t>, 18(1), pp. 69–89.</w:t>
      </w:r>
    </w:p>
    <w:p w14:paraId="046A57CA" w14:textId="77777777" w:rsidR="00E907A9" w:rsidRPr="00195025" w:rsidRDefault="00E907A9" w:rsidP="00E907A9">
      <w:pPr>
        <w:ind w:left="720" w:hanging="720"/>
        <w:rPr>
          <w:rFonts w:ascii="Arial" w:hAnsi="Arial" w:cs="Arial"/>
        </w:rPr>
      </w:pPr>
      <w:r w:rsidRPr="00195025">
        <w:rPr>
          <w:rFonts w:ascii="Arial" w:hAnsi="Arial" w:cs="Arial"/>
        </w:rPr>
        <w:t xml:space="preserve">Watts, D.J. (2011) 'A Simple Model of Global Cascades on Random Networks', </w:t>
      </w:r>
      <w:r w:rsidRPr="00195025">
        <w:rPr>
          <w:rFonts w:ascii="Arial" w:hAnsi="Arial" w:cs="Arial"/>
          <w:i/>
          <w:iCs/>
        </w:rPr>
        <w:t>Proceedings of the National Academy of Sciences</w:t>
      </w:r>
      <w:r w:rsidRPr="00195025">
        <w:rPr>
          <w:rFonts w:ascii="Arial" w:hAnsi="Arial" w:cs="Arial"/>
        </w:rPr>
        <w:t>, 99(9), pp. 5766–5771.</w:t>
      </w:r>
    </w:p>
    <w:p w14:paraId="7EB6834C" w14:textId="77777777" w:rsidR="00E907A9" w:rsidRPr="00195025" w:rsidRDefault="00E907A9" w:rsidP="00E907A9">
      <w:pPr>
        <w:ind w:left="720" w:hanging="720"/>
        <w:rPr>
          <w:rFonts w:ascii="Arial" w:hAnsi="Arial" w:cs="Arial"/>
        </w:rPr>
      </w:pPr>
      <w:r w:rsidRPr="00195025">
        <w:rPr>
          <w:rFonts w:ascii="Arial" w:hAnsi="Arial" w:cs="Arial"/>
        </w:rPr>
        <w:t xml:space="preserve">Whittington, R., </w:t>
      </w:r>
      <w:proofErr w:type="spellStart"/>
      <w:r w:rsidRPr="00195025">
        <w:rPr>
          <w:rFonts w:ascii="Arial" w:hAnsi="Arial" w:cs="Arial"/>
        </w:rPr>
        <w:t>Regnér</w:t>
      </w:r>
      <w:proofErr w:type="spellEnd"/>
      <w:r w:rsidRPr="00195025">
        <w:rPr>
          <w:rFonts w:ascii="Arial" w:hAnsi="Arial" w:cs="Arial"/>
        </w:rPr>
        <w:t xml:space="preserve">, P., Angwin, D., Johnson, G., and Scholes, K. (2023) </w:t>
      </w:r>
      <w:r w:rsidRPr="00195025">
        <w:rPr>
          <w:rFonts w:ascii="Arial" w:hAnsi="Arial" w:cs="Arial"/>
          <w:i/>
          <w:iCs/>
        </w:rPr>
        <w:t>Exploring Strategy: Text and Cases</w:t>
      </w:r>
      <w:r w:rsidRPr="00195025">
        <w:rPr>
          <w:rFonts w:ascii="Arial" w:hAnsi="Arial" w:cs="Arial"/>
        </w:rPr>
        <w:t xml:space="preserve">. 13th </w:t>
      </w:r>
      <w:proofErr w:type="spellStart"/>
      <w:r w:rsidRPr="00195025">
        <w:rPr>
          <w:rFonts w:ascii="Arial" w:hAnsi="Arial" w:cs="Arial"/>
        </w:rPr>
        <w:t>edn</w:t>
      </w:r>
      <w:proofErr w:type="spellEnd"/>
      <w:r w:rsidRPr="00195025">
        <w:rPr>
          <w:rFonts w:ascii="Arial" w:hAnsi="Arial" w:cs="Arial"/>
        </w:rPr>
        <w:t>. Harlow, England: Pearson.</w:t>
      </w:r>
    </w:p>
    <w:p w14:paraId="184B6C69" w14:textId="77777777" w:rsidR="00AB11EA" w:rsidRPr="00195025" w:rsidRDefault="00AB11EA">
      <w:pPr>
        <w:rPr>
          <w:rFonts w:ascii="Arial" w:hAnsi="Arial" w:cs="Arial"/>
        </w:rPr>
      </w:pPr>
    </w:p>
    <w:p w14:paraId="28E21D7D" w14:textId="77777777" w:rsidR="00D20C9B" w:rsidRPr="00195025" w:rsidRDefault="00D20C9B">
      <w:pPr>
        <w:rPr>
          <w:rFonts w:ascii="Arial" w:hAnsi="Arial" w:cs="Arial"/>
        </w:rPr>
      </w:pPr>
    </w:p>
    <w:sectPr w:rsidR="00D20C9B" w:rsidRPr="00195025" w:rsidSect="00143FAF">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240B8" w14:textId="77777777" w:rsidR="00627189" w:rsidRDefault="00627189">
      <w:pPr>
        <w:spacing w:after="0" w:line="240" w:lineRule="auto"/>
      </w:pPr>
      <w:r>
        <w:separator/>
      </w:r>
    </w:p>
  </w:endnote>
  <w:endnote w:type="continuationSeparator" w:id="0">
    <w:p w14:paraId="4DC3F821" w14:textId="77777777" w:rsidR="00627189" w:rsidRDefault="00627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Aptos"/>
    <w:charset w:val="00"/>
    <w:family w:val="swiss"/>
    <w:pitch w:val="variable"/>
    <w:sig w:usb0="20000287" w:usb1="00000003" w:usb2="00000000" w:usb3="00000000" w:csb0="0000019F" w:csb1="00000000"/>
    <w:embedRegular r:id="rId1" w:fontKey="{E4D6D475-02FA-4528-8BC7-5418FDB7A209}"/>
  </w:font>
  <w:font w:name="Times New Roman">
    <w:panose1 w:val="02020603050405020304"/>
    <w:charset w:val="00"/>
    <w:family w:val="roman"/>
    <w:pitch w:val="variable"/>
    <w:sig w:usb0="E0002EFF" w:usb1="C000785B" w:usb2="00000009" w:usb3="00000000" w:csb0="000001FF" w:csb1="00000000"/>
  </w:font>
  <w:font w:name="Aptos Display">
    <w:altName w:val="Aptos Display"/>
    <w:charset w:val="00"/>
    <w:family w:val="swiss"/>
    <w:pitch w:val="variable"/>
    <w:sig w:usb0="20000287" w:usb1="00000003" w:usb2="00000000" w:usb3="00000000" w:csb0="0000019F" w:csb1="00000000"/>
    <w:embedRegular r:id="rId2" w:fontKey="{14980452-5854-4622-93D8-AFE84AAC2DD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031604"/>
      <w:docPartObj>
        <w:docPartGallery w:val="Page Numbers (Bottom of Page)"/>
        <w:docPartUnique/>
      </w:docPartObj>
    </w:sdtPr>
    <w:sdtEndPr>
      <w:rPr>
        <w:noProof/>
      </w:rPr>
    </w:sdtEndPr>
    <w:sdtContent>
      <w:p w14:paraId="49C24704" w14:textId="77777777" w:rsidR="00020E55"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2B39F2" w14:textId="77777777" w:rsidR="00020E55" w:rsidRDefault="00020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50CED" w14:textId="77777777" w:rsidR="00627189" w:rsidRDefault="00627189">
      <w:pPr>
        <w:spacing w:after="0" w:line="240" w:lineRule="auto"/>
      </w:pPr>
      <w:r>
        <w:separator/>
      </w:r>
    </w:p>
  </w:footnote>
  <w:footnote w:type="continuationSeparator" w:id="0">
    <w:p w14:paraId="32BCE719" w14:textId="77777777" w:rsidR="00627189" w:rsidRDefault="006271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C249A3"/>
    <w:multiLevelType w:val="multilevel"/>
    <w:tmpl w:val="879E2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7594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54D"/>
    <w:rsid w:val="00017CA2"/>
    <w:rsid w:val="00020E55"/>
    <w:rsid w:val="000216A9"/>
    <w:rsid w:val="00034560"/>
    <w:rsid w:val="00082C40"/>
    <w:rsid w:val="000854FA"/>
    <w:rsid w:val="00086AE1"/>
    <w:rsid w:val="000A34F4"/>
    <w:rsid w:val="000C069D"/>
    <w:rsid w:val="000D6363"/>
    <w:rsid w:val="00135751"/>
    <w:rsid w:val="00142823"/>
    <w:rsid w:val="00143FAF"/>
    <w:rsid w:val="00145A17"/>
    <w:rsid w:val="00147A69"/>
    <w:rsid w:val="00173889"/>
    <w:rsid w:val="001749BB"/>
    <w:rsid w:val="001851A0"/>
    <w:rsid w:val="00187AF2"/>
    <w:rsid w:val="00195025"/>
    <w:rsid w:val="001A7A54"/>
    <w:rsid w:val="001B637D"/>
    <w:rsid w:val="001C4B7C"/>
    <w:rsid w:val="001F58F5"/>
    <w:rsid w:val="00201523"/>
    <w:rsid w:val="00206BFC"/>
    <w:rsid w:val="00233E63"/>
    <w:rsid w:val="00235930"/>
    <w:rsid w:val="002369E1"/>
    <w:rsid w:val="00255A0F"/>
    <w:rsid w:val="00257C52"/>
    <w:rsid w:val="0026098C"/>
    <w:rsid w:val="00271AF2"/>
    <w:rsid w:val="002A1A6B"/>
    <w:rsid w:val="002A21CB"/>
    <w:rsid w:val="002C535E"/>
    <w:rsid w:val="002E0FC9"/>
    <w:rsid w:val="00315722"/>
    <w:rsid w:val="00332570"/>
    <w:rsid w:val="00340E63"/>
    <w:rsid w:val="00366907"/>
    <w:rsid w:val="00366CB5"/>
    <w:rsid w:val="00395CE3"/>
    <w:rsid w:val="003A24E0"/>
    <w:rsid w:val="003A6BA3"/>
    <w:rsid w:val="003E04D9"/>
    <w:rsid w:val="003E6833"/>
    <w:rsid w:val="003F149E"/>
    <w:rsid w:val="00415E57"/>
    <w:rsid w:val="0042574B"/>
    <w:rsid w:val="00443191"/>
    <w:rsid w:val="0045057B"/>
    <w:rsid w:val="00462239"/>
    <w:rsid w:val="004A49AB"/>
    <w:rsid w:val="004B455A"/>
    <w:rsid w:val="004C042F"/>
    <w:rsid w:val="004D2EC3"/>
    <w:rsid w:val="004D5401"/>
    <w:rsid w:val="004E139C"/>
    <w:rsid w:val="004F70E8"/>
    <w:rsid w:val="0051473C"/>
    <w:rsid w:val="005A18C2"/>
    <w:rsid w:val="005B06F1"/>
    <w:rsid w:val="005B15D2"/>
    <w:rsid w:val="00601E16"/>
    <w:rsid w:val="00615BAA"/>
    <w:rsid w:val="00627189"/>
    <w:rsid w:val="00632D30"/>
    <w:rsid w:val="006536F7"/>
    <w:rsid w:val="00653BD1"/>
    <w:rsid w:val="006564F4"/>
    <w:rsid w:val="00660ECA"/>
    <w:rsid w:val="00671451"/>
    <w:rsid w:val="00681071"/>
    <w:rsid w:val="006A3B15"/>
    <w:rsid w:val="006B10CC"/>
    <w:rsid w:val="006F3667"/>
    <w:rsid w:val="006F4275"/>
    <w:rsid w:val="007037A9"/>
    <w:rsid w:val="007145D7"/>
    <w:rsid w:val="00725B2D"/>
    <w:rsid w:val="007468DD"/>
    <w:rsid w:val="00746B7C"/>
    <w:rsid w:val="007505AE"/>
    <w:rsid w:val="00753199"/>
    <w:rsid w:val="00776A7F"/>
    <w:rsid w:val="00796A19"/>
    <w:rsid w:val="007D50B1"/>
    <w:rsid w:val="007F1A72"/>
    <w:rsid w:val="00811676"/>
    <w:rsid w:val="008826AD"/>
    <w:rsid w:val="008942D9"/>
    <w:rsid w:val="008A054D"/>
    <w:rsid w:val="008B6E0C"/>
    <w:rsid w:val="008D4181"/>
    <w:rsid w:val="008E6682"/>
    <w:rsid w:val="00921B25"/>
    <w:rsid w:val="0094088E"/>
    <w:rsid w:val="00941C76"/>
    <w:rsid w:val="0096506D"/>
    <w:rsid w:val="009669CC"/>
    <w:rsid w:val="009707DC"/>
    <w:rsid w:val="0097585A"/>
    <w:rsid w:val="009B3DD9"/>
    <w:rsid w:val="009C5CBF"/>
    <w:rsid w:val="009D2DE0"/>
    <w:rsid w:val="00A133DD"/>
    <w:rsid w:val="00A22966"/>
    <w:rsid w:val="00A22C25"/>
    <w:rsid w:val="00A520EF"/>
    <w:rsid w:val="00A6708B"/>
    <w:rsid w:val="00A71A8B"/>
    <w:rsid w:val="00A8062F"/>
    <w:rsid w:val="00A82488"/>
    <w:rsid w:val="00A86B04"/>
    <w:rsid w:val="00AB11EA"/>
    <w:rsid w:val="00AD24A6"/>
    <w:rsid w:val="00AE1DA0"/>
    <w:rsid w:val="00B24681"/>
    <w:rsid w:val="00B37FAD"/>
    <w:rsid w:val="00B4171D"/>
    <w:rsid w:val="00B4338B"/>
    <w:rsid w:val="00B72B2C"/>
    <w:rsid w:val="00BB21CA"/>
    <w:rsid w:val="00BB7159"/>
    <w:rsid w:val="00BD2D51"/>
    <w:rsid w:val="00BD6476"/>
    <w:rsid w:val="00C152E6"/>
    <w:rsid w:val="00C204ED"/>
    <w:rsid w:val="00C56F96"/>
    <w:rsid w:val="00C72528"/>
    <w:rsid w:val="00C7635A"/>
    <w:rsid w:val="00C85ED5"/>
    <w:rsid w:val="00C875CB"/>
    <w:rsid w:val="00C958F2"/>
    <w:rsid w:val="00CB6C74"/>
    <w:rsid w:val="00CD2DD5"/>
    <w:rsid w:val="00CD4280"/>
    <w:rsid w:val="00CF1D9B"/>
    <w:rsid w:val="00CF4089"/>
    <w:rsid w:val="00D01018"/>
    <w:rsid w:val="00D1180A"/>
    <w:rsid w:val="00D12338"/>
    <w:rsid w:val="00D20AC8"/>
    <w:rsid w:val="00D20C9B"/>
    <w:rsid w:val="00D23579"/>
    <w:rsid w:val="00D23C23"/>
    <w:rsid w:val="00D71E2C"/>
    <w:rsid w:val="00D723D8"/>
    <w:rsid w:val="00D83AB2"/>
    <w:rsid w:val="00D87E6A"/>
    <w:rsid w:val="00DB7570"/>
    <w:rsid w:val="00DD42C7"/>
    <w:rsid w:val="00E14875"/>
    <w:rsid w:val="00E778CD"/>
    <w:rsid w:val="00E80776"/>
    <w:rsid w:val="00E907A9"/>
    <w:rsid w:val="00ED15C1"/>
    <w:rsid w:val="00EE114A"/>
    <w:rsid w:val="00F16A24"/>
    <w:rsid w:val="00F27DA4"/>
    <w:rsid w:val="00F316BE"/>
    <w:rsid w:val="00F421EA"/>
    <w:rsid w:val="00F50F12"/>
    <w:rsid w:val="00FA30A0"/>
    <w:rsid w:val="00FB1884"/>
    <w:rsid w:val="00FC4A7B"/>
    <w:rsid w:val="00FD7EC1"/>
    <w:rsid w:val="00FF3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D6436A"/>
  <w15:chartTrackingRefBased/>
  <w15:docId w15:val="{FD816AE2-BA82-47C6-BC24-1E04DA8C4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FAF"/>
    <w:pPr>
      <w:spacing w:line="360" w:lineRule="auto"/>
      <w:jc w:val="both"/>
    </w:pPr>
    <w:rPr>
      <w:rFonts w:ascii="Times New Roman" w:eastAsia="Times New Roman" w:hAnsi="Times New Roman" w:cs="Times New Roman"/>
      <w:kern w:val="0"/>
      <w:lang w:val="en-GB" w:eastAsia="en-GB"/>
      <w14:ligatures w14:val="none"/>
    </w:rPr>
  </w:style>
  <w:style w:type="paragraph" w:styleId="Heading1">
    <w:name w:val="heading 1"/>
    <w:basedOn w:val="Normal"/>
    <w:next w:val="Normal"/>
    <w:link w:val="Heading1Char"/>
    <w:uiPriority w:val="9"/>
    <w:qFormat/>
    <w:rsid w:val="008A0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0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0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0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0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0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0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05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05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05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0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54D"/>
    <w:rPr>
      <w:rFonts w:eastAsiaTheme="majorEastAsia" w:cstheme="majorBidi"/>
      <w:color w:val="272727" w:themeColor="text1" w:themeTint="D8"/>
    </w:rPr>
  </w:style>
  <w:style w:type="paragraph" w:styleId="Title">
    <w:name w:val="Title"/>
    <w:basedOn w:val="Normal"/>
    <w:next w:val="Normal"/>
    <w:link w:val="TitleChar"/>
    <w:uiPriority w:val="10"/>
    <w:qFormat/>
    <w:rsid w:val="0045057B"/>
    <w:pPr>
      <w:spacing w:after="80" w:line="240" w:lineRule="auto"/>
      <w:contextualSpacing/>
      <w:jc w:val="center"/>
    </w:pPr>
    <w:rPr>
      <w:rFonts w:asciiTheme="majorHAnsi" w:eastAsiaTheme="majorEastAsia" w:hAnsiTheme="majorHAnsi" w:cstheme="majorBidi"/>
      <w:spacing w:val="-10"/>
      <w:kern w:val="28"/>
      <w:sz w:val="40"/>
      <w:szCs w:val="40"/>
    </w:rPr>
  </w:style>
  <w:style w:type="character" w:customStyle="1" w:styleId="TitleChar">
    <w:name w:val="Title Char"/>
    <w:basedOn w:val="DefaultParagraphFont"/>
    <w:link w:val="Title"/>
    <w:uiPriority w:val="10"/>
    <w:rsid w:val="0045057B"/>
    <w:rPr>
      <w:rFonts w:asciiTheme="majorHAnsi" w:eastAsiaTheme="majorEastAsia" w:hAnsiTheme="majorHAnsi" w:cstheme="majorBidi"/>
      <w:spacing w:val="-10"/>
      <w:kern w:val="28"/>
      <w:sz w:val="40"/>
      <w:szCs w:val="40"/>
      <w:lang w:val="en-GB" w:eastAsia="en-GB"/>
      <w14:ligatures w14:val="none"/>
    </w:rPr>
  </w:style>
  <w:style w:type="paragraph" w:styleId="Subtitle">
    <w:name w:val="Subtitle"/>
    <w:basedOn w:val="Normal"/>
    <w:next w:val="Normal"/>
    <w:link w:val="SubtitleChar"/>
    <w:uiPriority w:val="11"/>
    <w:qFormat/>
    <w:rsid w:val="008A0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54D"/>
    <w:pPr>
      <w:spacing w:before="160"/>
      <w:jc w:val="center"/>
    </w:pPr>
    <w:rPr>
      <w:i/>
      <w:iCs/>
      <w:color w:val="404040" w:themeColor="text1" w:themeTint="BF"/>
    </w:rPr>
  </w:style>
  <w:style w:type="character" w:customStyle="1" w:styleId="QuoteChar">
    <w:name w:val="Quote Char"/>
    <w:basedOn w:val="DefaultParagraphFont"/>
    <w:link w:val="Quote"/>
    <w:uiPriority w:val="29"/>
    <w:rsid w:val="008A054D"/>
    <w:rPr>
      <w:i/>
      <w:iCs/>
      <w:color w:val="404040" w:themeColor="text1" w:themeTint="BF"/>
    </w:rPr>
  </w:style>
  <w:style w:type="paragraph" w:styleId="ListParagraph">
    <w:name w:val="List Paragraph"/>
    <w:basedOn w:val="Normal"/>
    <w:uiPriority w:val="34"/>
    <w:qFormat/>
    <w:rsid w:val="008A054D"/>
    <w:pPr>
      <w:ind w:left="720"/>
      <w:contextualSpacing/>
    </w:pPr>
  </w:style>
  <w:style w:type="character" w:styleId="IntenseEmphasis">
    <w:name w:val="Intense Emphasis"/>
    <w:basedOn w:val="DefaultParagraphFont"/>
    <w:uiPriority w:val="21"/>
    <w:qFormat/>
    <w:rsid w:val="008A054D"/>
    <w:rPr>
      <w:i/>
      <w:iCs/>
      <w:color w:val="0F4761" w:themeColor="accent1" w:themeShade="BF"/>
    </w:rPr>
  </w:style>
  <w:style w:type="paragraph" w:styleId="IntenseQuote">
    <w:name w:val="Intense Quote"/>
    <w:basedOn w:val="Normal"/>
    <w:next w:val="Normal"/>
    <w:link w:val="IntenseQuoteChar"/>
    <w:uiPriority w:val="30"/>
    <w:qFormat/>
    <w:rsid w:val="008A0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54D"/>
    <w:rPr>
      <w:i/>
      <w:iCs/>
      <w:color w:val="0F4761" w:themeColor="accent1" w:themeShade="BF"/>
    </w:rPr>
  </w:style>
  <w:style w:type="character" w:styleId="IntenseReference">
    <w:name w:val="Intense Reference"/>
    <w:basedOn w:val="DefaultParagraphFont"/>
    <w:uiPriority w:val="32"/>
    <w:qFormat/>
    <w:rsid w:val="008A054D"/>
    <w:rPr>
      <w:b/>
      <w:bCs/>
      <w:smallCaps/>
      <w:color w:val="0F4761" w:themeColor="accent1" w:themeShade="BF"/>
      <w:spacing w:val="5"/>
    </w:rPr>
  </w:style>
  <w:style w:type="paragraph" w:styleId="TOC1">
    <w:name w:val="toc 1"/>
    <w:basedOn w:val="Normal"/>
    <w:next w:val="Normal"/>
    <w:autoRedefine/>
    <w:uiPriority w:val="39"/>
    <w:unhideWhenUsed/>
    <w:rsid w:val="00143FAF"/>
    <w:pPr>
      <w:tabs>
        <w:tab w:val="right" w:pos="9350"/>
      </w:tabs>
      <w:spacing w:after="100"/>
    </w:pPr>
  </w:style>
  <w:style w:type="character" w:styleId="Hyperlink">
    <w:name w:val="Hyperlink"/>
    <w:basedOn w:val="DefaultParagraphFont"/>
    <w:uiPriority w:val="99"/>
    <w:unhideWhenUsed/>
    <w:rsid w:val="00143FAF"/>
    <w:rPr>
      <w:color w:val="467886" w:themeColor="hyperlink"/>
      <w:u w:val="single"/>
    </w:rPr>
  </w:style>
  <w:style w:type="paragraph" w:styleId="Footer">
    <w:name w:val="footer"/>
    <w:basedOn w:val="Normal"/>
    <w:link w:val="FooterChar"/>
    <w:uiPriority w:val="99"/>
    <w:unhideWhenUsed/>
    <w:rsid w:val="00143F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3FAF"/>
    <w:rPr>
      <w:rFonts w:ascii="Times New Roman" w:eastAsia="Times New Roman" w:hAnsi="Times New Roman" w:cs="Times New Roman"/>
      <w:kern w:val="0"/>
      <w:lang w:val="en-GB" w:eastAsia="en-GB"/>
      <w14:ligatures w14:val="none"/>
    </w:rPr>
  </w:style>
  <w:style w:type="character" w:styleId="UnresolvedMention">
    <w:name w:val="Unresolved Mention"/>
    <w:basedOn w:val="DefaultParagraphFont"/>
    <w:uiPriority w:val="99"/>
    <w:semiHidden/>
    <w:unhideWhenUsed/>
    <w:rsid w:val="00FB1884"/>
    <w:rPr>
      <w:color w:val="605E5C"/>
      <w:shd w:val="clear" w:color="auto" w:fill="E1DFDD"/>
    </w:rPr>
  </w:style>
  <w:style w:type="character" w:styleId="CommentReference">
    <w:name w:val="annotation reference"/>
    <w:basedOn w:val="DefaultParagraphFont"/>
    <w:uiPriority w:val="99"/>
    <w:semiHidden/>
    <w:unhideWhenUsed/>
    <w:rsid w:val="00BB7159"/>
    <w:rPr>
      <w:sz w:val="16"/>
      <w:szCs w:val="16"/>
    </w:rPr>
  </w:style>
  <w:style w:type="paragraph" w:styleId="CommentText">
    <w:name w:val="annotation text"/>
    <w:basedOn w:val="Normal"/>
    <w:link w:val="CommentTextChar"/>
    <w:uiPriority w:val="99"/>
    <w:semiHidden/>
    <w:unhideWhenUsed/>
    <w:rsid w:val="00BB7159"/>
    <w:pPr>
      <w:spacing w:line="240" w:lineRule="auto"/>
    </w:pPr>
    <w:rPr>
      <w:sz w:val="20"/>
      <w:szCs w:val="20"/>
    </w:rPr>
  </w:style>
  <w:style w:type="character" w:customStyle="1" w:styleId="CommentTextChar">
    <w:name w:val="Comment Text Char"/>
    <w:basedOn w:val="DefaultParagraphFont"/>
    <w:link w:val="CommentText"/>
    <w:uiPriority w:val="99"/>
    <w:semiHidden/>
    <w:rsid w:val="00BB7159"/>
    <w:rPr>
      <w:rFonts w:ascii="Times New Roman" w:eastAsia="Times New Roman" w:hAnsi="Times New Roman" w:cs="Times New Roman"/>
      <w:kern w:val="0"/>
      <w:sz w:val="20"/>
      <w:szCs w:val="20"/>
      <w:lang w:val="en-GB" w:eastAsia="en-GB"/>
      <w14:ligatures w14:val="none"/>
    </w:rPr>
  </w:style>
  <w:style w:type="paragraph" w:styleId="CommentSubject">
    <w:name w:val="annotation subject"/>
    <w:basedOn w:val="CommentText"/>
    <w:next w:val="CommentText"/>
    <w:link w:val="CommentSubjectChar"/>
    <w:uiPriority w:val="99"/>
    <w:semiHidden/>
    <w:unhideWhenUsed/>
    <w:rsid w:val="00BB7159"/>
    <w:rPr>
      <w:b/>
      <w:bCs/>
    </w:rPr>
  </w:style>
  <w:style w:type="character" w:customStyle="1" w:styleId="CommentSubjectChar">
    <w:name w:val="Comment Subject Char"/>
    <w:basedOn w:val="CommentTextChar"/>
    <w:link w:val="CommentSubject"/>
    <w:uiPriority w:val="99"/>
    <w:semiHidden/>
    <w:rsid w:val="00BB7159"/>
    <w:rPr>
      <w:rFonts w:ascii="Times New Roman" w:eastAsia="Times New Roman" w:hAnsi="Times New Roman" w:cs="Times New Roman"/>
      <w:b/>
      <w:bCs/>
      <w:kern w:val="0"/>
      <w:sz w:val="20"/>
      <w:szCs w:val="20"/>
      <w:lang w:val="en-GB" w:eastAsia="en-GB"/>
      <w14:ligatures w14:val="none"/>
    </w:rPr>
  </w:style>
  <w:style w:type="paragraph" w:styleId="NormalWeb">
    <w:name w:val="Normal (Web)"/>
    <w:basedOn w:val="Normal"/>
    <w:uiPriority w:val="99"/>
    <w:semiHidden/>
    <w:unhideWhenUsed/>
    <w:rsid w:val="00A67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513932">
      <w:bodyDiv w:val="1"/>
      <w:marLeft w:val="0"/>
      <w:marRight w:val="0"/>
      <w:marTop w:val="0"/>
      <w:marBottom w:val="0"/>
      <w:divBdr>
        <w:top w:val="none" w:sz="0" w:space="0" w:color="auto"/>
        <w:left w:val="none" w:sz="0" w:space="0" w:color="auto"/>
        <w:bottom w:val="none" w:sz="0" w:space="0" w:color="auto"/>
        <w:right w:val="none" w:sz="0" w:space="0" w:color="auto"/>
      </w:divBdr>
    </w:div>
    <w:div w:id="300696454">
      <w:bodyDiv w:val="1"/>
      <w:marLeft w:val="0"/>
      <w:marRight w:val="0"/>
      <w:marTop w:val="0"/>
      <w:marBottom w:val="0"/>
      <w:divBdr>
        <w:top w:val="none" w:sz="0" w:space="0" w:color="auto"/>
        <w:left w:val="none" w:sz="0" w:space="0" w:color="auto"/>
        <w:bottom w:val="none" w:sz="0" w:space="0" w:color="auto"/>
        <w:right w:val="none" w:sz="0" w:space="0" w:color="auto"/>
      </w:divBdr>
    </w:div>
    <w:div w:id="331301765">
      <w:bodyDiv w:val="1"/>
      <w:marLeft w:val="0"/>
      <w:marRight w:val="0"/>
      <w:marTop w:val="0"/>
      <w:marBottom w:val="0"/>
      <w:divBdr>
        <w:top w:val="none" w:sz="0" w:space="0" w:color="auto"/>
        <w:left w:val="none" w:sz="0" w:space="0" w:color="auto"/>
        <w:bottom w:val="none" w:sz="0" w:space="0" w:color="auto"/>
        <w:right w:val="none" w:sz="0" w:space="0" w:color="auto"/>
      </w:divBdr>
    </w:div>
    <w:div w:id="455762520">
      <w:bodyDiv w:val="1"/>
      <w:marLeft w:val="0"/>
      <w:marRight w:val="0"/>
      <w:marTop w:val="0"/>
      <w:marBottom w:val="0"/>
      <w:divBdr>
        <w:top w:val="none" w:sz="0" w:space="0" w:color="auto"/>
        <w:left w:val="none" w:sz="0" w:space="0" w:color="auto"/>
        <w:bottom w:val="none" w:sz="0" w:space="0" w:color="auto"/>
        <w:right w:val="none" w:sz="0" w:space="0" w:color="auto"/>
      </w:divBdr>
    </w:div>
    <w:div w:id="496723811">
      <w:bodyDiv w:val="1"/>
      <w:marLeft w:val="0"/>
      <w:marRight w:val="0"/>
      <w:marTop w:val="0"/>
      <w:marBottom w:val="0"/>
      <w:divBdr>
        <w:top w:val="none" w:sz="0" w:space="0" w:color="auto"/>
        <w:left w:val="none" w:sz="0" w:space="0" w:color="auto"/>
        <w:bottom w:val="none" w:sz="0" w:space="0" w:color="auto"/>
        <w:right w:val="none" w:sz="0" w:space="0" w:color="auto"/>
      </w:divBdr>
    </w:div>
    <w:div w:id="533810611">
      <w:bodyDiv w:val="1"/>
      <w:marLeft w:val="0"/>
      <w:marRight w:val="0"/>
      <w:marTop w:val="0"/>
      <w:marBottom w:val="0"/>
      <w:divBdr>
        <w:top w:val="none" w:sz="0" w:space="0" w:color="auto"/>
        <w:left w:val="none" w:sz="0" w:space="0" w:color="auto"/>
        <w:bottom w:val="none" w:sz="0" w:space="0" w:color="auto"/>
        <w:right w:val="none" w:sz="0" w:space="0" w:color="auto"/>
      </w:divBdr>
    </w:div>
    <w:div w:id="684286981">
      <w:bodyDiv w:val="1"/>
      <w:marLeft w:val="0"/>
      <w:marRight w:val="0"/>
      <w:marTop w:val="0"/>
      <w:marBottom w:val="0"/>
      <w:divBdr>
        <w:top w:val="none" w:sz="0" w:space="0" w:color="auto"/>
        <w:left w:val="none" w:sz="0" w:space="0" w:color="auto"/>
        <w:bottom w:val="none" w:sz="0" w:space="0" w:color="auto"/>
        <w:right w:val="none" w:sz="0" w:space="0" w:color="auto"/>
      </w:divBdr>
    </w:div>
    <w:div w:id="729810037">
      <w:bodyDiv w:val="1"/>
      <w:marLeft w:val="0"/>
      <w:marRight w:val="0"/>
      <w:marTop w:val="0"/>
      <w:marBottom w:val="0"/>
      <w:divBdr>
        <w:top w:val="none" w:sz="0" w:space="0" w:color="auto"/>
        <w:left w:val="none" w:sz="0" w:space="0" w:color="auto"/>
        <w:bottom w:val="none" w:sz="0" w:space="0" w:color="auto"/>
        <w:right w:val="none" w:sz="0" w:space="0" w:color="auto"/>
      </w:divBdr>
    </w:div>
    <w:div w:id="757482762">
      <w:bodyDiv w:val="1"/>
      <w:marLeft w:val="0"/>
      <w:marRight w:val="0"/>
      <w:marTop w:val="0"/>
      <w:marBottom w:val="0"/>
      <w:divBdr>
        <w:top w:val="none" w:sz="0" w:space="0" w:color="auto"/>
        <w:left w:val="none" w:sz="0" w:space="0" w:color="auto"/>
        <w:bottom w:val="none" w:sz="0" w:space="0" w:color="auto"/>
        <w:right w:val="none" w:sz="0" w:space="0" w:color="auto"/>
      </w:divBdr>
    </w:div>
    <w:div w:id="833838276">
      <w:bodyDiv w:val="1"/>
      <w:marLeft w:val="0"/>
      <w:marRight w:val="0"/>
      <w:marTop w:val="0"/>
      <w:marBottom w:val="0"/>
      <w:divBdr>
        <w:top w:val="none" w:sz="0" w:space="0" w:color="auto"/>
        <w:left w:val="none" w:sz="0" w:space="0" w:color="auto"/>
        <w:bottom w:val="none" w:sz="0" w:space="0" w:color="auto"/>
        <w:right w:val="none" w:sz="0" w:space="0" w:color="auto"/>
      </w:divBdr>
    </w:div>
    <w:div w:id="956721609">
      <w:bodyDiv w:val="1"/>
      <w:marLeft w:val="0"/>
      <w:marRight w:val="0"/>
      <w:marTop w:val="0"/>
      <w:marBottom w:val="0"/>
      <w:divBdr>
        <w:top w:val="none" w:sz="0" w:space="0" w:color="auto"/>
        <w:left w:val="none" w:sz="0" w:space="0" w:color="auto"/>
        <w:bottom w:val="none" w:sz="0" w:space="0" w:color="auto"/>
        <w:right w:val="none" w:sz="0" w:space="0" w:color="auto"/>
      </w:divBdr>
    </w:div>
    <w:div w:id="993139798">
      <w:bodyDiv w:val="1"/>
      <w:marLeft w:val="0"/>
      <w:marRight w:val="0"/>
      <w:marTop w:val="0"/>
      <w:marBottom w:val="0"/>
      <w:divBdr>
        <w:top w:val="none" w:sz="0" w:space="0" w:color="auto"/>
        <w:left w:val="none" w:sz="0" w:space="0" w:color="auto"/>
        <w:bottom w:val="none" w:sz="0" w:space="0" w:color="auto"/>
        <w:right w:val="none" w:sz="0" w:space="0" w:color="auto"/>
      </w:divBdr>
    </w:div>
    <w:div w:id="1104035360">
      <w:bodyDiv w:val="1"/>
      <w:marLeft w:val="0"/>
      <w:marRight w:val="0"/>
      <w:marTop w:val="0"/>
      <w:marBottom w:val="0"/>
      <w:divBdr>
        <w:top w:val="none" w:sz="0" w:space="0" w:color="auto"/>
        <w:left w:val="none" w:sz="0" w:space="0" w:color="auto"/>
        <w:bottom w:val="none" w:sz="0" w:space="0" w:color="auto"/>
        <w:right w:val="none" w:sz="0" w:space="0" w:color="auto"/>
      </w:divBdr>
    </w:div>
    <w:div w:id="1181506670">
      <w:bodyDiv w:val="1"/>
      <w:marLeft w:val="0"/>
      <w:marRight w:val="0"/>
      <w:marTop w:val="0"/>
      <w:marBottom w:val="0"/>
      <w:divBdr>
        <w:top w:val="none" w:sz="0" w:space="0" w:color="auto"/>
        <w:left w:val="none" w:sz="0" w:space="0" w:color="auto"/>
        <w:bottom w:val="none" w:sz="0" w:space="0" w:color="auto"/>
        <w:right w:val="none" w:sz="0" w:space="0" w:color="auto"/>
      </w:divBdr>
    </w:div>
    <w:div w:id="1506944173">
      <w:bodyDiv w:val="1"/>
      <w:marLeft w:val="0"/>
      <w:marRight w:val="0"/>
      <w:marTop w:val="0"/>
      <w:marBottom w:val="0"/>
      <w:divBdr>
        <w:top w:val="none" w:sz="0" w:space="0" w:color="auto"/>
        <w:left w:val="none" w:sz="0" w:space="0" w:color="auto"/>
        <w:bottom w:val="none" w:sz="0" w:space="0" w:color="auto"/>
        <w:right w:val="none" w:sz="0" w:space="0" w:color="auto"/>
      </w:divBdr>
    </w:div>
    <w:div w:id="1525947532">
      <w:bodyDiv w:val="1"/>
      <w:marLeft w:val="0"/>
      <w:marRight w:val="0"/>
      <w:marTop w:val="0"/>
      <w:marBottom w:val="0"/>
      <w:divBdr>
        <w:top w:val="none" w:sz="0" w:space="0" w:color="auto"/>
        <w:left w:val="none" w:sz="0" w:space="0" w:color="auto"/>
        <w:bottom w:val="none" w:sz="0" w:space="0" w:color="auto"/>
        <w:right w:val="none" w:sz="0" w:space="0" w:color="auto"/>
      </w:divBdr>
    </w:div>
    <w:div w:id="1573084408">
      <w:bodyDiv w:val="1"/>
      <w:marLeft w:val="0"/>
      <w:marRight w:val="0"/>
      <w:marTop w:val="0"/>
      <w:marBottom w:val="0"/>
      <w:divBdr>
        <w:top w:val="none" w:sz="0" w:space="0" w:color="auto"/>
        <w:left w:val="none" w:sz="0" w:space="0" w:color="auto"/>
        <w:bottom w:val="none" w:sz="0" w:space="0" w:color="auto"/>
        <w:right w:val="none" w:sz="0" w:space="0" w:color="auto"/>
      </w:divBdr>
      <w:divsChild>
        <w:div w:id="507402739">
          <w:marLeft w:val="0"/>
          <w:marRight w:val="0"/>
          <w:marTop w:val="0"/>
          <w:marBottom w:val="0"/>
          <w:divBdr>
            <w:top w:val="none" w:sz="0" w:space="0" w:color="auto"/>
            <w:left w:val="none" w:sz="0" w:space="0" w:color="auto"/>
            <w:bottom w:val="none" w:sz="0" w:space="0" w:color="auto"/>
            <w:right w:val="none" w:sz="0" w:space="0" w:color="auto"/>
          </w:divBdr>
          <w:divsChild>
            <w:div w:id="1200508023">
              <w:marLeft w:val="0"/>
              <w:marRight w:val="0"/>
              <w:marTop w:val="0"/>
              <w:marBottom w:val="0"/>
              <w:divBdr>
                <w:top w:val="none" w:sz="0" w:space="0" w:color="auto"/>
                <w:left w:val="none" w:sz="0" w:space="0" w:color="auto"/>
                <w:bottom w:val="none" w:sz="0" w:space="0" w:color="auto"/>
                <w:right w:val="none" w:sz="0" w:space="0" w:color="auto"/>
              </w:divBdr>
              <w:divsChild>
                <w:div w:id="364448040">
                  <w:marLeft w:val="0"/>
                  <w:marRight w:val="0"/>
                  <w:marTop w:val="0"/>
                  <w:marBottom w:val="0"/>
                  <w:divBdr>
                    <w:top w:val="none" w:sz="0" w:space="0" w:color="auto"/>
                    <w:left w:val="none" w:sz="0" w:space="0" w:color="auto"/>
                    <w:bottom w:val="none" w:sz="0" w:space="0" w:color="auto"/>
                    <w:right w:val="none" w:sz="0" w:space="0" w:color="auto"/>
                  </w:divBdr>
                  <w:divsChild>
                    <w:div w:id="145405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356622">
      <w:bodyDiv w:val="1"/>
      <w:marLeft w:val="0"/>
      <w:marRight w:val="0"/>
      <w:marTop w:val="0"/>
      <w:marBottom w:val="0"/>
      <w:divBdr>
        <w:top w:val="none" w:sz="0" w:space="0" w:color="auto"/>
        <w:left w:val="none" w:sz="0" w:space="0" w:color="auto"/>
        <w:bottom w:val="none" w:sz="0" w:space="0" w:color="auto"/>
        <w:right w:val="none" w:sz="0" w:space="0" w:color="auto"/>
      </w:divBdr>
    </w:div>
    <w:div w:id="1821729934">
      <w:bodyDiv w:val="1"/>
      <w:marLeft w:val="0"/>
      <w:marRight w:val="0"/>
      <w:marTop w:val="0"/>
      <w:marBottom w:val="0"/>
      <w:divBdr>
        <w:top w:val="none" w:sz="0" w:space="0" w:color="auto"/>
        <w:left w:val="none" w:sz="0" w:space="0" w:color="auto"/>
        <w:bottom w:val="none" w:sz="0" w:space="0" w:color="auto"/>
        <w:right w:val="none" w:sz="0" w:space="0" w:color="auto"/>
      </w:divBdr>
    </w:div>
    <w:div w:id="1948654888">
      <w:bodyDiv w:val="1"/>
      <w:marLeft w:val="0"/>
      <w:marRight w:val="0"/>
      <w:marTop w:val="0"/>
      <w:marBottom w:val="0"/>
      <w:divBdr>
        <w:top w:val="none" w:sz="0" w:space="0" w:color="auto"/>
        <w:left w:val="none" w:sz="0" w:space="0" w:color="auto"/>
        <w:bottom w:val="none" w:sz="0" w:space="0" w:color="auto"/>
        <w:right w:val="none" w:sz="0" w:space="0" w:color="auto"/>
      </w:divBdr>
    </w:div>
    <w:div w:id="1958952349">
      <w:bodyDiv w:val="1"/>
      <w:marLeft w:val="0"/>
      <w:marRight w:val="0"/>
      <w:marTop w:val="0"/>
      <w:marBottom w:val="0"/>
      <w:divBdr>
        <w:top w:val="none" w:sz="0" w:space="0" w:color="auto"/>
        <w:left w:val="none" w:sz="0" w:space="0" w:color="auto"/>
        <w:bottom w:val="none" w:sz="0" w:space="0" w:color="auto"/>
        <w:right w:val="none" w:sz="0" w:space="0" w:color="auto"/>
      </w:divBdr>
    </w:div>
    <w:div w:id="2016882000">
      <w:bodyDiv w:val="1"/>
      <w:marLeft w:val="0"/>
      <w:marRight w:val="0"/>
      <w:marTop w:val="0"/>
      <w:marBottom w:val="0"/>
      <w:divBdr>
        <w:top w:val="none" w:sz="0" w:space="0" w:color="auto"/>
        <w:left w:val="none" w:sz="0" w:space="0" w:color="auto"/>
        <w:bottom w:val="none" w:sz="0" w:space="0" w:color="auto"/>
        <w:right w:val="none" w:sz="0" w:space="0" w:color="auto"/>
      </w:divBdr>
    </w:div>
    <w:div w:id="210248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anagers.org.uk"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TotalTime>
  <Pages>12</Pages>
  <Words>3014</Words>
  <Characters>18545</Characters>
  <Application>Microsoft Office Word</Application>
  <DocSecurity>0</DocSecurity>
  <Lines>290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 EliteBook</cp:lastModifiedBy>
  <cp:revision>32</cp:revision>
  <dcterms:created xsi:type="dcterms:W3CDTF">2025-01-03T08:45:00Z</dcterms:created>
  <dcterms:modified xsi:type="dcterms:W3CDTF">2025-03-20T14:34:00Z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351ac6dad6f1914544e001e5c60301361ec1ac0d86c60bfac72c107987098774</vt:lpwstr>
  </property>
</Properties>
</file>