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jc w:val="start"/>
        <w:rPr>
          <w:rFonts w:ascii="Times New Roman" w:hAnsi="Times New Roman"/>
          <w:sz w:val="24"/>
          <w:szCs w:val="24"/>
        </w:rPr>
      </w:pPr>
      <w:r>
        <w:rPr>
          <w:rFonts w:ascii="Times New Roman" w:hAnsi="Times New Roman"/>
          <w:sz w:val="24"/>
          <w:szCs w:val="24"/>
        </w:rPr>
      </w:r>
    </w:p>
    <w:p>
      <w:pPr>
        <w:pStyle w:val="Heading3"/>
        <w:bidi w:val="0"/>
        <w:jc w:val="start"/>
        <w:rPr/>
      </w:pPr>
      <w:r>
        <w:rPr>
          <w:rStyle w:val="Strong"/>
          <w:rFonts w:ascii="Times New Roman" w:hAnsi="Times New Roman"/>
          <w:b/>
          <w:bCs/>
          <w:sz w:val="24"/>
          <w:szCs w:val="24"/>
        </w:rPr>
        <w:t>Chapter 5: Conclusion</w:t>
      </w:r>
    </w:p>
    <w:p>
      <w:pPr>
        <w:pStyle w:val="Heading4"/>
        <w:bidi w:val="0"/>
        <w:jc w:val="start"/>
        <w:rPr/>
      </w:pPr>
      <w:r>
        <w:rPr>
          <w:rStyle w:val="Strong"/>
          <w:rFonts w:ascii="Times New Roman" w:hAnsi="Times New Roman"/>
          <w:b/>
          <w:bCs/>
          <w:sz w:val="24"/>
          <w:szCs w:val="24"/>
        </w:rPr>
        <w:t>5.1 Introduction</w:t>
      </w:r>
    </w:p>
    <w:p>
      <w:pPr>
        <w:pStyle w:val="BodyText"/>
        <w:bidi w:val="0"/>
        <w:jc w:val="both"/>
        <w:rPr/>
      </w:pPr>
      <w:r>
        <w:rPr/>
        <w:t>The concluding chapter of this research synthesizes the main findings and critically reflects on the overall implications of community policing as a model for crime prevention and police-community relations. The study was conducted in Telford, a mid-sized urban area in the United Kingdom, where community policing strategies have been implemented in response to rising concerns about public safety and declining trust in law enforcement.</w:t>
      </w:r>
    </w:p>
    <w:p>
      <w:pPr>
        <w:pStyle w:val="BodyText"/>
        <w:bidi w:val="0"/>
        <w:jc w:val="both"/>
        <w:rPr/>
      </w:pPr>
      <w:r>
        <w:rPr/>
        <w:t>This chapter serves multiple purposes. First, it restates the core objectives and the rationale behind the study. It then summarizes the key empirical findings, linking them to the theoretical underpinnings and literature discussed in earlier chapters. By doing so, it offers an integrated reflection on how the theoretical, empirical, and practical dimensions of community policing converge or diverge in the real-world context of Telford.</w:t>
      </w:r>
    </w:p>
    <w:p>
      <w:pPr>
        <w:pStyle w:val="BodyText"/>
        <w:bidi w:val="0"/>
        <w:jc w:val="both"/>
        <w:rPr/>
      </w:pPr>
      <w:r>
        <w:rPr/>
        <w:t>A strong conclusion is critical in any research endeavor, as it provides clarity on what the study has achieved, identifies areas where further progress is needed, and presents a path forward for practitioners, policymakers, and researchers alike. In this case, the conclusion underscores the relevance of community policing in modern law enforcement and presents actionable insights that could shape future policing reforms.</w:t>
      </w:r>
    </w:p>
    <w:p>
      <w:pPr>
        <w:pStyle w:val="BodyText"/>
        <w:bidi w:val="0"/>
        <w:jc w:val="both"/>
        <w:rPr/>
      </w:pPr>
      <w:r>
        <w:rPr/>
        <w:t>Given the current climate of policing globally—marked by growing demands for transparency, accountability, and citizen engagement—this research contributes to the evolving discourse by showcasing both the strengths and challenges of implementing community policing. Through a mixed-methods approach, combining crime statistics, survey data, and qualitative interviews, the study has offered a multifaceted perspective on how policing strategies impact not just crime rates but also the lived experiences and perceptions of community members.</w:t>
      </w:r>
    </w:p>
    <w:p>
      <w:pPr>
        <w:pStyle w:val="BodyText"/>
        <w:bidi w:val="0"/>
        <w:jc w:val="both"/>
        <w:rPr/>
      </w:pPr>
      <w:r>
        <w:rPr/>
        <w:t>Ultimately, this chapter emphasizes that while community policing is not a panacea, it remains a promising strategy for building safer, more cohesive societies. However, its success hinges on sustained investment, context-sensitive implementation, and continuous community engagement.</w:t>
      </w:r>
    </w:p>
    <w:p>
      <w:pPr>
        <w:pStyle w:val="BodyText"/>
        <w:bidi w:val="0"/>
        <w:jc w:val="start"/>
        <w:rPr>
          <w:rFonts w:ascii="Times New Roman" w:hAnsi="Times New Roman"/>
          <w:sz w:val="24"/>
          <w:szCs w:val="24"/>
        </w:rPr>
      </w:pPr>
      <w:r>
        <w:rPr>
          <w:rFonts w:ascii="Times New Roman" w:hAnsi="Times New Roman"/>
          <w:sz w:val="24"/>
          <w:szCs w:val="24"/>
        </w:rPr>
      </w:r>
    </w:p>
    <w:p>
      <w:pPr>
        <w:pStyle w:val="Heading4"/>
        <w:bidi w:val="0"/>
        <w:jc w:val="start"/>
        <w:rPr/>
      </w:pPr>
      <w:r>
        <w:rPr>
          <w:rStyle w:val="Strong"/>
          <w:rFonts w:ascii="Times New Roman" w:hAnsi="Times New Roman"/>
          <w:b/>
          <w:bCs/>
          <w:sz w:val="24"/>
          <w:szCs w:val="24"/>
        </w:rPr>
        <w:t>5.2 Restatement of Research Objectives</w:t>
      </w:r>
    </w:p>
    <w:p>
      <w:pPr>
        <w:pStyle w:val="BodyText"/>
        <w:bidi w:val="0"/>
        <w:jc w:val="start"/>
        <w:rPr>
          <w:rFonts w:ascii="Times New Roman" w:hAnsi="Times New Roman"/>
          <w:sz w:val="24"/>
          <w:szCs w:val="24"/>
        </w:rPr>
      </w:pPr>
      <w:r>
        <w:rPr>
          <w:rFonts w:ascii="Times New Roman" w:hAnsi="Times New Roman"/>
          <w:sz w:val="24"/>
          <w:szCs w:val="24"/>
        </w:rPr>
        <w:t>The study was guided by three core objectives:</w:t>
      </w:r>
    </w:p>
    <w:p>
      <w:pPr>
        <w:pStyle w:val="BodyText"/>
        <w:numPr>
          <w:ilvl w:val="0"/>
          <w:numId w:val="1"/>
        </w:numPr>
        <w:tabs>
          <w:tab w:val="clear" w:pos="709"/>
          <w:tab w:val="left" w:pos="709" w:leader="none"/>
        </w:tabs>
        <w:bidi w:val="0"/>
        <w:ind w:hanging="283" w:start="709"/>
        <w:jc w:val="start"/>
        <w:rPr/>
      </w:pPr>
      <w:r>
        <w:rPr>
          <w:rStyle w:val="Strong"/>
          <w:rFonts w:ascii="Times New Roman" w:hAnsi="Times New Roman"/>
          <w:b w:val="false"/>
          <w:bCs w:val="false"/>
          <w:sz w:val="24"/>
          <w:szCs w:val="24"/>
        </w:rPr>
        <w:t>Explore the theoretical foundations</w:t>
      </w:r>
      <w:r>
        <w:rPr>
          <w:rFonts w:ascii="Times New Roman" w:hAnsi="Times New Roman"/>
          <w:b w:val="false"/>
          <w:bCs w:val="false"/>
          <w:sz w:val="24"/>
          <w:szCs w:val="24"/>
        </w:rPr>
        <w:t xml:space="preserve"> of community policing, analyzing their relevance and limitations.</w:t>
      </w:r>
    </w:p>
    <w:p>
      <w:pPr>
        <w:pStyle w:val="BodyText"/>
        <w:numPr>
          <w:ilvl w:val="0"/>
          <w:numId w:val="1"/>
        </w:numPr>
        <w:tabs>
          <w:tab w:val="clear" w:pos="709"/>
          <w:tab w:val="left" w:pos="709" w:leader="none"/>
        </w:tabs>
        <w:bidi w:val="0"/>
        <w:ind w:hanging="283" w:start="709"/>
        <w:jc w:val="start"/>
        <w:rPr/>
      </w:pPr>
      <w:r>
        <w:rPr>
          <w:rStyle w:val="Strong"/>
          <w:rFonts w:ascii="Times New Roman" w:hAnsi="Times New Roman"/>
          <w:b w:val="false"/>
          <w:bCs w:val="false"/>
          <w:sz w:val="24"/>
          <w:szCs w:val="24"/>
        </w:rPr>
        <w:t>Evaluate empirical evidence</w:t>
      </w:r>
      <w:r>
        <w:rPr>
          <w:rFonts w:ascii="Times New Roman" w:hAnsi="Times New Roman"/>
          <w:b w:val="false"/>
          <w:bCs w:val="false"/>
          <w:sz w:val="24"/>
          <w:szCs w:val="24"/>
        </w:rPr>
        <w:t xml:space="preserve"> on the effectiveness of community policing in reducing crime and improving police-community relationships.</w:t>
      </w:r>
    </w:p>
    <w:p>
      <w:pPr>
        <w:pStyle w:val="BodyText"/>
        <w:numPr>
          <w:ilvl w:val="0"/>
          <w:numId w:val="1"/>
        </w:numPr>
        <w:tabs>
          <w:tab w:val="clear" w:pos="709"/>
          <w:tab w:val="left" w:pos="709" w:leader="none"/>
        </w:tabs>
        <w:bidi w:val="0"/>
        <w:ind w:hanging="283" w:start="709"/>
        <w:jc w:val="start"/>
        <w:rPr/>
      </w:pPr>
      <w:r>
        <w:rPr>
          <w:rStyle w:val="Strong"/>
          <w:rFonts w:ascii="Times New Roman" w:hAnsi="Times New Roman"/>
          <w:b w:val="false"/>
          <w:bCs w:val="false"/>
          <w:sz w:val="24"/>
          <w:szCs w:val="24"/>
        </w:rPr>
        <w:t>Critically assess critiques and limitations</w:t>
      </w:r>
      <w:r>
        <w:rPr>
          <w:rFonts w:ascii="Times New Roman" w:hAnsi="Times New Roman"/>
          <w:b w:val="false"/>
          <w:bCs w:val="false"/>
          <w:sz w:val="24"/>
          <w:szCs w:val="24"/>
        </w:rPr>
        <w:t xml:space="preserve"> of the model to identify areas for improvement and future research.</w:t>
      </w:r>
    </w:p>
    <w:p>
      <w:pPr>
        <w:pStyle w:val="BodyText"/>
        <w:bidi w:val="0"/>
        <w:jc w:val="start"/>
        <w:rPr>
          <w:rFonts w:ascii="Times New Roman" w:hAnsi="Times New Roman"/>
          <w:sz w:val="24"/>
          <w:szCs w:val="24"/>
        </w:rPr>
      </w:pPr>
      <w:r>
        <w:rPr>
          <w:rFonts w:ascii="Times New Roman" w:hAnsi="Times New Roman"/>
          <w:sz w:val="24"/>
          <w:szCs w:val="24"/>
        </w:rPr>
        <w:t>Each of these objectives was addressed through a mixed-methods design that combined quantitative crime statistics, resident surveys, and qualitative interviews.</w:t>
      </w:r>
    </w:p>
    <w:p>
      <w:pPr>
        <w:pStyle w:val="Heading4"/>
        <w:bidi w:val="0"/>
        <w:jc w:val="start"/>
        <w:rPr/>
      </w:pPr>
      <w:r>
        <w:rPr>
          <w:rStyle w:val="Strong"/>
          <w:rFonts w:ascii="Times New Roman" w:hAnsi="Times New Roman"/>
          <w:b/>
          <w:bCs/>
          <w:sz w:val="24"/>
          <w:szCs w:val="24"/>
        </w:rPr>
        <w:t>5.3 Summary of Key Findings</w:t>
      </w:r>
    </w:p>
    <w:p>
      <w:pPr>
        <w:pStyle w:val="BodyText"/>
        <w:numPr>
          <w:ilvl w:val="0"/>
          <w:numId w:val="2"/>
        </w:numPr>
        <w:tabs>
          <w:tab w:val="clear" w:pos="709"/>
          <w:tab w:val="left" w:pos="709" w:leader="none"/>
        </w:tabs>
        <w:bidi w:val="0"/>
        <w:ind w:hanging="283" w:start="709"/>
        <w:jc w:val="start"/>
        <w:rPr/>
      </w:pPr>
      <w:r>
        <w:rPr>
          <w:rStyle w:val="Strong"/>
          <w:rFonts w:ascii="Times New Roman" w:hAnsi="Times New Roman"/>
          <w:sz w:val="24"/>
          <w:szCs w:val="24"/>
        </w:rPr>
        <w:t>Crime Reduction:</w:t>
      </w:r>
      <w:r>
        <w:rPr>
          <w:rFonts w:ascii="Times New Roman" w:hAnsi="Times New Roman"/>
          <w:sz w:val="24"/>
          <w:szCs w:val="24"/>
        </w:rPr>
        <w:t xml:space="preserve"> The implementation of community policing led to a 17% overall crime reduction in Telford, with notable declines in burglary (↓39%) and public disorder (↓21%). However, drug-related offenses rose by 23%, indicating limitations in addressing complex, systemic issues through policing alone.</w:t>
      </w:r>
    </w:p>
    <w:p>
      <w:pPr>
        <w:pStyle w:val="BodyText"/>
        <w:numPr>
          <w:ilvl w:val="0"/>
          <w:numId w:val="2"/>
        </w:numPr>
        <w:tabs>
          <w:tab w:val="clear" w:pos="709"/>
          <w:tab w:val="left" w:pos="709" w:leader="none"/>
        </w:tabs>
        <w:bidi w:val="0"/>
        <w:ind w:hanging="283" w:start="709"/>
        <w:jc w:val="start"/>
        <w:rPr/>
      </w:pPr>
      <w:r>
        <w:rPr>
          <w:rStyle w:val="Strong"/>
          <w:rFonts w:ascii="Times New Roman" w:hAnsi="Times New Roman"/>
          <w:sz w:val="24"/>
          <w:szCs w:val="24"/>
        </w:rPr>
        <w:t>Public Trust and Engagement:</w:t>
      </w:r>
      <w:r>
        <w:rPr>
          <w:rFonts w:ascii="Times New Roman" w:hAnsi="Times New Roman"/>
          <w:sz w:val="24"/>
          <w:szCs w:val="24"/>
        </w:rPr>
        <w:t xml:space="preserve"> Trust in law enforcement improved, with 68% of survey participants expressing confidence in the police. Community engagement was high, with 65% of residents willing to report crimes and 40% participating in neighborhood watch programs.</w:t>
      </w:r>
    </w:p>
    <w:p>
      <w:pPr>
        <w:pStyle w:val="BodyText"/>
        <w:numPr>
          <w:ilvl w:val="0"/>
          <w:numId w:val="2"/>
        </w:numPr>
        <w:tabs>
          <w:tab w:val="clear" w:pos="709"/>
          <w:tab w:val="left" w:pos="709" w:leader="none"/>
        </w:tabs>
        <w:bidi w:val="0"/>
        <w:ind w:hanging="283" w:start="709"/>
        <w:jc w:val="start"/>
        <w:rPr/>
      </w:pPr>
      <w:r>
        <w:rPr>
          <w:rStyle w:val="Strong"/>
          <w:rFonts w:ascii="Times New Roman" w:hAnsi="Times New Roman"/>
          <w:sz w:val="24"/>
          <w:szCs w:val="24"/>
        </w:rPr>
        <w:t>Operational Challenges:</w:t>
      </w:r>
      <w:r>
        <w:rPr>
          <w:rFonts w:ascii="Times New Roman" w:hAnsi="Times New Roman"/>
          <w:sz w:val="24"/>
          <w:szCs w:val="24"/>
        </w:rPr>
        <w:t xml:space="preserve"> Challenges such as staffing shortages, inconsistent officer presence, and slow response times were highlighted as barriers to fully effective implementation. Distrust persisted in lower-income neighborhoods, emphasizing the need for more inclusive, sustained outreach.</w:t>
      </w:r>
    </w:p>
    <w:p>
      <w:pPr>
        <w:pStyle w:val="Heading4"/>
        <w:bidi w:val="0"/>
        <w:jc w:val="start"/>
        <w:rPr/>
      </w:pPr>
      <w:r>
        <w:rPr>
          <w:rStyle w:val="Strong"/>
          <w:rFonts w:ascii="Times New Roman" w:hAnsi="Times New Roman"/>
          <w:b/>
          <w:bCs/>
          <w:sz w:val="24"/>
          <w:szCs w:val="24"/>
        </w:rPr>
        <w:t>5.4 Policy Implications</w:t>
      </w:r>
    </w:p>
    <w:p>
      <w:pPr>
        <w:pStyle w:val="BodyText"/>
        <w:bidi w:val="0"/>
        <w:jc w:val="start"/>
        <w:rPr>
          <w:rFonts w:ascii="Times New Roman" w:hAnsi="Times New Roman"/>
          <w:sz w:val="24"/>
          <w:szCs w:val="24"/>
        </w:rPr>
      </w:pPr>
      <w:r>
        <w:rPr>
          <w:rFonts w:ascii="Times New Roman" w:hAnsi="Times New Roman"/>
          <w:sz w:val="24"/>
          <w:szCs w:val="24"/>
        </w:rPr>
        <w:t>The findings underscore the importance of:</w:t>
      </w:r>
    </w:p>
    <w:p>
      <w:pPr>
        <w:pStyle w:val="BodyText"/>
        <w:numPr>
          <w:ilvl w:val="0"/>
          <w:numId w:val="3"/>
        </w:numPr>
        <w:tabs>
          <w:tab w:val="clear" w:pos="709"/>
          <w:tab w:val="left" w:pos="709" w:leader="none"/>
        </w:tabs>
        <w:bidi w:val="0"/>
        <w:ind w:hanging="283" w:start="709"/>
        <w:jc w:val="start"/>
        <w:rPr/>
      </w:pPr>
      <w:r>
        <w:rPr>
          <w:rStyle w:val="Strong"/>
          <w:rFonts w:ascii="Times New Roman" w:hAnsi="Times New Roman"/>
          <w:sz w:val="24"/>
          <w:szCs w:val="24"/>
        </w:rPr>
        <w:t>Resource Allocation:</w:t>
      </w:r>
      <w:r>
        <w:rPr>
          <w:rFonts w:ascii="Times New Roman" w:hAnsi="Times New Roman"/>
          <w:sz w:val="24"/>
          <w:szCs w:val="24"/>
        </w:rPr>
        <w:t xml:space="preserve"> Sustainable funding and staffing are critical to maintain police visibility and responsiveness.</w:t>
      </w:r>
    </w:p>
    <w:p>
      <w:pPr>
        <w:pStyle w:val="BodyText"/>
        <w:numPr>
          <w:ilvl w:val="0"/>
          <w:numId w:val="3"/>
        </w:numPr>
        <w:tabs>
          <w:tab w:val="clear" w:pos="709"/>
          <w:tab w:val="left" w:pos="709" w:leader="none"/>
        </w:tabs>
        <w:bidi w:val="0"/>
        <w:ind w:hanging="283" w:start="709"/>
        <w:jc w:val="start"/>
        <w:rPr/>
      </w:pPr>
      <w:r>
        <w:rPr>
          <w:rStyle w:val="Strong"/>
          <w:rFonts w:ascii="Times New Roman" w:hAnsi="Times New Roman"/>
          <w:sz w:val="24"/>
          <w:szCs w:val="24"/>
        </w:rPr>
        <w:t>Multi-Agency Collaboration:</w:t>
      </w:r>
      <w:r>
        <w:rPr>
          <w:rFonts w:ascii="Times New Roman" w:hAnsi="Times New Roman"/>
          <w:sz w:val="24"/>
          <w:szCs w:val="24"/>
        </w:rPr>
        <w:t xml:space="preserve"> Addressing issues like drug crime requires partnerships between law enforcement, public health, and social services.</w:t>
      </w:r>
    </w:p>
    <w:p>
      <w:pPr>
        <w:pStyle w:val="BodyText"/>
        <w:numPr>
          <w:ilvl w:val="0"/>
          <w:numId w:val="3"/>
        </w:numPr>
        <w:tabs>
          <w:tab w:val="clear" w:pos="709"/>
          <w:tab w:val="left" w:pos="709" w:leader="none"/>
        </w:tabs>
        <w:bidi w:val="0"/>
        <w:ind w:hanging="283" w:start="709"/>
        <w:jc w:val="start"/>
        <w:rPr/>
      </w:pPr>
      <w:r>
        <w:rPr>
          <w:rStyle w:val="Strong"/>
          <w:rFonts w:ascii="Times New Roman" w:hAnsi="Times New Roman"/>
          <w:sz w:val="24"/>
          <w:szCs w:val="24"/>
        </w:rPr>
        <w:t>Community Representation:</w:t>
      </w:r>
      <w:r>
        <w:rPr>
          <w:rFonts w:ascii="Times New Roman" w:hAnsi="Times New Roman"/>
          <w:sz w:val="24"/>
          <w:szCs w:val="24"/>
        </w:rPr>
        <w:t xml:space="preserve"> Recruiting officers from diverse backgrounds and implementing community advisory boards can strengthen trust and accountability.</w:t>
      </w:r>
    </w:p>
    <w:p>
      <w:pPr>
        <w:pStyle w:val="Heading4"/>
        <w:bidi w:val="0"/>
        <w:jc w:val="start"/>
        <w:rPr/>
      </w:pPr>
      <w:r>
        <w:rPr>
          <w:rStyle w:val="Strong"/>
          <w:rFonts w:ascii="Times New Roman" w:hAnsi="Times New Roman"/>
          <w:b/>
          <w:bCs/>
          <w:sz w:val="24"/>
          <w:szCs w:val="24"/>
        </w:rPr>
        <w:t>5.5 Contributions to Knowledge</w:t>
      </w:r>
    </w:p>
    <w:p>
      <w:pPr>
        <w:pStyle w:val="BodyText"/>
        <w:bidi w:val="0"/>
        <w:jc w:val="start"/>
        <w:rPr>
          <w:rFonts w:ascii="Times New Roman" w:hAnsi="Times New Roman"/>
          <w:sz w:val="24"/>
          <w:szCs w:val="24"/>
        </w:rPr>
      </w:pPr>
      <w:r>
        <w:rPr>
          <w:rFonts w:ascii="Times New Roman" w:hAnsi="Times New Roman"/>
          <w:sz w:val="24"/>
          <w:szCs w:val="24"/>
        </w:rPr>
        <w:t>This study contributes to the field by:</w:t>
      </w:r>
    </w:p>
    <w:p>
      <w:pPr>
        <w:pStyle w:val="BodyText"/>
        <w:numPr>
          <w:ilvl w:val="0"/>
          <w:numId w:val="4"/>
        </w:numPr>
        <w:tabs>
          <w:tab w:val="clear" w:pos="709"/>
          <w:tab w:val="left" w:pos="709" w:leader="none"/>
        </w:tabs>
        <w:bidi w:val="0"/>
        <w:ind w:hanging="283" w:start="709"/>
        <w:jc w:val="start"/>
        <w:rPr>
          <w:rFonts w:ascii="Times New Roman" w:hAnsi="Times New Roman"/>
          <w:sz w:val="24"/>
          <w:szCs w:val="24"/>
        </w:rPr>
      </w:pPr>
      <w:r>
        <w:rPr>
          <w:rFonts w:ascii="Times New Roman" w:hAnsi="Times New Roman"/>
          <w:sz w:val="24"/>
          <w:szCs w:val="24"/>
        </w:rPr>
        <w:t>Providing evidence that community policing can enhance safety and trust in a UK urban context.</w:t>
      </w:r>
    </w:p>
    <w:p>
      <w:pPr>
        <w:pStyle w:val="BodyText"/>
        <w:numPr>
          <w:ilvl w:val="0"/>
          <w:numId w:val="4"/>
        </w:numPr>
        <w:tabs>
          <w:tab w:val="clear" w:pos="709"/>
          <w:tab w:val="left" w:pos="709" w:leader="none"/>
        </w:tabs>
        <w:bidi w:val="0"/>
        <w:ind w:hanging="283" w:start="709"/>
        <w:jc w:val="start"/>
        <w:rPr>
          <w:rFonts w:ascii="Times New Roman" w:hAnsi="Times New Roman"/>
          <w:sz w:val="24"/>
          <w:szCs w:val="24"/>
        </w:rPr>
      </w:pPr>
      <w:r>
        <w:rPr>
          <w:rFonts w:ascii="Times New Roman" w:hAnsi="Times New Roman"/>
          <w:sz w:val="24"/>
          <w:szCs w:val="24"/>
        </w:rPr>
        <w:t>Highlighting the nuanced challenges of implementation in socio-economically diverse communities.</w:t>
      </w:r>
    </w:p>
    <w:p>
      <w:pPr>
        <w:pStyle w:val="BodyText"/>
        <w:numPr>
          <w:ilvl w:val="0"/>
          <w:numId w:val="4"/>
        </w:numPr>
        <w:tabs>
          <w:tab w:val="clear" w:pos="709"/>
          <w:tab w:val="left" w:pos="709" w:leader="none"/>
        </w:tabs>
        <w:bidi w:val="0"/>
        <w:ind w:hanging="283" w:start="709"/>
        <w:jc w:val="start"/>
        <w:rPr>
          <w:rFonts w:ascii="Times New Roman" w:hAnsi="Times New Roman"/>
          <w:sz w:val="24"/>
          <w:szCs w:val="24"/>
        </w:rPr>
      </w:pPr>
      <w:r>
        <w:rPr>
          <w:rFonts w:ascii="Times New Roman" w:hAnsi="Times New Roman"/>
          <w:sz w:val="24"/>
          <w:szCs w:val="24"/>
        </w:rPr>
        <w:t>Offering a replicable mixed-methods framework for assessing policing strategies.</w:t>
      </w:r>
    </w:p>
    <w:p>
      <w:pPr>
        <w:pStyle w:val="Heading4"/>
        <w:bidi w:val="0"/>
        <w:jc w:val="start"/>
        <w:rPr/>
      </w:pPr>
      <w:r>
        <w:rPr>
          <w:rStyle w:val="Strong"/>
          <w:rFonts w:ascii="Times New Roman" w:hAnsi="Times New Roman"/>
          <w:b/>
          <w:bCs/>
          <w:sz w:val="24"/>
          <w:szCs w:val="24"/>
        </w:rPr>
        <w:t>5.6 Limitations of the Study</w:t>
      </w:r>
    </w:p>
    <w:p>
      <w:pPr>
        <w:pStyle w:val="BodyText"/>
        <w:numPr>
          <w:ilvl w:val="0"/>
          <w:numId w:val="5"/>
        </w:numPr>
        <w:tabs>
          <w:tab w:val="clear" w:pos="709"/>
          <w:tab w:val="left" w:pos="709" w:leader="none"/>
        </w:tabs>
        <w:bidi w:val="0"/>
        <w:ind w:hanging="283" w:start="709"/>
        <w:jc w:val="start"/>
        <w:rPr/>
      </w:pPr>
      <w:r>
        <w:rPr>
          <w:rStyle w:val="Strong"/>
          <w:rFonts w:ascii="Times New Roman" w:hAnsi="Times New Roman"/>
          <w:sz w:val="24"/>
          <w:szCs w:val="24"/>
        </w:rPr>
        <w:t>Geographical Scope:</w:t>
      </w:r>
      <w:r>
        <w:rPr>
          <w:rFonts w:ascii="Times New Roman" w:hAnsi="Times New Roman"/>
          <w:sz w:val="24"/>
          <w:szCs w:val="24"/>
        </w:rPr>
        <w:t xml:space="preserve"> The study was confined to Telford; broader generalization may require multi-site comparison.</w:t>
      </w:r>
    </w:p>
    <w:p>
      <w:pPr>
        <w:pStyle w:val="BodyText"/>
        <w:numPr>
          <w:ilvl w:val="0"/>
          <w:numId w:val="5"/>
        </w:numPr>
        <w:tabs>
          <w:tab w:val="clear" w:pos="709"/>
          <w:tab w:val="left" w:pos="709" w:leader="none"/>
        </w:tabs>
        <w:bidi w:val="0"/>
        <w:ind w:hanging="283" w:start="709"/>
        <w:jc w:val="start"/>
        <w:rPr/>
      </w:pPr>
      <w:r>
        <w:rPr>
          <w:rStyle w:val="Strong"/>
          <w:rFonts w:ascii="Times New Roman" w:hAnsi="Times New Roman"/>
          <w:sz w:val="24"/>
          <w:szCs w:val="24"/>
        </w:rPr>
        <w:t>Time Constraints:</w:t>
      </w:r>
      <w:r>
        <w:rPr>
          <w:rFonts w:ascii="Times New Roman" w:hAnsi="Times New Roman"/>
          <w:sz w:val="24"/>
          <w:szCs w:val="24"/>
        </w:rPr>
        <w:t xml:space="preserve"> The research captured a snapshot of community policing effectiveness, lacking long-term evaluation.</w:t>
      </w:r>
    </w:p>
    <w:p>
      <w:pPr>
        <w:pStyle w:val="BodyText"/>
        <w:numPr>
          <w:ilvl w:val="0"/>
          <w:numId w:val="5"/>
        </w:numPr>
        <w:tabs>
          <w:tab w:val="clear" w:pos="709"/>
          <w:tab w:val="left" w:pos="709" w:leader="none"/>
        </w:tabs>
        <w:bidi w:val="0"/>
        <w:ind w:hanging="283" w:start="709"/>
        <w:jc w:val="start"/>
        <w:rPr/>
      </w:pPr>
      <w:r>
        <w:rPr>
          <w:rStyle w:val="Strong"/>
          <w:rFonts w:ascii="Times New Roman" w:hAnsi="Times New Roman"/>
          <w:sz w:val="24"/>
          <w:szCs w:val="24"/>
        </w:rPr>
        <w:t>Data Constraints:</w:t>
      </w:r>
      <w:r>
        <w:rPr>
          <w:rFonts w:ascii="Times New Roman" w:hAnsi="Times New Roman"/>
          <w:sz w:val="24"/>
          <w:szCs w:val="24"/>
        </w:rPr>
        <w:t xml:space="preserve"> Access to detailed crime data and a broader demographic survey sample could have enriched the findings.</w:t>
      </w:r>
    </w:p>
    <w:p>
      <w:pPr>
        <w:pStyle w:val="Heading4"/>
        <w:bidi w:val="0"/>
        <w:jc w:val="start"/>
        <w:rPr/>
      </w:pPr>
      <w:r>
        <w:rPr>
          <w:rStyle w:val="Strong"/>
          <w:rFonts w:ascii="Times New Roman" w:hAnsi="Times New Roman"/>
          <w:b/>
          <w:bCs/>
          <w:sz w:val="24"/>
          <w:szCs w:val="24"/>
        </w:rPr>
        <w:t>5.7 Recommendations for Future Research</w:t>
      </w:r>
    </w:p>
    <w:p>
      <w:pPr>
        <w:pStyle w:val="BodyText"/>
        <w:numPr>
          <w:ilvl w:val="0"/>
          <w:numId w:val="6"/>
        </w:numPr>
        <w:tabs>
          <w:tab w:val="clear" w:pos="709"/>
          <w:tab w:val="left" w:pos="709" w:leader="none"/>
        </w:tabs>
        <w:bidi w:val="0"/>
        <w:ind w:hanging="283" w:start="709"/>
        <w:jc w:val="start"/>
        <w:rPr/>
      </w:pPr>
      <w:r>
        <w:rPr>
          <w:rFonts w:ascii="Times New Roman" w:hAnsi="Times New Roman"/>
          <w:sz w:val="24"/>
          <w:szCs w:val="24"/>
        </w:rPr>
        <w:t xml:space="preserve">Conduct </w:t>
      </w:r>
      <w:r>
        <w:rPr>
          <w:rStyle w:val="Strong"/>
          <w:rFonts w:ascii="Times New Roman" w:hAnsi="Times New Roman"/>
          <w:sz w:val="24"/>
          <w:szCs w:val="24"/>
        </w:rPr>
        <w:t>longitudinal studies</w:t>
      </w:r>
      <w:r>
        <w:rPr>
          <w:rFonts w:ascii="Times New Roman" w:hAnsi="Times New Roman"/>
          <w:sz w:val="24"/>
          <w:szCs w:val="24"/>
        </w:rPr>
        <w:t xml:space="preserve"> to examine the long-term sustainability of community policing outcomes.</w:t>
      </w:r>
    </w:p>
    <w:p>
      <w:pPr>
        <w:pStyle w:val="BodyText"/>
        <w:numPr>
          <w:ilvl w:val="0"/>
          <w:numId w:val="6"/>
        </w:numPr>
        <w:tabs>
          <w:tab w:val="clear" w:pos="709"/>
          <w:tab w:val="left" w:pos="709" w:leader="none"/>
        </w:tabs>
        <w:bidi w:val="0"/>
        <w:ind w:hanging="283" w:start="709"/>
        <w:jc w:val="start"/>
        <w:rPr/>
      </w:pPr>
      <w:r>
        <w:rPr>
          <w:rFonts w:ascii="Times New Roman" w:hAnsi="Times New Roman"/>
          <w:sz w:val="24"/>
          <w:szCs w:val="24"/>
        </w:rPr>
        <w:t xml:space="preserve">Explore the </w:t>
      </w:r>
      <w:r>
        <w:rPr>
          <w:rStyle w:val="Strong"/>
          <w:rFonts w:ascii="Times New Roman" w:hAnsi="Times New Roman"/>
          <w:sz w:val="24"/>
          <w:szCs w:val="24"/>
        </w:rPr>
        <w:t>role of technology</w:t>
      </w:r>
      <w:r>
        <w:rPr>
          <w:rFonts w:ascii="Times New Roman" w:hAnsi="Times New Roman"/>
          <w:sz w:val="24"/>
          <w:szCs w:val="24"/>
        </w:rPr>
        <w:t>, such as predictive policing and data analytics, in enhancing community policing effectiveness.</w:t>
      </w:r>
    </w:p>
    <w:p>
      <w:pPr>
        <w:pStyle w:val="BodyText"/>
        <w:numPr>
          <w:ilvl w:val="0"/>
          <w:numId w:val="6"/>
        </w:numPr>
        <w:tabs>
          <w:tab w:val="clear" w:pos="709"/>
          <w:tab w:val="left" w:pos="709" w:leader="none"/>
        </w:tabs>
        <w:bidi w:val="0"/>
        <w:ind w:hanging="283" w:start="709"/>
        <w:jc w:val="start"/>
        <w:rPr/>
      </w:pPr>
      <w:r>
        <w:rPr>
          <w:rFonts w:ascii="Times New Roman" w:hAnsi="Times New Roman"/>
          <w:sz w:val="24"/>
          <w:szCs w:val="24"/>
        </w:rPr>
        <w:t xml:space="preserve">Undertake </w:t>
      </w:r>
      <w:r>
        <w:rPr>
          <w:rStyle w:val="Strong"/>
          <w:rFonts w:ascii="Times New Roman" w:hAnsi="Times New Roman"/>
          <w:sz w:val="24"/>
          <w:szCs w:val="24"/>
        </w:rPr>
        <w:t>comparative studies</w:t>
      </w:r>
      <w:r>
        <w:rPr>
          <w:rFonts w:ascii="Times New Roman" w:hAnsi="Times New Roman"/>
          <w:sz w:val="24"/>
          <w:szCs w:val="24"/>
        </w:rPr>
        <w:t xml:space="preserve"> across multiple jurisdictions to identify transferable best practices.</w:t>
      </w:r>
    </w:p>
    <w:p>
      <w:pPr>
        <w:pStyle w:val="Heading4"/>
        <w:bidi w:val="0"/>
        <w:jc w:val="start"/>
        <w:rPr/>
      </w:pPr>
      <w:r>
        <w:rPr>
          <w:rStyle w:val="Strong"/>
          <w:rFonts w:ascii="Times New Roman" w:hAnsi="Times New Roman"/>
          <w:b/>
          <w:bCs/>
          <w:sz w:val="24"/>
          <w:szCs w:val="24"/>
        </w:rPr>
        <w:t>5.8 Final Reflection</w:t>
      </w:r>
    </w:p>
    <w:p>
      <w:pPr>
        <w:pStyle w:val="BodyText"/>
        <w:bidi w:val="0"/>
        <w:jc w:val="both"/>
        <w:rPr/>
      </w:pPr>
      <w:r>
        <w:rPr/>
        <w:t>This research has demonstrated that community policing, when effectively implemented, holds significant promise in reducing certain crimes and improving trust between police and residents. In the case of Telford, a notable decline in property crimes and improved public perception of safety were observed, highlighting the value of proactive engagement and local partnerships in maintaining public order. The study affirms that community policing works best when supported by adequate resources, consistent strategies, and active participation from both law enforcement and the community.</w:t>
      </w:r>
    </w:p>
    <w:p>
      <w:pPr>
        <w:pStyle w:val="BodyText"/>
        <w:bidi w:val="0"/>
        <w:jc w:val="both"/>
        <w:rPr/>
      </w:pPr>
      <w:r>
        <w:rPr/>
        <w:t>However, the findings also point to limitations. The increase in drug-related offenses and ongoing distrust among residents in lower-income neighborhoods indicate that community policing alone cannot resolve complex socio-economic issues. These challenges call for a multi-agency approach, where social services, public health providers, and community organizations collaborate with law enforcement to address the root causes of crime. The uneven effectiveness of community policing also reflects the need for tailored strategies that respond to the unique needs of different communities.</w:t>
      </w:r>
    </w:p>
    <w:p>
      <w:pPr>
        <w:pStyle w:val="BodyText"/>
        <w:bidi w:val="0"/>
        <w:jc w:val="both"/>
        <w:rPr/>
      </w:pPr>
      <w:r>
        <w:rPr/>
        <w:t>On a personal level, conducting this study has deepened my understanding of the importance of combining empirical data with community voices. Listening to the perspectives of police officers, community leaders, and residents provided valuable insights that enriched the research. It also underscored the importance of inclusivity and trust-building in policing, particularly in communities that have experienced a history of marginalization or inconsistent engagement.</w:t>
      </w:r>
    </w:p>
    <w:p>
      <w:pPr>
        <w:pStyle w:val="BodyText"/>
        <w:bidi w:val="0"/>
        <w:spacing w:before="0" w:after="140"/>
        <w:jc w:val="both"/>
        <w:rPr/>
      </w:pPr>
      <w:r>
        <w:rPr/>
        <w:t>Ultimately, this research affirms that community policing is not a static model but an evolving practice that must adapt to changing societal needs. Its long-term success depends on continuous evaluation, inclusive engagement, and sustained political and financial support. As communities face new and complex challenges, the future of policing will require innovation, collaboration, and a commitment to justice that extends beyond enforcement to empowerment.</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2"/>
    <w:family w:val="auto"/>
    <w:pitch w:val="default"/>
  </w:font>
  <w:font w:name="Liberation Sans">
    <w:altName w:val="Arial"/>
    <w:charset w:val="01" w:characterSet="utf-8"/>
    <w:family w:val="swiss"/>
    <w:pitch w:val="variable"/>
  </w:font>
  <w:font w:name="Times New Roman">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pStyle w:val="Heading4"/>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Noto Sans Devanagari"/>
      <w:color w:val="auto"/>
      <w:kern w:val="2"/>
      <w:sz w:val="24"/>
      <w:szCs w:val="24"/>
      <w:lang w:val="en-US" w:eastAsia="zh-CN" w:bidi="hi-IN"/>
    </w:rPr>
  </w:style>
  <w:style w:type="paragraph" w:styleId="Heading3">
    <w:name w:val="Heading 3"/>
    <w:basedOn w:val="Heading"/>
    <w:next w:val="BodyText"/>
    <w:qFormat/>
    <w:pPr>
      <w:spacing w:before="140" w:after="120"/>
      <w:outlineLvl w:val="2"/>
    </w:pPr>
    <w:rPr>
      <w:rFonts w:ascii="Liberation Serif" w:hAnsi="Liberation Serif" w:eastAsia="Noto Serif CJK SC" w:cs="Noto Sans Devanagari"/>
      <w:b/>
      <w:bCs/>
      <w:sz w:val="28"/>
      <w:szCs w:val="28"/>
    </w:rPr>
  </w:style>
  <w:style w:type="paragraph" w:styleId="Heading4">
    <w:name w:val="Heading 4"/>
    <w:basedOn w:val="Heading"/>
    <w:next w:val="BodyText"/>
    <w:qFormat/>
    <w:pPr>
      <w:spacing w:before="120" w:after="120"/>
      <w:outlineLvl w:val="3"/>
    </w:pPr>
    <w:rPr>
      <w:rFonts w:ascii="Liberation Serif" w:hAnsi="Liberation Serif" w:eastAsia="Noto Serif CJK SC" w:cs="Noto Sans Devanagari"/>
      <w:b/>
      <w:bCs/>
      <w:sz w:val="24"/>
      <w:szCs w:val="24"/>
    </w:rPr>
  </w:style>
  <w:style w:type="character" w:styleId="Strong">
    <w:name w:val="Strong"/>
    <w:qFormat/>
    <w:rPr>
      <w:b/>
      <w:bCs/>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TotalTime>
  <Application>LibreOffice/24.2.7.2$Linux_X86_64 LibreOffice_project/420$Build-2</Application>
  <AppVersion>15.0000</AppVersion>
  <Pages>3</Pages>
  <Words>1007</Words>
  <Characters>6402</Characters>
  <CharactersWithSpaces>7349</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2025-04-24T15:46:09Z</dcterms:created>
  <dc:creator/>
  <dc:description/>
  <dc:language>en-US</dc:language>
  <cp:lastModifiedBy/>
  <dcterms:modified xsi:type="dcterms:W3CDTF">2025-04-24T16:02:25Z</dcterms:modified>
  <cp:revision>1</cp:revision>
  <dc:subject/>
  <dc:title/>
</cp:coreProperties>
</file>