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w:cs="Arial" w:eastAsia="Arial" w:hAnsi="Arial"/>
          <w:b w:val="1"/>
        </w:rPr>
      </w:pPr>
      <w:r w:rsidDel="00000000" w:rsidR="00000000" w:rsidRPr="00000000">
        <w:rPr>
          <w:rFonts w:ascii="Arial" w:cs="Arial" w:eastAsia="Arial" w:hAnsi="Arial"/>
          <w:b w:val="1"/>
          <w:rtl w:val="0"/>
        </w:rPr>
        <w:t xml:space="preserve">Student Name: Olivia Elizabeth John </w:t>
      </w:r>
    </w:p>
    <w:p w:rsidR="00000000" w:rsidDel="00000000" w:rsidP="00000000" w:rsidRDefault="00000000" w:rsidRPr="00000000" w14:paraId="00000002">
      <w:pPr>
        <w:rPr>
          <w:rFonts w:ascii="Arial" w:cs="Arial" w:eastAsia="Arial" w:hAnsi="Arial"/>
          <w:b w:val="1"/>
        </w:rPr>
      </w:pPr>
      <w:r w:rsidDel="00000000" w:rsidR="00000000" w:rsidRPr="00000000">
        <w:rPr>
          <w:rFonts w:ascii="Arial" w:cs="Arial" w:eastAsia="Arial" w:hAnsi="Arial"/>
          <w:b w:val="1"/>
          <w:rtl w:val="0"/>
        </w:rPr>
        <w:t xml:space="preserve">Program: Evidence Based and preventative policing </w:t>
      </w:r>
    </w:p>
    <w:p w:rsidR="00000000" w:rsidDel="00000000" w:rsidP="00000000" w:rsidRDefault="00000000" w:rsidRPr="00000000" w14:paraId="00000003">
      <w:pPr>
        <w:rPr>
          <w:rFonts w:ascii="Arial" w:cs="Arial" w:eastAsia="Arial" w:hAnsi="Arial"/>
          <w:b w:val="1"/>
        </w:rPr>
      </w:pPr>
      <w:r w:rsidDel="00000000" w:rsidR="00000000" w:rsidRPr="00000000">
        <w:rPr>
          <w:rFonts w:ascii="Arial" w:cs="Arial" w:eastAsia="Arial" w:hAnsi="Arial"/>
          <w:b w:val="1"/>
          <w:rtl w:val="0"/>
        </w:rPr>
        <w:t xml:space="preserve">Module Code: BMPL4016</w:t>
      </w:r>
    </w:p>
    <w:p w:rsidR="00000000" w:rsidDel="00000000" w:rsidP="00000000" w:rsidRDefault="00000000" w:rsidRPr="00000000" w14:paraId="00000004">
      <w:pPr>
        <w:rPr>
          <w:rFonts w:ascii="Arial" w:cs="Arial" w:eastAsia="Arial" w:hAnsi="Arial"/>
          <w:b w:val="1"/>
        </w:rPr>
      </w:pPr>
      <w:r w:rsidDel="00000000" w:rsidR="00000000" w:rsidRPr="00000000">
        <w:rPr>
          <w:rFonts w:ascii="Arial" w:cs="Arial" w:eastAsia="Arial" w:hAnsi="Arial"/>
          <w:b w:val="1"/>
          <w:rtl w:val="0"/>
        </w:rPr>
        <w:t xml:space="preserve">Lecturer: Michelle Hill </w:t>
      </w:r>
    </w:p>
    <w:p w:rsidR="00000000" w:rsidDel="00000000" w:rsidP="00000000" w:rsidRDefault="00000000" w:rsidRPr="00000000" w14:paraId="00000005">
      <w:pPr>
        <w:rPr>
          <w:rFonts w:ascii="Arial" w:cs="Arial" w:eastAsia="Arial" w:hAnsi="Arial"/>
        </w:rPr>
      </w:pPr>
      <w:r w:rsidDel="00000000" w:rsidR="00000000" w:rsidRPr="00000000">
        <w:rPr>
          <w:rtl w:val="0"/>
        </w:rPr>
      </w:r>
    </w:p>
    <w:p w:rsidR="00000000" w:rsidDel="00000000" w:rsidP="00000000" w:rsidRDefault="00000000" w:rsidRPr="00000000" w14:paraId="00000006">
      <w:pPr>
        <w:rPr>
          <w:rFonts w:ascii="Arial" w:cs="Arial" w:eastAsia="Arial" w:hAnsi="Arial"/>
        </w:rPr>
      </w:pPr>
      <w:r w:rsidDel="00000000" w:rsidR="00000000" w:rsidRPr="00000000">
        <w:rPr>
          <w:rtl w:val="0"/>
        </w:rPr>
      </w:r>
    </w:p>
    <w:p w:rsidR="00000000" w:rsidDel="00000000" w:rsidP="00000000" w:rsidRDefault="00000000" w:rsidRPr="00000000" w14:paraId="00000007">
      <w:pPr>
        <w:rPr>
          <w:rFonts w:ascii="Arial" w:cs="Arial" w:eastAsia="Arial" w:hAnsi="Arial"/>
        </w:rPr>
      </w:pPr>
      <w:r w:rsidDel="00000000" w:rsidR="00000000" w:rsidRPr="00000000">
        <w:rPr>
          <w:rtl w:val="0"/>
        </w:rPr>
      </w:r>
    </w:p>
    <w:p w:rsidR="00000000" w:rsidDel="00000000" w:rsidP="00000000" w:rsidRDefault="00000000" w:rsidRPr="00000000" w14:paraId="00000008">
      <w:pPr>
        <w:rPr>
          <w:rFonts w:ascii="Arial" w:cs="Arial" w:eastAsia="Arial" w:hAnsi="Arial"/>
        </w:rPr>
      </w:pPr>
      <w:r w:rsidDel="00000000" w:rsidR="00000000" w:rsidRPr="00000000">
        <w:rPr>
          <w:rtl w:val="0"/>
        </w:rPr>
      </w:r>
    </w:p>
    <w:p w:rsidR="00000000" w:rsidDel="00000000" w:rsidP="00000000" w:rsidRDefault="00000000" w:rsidRPr="00000000" w14:paraId="00000009">
      <w:pPr>
        <w:rPr>
          <w:rFonts w:ascii="Arial" w:cs="Arial" w:eastAsia="Arial" w:hAnsi="Arial"/>
        </w:rPr>
      </w:pPr>
      <w:r w:rsidDel="00000000" w:rsidR="00000000" w:rsidRPr="00000000">
        <w:rPr>
          <w:rtl w:val="0"/>
        </w:rPr>
      </w:r>
    </w:p>
    <w:p w:rsidR="00000000" w:rsidDel="00000000" w:rsidP="00000000" w:rsidRDefault="00000000" w:rsidRPr="00000000" w14:paraId="0000000A">
      <w:pPr>
        <w:rPr>
          <w:rFonts w:ascii="Arial" w:cs="Arial" w:eastAsia="Arial" w:hAnsi="Arial"/>
        </w:rPr>
      </w:pPr>
      <w:r w:rsidDel="00000000" w:rsidR="00000000" w:rsidRPr="00000000">
        <w:rPr>
          <w:rtl w:val="0"/>
        </w:rPr>
      </w:r>
    </w:p>
    <w:p w:rsidR="00000000" w:rsidDel="00000000" w:rsidP="00000000" w:rsidRDefault="00000000" w:rsidRPr="00000000" w14:paraId="0000000B">
      <w:pPr>
        <w:rPr>
          <w:rFonts w:ascii="Arial" w:cs="Arial" w:eastAsia="Arial" w:hAnsi="Arial"/>
        </w:rPr>
      </w:pPr>
      <w:r w:rsidDel="00000000" w:rsidR="00000000" w:rsidRPr="00000000">
        <w:rPr>
          <w:rtl w:val="0"/>
        </w:rPr>
      </w:r>
    </w:p>
    <w:p w:rsidR="00000000" w:rsidDel="00000000" w:rsidP="00000000" w:rsidRDefault="00000000" w:rsidRPr="00000000" w14:paraId="0000000C">
      <w:pPr>
        <w:rPr>
          <w:rFonts w:ascii="Arial" w:cs="Arial" w:eastAsia="Arial" w:hAnsi="Arial"/>
        </w:rPr>
      </w:pPr>
      <w:r w:rsidDel="00000000" w:rsidR="00000000" w:rsidRPr="00000000">
        <w:rPr>
          <w:rtl w:val="0"/>
        </w:rPr>
      </w:r>
    </w:p>
    <w:p w:rsidR="00000000" w:rsidDel="00000000" w:rsidP="00000000" w:rsidRDefault="00000000" w:rsidRPr="00000000" w14:paraId="0000000D">
      <w:pPr>
        <w:rPr>
          <w:rFonts w:ascii="Arial" w:cs="Arial" w:eastAsia="Arial" w:hAnsi="Arial"/>
        </w:rPr>
      </w:pPr>
      <w:r w:rsidDel="00000000" w:rsidR="00000000" w:rsidRPr="00000000">
        <w:rPr>
          <w:rtl w:val="0"/>
        </w:rPr>
      </w:r>
    </w:p>
    <w:p w:rsidR="00000000" w:rsidDel="00000000" w:rsidP="00000000" w:rsidRDefault="00000000" w:rsidRPr="00000000" w14:paraId="0000000E">
      <w:pPr>
        <w:rPr>
          <w:rFonts w:ascii="Arial" w:cs="Arial" w:eastAsia="Arial" w:hAnsi="Arial"/>
        </w:rPr>
      </w:pPr>
      <w:r w:rsidDel="00000000" w:rsidR="00000000" w:rsidRPr="00000000">
        <w:rPr>
          <w:rtl w:val="0"/>
        </w:rPr>
      </w:r>
    </w:p>
    <w:p w:rsidR="00000000" w:rsidDel="00000000" w:rsidP="00000000" w:rsidRDefault="00000000" w:rsidRPr="00000000" w14:paraId="0000000F">
      <w:pPr>
        <w:rPr>
          <w:rFonts w:ascii="Arial" w:cs="Arial" w:eastAsia="Arial" w:hAnsi="Arial"/>
        </w:rPr>
      </w:pPr>
      <w:r w:rsidDel="00000000" w:rsidR="00000000" w:rsidRPr="00000000">
        <w:rPr>
          <w:rtl w:val="0"/>
        </w:rPr>
      </w:r>
    </w:p>
    <w:p w:rsidR="00000000" w:rsidDel="00000000" w:rsidP="00000000" w:rsidRDefault="00000000" w:rsidRPr="00000000" w14:paraId="00000010">
      <w:pPr>
        <w:rPr>
          <w:rFonts w:ascii="Arial" w:cs="Arial" w:eastAsia="Arial" w:hAnsi="Arial"/>
        </w:rPr>
      </w:pPr>
      <w:r w:rsidDel="00000000" w:rsidR="00000000" w:rsidRPr="00000000">
        <w:rPr>
          <w:rtl w:val="0"/>
        </w:rPr>
      </w:r>
    </w:p>
    <w:p w:rsidR="00000000" w:rsidDel="00000000" w:rsidP="00000000" w:rsidRDefault="00000000" w:rsidRPr="00000000" w14:paraId="00000011">
      <w:pPr>
        <w:rPr>
          <w:rFonts w:ascii="Arial" w:cs="Arial" w:eastAsia="Arial" w:hAnsi="Arial"/>
        </w:rPr>
      </w:pPr>
      <w:r w:rsidDel="00000000" w:rsidR="00000000" w:rsidRPr="00000000">
        <w:rPr>
          <w:rtl w:val="0"/>
        </w:rPr>
      </w:r>
    </w:p>
    <w:p w:rsidR="00000000" w:rsidDel="00000000" w:rsidP="00000000" w:rsidRDefault="00000000" w:rsidRPr="00000000" w14:paraId="00000012">
      <w:pPr>
        <w:rPr>
          <w:rFonts w:ascii="Arial" w:cs="Arial" w:eastAsia="Arial" w:hAnsi="Arial"/>
        </w:rPr>
      </w:pPr>
      <w:r w:rsidDel="00000000" w:rsidR="00000000" w:rsidRPr="00000000">
        <w:rPr>
          <w:rtl w:val="0"/>
        </w:rPr>
      </w:r>
    </w:p>
    <w:p w:rsidR="00000000" w:rsidDel="00000000" w:rsidP="00000000" w:rsidRDefault="00000000" w:rsidRPr="00000000" w14:paraId="00000013">
      <w:pPr>
        <w:rPr>
          <w:rFonts w:ascii="Arial" w:cs="Arial" w:eastAsia="Arial" w:hAnsi="Arial"/>
        </w:rPr>
      </w:pPr>
      <w:r w:rsidDel="00000000" w:rsidR="00000000" w:rsidRPr="00000000">
        <w:rPr>
          <w:rtl w:val="0"/>
        </w:rPr>
      </w:r>
    </w:p>
    <w:p w:rsidR="00000000" w:rsidDel="00000000" w:rsidP="00000000" w:rsidRDefault="00000000" w:rsidRPr="00000000" w14:paraId="00000014">
      <w:pPr>
        <w:rPr>
          <w:rFonts w:ascii="Arial" w:cs="Arial" w:eastAsia="Arial" w:hAnsi="Arial"/>
        </w:rPr>
      </w:pPr>
      <w:r w:rsidDel="00000000" w:rsidR="00000000" w:rsidRPr="00000000">
        <w:rPr>
          <w:rtl w:val="0"/>
        </w:rPr>
      </w:r>
    </w:p>
    <w:p w:rsidR="00000000" w:rsidDel="00000000" w:rsidP="00000000" w:rsidRDefault="00000000" w:rsidRPr="00000000" w14:paraId="00000015">
      <w:pPr>
        <w:rPr>
          <w:rFonts w:ascii="Arial" w:cs="Arial" w:eastAsia="Arial" w:hAnsi="Arial"/>
        </w:rPr>
      </w:pPr>
      <w:r w:rsidDel="00000000" w:rsidR="00000000" w:rsidRPr="00000000">
        <w:rPr>
          <w:rtl w:val="0"/>
        </w:rPr>
      </w:r>
    </w:p>
    <w:p w:rsidR="00000000" w:rsidDel="00000000" w:rsidP="00000000" w:rsidRDefault="00000000" w:rsidRPr="00000000" w14:paraId="00000016">
      <w:pPr>
        <w:rPr>
          <w:rFonts w:ascii="Arial" w:cs="Arial" w:eastAsia="Arial" w:hAnsi="Arial"/>
        </w:rPr>
      </w:pPr>
      <w:r w:rsidDel="00000000" w:rsidR="00000000" w:rsidRPr="00000000">
        <w:rPr>
          <w:rtl w:val="0"/>
        </w:rPr>
      </w:r>
    </w:p>
    <w:p w:rsidR="00000000" w:rsidDel="00000000" w:rsidP="00000000" w:rsidRDefault="00000000" w:rsidRPr="00000000" w14:paraId="00000017">
      <w:pPr>
        <w:rPr>
          <w:rFonts w:ascii="Arial" w:cs="Arial" w:eastAsia="Arial" w:hAnsi="Arial"/>
        </w:rPr>
      </w:pPr>
      <w:r w:rsidDel="00000000" w:rsidR="00000000" w:rsidRPr="00000000">
        <w:rPr>
          <w:rtl w:val="0"/>
        </w:rPr>
      </w:r>
    </w:p>
    <w:p w:rsidR="00000000" w:rsidDel="00000000" w:rsidP="00000000" w:rsidRDefault="00000000" w:rsidRPr="00000000" w14:paraId="00000018">
      <w:pPr>
        <w:rPr>
          <w:rFonts w:ascii="Arial" w:cs="Arial" w:eastAsia="Arial" w:hAnsi="Arial"/>
        </w:rPr>
      </w:pPr>
      <w:r w:rsidDel="00000000" w:rsidR="00000000" w:rsidRPr="00000000">
        <w:rPr>
          <w:rtl w:val="0"/>
        </w:rPr>
      </w:r>
    </w:p>
    <w:p w:rsidR="00000000" w:rsidDel="00000000" w:rsidP="00000000" w:rsidRDefault="00000000" w:rsidRPr="00000000" w14:paraId="00000019">
      <w:pPr>
        <w:rPr>
          <w:rFonts w:ascii="Arial" w:cs="Arial" w:eastAsia="Arial" w:hAnsi="Arial"/>
        </w:rPr>
      </w:pPr>
      <w:r w:rsidDel="00000000" w:rsidR="00000000" w:rsidRPr="00000000">
        <w:rPr>
          <w:rtl w:val="0"/>
        </w:rPr>
      </w:r>
    </w:p>
    <w:p w:rsidR="00000000" w:rsidDel="00000000" w:rsidP="00000000" w:rsidRDefault="00000000" w:rsidRPr="00000000" w14:paraId="0000001A">
      <w:pPr>
        <w:rPr>
          <w:rFonts w:ascii="Arial" w:cs="Arial" w:eastAsia="Arial" w:hAnsi="Arial"/>
        </w:rPr>
      </w:pPr>
      <w:r w:rsidDel="00000000" w:rsidR="00000000" w:rsidRPr="00000000">
        <w:rPr>
          <w:rtl w:val="0"/>
        </w:rPr>
      </w:r>
    </w:p>
    <w:p w:rsidR="00000000" w:rsidDel="00000000" w:rsidP="00000000" w:rsidRDefault="00000000" w:rsidRPr="00000000" w14:paraId="0000001B">
      <w:pPr>
        <w:rPr>
          <w:rFonts w:ascii="Arial" w:cs="Arial" w:eastAsia="Arial" w:hAnsi="Arial"/>
        </w:rPr>
      </w:pPr>
      <w:r w:rsidDel="00000000" w:rsidR="00000000" w:rsidRPr="00000000">
        <w:rPr>
          <w:rtl w:val="0"/>
        </w:rPr>
      </w:r>
    </w:p>
    <w:p w:rsidR="00000000" w:rsidDel="00000000" w:rsidP="00000000" w:rsidRDefault="00000000" w:rsidRPr="00000000" w14:paraId="0000001C">
      <w:pPr>
        <w:rPr>
          <w:rFonts w:ascii="Arial" w:cs="Arial" w:eastAsia="Arial" w:hAnsi="Arial"/>
          <w:b w:val="1"/>
        </w:rPr>
      </w:pPr>
      <w:r w:rsidDel="00000000" w:rsidR="00000000" w:rsidRPr="00000000">
        <w:rPr>
          <w:rFonts w:ascii="Arial" w:cs="Arial" w:eastAsia="Arial" w:hAnsi="Arial"/>
          <w:b w:val="1"/>
          <w:rtl w:val="0"/>
        </w:rPr>
        <w:t xml:space="preserve">Content page </w:t>
      </w:r>
    </w:p>
    <w:p w:rsidR="00000000" w:rsidDel="00000000" w:rsidP="00000000" w:rsidRDefault="00000000" w:rsidRPr="00000000" w14:paraId="0000001D">
      <w:pPr>
        <w:numPr>
          <w:ilvl w:val="0"/>
          <w:numId w:val="2"/>
        </w:numPr>
        <w:spacing w:after="0" w:lineRule="auto"/>
        <w:ind w:left="720" w:hanging="360"/>
        <w:rPr>
          <w:rFonts w:ascii="Arial" w:cs="Arial" w:eastAsia="Arial" w:hAnsi="Arial"/>
        </w:rPr>
      </w:pPr>
      <w:r w:rsidDel="00000000" w:rsidR="00000000" w:rsidRPr="00000000">
        <w:rPr>
          <w:rFonts w:ascii="Arial" w:cs="Arial" w:eastAsia="Arial" w:hAnsi="Arial"/>
          <w:rtl w:val="0"/>
        </w:rPr>
        <w:t xml:space="preserve">Introduction </w:t>
      </w:r>
    </w:p>
    <w:p w:rsidR="00000000" w:rsidDel="00000000" w:rsidP="00000000" w:rsidRDefault="00000000" w:rsidRPr="00000000" w14:paraId="0000001E">
      <w:pPr>
        <w:numPr>
          <w:ilvl w:val="0"/>
          <w:numId w:val="2"/>
        </w:numPr>
        <w:spacing w:after="0" w:lineRule="auto"/>
        <w:ind w:left="720" w:hanging="360"/>
        <w:rPr>
          <w:rFonts w:ascii="Arial" w:cs="Arial" w:eastAsia="Arial" w:hAnsi="Arial"/>
        </w:rPr>
      </w:pPr>
      <w:r w:rsidDel="00000000" w:rsidR="00000000" w:rsidRPr="00000000">
        <w:rPr>
          <w:rFonts w:ascii="Arial" w:cs="Arial" w:eastAsia="Arial" w:hAnsi="Arial"/>
          <w:rtl w:val="0"/>
        </w:rPr>
        <w:t xml:space="preserve">Evaluate the importance of using evidence based policing in UK policing</w:t>
      </w:r>
    </w:p>
    <w:p w:rsidR="00000000" w:rsidDel="00000000" w:rsidP="00000000" w:rsidRDefault="00000000" w:rsidRPr="00000000" w14:paraId="0000001F">
      <w:pPr>
        <w:numPr>
          <w:ilvl w:val="0"/>
          <w:numId w:val="2"/>
        </w:numPr>
        <w:spacing w:after="0" w:lineRule="auto"/>
        <w:ind w:left="720" w:hanging="360"/>
        <w:rPr>
          <w:rFonts w:ascii="Arial" w:cs="Arial" w:eastAsia="Arial" w:hAnsi="Arial"/>
        </w:rPr>
      </w:pPr>
      <w:r w:rsidDel="00000000" w:rsidR="00000000" w:rsidRPr="00000000">
        <w:rPr>
          <w:rFonts w:ascii="Arial" w:cs="Arial" w:eastAsia="Arial" w:hAnsi="Arial"/>
          <w:rtl w:val="0"/>
        </w:rPr>
        <w:t xml:space="preserve">Evaluate the ATLAS model </w:t>
      </w:r>
    </w:p>
    <w:p w:rsidR="00000000" w:rsidDel="00000000" w:rsidP="00000000" w:rsidRDefault="00000000" w:rsidRPr="00000000" w14:paraId="00000020">
      <w:pPr>
        <w:numPr>
          <w:ilvl w:val="0"/>
          <w:numId w:val="2"/>
        </w:numPr>
        <w:spacing w:after="0" w:lineRule="auto"/>
        <w:ind w:left="720" w:hanging="360"/>
        <w:rPr>
          <w:rFonts w:ascii="Arial" w:cs="Arial" w:eastAsia="Arial" w:hAnsi="Arial"/>
        </w:rPr>
      </w:pPr>
      <w:r w:rsidDel="00000000" w:rsidR="00000000" w:rsidRPr="00000000">
        <w:rPr>
          <w:rFonts w:ascii="Arial" w:cs="Arial" w:eastAsia="Arial" w:hAnsi="Arial"/>
          <w:rtl w:val="0"/>
        </w:rPr>
        <w:t xml:space="preserve">The use of a real-world scenario</w:t>
      </w:r>
    </w:p>
    <w:p w:rsidR="00000000" w:rsidDel="00000000" w:rsidP="00000000" w:rsidRDefault="00000000" w:rsidRPr="00000000" w14:paraId="00000021">
      <w:pPr>
        <w:numPr>
          <w:ilvl w:val="0"/>
          <w:numId w:val="2"/>
        </w:numPr>
        <w:spacing w:after="0" w:lineRule="auto"/>
        <w:ind w:left="720" w:hanging="360"/>
        <w:rPr>
          <w:rFonts w:ascii="Aptos" w:cs="Aptos" w:eastAsia="Aptos" w:hAnsi="Aptos"/>
          <w:b w:val="1"/>
        </w:rPr>
      </w:pPr>
      <w:r w:rsidDel="00000000" w:rsidR="00000000" w:rsidRPr="00000000">
        <w:rPr>
          <w:rFonts w:ascii="Arial" w:cs="Arial" w:eastAsia="Arial" w:hAnsi="Arial"/>
          <w:rtl w:val="0"/>
        </w:rPr>
        <w:t xml:space="preserve">Conclusion</w:t>
      </w:r>
      <w:r w:rsidDel="00000000" w:rsidR="00000000" w:rsidRPr="00000000">
        <w:rPr>
          <w:rFonts w:ascii="Arial" w:cs="Arial" w:eastAsia="Arial" w:hAnsi="Arial"/>
          <w:b w:val="1"/>
          <w:rtl w:val="0"/>
        </w:rPr>
        <w:t xml:space="preserve"> </w:t>
      </w:r>
      <w:r w:rsidDel="00000000" w:rsidR="00000000" w:rsidRPr="00000000">
        <w:rPr>
          <w:rtl w:val="0"/>
        </w:rPr>
      </w:r>
    </w:p>
    <w:p w:rsidR="00000000" w:rsidDel="00000000" w:rsidP="00000000" w:rsidRDefault="00000000" w:rsidRPr="00000000" w14:paraId="00000022">
      <w:pPr>
        <w:numPr>
          <w:ilvl w:val="0"/>
          <w:numId w:val="2"/>
        </w:numPr>
        <w:ind w:left="720" w:hanging="360"/>
        <w:rPr>
          <w:rFonts w:ascii="Arial" w:cs="Arial" w:eastAsia="Arial" w:hAnsi="Arial"/>
        </w:rPr>
      </w:pPr>
      <w:r w:rsidDel="00000000" w:rsidR="00000000" w:rsidRPr="00000000">
        <w:rPr>
          <w:rFonts w:ascii="Arial" w:cs="Arial" w:eastAsia="Arial" w:hAnsi="Arial"/>
          <w:rtl w:val="0"/>
        </w:rPr>
        <w:t xml:space="preserve">References </w:t>
      </w:r>
    </w:p>
    <w:p w:rsidR="00000000" w:rsidDel="00000000" w:rsidP="00000000" w:rsidRDefault="00000000" w:rsidRPr="00000000" w14:paraId="00000023">
      <w:pPr>
        <w:rPr>
          <w:rFonts w:ascii="Arial" w:cs="Arial" w:eastAsia="Arial" w:hAnsi="Arial"/>
          <w:b w:val="1"/>
        </w:rPr>
      </w:pPr>
      <w:r w:rsidDel="00000000" w:rsidR="00000000" w:rsidRPr="00000000">
        <w:rPr>
          <w:rtl w:val="0"/>
        </w:rPr>
      </w:r>
    </w:p>
    <w:p w:rsidR="00000000" w:rsidDel="00000000" w:rsidP="00000000" w:rsidRDefault="00000000" w:rsidRPr="00000000" w14:paraId="00000024">
      <w:pPr>
        <w:rPr>
          <w:rFonts w:ascii="Arial" w:cs="Arial" w:eastAsia="Arial" w:hAnsi="Arial"/>
          <w:b w:val="1"/>
        </w:rPr>
      </w:pPr>
      <w:r w:rsidDel="00000000" w:rsidR="00000000" w:rsidRPr="00000000">
        <w:rPr>
          <w:rtl w:val="0"/>
        </w:rPr>
      </w:r>
    </w:p>
    <w:p w:rsidR="00000000" w:rsidDel="00000000" w:rsidP="00000000" w:rsidRDefault="00000000" w:rsidRPr="00000000" w14:paraId="00000025">
      <w:pPr>
        <w:rPr>
          <w:rFonts w:ascii="Arial" w:cs="Arial" w:eastAsia="Arial" w:hAnsi="Arial"/>
          <w:b w:val="1"/>
        </w:rPr>
      </w:pPr>
      <w:r w:rsidDel="00000000" w:rsidR="00000000" w:rsidRPr="00000000">
        <w:rPr>
          <w:rtl w:val="0"/>
        </w:rPr>
      </w:r>
    </w:p>
    <w:p w:rsidR="00000000" w:rsidDel="00000000" w:rsidP="00000000" w:rsidRDefault="00000000" w:rsidRPr="00000000" w14:paraId="00000026">
      <w:pPr>
        <w:rPr>
          <w:rFonts w:ascii="Arial" w:cs="Arial" w:eastAsia="Arial" w:hAnsi="Arial"/>
          <w:b w:val="1"/>
        </w:rPr>
      </w:pPr>
      <w:r w:rsidDel="00000000" w:rsidR="00000000" w:rsidRPr="00000000">
        <w:rPr>
          <w:rtl w:val="0"/>
        </w:rPr>
      </w:r>
    </w:p>
    <w:p w:rsidR="00000000" w:rsidDel="00000000" w:rsidP="00000000" w:rsidRDefault="00000000" w:rsidRPr="00000000" w14:paraId="00000027">
      <w:pPr>
        <w:rPr>
          <w:rFonts w:ascii="Arial" w:cs="Arial" w:eastAsia="Arial" w:hAnsi="Arial"/>
          <w:b w:val="1"/>
        </w:rPr>
      </w:pPr>
      <w:r w:rsidDel="00000000" w:rsidR="00000000" w:rsidRPr="00000000">
        <w:rPr>
          <w:rtl w:val="0"/>
        </w:rPr>
      </w:r>
    </w:p>
    <w:p w:rsidR="00000000" w:rsidDel="00000000" w:rsidP="00000000" w:rsidRDefault="00000000" w:rsidRPr="00000000" w14:paraId="00000028">
      <w:pPr>
        <w:rPr>
          <w:rFonts w:ascii="Arial" w:cs="Arial" w:eastAsia="Arial" w:hAnsi="Arial"/>
          <w:b w:val="1"/>
        </w:rPr>
      </w:pPr>
      <w:r w:rsidDel="00000000" w:rsidR="00000000" w:rsidRPr="00000000">
        <w:rPr>
          <w:rtl w:val="0"/>
        </w:rPr>
      </w:r>
    </w:p>
    <w:p w:rsidR="00000000" w:rsidDel="00000000" w:rsidP="00000000" w:rsidRDefault="00000000" w:rsidRPr="00000000" w14:paraId="00000029">
      <w:pPr>
        <w:rPr>
          <w:rFonts w:ascii="Arial" w:cs="Arial" w:eastAsia="Arial" w:hAnsi="Arial"/>
          <w:b w:val="1"/>
        </w:rPr>
      </w:pPr>
      <w:r w:rsidDel="00000000" w:rsidR="00000000" w:rsidRPr="00000000">
        <w:rPr>
          <w:rtl w:val="0"/>
        </w:rPr>
      </w:r>
    </w:p>
    <w:p w:rsidR="00000000" w:rsidDel="00000000" w:rsidP="00000000" w:rsidRDefault="00000000" w:rsidRPr="00000000" w14:paraId="0000002A">
      <w:pPr>
        <w:rPr>
          <w:rFonts w:ascii="Arial" w:cs="Arial" w:eastAsia="Arial" w:hAnsi="Arial"/>
          <w:b w:val="1"/>
        </w:rPr>
      </w:pPr>
      <w:r w:rsidDel="00000000" w:rsidR="00000000" w:rsidRPr="00000000">
        <w:rPr>
          <w:rtl w:val="0"/>
        </w:rPr>
      </w:r>
    </w:p>
    <w:p w:rsidR="00000000" w:rsidDel="00000000" w:rsidP="00000000" w:rsidRDefault="00000000" w:rsidRPr="00000000" w14:paraId="0000002B">
      <w:pPr>
        <w:rPr>
          <w:rFonts w:ascii="Arial" w:cs="Arial" w:eastAsia="Arial" w:hAnsi="Arial"/>
          <w:b w:val="1"/>
        </w:rPr>
      </w:pPr>
      <w:r w:rsidDel="00000000" w:rsidR="00000000" w:rsidRPr="00000000">
        <w:rPr>
          <w:rtl w:val="0"/>
        </w:rPr>
      </w:r>
    </w:p>
    <w:p w:rsidR="00000000" w:rsidDel="00000000" w:rsidP="00000000" w:rsidRDefault="00000000" w:rsidRPr="00000000" w14:paraId="0000002C">
      <w:pPr>
        <w:rPr>
          <w:rFonts w:ascii="Arial" w:cs="Arial" w:eastAsia="Arial" w:hAnsi="Arial"/>
          <w:b w:val="1"/>
        </w:rPr>
      </w:pPr>
      <w:r w:rsidDel="00000000" w:rsidR="00000000" w:rsidRPr="00000000">
        <w:rPr>
          <w:rtl w:val="0"/>
        </w:rPr>
      </w:r>
    </w:p>
    <w:p w:rsidR="00000000" w:rsidDel="00000000" w:rsidP="00000000" w:rsidRDefault="00000000" w:rsidRPr="00000000" w14:paraId="0000002D">
      <w:pPr>
        <w:rPr>
          <w:rFonts w:ascii="Arial" w:cs="Arial" w:eastAsia="Arial" w:hAnsi="Arial"/>
          <w:b w:val="1"/>
        </w:rPr>
      </w:pPr>
      <w:r w:rsidDel="00000000" w:rsidR="00000000" w:rsidRPr="00000000">
        <w:rPr>
          <w:rtl w:val="0"/>
        </w:rPr>
      </w:r>
    </w:p>
    <w:p w:rsidR="00000000" w:rsidDel="00000000" w:rsidP="00000000" w:rsidRDefault="00000000" w:rsidRPr="00000000" w14:paraId="0000002E">
      <w:pPr>
        <w:rPr>
          <w:rFonts w:ascii="Arial" w:cs="Arial" w:eastAsia="Arial" w:hAnsi="Arial"/>
          <w:b w:val="1"/>
        </w:rPr>
      </w:pPr>
      <w:r w:rsidDel="00000000" w:rsidR="00000000" w:rsidRPr="00000000">
        <w:rPr>
          <w:rtl w:val="0"/>
        </w:rPr>
      </w:r>
    </w:p>
    <w:p w:rsidR="00000000" w:rsidDel="00000000" w:rsidP="00000000" w:rsidRDefault="00000000" w:rsidRPr="00000000" w14:paraId="0000002F">
      <w:pPr>
        <w:rPr>
          <w:rFonts w:ascii="Arial" w:cs="Arial" w:eastAsia="Arial" w:hAnsi="Arial"/>
          <w:b w:val="1"/>
        </w:rPr>
      </w:pPr>
      <w:r w:rsidDel="00000000" w:rsidR="00000000" w:rsidRPr="00000000">
        <w:rPr>
          <w:rtl w:val="0"/>
        </w:rPr>
      </w:r>
    </w:p>
    <w:p w:rsidR="00000000" w:rsidDel="00000000" w:rsidP="00000000" w:rsidRDefault="00000000" w:rsidRPr="00000000" w14:paraId="00000030">
      <w:pPr>
        <w:rPr>
          <w:rFonts w:ascii="Arial" w:cs="Arial" w:eastAsia="Arial" w:hAnsi="Arial"/>
          <w:b w:val="1"/>
        </w:rPr>
      </w:pPr>
      <w:r w:rsidDel="00000000" w:rsidR="00000000" w:rsidRPr="00000000">
        <w:rPr>
          <w:rtl w:val="0"/>
        </w:rPr>
      </w:r>
    </w:p>
    <w:p w:rsidR="00000000" w:rsidDel="00000000" w:rsidP="00000000" w:rsidRDefault="00000000" w:rsidRPr="00000000" w14:paraId="00000031">
      <w:pPr>
        <w:rPr>
          <w:rFonts w:ascii="Arial" w:cs="Arial" w:eastAsia="Arial" w:hAnsi="Arial"/>
          <w:b w:val="1"/>
        </w:rPr>
      </w:pPr>
      <w:r w:rsidDel="00000000" w:rsidR="00000000" w:rsidRPr="00000000">
        <w:rPr>
          <w:rtl w:val="0"/>
        </w:rPr>
      </w:r>
    </w:p>
    <w:p w:rsidR="00000000" w:rsidDel="00000000" w:rsidP="00000000" w:rsidRDefault="00000000" w:rsidRPr="00000000" w14:paraId="00000032">
      <w:pPr>
        <w:rPr>
          <w:rFonts w:ascii="Arial" w:cs="Arial" w:eastAsia="Arial" w:hAnsi="Arial"/>
          <w:b w:val="1"/>
        </w:rPr>
      </w:pPr>
      <w:r w:rsidDel="00000000" w:rsidR="00000000" w:rsidRPr="00000000">
        <w:rPr>
          <w:rtl w:val="0"/>
        </w:rPr>
      </w:r>
    </w:p>
    <w:p w:rsidR="00000000" w:rsidDel="00000000" w:rsidP="00000000" w:rsidRDefault="00000000" w:rsidRPr="00000000" w14:paraId="00000033">
      <w:pPr>
        <w:rPr>
          <w:rFonts w:ascii="Arial" w:cs="Arial" w:eastAsia="Arial" w:hAnsi="Arial"/>
          <w:b w:val="1"/>
        </w:rPr>
      </w:pPr>
      <w:r w:rsidDel="00000000" w:rsidR="00000000" w:rsidRPr="00000000">
        <w:rPr>
          <w:rtl w:val="0"/>
        </w:rPr>
      </w:r>
    </w:p>
    <w:p w:rsidR="00000000" w:rsidDel="00000000" w:rsidP="00000000" w:rsidRDefault="00000000" w:rsidRPr="00000000" w14:paraId="00000034">
      <w:pPr>
        <w:rPr>
          <w:rFonts w:ascii="Arial" w:cs="Arial" w:eastAsia="Arial" w:hAnsi="Arial"/>
          <w:b w:val="1"/>
        </w:rPr>
      </w:pPr>
      <w:r w:rsidDel="00000000" w:rsidR="00000000" w:rsidRPr="00000000">
        <w:rPr>
          <w:rtl w:val="0"/>
        </w:rPr>
      </w:r>
    </w:p>
    <w:p w:rsidR="00000000" w:rsidDel="00000000" w:rsidP="00000000" w:rsidRDefault="00000000" w:rsidRPr="00000000" w14:paraId="00000035">
      <w:pPr>
        <w:rPr>
          <w:rFonts w:ascii="Arial" w:cs="Arial" w:eastAsia="Arial" w:hAnsi="Arial"/>
          <w:b w:val="1"/>
        </w:rPr>
      </w:pPr>
      <w:r w:rsidDel="00000000" w:rsidR="00000000" w:rsidRPr="00000000">
        <w:rPr>
          <w:rtl w:val="0"/>
        </w:rPr>
      </w:r>
    </w:p>
    <w:p w:rsidR="00000000" w:rsidDel="00000000" w:rsidP="00000000" w:rsidRDefault="00000000" w:rsidRPr="00000000" w14:paraId="00000036">
      <w:pPr>
        <w:rPr>
          <w:rFonts w:ascii="Arial" w:cs="Arial" w:eastAsia="Arial" w:hAnsi="Arial"/>
          <w:b w:val="1"/>
        </w:rPr>
      </w:pPr>
      <w:r w:rsidDel="00000000" w:rsidR="00000000" w:rsidRPr="00000000">
        <w:rPr>
          <w:rtl w:val="0"/>
        </w:rPr>
      </w:r>
    </w:p>
    <w:p w:rsidR="00000000" w:rsidDel="00000000" w:rsidP="00000000" w:rsidRDefault="00000000" w:rsidRPr="00000000" w14:paraId="00000037">
      <w:pPr>
        <w:rPr>
          <w:rFonts w:ascii="Arial" w:cs="Arial" w:eastAsia="Arial" w:hAnsi="Arial"/>
          <w:b w:val="1"/>
        </w:rPr>
      </w:pPr>
      <w:r w:rsidDel="00000000" w:rsidR="00000000" w:rsidRPr="00000000">
        <w:rPr>
          <w:rtl w:val="0"/>
        </w:rPr>
      </w:r>
    </w:p>
    <w:p w:rsidR="00000000" w:rsidDel="00000000" w:rsidP="00000000" w:rsidRDefault="00000000" w:rsidRPr="00000000" w14:paraId="00000038">
      <w:pPr>
        <w:rPr>
          <w:rFonts w:ascii="Arial" w:cs="Arial" w:eastAsia="Arial" w:hAnsi="Arial"/>
          <w:b w:val="1"/>
        </w:rPr>
      </w:pPr>
      <w:r w:rsidDel="00000000" w:rsidR="00000000" w:rsidRPr="00000000">
        <w:rPr>
          <w:rtl w:val="0"/>
        </w:rPr>
      </w:r>
    </w:p>
    <w:p w:rsidR="00000000" w:rsidDel="00000000" w:rsidP="00000000" w:rsidRDefault="00000000" w:rsidRPr="00000000" w14:paraId="00000039">
      <w:pPr>
        <w:rPr>
          <w:rFonts w:ascii="Arial" w:cs="Arial" w:eastAsia="Arial" w:hAnsi="Arial"/>
          <w:b w:val="1"/>
        </w:rPr>
      </w:pPr>
      <w:r w:rsidDel="00000000" w:rsidR="00000000" w:rsidRPr="00000000">
        <w:rPr>
          <w:rFonts w:ascii="Arial" w:cs="Arial" w:eastAsia="Arial" w:hAnsi="Arial"/>
          <w:b w:val="1"/>
          <w:rtl w:val="0"/>
        </w:rPr>
        <w:t xml:space="preserve">Assignment Title: Evidence based policing: the tool for problem solving </w:t>
      </w:r>
    </w:p>
    <w:p w:rsidR="00000000" w:rsidDel="00000000" w:rsidP="00000000" w:rsidRDefault="00000000" w:rsidRPr="00000000" w14:paraId="0000003A">
      <w:pPr>
        <w:rPr>
          <w:rFonts w:ascii="Arial" w:cs="Arial" w:eastAsia="Arial" w:hAnsi="Arial"/>
          <w:b w:val="1"/>
        </w:rPr>
      </w:pPr>
      <w:r w:rsidDel="00000000" w:rsidR="00000000" w:rsidRPr="00000000">
        <w:rPr>
          <w:rFonts w:ascii="Arial" w:cs="Arial" w:eastAsia="Arial" w:hAnsi="Arial"/>
          <w:b w:val="1"/>
          <w:rtl w:val="0"/>
        </w:rPr>
        <w:t xml:space="preserve">Introduction </w:t>
      </w:r>
    </w:p>
    <w:p w:rsidR="00000000" w:rsidDel="00000000" w:rsidP="00000000" w:rsidRDefault="00000000" w:rsidRPr="00000000" w14:paraId="0000003B">
      <w:pPr>
        <w:rPr>
          <w:rFonts w:ascii="Arial" w:cs="Arial" w:eastAsia="Arial" w:hAnsi="Arial"/>
          <w:b w:val="1"/>
        </w:rPr>
      </w:pPr>
      <w:r w:rsidDel="00000000" w:rsidR="00000000" w:rsidRPr="00000000">
        <w:rPr>
          <w:rFonts w:ascii="Arial" w:cs="Arial" w:eastAsia="Arial" w:hAnsi="Arial"/>
          <w:rtl w:val="0"/>
        </w:rPr>
        <w:t xml:space="preserve">Instead of relying on instinct or habit, Evidence-Based Policing (EBP) encourages police judgements to be grounded in scientific study and methodical data, says (College of Policing, 2024a). This strategy is in line with "policing by consent" and government initiatives like neighbourhood and hotspot policing in the UK according to (HMICFRS, 2023);(Home Office, 2018). The importance of evidence in police decision-making is examined in this report, along with an analysis of Operation Firefly as a real-world case study and an assessment of the ATLAS model, a digital evidence tool created by the Metropolitan Police. The report's conclusion considers the limitations and real-world effects of EBP in UK law enforcement.</w:t>
      </w:r>
      <w:r w:rsidDel="00000000" w:rsidR="00000000" w:rsidRPr="00000000">
        <w:rPr>
          <w:rtl w:val="0"/>
        </w:rPr>
      </w:r>
    </w:p>
    <w:p w:rsidR="00000000" w:rsidDel="00000000" w:rsidP="00000000" w:rsidRDefault="00000000" w:rsidRPr="00000000" w14:paraId="0000003C">
      <w:pPr>
        <w:rPr>
          <w:rFonts w:ascii="Arial" w:cs="Arial" w:eastAsia="Arial" w:hAnsi="Arial"/>
          <w:b w:val="1"/>
        </w:rPr>
      </w:pPr>
      <w:r w:rsidDel="00000000" w:rsidR="00000000" w:rsidRPr="00000000">
        <w:rPr>
          <w:rFonts w:ascii="Arial" w:cs="Arial" w:eastAsia="Arial" w:hAnsi="Arial"/>
          <w:b w:val="1"/>
          <w:rtl w:val="0"/>
        </w:rPr>
        <w:t xml:space="preserve">Evaluate the importance of using evidence based policing in UK policing  </w:t>
      </w:r>
    </w:p>
    <w:p w:rsidR="00000000" w:rsidDel="00000000" w:rsidP="00000000" w:rsidRDefault="00000000" w:rsidRPr="00000000" w14:paraId="0000003D">
      <w:pPr>
        <w:rPr>
          <w:rFonts w:ascii="Arial" w:cs="Arial" w:eastAsia="Arial" w:hAnsi="Arial"/>
        </w:rPr>
      </w:pPr>
      <w:r w:rsidDel="00000000" w:rsidR="00000000" w:rsidRPr="00000000">
        <w:rPr>
          <w:rFonts w:ascii="Arial" w:cs="Arial" w:eastAsia="Arial" w:hAnsi="Arial"/>
          <w:rtl w:val="0"/>
        </w:rPr>
        <w:t xml:space="preserve">Through efforts run by the Home Office and the College of Policing, EBP has become more popular in UK policing. Data-led preventive strategies are encouraged under the Serious Violence Strategy (Home Office, 2018). Focused foot patrols can reduce violent crime by up to 14%, according to evidence from hotspot policing (College of Policing, 2024b). (Selby-Fell and Newton, 2022) says that  Sherman's Three Ts model Targeting, Testing, and Tracking is reflected in these techniques.</w:t>
      </w:r>
    </w:p>
    <w:p w:rsidR="00000000" w:rsidDel="00000000" w:rsidP="00000000" w:rsidRDefault="00000000" w:rsidRPr="00000000" w14:paraId="0000003E">
      <w:pPr>
        <w:rPr>
          <w:rFonts w:ascii="Arial" w:cs="Arial" w:eastAsia="Arial" w:hAnsi="Arial"/>
        </w:rPr>
      </w:pPr>
      <w:r w:rsidDel="00000000" w:rsidR="00000000" w:rsidRPr="00000000">
        <w:rPr>
          <w:rFonts w:ascii="Arial" w:cs="Arial" w:eastAsia="Arial" w:hAnsi="Arial"/>
          <w:rtl w:val="0"/>
        </w:rPr>
        <w:t xml:space="preserve">In the UK, neighbourhood policing models which have their roots in Goldstein's problem-oriented policing have gained popularity, and parliamentary reviews have confirmed their effectiveness (House of Commons, 2018). This is supported by research from the (College of Policing, 2021), which shows that community involvement and high-visibility patrols lower low-level crime and increase trust. However, (HMICFRS, 2023) points out that different forces' effectiveness varies, with some neighbourhood police officers being assigned to different tasks. This jeopardises the continuity required for intelligence collection and community relations. </w:t>
      </w:r>
    </w:p>
    <w:p w:rsidR="00000000" w:rsidDel="00000000" w:rsidP="00000000" w:rsidRDefault="00000000" w:rsidRPr="00000000" w14:paraId="0000003F">
      <w:pPr>
        <w:rPr>
          <w:rFonts w:ascii="Arial" w:cs="Arial" w:eastAsia="Arial" w:hAnsi="Arial"/>
        </w:rPr>
      </w:pPr>
      <w:r w:rsidDel="00000000" w:rsidR="00000000" w:rsidRPr="00000000">
        <w:rPr>
          <w:rFonts w:ascii="Arial" w:cs="Arial" w:eastAsia="Arial" w:hAnsi="Arial"/>
          <w:rtl w:val="0"/>
        </w:rPr>
        <w:t xml:space="preserve">When the Youth Endowment Fund 2024 assessed stop-and-search strategies, they discovered that they only reduced violence by 5%, while mentoring or hotspot interventions reduced violence by 19–33% (Youth Endowment Fund, 2024).  The Lammy review (Lammy, 2017) called for the transparent and accountable use of data, revealing how the unequal use of police authorities causes mistrust . While the (The Police Foundation, 2017) noted that consistent local policing lowers crime and boosts public confidence, (Watts, 2019) and other researchers point out that the appointment of Police and Crime Commissioners enhanced the evidence agenda. However, (Selby-Fell and Newton, 2022) contend that the institutional culture's preference for quick action over assessment is the reason why many UK officials are still opposed to full EBP use.</w:t>
      </w:r>
    </w:p>
    <w:p w:rsidR="00000000" w:rsidDel="00000000" w:rsidP="00000000" w:rsidRDefault="00000000" w:rsidRPr="00000000" w14:paraId="00000040">
      <w:pPr>
        <w:rPr>
          <w:rFonts w:ascii="Arial" w:cs="Arial" w:eastAsia="Arial" w:hAnsi="Arial"/>
        </w:rPr>
      </w:pPr>
      <w:r w:rsidDel="00000000" w:rsidR="00000000" w:rsidRPr="00000000">
        <w:rPr>
          <w:rtl w:val="0"/>
        </w:rPr>
      </w:r>
    </w:p>
    <w:p w:rsidR="00000000" w:rsidDel="00000000" w:rsidP="00000000" w:rsidRDefault="00000000" w:rsidRPr="00000000" w14:paraId="00000041">
      <w:pPr>
        <w:rPr>
          <w:rFonts w:ascii="Arial" w:cs="Arial" w:eastAsia="Arial" w:hAnsi="Arial"/>
          <w:b w:val="1"/>
        </w:rPr>
      </w:pPr>
      <w:r w:rsidDel="00000000" w:rsidR="00000000" w:rsidRPr="00000000">
        <w:rPr>
          <w:rFonts w:ascii="Arial" w:cs="Arial" w:eastAsia="Arial" w:hAnsi="Arial"/>
          <w:b w:val="1"/>
          <w:rtl w:val="0"/>
        </w:rPr>
        <w:t xml:space="preserve">Evaluate the  ATLAS model</w:t>
      </w:r>
    </w:p>
    <w:p w:rsidR="00000000" w:rsidDel="00000000" w:rsidP="00000000" w:rsidRDefault="00000000" w:rsidRPr="00000000" w14:paraId="00000042">
      <w:pPr>
        <w:rPr>
          <w:rFonts w:ascii="Arial" w:cs="Arial" w:eastAsia="Arial" w:hAnsi="Arial"/>
        </w:rPr>
      </w:pPr>
      <w:r w:rsidDel="00000000" w:rsidR="00000000" w:rsidRPr="00000000">
        <w:rPr>
          <w:rFonts w:ascii="Arial" w:cs="Arial" w:eastAsia="Arial" w:hAnsi="Arial"/>
          <w:rtl w:val="0"/>
        </w:rPr>
        <w:t xml:space="preserve">In 2023, the Metropolitan Police introduced the ATLAS model, a digital investigation approach for situations involving stalking. It enhances digital evidence management and reduces case length through a four-phase approach: triage, retrieve, evaluate, and evidence (HMICFRS, 2019). Pilots revealed a 59% charge rate and an average case time reduction to 31 days. One of ATLAS's advantages is its consistent and structured building design, which fits with the Testing and Tracking elements of EBP (Selby-Fell and Newton, 2022). By emphasising digital triage, it facilitates effective case development, which benefits victims and raises conviction rates (HMICFRS, 2019) .</w:t>
      </w:r>
    </w:p>
    <w:p w:rsidR="00000000" w:rsidDel="00000000" w:rsidP="00000000" w:rsidRDefault="00000000" w:rsidRPr="00000000" w14:paraId="00000043">
      <w:pPr>
        <w:rPr>
          <w:rFonts w:ascii="Arial" w:cs="Arial" w:eastAsia="Arial" w:hAnsi="Arial"/>
        </w:rPr>
      </w:pPr>
      <w:r w:rsidDel="00000000" w:rsidR="00000000" w:rsidRPr="00000000">
        <w:rPr>
          <w:rFonts w:ascii="Arial" w:cs="Arial" w:eastAsia="Arial" w:hAnsi="Arial"/>
          <w:rtl w:val="0"/>
        </w:rPr>
        <w:t xml:space="preserve">But there are restrictions. Results may be jeopardised by insufficient data or technical errors. Due to financial or personal limitations, many smaller forces are unable to replicate ATLAS (HMICFRS, 2023). Additionally, relying too much on digital data may  eliminate community perspectives and jeopardise their legitimacy (Commission on Race and Ethnic Disparities, 2021). Strict compliance with legislative frameworks is necessary to address ethical issues, especially those related to data protection and surveillance. Overly technical techniques may overlook the "human" elements of victim care and community safety, according to the (The Police Foundation, 2017). Digital literacy, inter-agency collaboration, and officer training are still essential (Commission on Race and Ethnic Disparities, 2021).</w:t>
      </w:r>
    </w:p>
    <w:p w:rsidR="00000000" w:rsidDel="00000000" w:rsidP="00000000" w:rsidRDefault="00000000" w:rsidRPr="00000000" w14:paraId="00000044">
      <w:pPr>
        <w:rPr>
          <w:rFonts w:ascii="Arial" w:cs="Arial" w:eastAsia="Arial" w:hAnsi="Arial"/>
          <w:b w:val="1"/>
          <w:u w:val="none"/>
        </w:rPr>
      </w:pPr>
      <w:r w:rsidDel="00000000" w:rsidR="00000000" w:rsidRPr="00000000">
        <w:rPr>
          <w:rFonts w:ascii="Arial" w:cs="Arial" w:eastAsia="Arial" w:hAnsi="Arial"/>
          <w:b w:val="1"/>
          <w:u w:val="none"/>
          <w:rtl w:val="0"/>
        </w:rPr>
        <w:t xml:space="preserve">Real case scenario on evidence-based policing </w:t>
      </w:r>
    </w:p>
    <w:p w:rsidR="00000000" w:rsidDel="00000000" w:rsidP="00000000" w:rsidRDefault="00000000" w:rsidRPr="00000000" w14:paraId="00000045">
      <w:pPr>
        <w:rPr>
          <w:rFonts w:ascii="Arial" w:cs="Arial" w:eastAsia="Arial" w:hAnsi="Arial"/>
        </w:rPr>
      </w:pPr>
      <w:r w:rsidDel="00000000" w:rsidR="00000000" w:rsidRPr="00000000">
        <w:rPr>
          <w:rFonts w:ascii="Arial" w:cs="Arial" w:eastAsia="Arial" w:hAnsi="Arial"/>
          <w:rtl w:val="0"/>
        </w:rPr>
        <w:t xml:space="preserve">Operation Firefly by Greater Manchester Police (GMP) is a powerful illustration of how Evidence-Based Policing (EBP) may be used to address severe violence. Developed in response to an increase in gun-related crime, the operation identified and targeted important persons involved in firearms offences using criminal profiling, gang affiliation mapping, and intelligence-led tactics (HMICFRS, 2023). In accordance with the Three Ts framework targeting, testing, and tracking, GMP implemented a multi-agency strategy that prioritised preventive and rehabilitation in addition to enforcement (Selby-Fell and Newton, 2022). In an effort to break the cycle of crime and lessen vulnerability among at-risk kids, police worked closely with local stakeholders, such as housing authorities, educational institutions, and youth services, to address the underlying societal drivers of gang membership (Home Office, 2018).</w:t>
      </w:r>
    </w:p>
    <w:p w:rsidR="00000000" w:rsidDel="00000000" w:rsidP="00000000" w:rsidRDefault="00000000" w:rsidRPr="00000000" w14:paraId="00000046">
      <w:pPr>
        <w:rPr>
          <w:rFonts w:ascii="Arial" w:cs="Arial" w:eastAsia="Arial" w:hAnsi="Arial"/>
        </w:rPr>
      </w:pPr>
      <w:r w:rsidDel="00000000" w:rsidR="00000000" w:rsidRPr="00000000">
        <w:rPr>
          <w:rFonts w:ascii="Arial" w:cs="Arial" w:eastAsia="Arial" w:hAnsi="Arial"/>
          <w:rtl w:val="0"/>
        </w:rPr>
        <w:t xml:space="preserve">Assessments conducted after the operation showed a noticeable rise in police-community trust, a significant decrease in weapons offences, and an increase in the arrest of high-risk persons (HMICFRS, 2023). This result confirms the hypothesis of Hohl et al., as stated in (Myhill, Hohl, and Johnson, 2023), that transparent, equitable, and inclusive policing tactics promote group effectiveness and improve community involvement. Involving local agencies and taking a rehabilitative rather than a punitive stance, Operation Firefly contributed to a change in the communities it served regarding the legitimacy and efficacy of the police. </w:t>
      </w:r>
    </w:p>
    <w:p w:rsidR="00000000" w:rsidDel="00000000" w:rsidP="00000000" w:rsidRDefault="00000000" w:rsidRPr="00000000" w14:paraId="00000047">
      <w:pPr>
        <w:rPr>
          <w:rFonts w:ascii="Arial" w:cs="Arial" w:eastAsia="Arial" w:hAnsi="Arial"/>
        </w:rPr>
      </w:pPr>
      <w:r w:rsidDel="00000000" w:rsidR="00000000" w:rsidRPr="00000000">
        <w:rPr>
          <w:rFonts w:ascii="Arial" w:cs="Arial" w:eastAsia="Arial" w:hAnsi="Arial"/>
          <w:rtl w:val="0"/>
        </w:rPr>
        <w:t xml:space="preserve">Even while the procedure shows the promise of EBP, there are still a lot of constraints. The responsibility of enforcement alone cannot address structural problems like poverty, social isolation, and family dissolution, which are major causes of gang recruitment. According to (Lammy, 2017), GMP included community supervision into the operation to allay worries about police abuse of authority and guarantee responsibility in its application. However, maintaining this equilibrium consistently across diverse geographies is challenging. Disparities in representation and trust among impacted communities can jeopardise the long-term viability of such programs, claim (Hanway and Hambly, 2023).</w:t>
      </w:r>
    </w:p>
    <w:p w:rsidR="00000000" w:rsidDel="00000000" w:rsidP="00000000" w:rsidRDefault="00000000" w:rsidRPr="00000000" w14:paraId="00000048">
      <w:pPr>
        <w:rPr>
          <w:rFonts w:ascii="Arial" w:cs="Arial" w:eastAsia="Arial" w:hAnsi="Arial"/>
        </w:rPr>
      </w:pPr>
      <w:r w:rsidDel="00000000" w:rsidR="00000000" w:rsidRPr="00000000">
        <w:rPr>
          <w:rFonts w:ascii="Arial" w:cs="Arial" w:eastAsia="Arial" w:hAnsi="Arial"/>
          <w:rtl w:val="0"/>
        </w:rPr>
        <w:t xml:space="preserve">Furthermore, the uneven allocation of funds and resources among police departments limits Operation Firefly's scalability. Smaller or rural forces frequently lack the organisational culture, research collaborations, and analytical skills necessary to support such innovation, whereas well-resourced departments like the Metropolitan Police have effectively incorporated EBP into their practices (HMICFRS, 2023). (Palmer, Kirby, and Coleman, 2019) discovered that while frontline officers are generally in favour of EBP, many of them feel unprepared to understand and use academic research, which makes adoption much more difficult. In summary, even though Operation Firefly demonstrates how effective EBP is at addressing severe violence through focused teamwork, its long-term viability and replication hinge on tackling more significant social injustices, funding officer training, and guaranteeing steady national support for evidence-based practices.</w:t>
      </w:r>
    </w:p>
    <w:p w:rsidR="00000000" w:rsidDel="00000000" w:rsidP="00000000" w:rsidRDefault="00000000" w:rsidRPr="00000000" w14:paraId="00000049">
      <w:pPr>
        <w:rPr>
          <w:rFonts w:ascii="Arial" w:cs="Arial" w:eastAsia="Arial" w:hAnsi="Arial"/>
          <w:b w:val="1"/>
          <w:u w:val="none"/>
        </w:rPr>
      </w:pPr>
      <w:r w:rsidDel="00000000" w:rsidR="00000000" w:rsidRPr="00000000">
        <w:rPr>
          <w:rFonts w:ascii="Arial" w:cs="Arial" w:eastAsia="Arial" w:hAnsi="Arial"/>
          <w:b w:val="1"/>
          <w:u w:val="none"/>
          <w:rtl w:val="0"/>
        </w:rPr>
        <w:t xml:space="preserve">Conclusion </w:t>
      </w:r>
    </w:p>
    <w:p w:rsidR="00000000" w:rsidDel="00000000" w:rsidP="00000000" w:rsidRDefault="00000000" w:rsidRPr="00000000" w14:paraId="0000004A">
      <w:pPr>
        <w:rPr>
          <w:rFonts w:ascii="Arial" w:cs="Arial" w:eastAsia="Arial" w:hAnsi="Arial"/>
          <w:u w:val="none"/>
        </w:rPr>
      </w:pPr>
      <w:r w:rsidDel="00000000" w:rsidR="00000000" w:rsidRPr="00000000">
        <w:rPr>
          <w:rFonts w:ascii="Arial" w:cs="Arial" w:eastAsia="Arial" w:hAnsi="Arial"/>
          <w:rtl w:val="0"/>
        </w:rPr>
        <w:t xml:space="preserve">EBP has become a crucial model for modern UK policing, exchanging focused, responsible, and evaluative techniques for reactive models. The ATLAS model demonstrates how properly formatted digital evidence may speed up casework and enhance results. Operation Firefly shows how intelligence-led, multi-agency, and community-focused efforts can be used to minimise significant violence through EBP. But there are still difficulties. The sustainable use of EBP is impacted by financing problems, ethical issues, data unfairness, and cultural opposing views. Introducing EBP into UK policing practice will require developing long-term capability in evaluation, data administration, and community engagement. To ensure that policing becomes not just more successful but also more equal and legitimate, organisations like the College of Policing and HMICFRS must keep supporting, evaluating, and training forces.</w:t>
      </w:r>
      <w:r w:rsidDel="00000000" w:rsidR="00000000" w:rsidRPr="00000000">
        <w:rPr>
          <w:rtl w:val="0"/>
        </w:rPr>
      </w:r>
    </w:p>
    <w:p w:rsidR="00000000" w:rsidDel="00000000" w:rsidP="00000000" w:rsidRDefault="00000000" w:rsidRPr="00000000" w14:paraId="0000004B">
      <w:pPr>
        <w:rPr>
          <w:rFonts w:ascii="Arial" w:cs="Arial" w:eastAsia="Arial" w:hAnsi="Arial"/>
          <w:u w:val="none"/>
        </w:rPr>
      </w:pPr>
      <w:r w:rsidDel="00000000" w:rsidR="00000000" w:rsidRPr="00000000">
        <w:rPr>
          <w:rtl w:val="0"/>
        </w:rPr>
      </w:r>
    </w:p>
    <w:p w:rsidR="00000000" w:rsidDel="00000000" w:rsidP="00000000" w:rsidRDefault="00000000" w:rsidRPr="00000000" w14:paraId="0000004C">
      <w:pPr>
        <w:rPr>
          <w:rFonts w:ascii="Arial" w:cs="Arial" w:eastAsia="Arial" w:hAnsi="Arial"/>
          <w:u w:val="none"/>
        </w:rPr>
      </w:pPr>
      <w:r w:rsidDel="00000000" w:rsidR="00000000" w:rsidRPr="00000000">
        <w:rPr>
          <w:rtl w:val="0"/>
        </w:rPr>
      </w:r>
    </w:p>
    <w:p w:rsidR="00000000" w:rsidDel="00000000" w:rsidP="00000000" w:rsidRDefault="00000000" w:rsidRPr="00000000" w14:paraId="0000004D">
      <w:pPr>
        <w:rPr>
          <w:rFonts w:ascii="Arial" w:cs="Arial" w:eastAsia="Arial" w:hAnsi="Arial"/>
          <w:u w:val="none"/>
        </w:rPr>
      </w:pPr>
      <w:r w:rsidDel="00000000" w:rsidR="00000000" w:rsidRPr="00000000">
        <w:rPr>
          <w:rtl w:val="0"/>
        </w:rPr>
      </w:r>
    </w:p>
    <w:p w:rsidR="00000000" w:rsidDel="00000000" w:rsidP="00000000" w:rsidRDefault="00000000" w:rsidRPr="00000000" w14:paraId="0000004E">
      <w:pPr>
        <w:rPr>
          <w:rFonts w:ascii="Arial" w:cs="Arial" w:eastAsia="Arial" w:hAnsi="Arial"/>
          <w:u w:val="none"/>
        </w:rPr>
      </w:pPr>
      <w:r w:rsidDel="00000000" w:rsidR="00000000" w:rsidRPr="00000000">
        <w:rPr>
          <w:rtl w:val="0"/>
        </w:rPr>
      </w:r>
    </w:p>
    <w:p w:rsidR="00000000" w:rsidDel="00000000" w:rsidP="00000000" w:rsidRDefault="00000000" w:rsidRPr="00000000" w14:paraId="0000004F">
      <w:pPr>
        <w:rPr>
          <w:rFonts w:ascii="Arial" w:cs="Arial" w:eastAsia="Arial" w:hAnsi="Arial"/>
          <w:u w:val="none"/>
        </w:rPr>
      </w:pPr>
      <w:r w:rsidDel="00000000" w:rsidR="00000000" w:rsidRPr="00000000">
        <w:rPr>
          <w:rtl w:val="0"/>
        </w:rPr>
      </w:r>
    </w:p>
    <w:p w:rsidR="00000000" w:rsidDel="00000000" w:rsidP="00000000" w:rsidRDefault="00000000" w:rsidRPr="00000000" w14:paraId="00000050">
      <w:pPr>
        <w:rPr>
          <w:rFonts w:ascii="Arial" w:cs="Arial" w:eastAsia="Arial" w:hAnsi="Arial"/>
        </w:rPr>
      </w:pPr>
      <w:r w:rsidDel="00000000" w:rsidR="00000000" w:rsidRPr="00000000">
        <w:rPr>
          <w:rtl w:val="0"/>
        </w:rPr>
      </w:r>
    </w:p>
    <w:p w:rsidR="00000000" w:rsidDel="00000000" w:rsidP="00000000" w:rsidRDefault="00000000" w:rsidRPr="00000000" w14:paraId="00000051">
      <w:pPr>
        <w:rPr>
          <w:rFonts w:ascii="Arial" w:cs="Arial" w:eastAsia="Arial" w:hAnsi="Arial"/>
        </w:rPr>
      </w:pPr>
      <w:r w:rsidDel="00000000" w:rsidR="00000000" w:rsidRPr="00000000">
        <w:rPr>
          <w:rtl w:val="0"/>
        </w:rPr>
      </w:r>
    </w:p>
    <w:p w:rsidR="00000000" w:rsidDel="00000000" w:rsidP="00000000" w:rsidRDefault="00000000" w:rsidRPr="00000000" w14:paraId="00000052">
      <w:pPr>
        <w:rPr>
          <w:rFonts w:ascii="Arial" w:cs="Arial" w:eastAsia="Arial" w:hAnsi="Arial"/>
          <w:b w:val="1"/>
        </w:rPr>
      </w:pPr>
      <w:r w:rsidDel="00000000" w:rsidR="00000000" w:rsidRPr="00000000">
        <w:rPr>
          <w:rFonts w:ascii="Arial" w:cs="Arial" w:eastAsia="Arial" w:hAnsi="Arial"/>
          <w:b w:val="1"/>
          <w:rtl w:val="0"/>
        </w:rPr>
        <w:t xml:space="preserve">             </w:t>
      </w:r>
    </w:p>
    <w:p w:rsidR="00000000" w:rsidDel="00000000" w:rsidP="00000000" w:rsidRDefault="00000000" w:rsidRPr="00000000" w14:paraId="00000053">
      <w:pPr>
        <w:rPr>
          <w:rFonts w:ascii="Arial" w:cs="Arial" w:eastAsia="Arial" w:hAnsi="Arial"/>
          <w:b w:val="1"/>
        </w:rPr>
      </w:pPr>
      <w:r w:rsidDel="00000000" w:rsidR="00000000" w:rsidRPr="00000000">
        <w:rPr>
          <w:rtl w:val="0"/>
        </w:rPr>
      </w:r>
    </w:p>
    <w:p w:rsidR="00000000" w:rsidDel="00000000" w:rsidP="00000000" w:rsidRDefault="00000000" w:rsidRPr="00000000" w14:paraId="00000054">
      <w:pPr>
        <w:rPr>
          <w:rFonts w:ascii="Arial" w:cs="Arial" w:eastAsia="Arial" w:hAnsi="Arial"/>
          <w:b w:val="1"/>
        </w:rPr>
      </w:pPr>
      <w:r w:rsidDel="00000000" w:rsidR="00000000" w:rsidRPr="00000000">
        <w:rPr>
          <w:rtl w:val="0"/>
        </w:rPr>
      </w:r>
    </w:p>
    <w:p w:rsidR="00000000" w:rsidDel="00000000" w:rsidP="00000000" w:rsidRDefault="00000000" w:rsidRPr="00000000" w14:paraId="00000055">
      <w:pPr>
        <w:rPr>
          <w:rFonts w:ascii="Arial" w:cs="Arial" w:eastAsia="Arial" w:hAnsi="Arial"/>
          <w:b w:val="1"/>
        </w:rPr>
      </w:pPr>
      <w:r w:rsidDel="00000000" w:rsidR="00000000" w:rsidRPr="00000000">
        <w:rPr>
          <w:rtl w:val="0"/>
        </w:rPr>
      </w:r>
    </w:p>
    <w:p w:rsidR="00000000" w:rsidDel="00000000" w:rsidP="00000000" w:rsidRDefault="00000000" w:rsidRPr="00000000" w14:paraId="00000056">
      <w:pPr>
        <w:rPr>
          <w:rFonts w:ascii="Arial" w:cs="Arial" w:eastAsia="Arial" w:hAnsi="Arial"/>
          <w:b w:val="1"/>
        </w:rPr>
      </w:pPr>
      <w:r w:rsidDel="00000000" w:rsidR="00000000" w:rsidRPr="00000000">
        <w:rPr>
          <w:rtl w:val="0"/>
        </w:rPr>
      </w:r>
    </w:p>
    <w:p w:rsidR="00000000" w:rsidDel="00000000" w:rsidP="00000000" w:rsidRDefault="00000000" w:rsidRPr="00000000" w14:paraId="00000057">
      <w:pPr>
        <w:rPr>
          <w:rFonts w:ascii="Arial" w:cs="Arial" w:eastAsia="Arial" w:hAnsi="Arial"/>
          <w:b w:val="1"/>
        </w:rPr>
      </w:pPr>
      <w:r w:rsidDel="00000000" w:rsidR="00000000" w:rsidRPr="00000000">
        <w:rPr>
          <w:rtl w:val="0"/>
        </w:rPr>
      </w:r>
    </w:p>
    <w:p w:rsidR="00000000" w:rsidDel="00000000" w:rsidP="00000000" w:rsidRDefault="00000000" w:rsidRPr="00000000" w14:paraId="00000058">
      <w:pPr>
        <w:rPr>
          <w:rFonts w:ascii="Arial" w:cs="Arial" w:eastAsia="Arial" w:hAnsi="Arial"/>
          <w:b w:val="1"/>
        </w:rPr>
      </w:pPr>
      <w:r w:rsidDel="00000000" w:rsidR="00000000" w:rsidRPr="00000000">
        <w:rPr>
          <w:rtl w:val="0"/>
        </w:rPr>
      </w:r>
    </w:p>
    <w:p w:rsidR="00000000" w:rsidDel="00000000" w:rsidP="00000000" w:rsidRDefault="00000000" w:rsidRPr="00000000" w14:paraId="00000059">
      <w:pPr>
        <w:rPr>
          <w:rFonts w:ascii="Arial" w:cs="Arial" w:eastAsia="Arial" w:hAnsi="Arial"/>
          <w:b w:val="1"/>
        </w:rPr>
      </w:pPr>
      <w:r w:rsidDel="00000000" w:rsidR="00000000" w:rsidRPr="00000000">
        <w:rPr>
          <w:rtl w:val="0"/>
        </w:rPr>
      </w:r>
    </w:p>
    <w:p w:rsidR="00000000" w:rsidDel="00000000" w:rsidP="00000000" w:rsidRDefault="00000000" w:rsidRPr="00000000" w14:paraId="0000005A">
      <w:pPr>
        <w:rPr>
          <w:rFonts w:ascii="Times New Roman" w:cs="Times New Roman" w:eastAsia="Times New Roman" w:hAnsi="Times New Roman"/>
          <w:b w:val="1"/>
          <w:color w:val="000000"/>
          <w:sz w:val="36"/>
          <w:szCs w:val="36"/>
        </w:rPr>
      </w:pP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b w:val="1"/>
          <w:u w:val="none"/>
          <w:rtl w:val="0"/>
        </w:rPr>
        <w:t xml:space="preserve">Reference</w:t>
      </w:r>
      <w:r w:rsidDel="00000000" w:rsidR="00000000" w:rsidRPr="00000000">
        <w:rPr>
          <w:rFonts w:ascii="Arial" w:cs="Arial" w:eastAsia="Arial" w:hAnsi="Arial"/>
          <w:b w:val="1"/>
          <w:rtl w:val="0"/>
        </w:rPr>
        <w:t xml:space="preserve"> list</w:t>
      </w:r>
      <w:r w:rsidDel="00000000" w:rsidR="00000000" w:rsidRPr="00000000">
        <w:rPr>
          <w:rtl w:val="0"/>
        </w:rPr>
      </w:r>
    </w:p>
    <w:p w:rsidR="00000000" w:rsidDel="00000000" w:rsidP="00000000" w:rsidRDefault="00000000" w:rsidRPr="00000000" w14:paraId="0000005B">
      <w:pPr>
        <w:numPr>
          <w:ilvl w:val="0"/>
          <w:numId w:val="1"/>
        </w:numPr>
        <w:spacing w:after="0" w:afterAutospacing="0" w:line="360" w:lineRule="auto"/>
        <w:ind w:left="720" w:hanging="360"/>
        <w:rPr>
          <w:rFonts w:ascii="Arial" w:cs="Arial" w:eastAsia="Arial" w:hAnsi="Arial"/>
        </w:rPr>
      </w:pPr>
      <w:r w:rsidDel="00000000" w:rsidR="00000000" w:rsidRPr="00000000">
        <w:rPr>
          <w:rFonts w:ascii="Arial" w:cs="Arial" w:eastAsia="Arial" w:hAnsi="Arial"/>
          <w:rtl w:val="0"/>
        </w:rPr>
        <w:t xml:space="preserve">College of Policing (2021). </w:t>
      </w:r>
      <w:r w:rsidDel="00000000" w:rsidR="00000000" w:rsidRPr="00000000">
        <w:rPr>
          <w:rFonts w:ascii="Arial" w:cs="Arial" w:eastAsia="Arial" w:hAnsi="Arial"/>
          <w:i w:val="1"/>
          <w:rtl w:val="0"/>
        </w:rPr>
        <w:t xml:space="preserve">Research</w:t>
      </w:r>
      <w:r w:rsidDel="00000000" w:rsidR="00000000" w:rsidRPr="00000000">
        <w:rPr>
          <w:rFonts w:ascii="Arial" w:cs="Arial" w:eastAsia="Arial" w:hAnsi="Arial"/>
          <w:rtl w:val="0"/>
        </w:rPr>
        <w:t xml:space="preserve">. [online] College of Policing. Available at: https://www.college.police.uk/research [Accessed 30 Nov. 2021].</w:t>
      </w:r>
    </w:p>
    <w:p w:rsidR="00000000" w:rsidDel="00000000" w:rsidP="00000000" w:rsidRDefault="00000000" w:rsidRPr="00000000" w14:paraId="0000005C">
      <w:pPr>
        <w:numPr>
          <w:ilvl w:val="0"/>
          <w:numId w:val="1"/>
        </w:numPr>
        <w:spacing w:after="0" w:afterAutospacing="0" w:line="360" w:lineRule="auto"/>
        <w:ind w:left="720" w:hanging="360"/>
        <w:rPr>
          <w:rFonts w:ascii="Arial" w:cs="Arial" w:eastAsia="Arial" w:hAnsi="Arial"/>
        </w:rPr>
      </w:pPr>
      <w:r w:rsidDel="00000000" w:rsidR="00000000" w:rsidRPr="00000000">
        <w:rPr>
          <w:rFonts w:ascii="Arial" w:cs="Arial" w:eastAsia="Arial" w:hAnsi="Arial"/>
          <w:rtl w:val="0"/>
        </w:rPr>
        <w:t xml:space="preserve">College of Policing (2024a). </w:t>
      </w:r>
      <w:r w:rsidDel="00000000" w:rsidR="00000000" w:rsidRPr="00000000">
        <w:rPr>
          <w:rFonts w:ascii="Arial" w:cs="Arial" w:eastAsia="Arial" w:hAnsi="Arial"/>
          <w:i w:val="1"/>
          <w:rtl w:val="0"/>
        </w:rPr>
        <w:t xml:space="preserve">Evidence-based policing</w:t>
      </w:r>
      <w:r w:rsidDel="00000000" w:rsidR="00000000" w:rsidRPr="00000000">
        <w:rPr>
          <w:rFonts w:ascii="Arial" w:cs="Arial" w:eastAsia="Arial" w:hAnsi="Arial"/>
          <w:rtl w:val="0"/>
        </w:rPr>
        <w:t xml:space="preserve">. [online] College of Policing. Available at: https://www.college.police.uk/research/evidence-based-policing-EBP.</w:t>
      </w:r>
    </w:p>
    <w:p w:rsidR="00000000" w:rsidDel="00000000" w:rsidP="00000000" w:rsidRDefault="00000000" w:rsidRPr="00000000" w14:paraId="0000005D">
      <w:pPr>
        <w:numPr>
          <w:ilvl w:val="0"/>
          <w:numId w:val="1"/>
        </w:numPr>
        <w:spacing w:after="0" w:afterAutospacing="0" w:line="360" w:lineRule="auto"/>
        <w:ind w:left="720" w:hanging="360"/>
        <w:rPr>
          <w:rFonts w:ascii="Arial" w:cs="Arial" w:eastAsia="Arial" w:hAnsi="Arial"/>
        </w:rPr>
      </w:pPr>
      <w:r w:rsidDel="00000000" w:rsidR="00000000" w:rsidRPr="00000000">
        <w:rPr>
          <w:rFonts w:ascii="Arial" w:cs="Arial" w:eastAsia="Arial" w:hAnsi="Arial"/>
          <w:rtl w:val="0"/>
        </w:rPr>
        <w:t xml:space="preserve">College of Policing (2024b). </w:t>
      </w:r>
      <w:r w:rsidDel="00000000" w:rsidR="00000000" w:rsidRPr="00000000">
        <w:rPr>
          <w:rFonts w:ascii="Arial" w:cs="Arial" w:eastAsia="Arial" w:hAnsi="Arial"/>
          <w:i w:val="1"/>
          <w:rtl w:val="0"/>
        </w:rPr>
        <w:t xml:space="preserve">Serious violence hot spots policing guide | College of Policing</w:t>
      </w:r>
      <w:r w:rsidDel="00000000" w:rsidR="00000000" w:rsidRPr="00000000">
        <w:rPr>
          <w:rFonts w:ascii="Arial" w:cs="Arial" w:eastAsia="Arial" w:hAnsi="Arial"/>
          <w:rtl w:val="0"/>
        </w:rPr>
        <w:t xml:space="preserve">. [online] www.college.police.uk. Available at: https://www.college.police.uk/guidance/serious-violence-hot-spots-policing-guide.</w:t>
      </w:r>
    </w:p>
    <w:p w:rsidR="00000000" w:rsidDel="00000000" w:rsidP="00000000" w:rsidRDefault="00000000" w:rsidRPr="00000000" w14:paraId="0000005E">
      <w:pPr>
        <w:numPr>
          <w:ilvl w:val="0"/>
          <w:numId w:val="1"/>
        </w:numPr>
        <w:spacing w:after="0" w:afterAutospacing="0" w:line="360" w:lineRule="auto"/>
        <w:ind w:left="720" w:hanging="360"/>
        <w:rPr>
          <w:rFonts w:ascii="Arial" w:cs="Arial" w:eastAsia="Arial" w:hAnsi="Arial"/>
        </w:rPr>
      </w:pPr>
      <w:r w:rsidDel="00000000" w:rsidR="00000000" w:rsidRPr="00000000">
        <w:rPr>
          <w:rFonts w:ascii="Arial" w:cs="Arial" w:eastAsia="Arial" w:hAnsi="Arial"/>
          <w:rtl w:val="0"/>
        </w:rPr>
        <w:t xml:space="preserve">Commission on Race and Ethnic Disparities (2021). </w:t>
      </w:r>
      <w:r w:rsidDel="00000000" w:rsidR="00000000" w:rsidRPr="00000000">
        <w:rPr>
          <w:rFonts w:ascii="Arial" w:cs="Arial" w:eastAsia="Arial" w:hAnsi="Arial"/>
          <w:i w:val="1"/>
          <w:rtl w:val="0"/>
        </w:rPr>
        <w:t xml:space="preserve">The report of the Commission on Race and Ethnic Disparities</w:t>
      </w:r>
      <w:r w:rsidDel="00000000" w:rsidR="00000000" w:rsidRPr="00000000">
        <w:rPr>
          <w:rFonts w:ascii="Arial" w:cs="Arial" w:eastAsia="Arial" w:hAnsi="Arial"/>
          <w:rtl w:val="0"/>
        </w:rPr>
        <w:t xml:space="preserve">. [online] GOV.UK. Available at: https://www.gov.uk/government/publications/the-report-of-the-commission-on-race-and-ethnic-disparities.</w:t>
      </w:r>
    </w:p>
    <w:p w:rsidR="00000000" w:rsidDel="00000000" w:rsidP="00000000" w:rsidRDefault="00000000" w:rsidRPr="00000000" w14:paraId="0000005F">
      <w:pPr>
        <w:numPr>
          <w:ilvl w:val="0"/>
          <w:numId w:val="1"/>
        </w:numPr>
        <w:spacing w:after="0" w:afterAutospacing="0" w:line="360" w:lineRule="auto"/>
        <w:ind w:left="720" w:hanging="360"/>
        <w:rPr>
          <w:rFonts w:ascii="Arial" w:cs="Arial" w:eastAsia="Arial" w:hAnsi="Arial"/>
        </w:rPr>
      </w:pPr>
      <w:r w:rsidDel="00000000" w:rsidR="00000000" w:rsidRPr="00000000">
        <w:rPr>
          <w:rFonts w:ascii="Arial" w:cs="Arial" w:eastAsia="Arial" w:hAnsi="Arial"/>
          <w:rtl w:val="0"/>
        </w:rPr>
        <w:t xml:space="preserve">Hanway, P. and Hambly, O. (2023). </w:t>
      </w:r>
      <w:r w:rsidDel="00000000" w:rsidR="00000000" w:rsidRPr="00000000">
        <w:rPr>
          <w:rFonts w:ascii="Arial" w:cs="Arial" w:eastAsia="Arial" w:hAnsi="Arial"/>
          <w:i w:val="1"/>
          <w:rtl w:val="0"/>
        </w:rPr>
        <w:t xml:space="preserve">Public perceptions of policing: A review of research and literature</w:t>
      </w:r>
      <w:r w:rsidDel="00000000" w:rsidR="00000000" w:rsidRPr="00000000">
        <w:rPr>
          <w:rFonts w:ascii="Arial" w:cs="Arial" w:eastAsia="Arial" w:hAnsi="Arial"/>
          <w:rtl w:val="0"/>
        </w:rPr>
        <w:t xml:space="preserve">. [online] GOV.UK. Available at: https://www.gov.uk/government/publications/public-perceptions-of-policing-a-review-of-research-and-literature/public-perceptions-of-policing-a-review-of-research-and-literature.</w:t>
      </w:r>
    </w:p>
    <w:p w:rsidR="00000000" w:rsidDel="00000000" w:rsidP="00000000" w:rsidRDefault="00000000" w:rsidRPr="00000000" w14:paraId="00000060">
      <w:pPr>
        <w:numPr>
          <w:ilvl w:val="0"/>
          <w:numId w:val="1"/>
        </w:numPr>
        <w:spacing w:after="0" w:afterAutospacing="0" w:line="360" w:lineRule="auto"/>
        <w:ind w:left="720" w:hanging="360"/>
        <w:rPr>
          <w:rFonts w:ascii="Arial" w:cs="Arial" w:eastAsia="Arial" w:hAnsi="Arial"/>
        </w:rPr>
      </w:pPr>
      <w:r w:rsidDel="00000000" w:rsidR="00000000" w:rsidRPr="00000000">
        <w:rPr>
          <w:rFonts w:ascii="Arial" w:cs="Arial" w:eastAsia="Arial" w:hAnsi="Arial"/>
          <w:rtl w:val="0"/>
        </w:rPr>
        <w:t xml:space="preserve">HMICFRS (2019). </w:t>
      </w:r>
      <w:r w:rsidDel="00000000" w:rsidR="00000000" w:rsidRPr="00000000">
        <w:rPr>
          <w:rFonts w:ascii="Arial" w:cs="Arial" w:eastAsia="Arial" w:hAnsi="Arial"/>
          <w:i w:val="1"/>
          <w:rtl w:val="0"/>
        </w:rPr>
        <w:t xml:space="preserve">The police response to stalking - His Majesty’s Inspectorate of Constabulary and Fire &amp; Rescue Services</w:t>
      </w:r>
      <w:r w:rsidDel="00000000" w:rsidR="00000000" w:rsidRPr="00000000">
        <w:rPr>
          <w:rFonts w:ascii="Arial" w:cs="Arial" w:eastAsia="Arial" w:hAnsi="Arial"/>
          <w:rtl w:val="0"/>
        </w:rPr>
        <w:t xml:space="preserve">. [online] His Majesty’s Inspectorate of Constabulary and Fire &amp; Rescue Services. Available at: https://hmicfrs.justiceinspectorates.gov.uk/publication-html/police-response-to-stalking/.</w:t>
      </w:r>
    </w:p>
    <w:p w:rsidR="00000000" w:rsidDel="00000000" w:rsidP="00000000" w:rsidRDefault="00000000" w:rsidRPr="00000000" w14:paraId="00000061">
      <w:pPr>
        <w:numPr>
          <w:ilvl w:val="0"/>
          <w:numId w:val="1"/>
        </w:numPr>
        <w:spacing w:after="0" w:afterAutospacing="0" w:line="360" w:lineRule="auto"/>
        <w:ind w:left="720" w:hanging="360"/>
        <w:rPr>
          <w:rFonts w:ascii="Arial" w:cs="Arial" w:eastAsia="Arial" w:hAnsi="Arial"/>
        </w:rPr>
      </w:pPr>
      <w:r w:rsidDel="00000000" w:rsidR="00000000" w:rsidRPr="00000000">
        <w:rPr>
          <w:rFonts w:ascii="Arial" w:cs="Arial" w:eastAsia="Arial" w:hAnsi="Arial"/>
          <w:rtl w:val="0"/>
        </w:rPr>
        <w:t xml:space="preserve">HMICFRS (2023). </w:t>
      </w:r>
      <w:r w:rsidDel="00000000" w:rsidR="00000000" w:rsidRPr="00000000">
        <w:rPr>
          <w:rFonts w:ascii="Arial" w:cs="Arial" w:eastAsia="Arial" w:hAnsi="Arial"/>
          <w:i w:val="1"/>
          <w:rtl w:val="0"/>
        </w:rPr>
        <w:t xml:space="preserve">State of Policing: The Annual Assessment of Policing in England and Wales 2023 - His Majesty’s Inspectorate of Constabulary and Fire &amp; Rescue Services</w:t>
      </w:r>
      <w:r w:rsidDel="00000000" w:rsidR="00000000" w:rsidRPr="00000000">
        <w:rPr>
          <w:rFonts w:ascii="Arial" w:cs="Arial" w:eastAsia="Arial" w:hAnsi="Arial"/>
          <w:rtl w:val="0"/>
        </w:rPr>
        <w:t xml:space="preserve">. [online] His Majesty’s Inspectorate of Constabulary and Fire &amp; Rescue Services. Available at: https://hmicfrs.justiceinspectorates.gov.uk/publications/state-of-policing-the-annual-assessment-of-policing-in-england-and-wales-2023/.</w:t>
      </w:r>
    </w:p>
    <w:p w:rsidR="00000000" w:rsidDel="00000000" w:rsidP="00000000" w:rsidRDefault="00000000" w:rsidRPr="00000000" w14:paraId="00000062">
      <w:pPr>
        <w:numPr>
          <w:ilvl w:val="0"/>
          <w:numId w:val="1"/>
        </w:numPr>
        <w:spacing w:after="0" w:afterAutospacing="0" w:line="360" w:lineRule="auto"/>
        <w:ind w:left="720" w:hanging="360"/>
        <w:rPr>
          <w:rFonts w:ascii="Arial" w:cs="Arial" w:eastAsia="Arial" w:hAnsi="Arial"/>
        </w:rPr>
      </w:pPr>
      <w:r w:rsidDel="00000000" w:rsidR="00000000" w:rsidRPr="00000000">
        <w:rPr>
          <w:rFonts w:ascii="Arial" w:cs="Arial" w:eastAsia="Arial" w:hAnsi="Arial"/>
          <w:rtl w:val="0"/>
        </w:rPr>
        <w:t xml:space="preserve">Home Office (2018). </w:t>
      </w:r>
      <w:r w:rsidDel="00000000" w:rsidR="00000000" w:rsidRPr="00000000">
        <w:rPr>
          <w:rFonts w:ascii="Arial" w:cs="Arial" w:eastAsia="Arial" w:hAnsi="Arial"/>
          <w:i w:val="1"/>
          <w:rtl w:val="0"/>
        </w:rPr>
        <w:t xml:space="preserve">Serious Violence Strategy</w:t>
      </w:r>
      <w:r w:rsidDel="00000000" w:rsidR="00000000" w:rsidRPr="00000000">
        <w:rPr>
          <w:rFonts w:ascii="Arial" w:cs="Arial" w:eastAsia="Arial" w:hAnsi="Arial"/>
          <w:rtl w:val="0"/>
        </w:rPr>
        <w:t xml:space="preserve">. [online] Available at: https://assets.publishing.service.gov.uk/media/5acb21d140f0b64fed0afd55/serious-violence-strategy.pdf.</w:t>
      </w:r>
    </w:p>
    <w:p w:rsidR="00000000" w:rsidDel="00000000" w:rsidP="00000000" w:rsidRDefault="00000000" w:rsidRPr="00000000" w14:paraId="00000063">
      <w:pPr>
        <w:numPr>
          <w:ilvl w:val="0"/>
          <w:numId w:val="1"/>
        </w:numPr>
        <w:spacing w:after="0" w:afterAutospacing="0" w:line="360" w:lineRule="auto"/>
        <w:ind w:left="720" w:hanging="360"/>
        <w:rPr>
          <w:rFonts w:ascii="Arial" w:cs="Arial" w:eastAsia="Arial" w:hAnsi="Arial"/>
        </w:rPr>
      </w:pPr>
      <w:r w:rsidDel="00000000" w:rsidR="00000000" w:rsidRPr="00000000">
        <w:rPr>
          <w:rFonts w:ascii="Arial" w:cs="Arial" w:eastAsia="Arial" w:hAnsi="Arial"/>
          <w:rtl w:val="0"/>
        </w:rPr>
        <w:t xml:space="preserve">House of Commons (2018). </w:t>
      </w:r>
      <w:r w:rsidDel="00000000" w:rsidR="00000000" w:rsidRPr="00000000">
        <w:rPr>
          <w:rFonts w:ascii="Arial" w:cs="Arial" w:eastAsia="Arial" w:hAnsi="Arial"/>
          <w:i w:val="1"/>
          <w:rtl w:val="0"/>
        </w:rPr>
        <w:t xml:space="preserve">Policing for the future Tenth Report of Session 2017-19 Report, together with formal minutes relating to the report</w:t>
      </w:r>
      <w:r w:rsidDel="00000000" w:rsidR="00000000" w:rsidRPr="00000000">
        <w:rPr>
          <w:rFonts w:ascii="Arial" w:cs="Arial" w:eastAsia="Arial" w:hAnsi="Arial"/>
          <w:rtl w:val="0"/>
        </w:rPr>
        <w:t xml:space="preserve">. [online] Available at: https://publications.parliament.uk/pa/cm201719/cmselect/cmhaff/515/515.pdf.</w:t>
      </w:r>
    </w:p>
    <w:p w:rsidR="00000000" w:rsidDel="00000000" w:rsidP="00000000" w:rsidRDefault="00000000" w:rsidRPr="00000000" w14:paraId="00000064">
      <w:pPr>
        <w:numPr>
          <w:ilvl w:val="0"/>
          <w:numId w:val="1"/>
        </w:numPr>
        <w:spacing w:after="0" w:afterAutospacing="0" w:line="360" w:lineRule="auto"/>
        <w:ind w:left="720" w:hanging="360"/>
        <w:rPr>
          <w:rFonts w:ascii="Arial" w:cs="Arial" w:eastAsia="Arial" w:hAnsi="Arial"/>
        </w:rPr>
      </w:pPr>
      <w:r w:rsidDel="00000000" w:rsidR="00000000" w:rsidRPr="00000000">
        <w:rPr>
          <w:rFonts w:ascii="Arial" w:cs="Arial" w:eastAsia="Arial" w:hAnsi="Arial"/>
          <w:rtl w:val="0"/>
        </w:rPr>
        <w:t xml:space="preserve">Lammy, D. (2017). </w:t>
      </w:r>
      <w:r w:rsidDel="00000000" w:rsidR="00000000" w:rsidRPr="00000000">
        <w:rPr>
          <w:rFonts w:ascii="Arial" w:cs="Arial" w:eastAsia="Arial" w:hAnsi="Arial"/>
          <w:i w:val="1"/>
          <w:rtl w:val="0"/>
        </w:rPr>
        <w:t xml:space="preserve">The Lammy Review</w:t>
      </w:r>
      <w:r w:rsidDel="00000000" w:rsidR="00000000" w:rsidRPr="00000000">
        <w:rPr>
          <w:rFonts w:ascii="Arial" w:cs="Arial" w:eastAsia="Arial" w:hAnsi="Arial"/>
          <w:rtl w:val="0"/>
        </w:rPr>
        <w:t xml:space="preserve">. [online] </w:t>
      </w:r>
      <w:r w:rsidDel="00000000" w:rsidR="00000000" w:rsidRPr="00000000">
        <w:rPr>
          <w:rFonts w:ascii="Arial" w:cs="Arial" w:eastAsia="Arial" w:hAnsi="Arial"/>
          <w:i w:val="1"/>
          <w:rtl w:val="0"/>
        </w:rPr>
        <w:t xml:space="preserve">GOV.UK</w:t>
      </w:r>
      <w:r w:rsidDel="00000000" w:rsidR="00000000" w:rsidRPr="00000000">
        <w:rPr>
          <w:rFonts w:ascii="Arial" w:cs="Arial" w:eastAsia="Arial" w:hAnsi="Arial"/>
          <w:rtl w:val="0"/>
        </w:rPr>
        <w:t xml:space="preserve">. GOV.UK. Available at: https://assets.publishing.service.gov.uk/media/5a82009040f0b62305b91f49/lammy-review-final-report.pdf.</w:t>
      </w:r>
    </w:p>
    <w:p w:rsidR="00000000" w:rsidDel="00000000" w:rsidP="00000000" w:rsidRDefault="00000000" w:rsidRPr="00000000" w14:paraId="00000065">
      <w:pPr>
        <w:numPr>
          <w:ilvl w:val="0"/>
          <w:numId w:val="1"/>
        </w:numPr>
        <w:spacing w:after="0" w:afterAutospacing="0" w:line="360" w:lineRule="auto"/>
        <w:ind w:left="720" w:hanging="360"/>
        <w:rPr>
          <w:rFonts w:ascii="Arial" w:cs="Arial" w:eastAsia="Arial" w:hAnsi="Arial"/>
        </w:rPr>
      </w:pPr>
      <w:r w:rsidDel="00000000" w:rsidR="00000000" w:rsidRPr="00000000">
        <w:rPr>
          <w:rFonts w:ascii="Arial" w:cs="Arial" w:eastAsia="Arial" w:hAnsi="Arial"/>
          <w:rtl w:val="0"/>
        </w:rPr>
        <w:t xml:space="preserve">Palmer, I., Kirby, S. and Coleman, R. (2019). Assessing the appetite for evidence based policing: A UK based study. </w:t>
      </w:r>
      <w:r w:rsidDel="00000000" w:rsidR="00000000" w:rsidRPr="00000000">
        <w:rPr>
          <w:rFonts w:ascii="Arial" w:cs="Arial" w:eastAsia="Arial" w:hAnsi="Arial"/>
          <w:i w:val="1"/>
          <w:rtl w:val="0"/>
        </w:rPr>
        <w:t xml:space="preserve">International Journal of Police Science &amp; Management</w:t>
      </w:r>
      <w:r w:rsidDel="00000000" w:rsidR="00000000" w:rsidRPr="00000000">
        <w:rPr>
          <w:rFonts w:ascii="Arial" w:cs="Arial" w:eastAsia="Arial" w:hAnsi="Arial"/>
          <w:rtl w:val="0"/>
        </w:rPr>
        <w:t xml:space="preserve">, [online] 21(2), pp.91–100. doi:https://doi.org/10.1177/1461355719838930.</w:t>
      </w:r>
    </w:p>
    <w:p w:rsidR="00000000" w:rsidDel="00000000" w:rsidP="00000000" w:rsidRDefault="00000000" w:rsidRPr="00000000" w14:paraId="00000066">
      <w:pPr>
        <w:numPr>
          <w:ilvl w:val="0"/>
          <w:numId w:val="1"/>
        </w:numPr>
        <w:spacing w:after="0" w:afterAutospacing="0" w:line="360" w:lineRule="auto"/>
        <w:ind w:left="720" w:hanging="360"/>
        <w:rPr>
          <w:rFonts w:ascii="Arial" w:cs="Arial" w:eastAsia="Arial" w:hAnsi="Arial"/>
        </w:rPr>
      </w:pPr>
      <w:r w:rsidDel="00000000" w:rsidR="00000000" w:rsidRPr="00000000">
        <w:rPr>
          <w:rFonts w:ascii="Arial" w:cs="Arial" w:eastAsia="Arial" w:hAnsi="Arial"/>
          <w:rtl w:val="0"/>
        </w:rPr>
        <w:t xml:space="preserve">Selby-Fell, H. and Newton, A. (2022). Embedding Evidence-Based Policing (EBP): A UK case study exploring organisational challenges. </w:t>
      </w:r>
      <w:r w:rsidDel="00000000" w:rsidR="00000000" w:rsidRPr="00000000">
        <w:rPr>
          <w:rFonts w:ascii="Arial" w:cs="Arial" w:eastAsia="Arial" w:hAnsi="Arial"/>
          <w:i w:val="1"/>
          <w:rtl w:val="0"/>
        </w:rPr>
        <w:t xml:space="preserve">The Police Journal: Theory, Practice and Principles</w:t>
      </w:r>
      <w:r w:rsidDel="00000000" w:rsidR="00000000" w:rsidRPr="00000000">
        <w:rPr>
          <w:rFonts w:ascii="Arial" w:cs="Arial" w:eastAsia="Arial" w:hAnsi="Arial"/>
          <w:rtl w:val="0"/>
        </w:rPr>
        <w:t xml:space="preserve">, [online] 97(1), p.0032258X2211284. doi:https://doi.org/10.1177/0032258x221128404.</w:t>
      </w:r>
    </w:p>
    <w:p w:rsidR="00000000" w:rsidDel="00000000" w:rsidP="00000000" w:rsidRDefault="00000000" w:rsidRPr="00000000" w14:paraId="00000067">
      <w:pPr>
        <w:numPr>
          <w:ilvl w:val="0"/>
          <w:numId w:val="1"/>
        </w:numPr>
        <w:spacing w:after="0" w:afterAutospacing="0" w:line="360" w:lineRule="auto"/>
        <w:ind w:left="720" w:hanging="360"/>
        <w:rPr>
          <w:rFonts w:ascii="Arial" w:cs="Arial" w:eastAsia="Arial" w:hAnsi="Arial"/>
        </w:rPr>
      </w:pPr>
      <w:r w:rsidDel="00000000" w:rsidR="00000000" w:rsidRPr="00000000">
        <w:rPr>
          <w:rFonts w:ascii="Arial" w:cs="Arial" w:eastAsia="Arial" w:hAnsi="Arial"/>
          <w:rtl w:val="0"/>
        </w:rPr>
        <w:t xml:space="preserve">The Police Foundation (2017). </w:t>
      </w:r>
      <w:r w:rsidDel="00000000" w:rsidR="00000000" w:rsidRPr="00000000">
        <w:rPr>
          <w:rFonts w:ascii="Arial" w:cs="Arial" w:eastAsia="Arial" w:hAnsi="Arial"/>
          <w:i w:val="1"/>
          <w:rtl w:val="0"/>
        </w:rPr>
        <w:t xml:space="preserve">Home</w:t>
      </w:r>
      <w:r w:rsidDel="00000000" w:rsidR="00000000" w:rsidRPr="00000000">
        <w:rPr>
          <w:rFonts w:ascii="Arial" w:cs="Arial" w:eastAsia="Arial" w:hAnsi="Arial"/>
          <w:rtl w:val="0"/>
        </w:rPr>
        <w:t xml:space="preserve">. [online] The Police Foundation. Available at: https://www.police-foundation.org.uk/.</w:t>
      </w:r>
    </w:p>
    <w:p w:rsidR="00000000" w:rsidDel="00000000" w:rsidP="00000000" w:rsidRDefault="00000000" w:rsidRPr="00000000" w14:paraId="00000068">
      <w:pPr>
        <w:numPr>
          <w:ilvl w:val="0"/>
          <w:numId w:val="1"/>
        </w:numPr>
        <w:spacing w:after="0" w:afterAutospacing="0" w:line="360" w:lineRule="auto"/>
        <w:ind w:left="720" w:hanging="360"/>
        <w:rPr>
          <w:rFonts w:ascii="Arial" w:cs="Arial" w:eastAsia="Arial" w:hAnsi="Arial"/>
        </w:rPr>
      </w:pPr>
      <w:r w:rsidDel="00000000" w:rsidR="00000000" w:rsidRPr="00000000">
        <w:rPr>
          <w:rFonts w:ascii="Arial" w:cs="Arial" w:eastAsia="Arial" w:hAnsi="Arial"/>
          <w:rtl w:val="0"/>
        </w:rPr>
        <w:t xml:space="preserve">Watts, S. (2019). </w:t>
      </w:r>
      <w:r w:rsidDel="00000000" w:rsidR="00000000" w:rsidRPr="00000000">
        <w:rPr>
          <w:rFonts w:ascii="Arial" w:cs="Arial" w:eastAsia="Arial" w:hAnsi="Arial"/>
          <w:i w:val="1"/>
          <w:rtl w:val="0"/>
        </w:rPr>
        <w:t xml:space="preserve">‘Yes Prime Minister’ Early Indications of the Impact of a Change in Policing Governance and the Introduction of Police and Crime Commissioners Across England &amp; Wales</w:t>
      </w:r>
      <w:r w:rsidDel="00000000" w:rsidR="00000000" w:rsidRPr="00000000">
        <w:rPr>
          <w:rFonts w:ascii="Arial" w:cs="Arial" w:eastAsia="Arial" w:hAnsi="Arial"/>
          <w:rtl w:val="0"/>
        </w:rPr>
        <w:t xml:space="preserve">. [online] Available at: https://pure.port.ac.uk/ws/portalfiles/portal/14319800/S.Watts_Thesis_Final_Mar_2019_1_.pdf [Accessed 27 Jun. 2025].</w:t>
      </w:r>
    </w:p>
    <w:p w:rsidR="00000000" w:rsidDel="00000000" w:rsidP="00000000" w:rsidRDefault="00000000" w:rsidRPr="00000000" w14:paraId="00000069">
      <w:pPr>
        <w:numPr>
          <w:ilvl w:val="0"/>
          <w:numId w:val="1"/>
        </w:numPr>
        <w:spacing w:after="0" w:afterAutospacing="0" w:line="360" w:lineRule="auto"/>
        <w:ind w:left="720" w:hanging="360"/>
        <w:rPr>
          <w:rFonts w:ascii="Arial" w:cs="Arial" w:eastAsia="Arial" w:hAnsi="Arial"/>
        </w:rPr>
      </w:pPr>
      <w:r w:rsidDel="00000000" w:rsidR="00000000" w:rsidRPr="00000000">
        <w:rPr>
          <w:rFonts w:ascii="Arial" w:cs="Arial" w:eastAsia="Arial" w:hAnsi="Arial"/>
          <w:rtl w:val="0"/>
        </w:rPr>
        <w:t xml:space="preserve">Youth Endowment Fund (2024). </w:t>
      </w:r>
      <w:r w:rsidDel="00000000" w:rsidR="00000000" w:rsidRPr="00000000">
        <w:rPr>
          <w:rFonts w:ascii="Arial" w:cs="Arial" w:eastAsia="Arial" w:hAnsi="Arial"/>
          <w:i w:val="1"/>
          <w:rtl w:val="0"/>
        </w:rPr>
        <w:t xml:space="preserve">Stop and search | Youth Endowment Fund</w:t>
      </w:r>
      <w:r w:rsidDel="00000000" w:rsidR="00000000" w:rsidRPr="00000000">
        <w:rPr>
          <w:rFonts w:ascii="Arial" w:cs="Arial" w:eastAsia="Arial" w:hAnsi="Arial"/>
          <w:rtl w:val="0"/>
        </w:rPr>
        <w:t xml:space="preserve">. [online] Youth Endowment Fund. Available at: </w:t>
      </w:r>
      <w:hyperlink r:id="rId6">
        <w:r w:rsidDel="00000000" w:rsidR="00000000" w:rsidRPr="00000000">
          <w:rPr>
            <w:rFonts w:ascii="Arial" w:cs="Arial" w:eastAsia="Arial" w:hAnsi="Arial"/>
            <w:color w:val="1155cc"/>
            <w:u w:val="single"/>
            <w:rtl w:val="0"/>
          </w:rPr>
          <w:t xml:space="preserve">https://youthendowmentfund.org.uk/toolkit/stop-and-search/</w:t>
        </w:r>
      </w:hyperlink>
      <w:r w:rsidDel="00000000" w:rsidR="00000000" w:rsidRPr="00000000">
        <w:rPr>
          <w:rFonts w:ascii="Arial" w:cs="Arial" w:eastAsia="Arial" w:hAnsi="Arial"/>
          <w:rtl w:val="0"/>
        </w:rPr>
        <w:t xml:space="preserve">.</w:t>
      </w:r>
    </w:p>
    <w:p w:rsidR="00000000" w:rsidDel="00000000" w:rsidP="00000000" w:rsidRDefault="00000000" w:rsidRPr="00000000" w14:paraId="0000006A">
      <w:pPr>
        <w:numPr>
          <w:ilvl w:val="0"/>
          <w:numId w:val="1"/>
        </w:numPr>
        <w:spacing w:after="240" w:line="360" w:lineRule="auto"/>
        <w:ind w:left="720" w:hanging="360"/>
        <w:rPr>
          <w:rFonts w:ascii="Arial" w:cs="Arial" w:eastAsia="Arial" w:hAnsi="Arial"/>
        </w:rPr>
      </w:pPr>
      <w:r w:rsidDel="00000000" w:rsidR="00000000" w:rsidRPr="00000000">
        <w:rPr>
          <w:rFonts w:ascii="Arial" w:cs="Arial" w:eastAsia="Arial" w:hAnsi="Arial"/>
          <w:rtl w:val="0"/>
        </w:rPr>
        <w:t xml:space="preserve">Myhill, A., Hohl, K. and Johnson, K. (2023). The ‘officer effect’ in risk assessment for domestic abuse: Findings from a mixed methods study in England and Wales. </w:t>
      </w:r>
      <w:r w:rsidDel="00000000" w:rsidR="00000000" w:rsidRPr="00000000">
        <w:rPr>
          <w:rFonts w:ascii="Arial" w:cs="Arial" w:eastAsia="Arial" w:hAnsi="Arial"/>
          <w:i w:val="1"/>
          <w:rtl w:val="0"/>
        </w:rPr>
        <w:t xml:space="preserve">European Journal of Criminology</w:t>
      </w:r>
      <w:r w:rsidDel="00000000" w:rsidR="00000000" w:rsidRPr="00000000">
        <w:rPr>
          <w:rFonts w:ascii="Arial" w:cs="Arial" w:eastAsia="Arial" w:hAnsi="Arial"/>
          <w:rtl w:val="0"/>
        </w:rPr>
        <w:t xml:space="preserve">, [online] 20(3), p.147737082311563. doi:https://doi.org/10.1177/14773708231156331.</w:t>
      </w:r>
    </w:p>
    <w:p w:rsidR="00000000" w:rsidDel="00000000" w:rsidP="00000000" w:rsidRDefault="00000000" w:rsidRPr="00000000" w14:paraId="0000006B">
      <w:pPr>
        <w:spacing w:after="240" w:line="360" w:lineRule="auto"/>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06C">
      <w:pPr>
        <w:ind w:left="0" w:firstLine="0"/>
        <w:rPr>
          <w:rFonts w:ascii="Arial" w:cs="Arial" w:eastAsia="Arial" w:hAnsi="Arial"/>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youthendowmentfund.org.uk/toolkit/stop-and-search/"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