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3EF9F3" w14:textId="77777777" w:rsidR="00C7607E" w:rsidRPr="00C7607E" w:rsidRDefault="00C7607E" w:rsidP="00C7607E">
      <w:proofErr w:type="spellStart"/>
      <w:r w:rsidRPr="00C7607E">
        <w:t>Moazzem</w:t>
      </w:r>
      <w:proofErr w:type="spellEnd"/>
      <w:r w:rsidRPr="00C7607E">
        <w:t> Hossain</w:t>
      </w:r>
    </w:p>
    <w:p w14:paraId="1C07C4A8" w14:textId="77777777" w:rsidR="00C7607E" w:rsidRPr="00C7607E" w:rsidRDefault="00C7607E" w:rsidP="00C7607E">
      <w:r w:rsidRPr="00C7607E">
        <w:t>Student ID: 2416062</w:t>
      </w:r>
    </w:p>
    <w:p w14:paraId="711031A7" w14:textId="77777777" w:rsidR="00C7607E" w:rsidRPr="00C7607E" w:rsidRDefault="00C7607E" w:rsidP="00C7607E">
      <w:r w:rsidRPr="00C7607E">
        <w:t>Lecture: Dr Toyin Adisa</w:t>
      </w:r>
    </w:p>
    <w:p w14:paraId="154DBE98" w14:textId="77777777" w:rsidR="00C7607E" w:rsidRPr="00C7607E" w:rsidRDefault="00C7607E" w:rsidP="00C7607E">
      <w:r w:rsidRPr="00C7607E">
        <w:t>Component 2</w:t>
      </w:r>
    </w:p>
    <w:p w14:paraId="6295887C" w14:textId="77777777" w:rsidR="00C7607E" w:rsidRPr="00C7607E" w:rsidRDefault="00C7607E" w:rsidP="00C7607E">
      <w:r w:rsidRPr="00C7607E">
        <w:t>Module code: LCLM5002</w:t>
      </w:r>
    </w:p>
    <w:p w14:paraId="1DA1F0E3" w14:textId="77777777" w:rsidR="00C7607E" w:rsidRPr="00C7607E" w:rsidRDefault="00C7607E" w:rsidP="00C7607E">
      <w:r w:rsidRPr="00C7607E">
        <w:t>Submission date: 16 December 2025</w:t>
      </w:r>
    </w:p>
    <w:p w14:paraId="68A30742" w14:textId="77777777" w:rsidR="00C7607E" w:rsidRPr="00C7607E" w:rsidRDefault="00C7607E" w:rsidP="00C7607E"/>
    <w:p w14:paraId="00CE0011" w14:textId="584D2B64" w:rsidR="00C7607E" w:rsidRPr="00C7607E" w:rsidRDefault="00C7607E" w:rsidP="00C7607E">
      <w:r w:rsidRPr="00C7607E">
        <w:rPr>
          <w:b/>
          <w:bCs/>
        </w:rPr>
        <w:t>Introduction</w:t>
      </w:r>
    </w:p>
    <w:p w14:paraId="6C48EA02" w14:textId="238670D3" w:rsidR="00C7607E" w:rsidRPr="00C7607E" w:rsidRDefault="00C7607E" w:rsidP="00C7607E">
      <w:r w:rsidRPr="00C7607E">
        <w:t>Founded in 1964 as the international division of Hilton Worldwide, Hilton International was established to manage the organisation’s expanding portfolio of hotels outside the United States. This arrangement created a strategic distinction between Hilton’s domestic and overseas operations, enabling the company to adapt more efficiently to a wide variety of regulatory, cultural and competitive environments (O’Neill and Mattila, 2010). As international tourism increased throughout the latter half of the twentieth century, this structural separation allowed Hilton to pursue growth opportunities in emerging markets while maintaining coherent brand standards across its global network. The international arm also enabled Hilton to respond more strategically to fluctuations in geopolitical stability, exchange rates and shifting traveller demographics, all of which have historically shaped demand in global hospitality.</w:t>
      </w:r>
    </w:p>
    <w:p w14:paraId="57B39931" w14:textId="77A30BCA" w:rsidR="00C7607E" w:rsidRPr="00C7607E" w:rsidRDefault="00C7607E" w:rsidP="00C7607E">
      <w:r w:rsidRPr="00C7607E">
        <w:t>Across subsequent decades, Hilton International expanded its presence throughout Europe, the Middle East, Asia and Africa. Supporting such a dispersed workforce required a systematic approach to training and professional development. In response, Hilton launched Hilton University in 2002, thereby shifting from primarily instructor-led training to a more flexible digital learning model (Hilton Worldwide, 2002). This initiative provided employees with access to standardised training materials, leadership development resources and career advancement pathways, enhancing organisational cohesion and operational consistency. The platform also facilitated the integration of new technologies into learning processes, which became increasingly relevant as digital transformation accelerated within the hospitality sector. Importantly, the move towards digital learning reflected a wider industry shift towards scalable capability-building in geographically dispersed businesses, where service consistency must be maintained even when local labour markets and customer expectations differ.</w:t>
      </w:r>
    </w:p>
    <w:p w14:paraId="2008C585" w14:textId="77777777" w:rsidR="00C7607E" w:rsidRPr="00C7607E" w:rsidRDefault="00C7607E" w:rsidP="00C7607E">
      <w:r w:rsidRPr="00C7607E">
        <w:t xml:space="preserve">Alongside commercial development, Hilton has consistently emphasised its commitment to positive social impact and ethical employment practices. This commitment includes respect for human dignity, equal opportunity and culturally inclusive working environments (Holcomb, Upchurch and </w:t>
      </w:r>
      <w:proofErr w:type="spellStart"/>
      <w:r w:rsidRPr="00C7607E">
        <w:t>Okumus</w:t>
      </w:r>
      <w:proofErr w:type="spellEnd"/>
      <w:r w:rsidRPr="00C7607E">
        <w:t xml:space="preserve">, 2007). Such </w:t>
      </w:r>
      <w:r w:rsidRPr="00C7607E">
        <w:lastRenderedPageBreak/>
        <w:t>principles form a central part of Hilton’s global identity and contribute to its strong employer reputation across diverse regions and labour markets. As sustainability and corporate responsibility have become more significant to consumers, Hilton’s social commitments have increasingly influenced brand perception and competitive advantage. In particular, the ability to demonstrate ethical labour practices has become strategically important amid increased consumer scrutiny of global supply chains and working conditions in service industries.</w:t>
      </w:r>
    </w:p>
    <w:p w14:paraId="0B8E3532" w14:textId="77777777" w:rsidR="00C7607E" w:rsidRPr="00C7607E" w:rsidRDefault="00C7607E" w:rsidP="00C7607E"/>
    <w:p w14:paraId="699B6347" w14:textId="77777777" w:rsidR="00C7607E" w:rsidRPr="00C7607E" w:rsidRDefault="00C7607E" w:rsidP="00C7607E">
      <w:r w:rsidRPr="00C7607E">
        <w:t>Overall, by integrating learning, inclusivity and responsible global employment practices into its core operations, Hilton International has significantly shaped contemporary understandings of hospitality as a people-centred global industry. The organisation continues to demonstrate that sustainable commercial success depends on strategic adaptability, investment in workforce capability and consistent respect for cultural diversity. The balance between global brand coherence and local responsiveness remains a defining feature of Hilton’s international strategy.</w:t>
      </w:r>
    </w:p>
    <w:p w14:paraId="093C89C4" w14:textId="77777777" w:rsidR="00C7607E" w:rsidRPr="00C7607E" w:rsidRDefault="00C7607E" w:rsidP="00C7607E"/>
    <w:p w14:paraId="727DD80D" w14:textId="77777777" w:rsidR="00C7607E" w:rsidRPr="00C7607E" w:rsidRDefault="00C7607E" w:rsidP="00C7607E">
      <w:pPr>
        <w:rPr>
          <w:b/>
          <w:bCs/>
        </w:rPr>
      </w:pPr>
      <w:r w:rsidRPr="00C7607E">
        <w:rPr>
          <w:b/>
          <w:bCs/>
        </w:rPr>
        <w:t>Evaluation of Contemporary HR Practices at Hilton International</w:t>
      </w:r>
    </w:p>
    <w:p w14:paraId="60D65F3C" w14:textId="77777777" w:rsidR="00C7607E" w:rsidRPr="00C7607E" w:rsidRDefault="00C7607E" w:rsidP="00C7607E"/>
    <w:p w14:paraId="600CD2E2" w14:textId="45084CFA" w:rsidR="00C7607E" w:rsidRPr="00C7607E" w:rsidRDefault="00C7607E" w:rsidP="00C7607E">
      <w:r w:rsidRPr="00C7607E">
        <w:t>Contemporary human resource practices have become essential for international hospitality organisations such as Hilton International. The sector currently faces challenges that include labour shortages, increased guest expectations and high levels of workforce mobility. To address these pressures, Hilton has adopted a range of modern HR strategies that support recruitment, development, engagement and organisational inclusion. These strategies reflect the broader evolution of HR within the hospitality industry and highlight an increasing emphasis on data utilisation, digital technology and employee wellbeing. The post-pandemic environment has also accelerated the need for agile workforce planning, with organisations required to manage variable demand, cost pressures and rising expectations for ethical and supportive employment.</w:t>
      </w:r>
    </w:p>
    <w:p w14:paraId="6703047C" w14:textId="77777777" w:rsidR="00C7607E" w:rsidRPr="00C7607E" w:rsidRDefault="00C7607E" w:rsidP="00C7607E">
      <w:r w:rsidRPr="00C7607E">
        <w:t xml:space="preserve">A central contemporary HR practice is the use of data-driven recruitment and employer branding. Hilton employs digital platforms, predictive analytics and targeted online communication to identify applicants who demonstrate alignment with the organisation’s customer service values. These practices are consistent with developments across the hospitality sector, in which technology has become increasingly integrated into recruitment processes to improve efficiency and reduce bias (Armstrong and Taylor, 2020). Although such tools allow large applicant pools to be screened rapidly and consistently, concerns remain regarding the risk of algorithmic </w:t>
      </w:r>
      <w:r w:rsidRPr="00C7607E">
        <w:lastRenderedPageBreak/>
        <w:t>bias or the exclusion of suitable candidates whose profiles may not fit established patterns. For this reason, the balance between automated analysis and human oversight remains critically important. Hilton’s employer brand is also strengthened by emphasising clear progression pathways and internal mobility, which can be particularly attractive in an industry historically associated with high turnover.</w:t>
      </w:r>
    </w:p>
    <w:p w14:paraId="79D007D3" w14:textId="77777777" w:rsidR="00C7607E" w:rsidRPr="00C7607E" w:rsidRDefault="00C7607E" w:rsidP="00C7607E"/>
    <w:p w14:paraId="08863448" w14:textId="5B0A58FD" w:rsidR="00C7607E" w:rsidRPr="00C7607E" w:rsidRDefault="00C7607E" w:rsidP="00C7607E">
      <w:r w:rsidRPr="00C7607E">
        <w:t>Another significant area of contemporary HR practice is the focus on continuous training and professional development. Hilton University provides employees with accessible online modules, leadership programmes and skills-based training designed to support career progression and maintain global service standards. This approach reflects wider recognition within the industry that ongoing learning is closely associated with improved service quality and employee retention (Baum et al., 2020). While digital learning enables large-scale training across multiple countries, it cannot entirely replace practical, in-person development. Frontline hospitality roles rely heavily on interpersonal skills and procedural knowledge that are best acquired through experiential learning. Hilton therefore benefits from combining digital and practical training to ensure that staff gain comprehensive competence. Blended learning can also support inclusivity by accommodating varying learning styles, language capabilities and time constraints across different regions.</w:t>
      </w:r>
    </w:p>
    <w:p w14:paraId="7F3B09D3" w14:textId="3FB698A2" w:rsidR="00C7607E" w:rsidRPr="00C7607E" w:rsidRDefault="00C7607E" w:rsidP="00C7607E">
      <w:r w:rsidRPr="00C7607E">
        <w:t>Hilton also implements contemporary performance management models that emphasise continuous feedback, coaching and transparent performance metrics. Traditional annual appraisals have been replaced by more regular discussions that support consistent improvement and clearer alignment with organisational expectations (CIPD, 2023). This approach promotes fairness and allows managers to respond to challenges in real time. However, its effectiveness depends heavily on managerial capability. Managers must possess strong interpersonal skills and cultural awareness to provide constructive and consistent guidance across diverse teams. In global organisations, performance criteria must also be communicated carefully to ensure that “high performance” is not interpreted in culturally narrow terms.</w:t>
      </w:r>
    </w:p>
    <w:p w14:paraId="4AFE83EE" w14:textId="6A7DF1C1" w:rsidR="00C7607E" w:rsidRPr="00C7607E" w:rsidRDefault="00C7607E" w:rsidP="00C7607E">
      <w:r w:rsidRPr="00C7607E">
        <w:t xml:space="preserve">Employee engagement and wellbeing represent additional priorities. The hospitality industry has undergone substantial workforce change following the COVID 19 pandemic, with employees placing increased value on mental health, work life balance and job security. Hilton has responded by investing in wellbeing programmes, flexible scheduling systems and formal recognition schemes. Research demonstrates that high levels of engagement correlate with enhanced productivity, lower turnover and improved guest satisfaction (Armstrong and Taylor, 2020). Nonetheless, engagement initiatives must be adapted to reflect the cultural and demographic characteristics of local workforces, since expectations and motivations differ significantly across global </w:t>
      </w:r>
      <w:r w:rsidRPr="00C7607E">
        <w:lastRenderedPageBreak/>
        <w:t>regions. In practice, this requires local HR leaders to interpret corporate frameworks in culturally sensitive ways.</w:t>
      </w:r>
    </w:p>
    <w:p w14:paraId="351E47AC" w14:textId="7CB05845" w:rsidR="00C7607E" w:rsidRPr="00C7607E" w:rsidRDefault="00C7607E" w:rsidP="00C7607E">
      <w:r w:rsidRPr="00C7607E">
        <w:t>Diversity, equity and inclusion also form essential components of Hilton’s HR strategy. The organisation has implemented inclusive leadership training, diversity councils and community partnerships to promote equitable opportunities across its workforce. Hilton’s consistently high rankings in global DEI assessments reflect its commitment to fostering inclusive organisational cultures. Research indicates that diverse teams enhance innovation, adaptability and overall service performance (Baum et al., 2020). Implementing DEI initiatives internationally, however, requires continued evaluation, since local cultural norms and legal frameworks vary substantially and may influence employee perceptions and participation. As such, Hilton’s global DEI strategy must remain flexible while firmly anchored in core principles of respect, fairness and opportunity.</w:t>
      </w:r>
    </w:p>
    <w:p w14:paraId="65B058D0" w14:textId="77777777" w:rsidR="00C7607E" w:rsidRPr="00C7607E" w:rsidRDefault="00C7607E" w:rsidP="00C7607E">
      <w:r w:rsidRPr="00C7607E">
        <w:t>Overall, Hilton International demonstrates strong alignment with contemporary HR trends, particularly those related to digital transformation, employee development, engagement and inclusion. Successful implementation requires sustained managerial oversight, cultural sensitivity and ongoing evaluation to ensure that policies remain effective within diverse global contexts.</w:t>
      </w:r>
    </w:p>
    <w:p w14:paraId="394C20C5" w14:textId="77777777" w:rsidR="00C7607E" w:rsidRPr="00C7607E" w:rsidRDefault="00C7607E" w:rsidP="00C7607E"/>
    <w:p w14:paraId="513FCA23" w14:textId="14374322" w:rsidR="00C7607E" w:rsidRPr="00C7607E" w:rsidRDefault="00C7607E" w:rsidP="00C7607E">
      <w:pPr>
        <w:rPr>
          <w:b/>
          <w:bCs/>
        </w:rPr>
      </w:pPr>
      <w:r w:rsidRPr="00C7607E">
        <w:rPr>
          <w:b/>
          <w:bCs/>
        </w:rPr>
        <w:t>Critical Evaluation</w:t>
      </w:r>
    </w:p>
    <w:p w14:paraId="3B3FB6F4" w14:textId="271730C4" w:rsidR="00C7607E" w:rsidRPr="00C7607E" w:rsidRDefault="00C7607E" w:rsidP="00C7607E">
      <w:r w:rsidRPr="00C7607E">
        <w:t>In an increasingly competitive hospitality environment, departmental managers at Hilton International play a central role in ensuring that contemporary human resource practices are adopted efficiently and effectively. Workforce expectations have shifted considerably, and hotels must provide supportive environments in order to attract and retain talented staff. Managers therefore act as intermediaries between corporate HR frameworks and operational realities, translating organisational objectives into daily practice. This “line manager as HR enabler” model is particularly significant in global hospitality organisations, where the service experience is delivered through daily interpersonal exchanges.</w:t>
      </w:r>
    </w:p>
    <w:p w14:paraId="165A8D34" w14:textId="77777777" w:rsidR="00C7607E" w:rsidRPr="00C7607E" w:rsidRDefault="00C7607E" w:rsidP="00C7607E">
      <w:r w:rsidRPr="00C7607E">
        <w:t>Employee wellbeing is one of the most critical contemporary HR priorities. The hospitality industry is characterised by high levels of emotional labour, irregular schedules and increased risk of burnout (Baum, 2019). Departmental managers are responsible for integrating wellbeing considerations into routine operations, such as through regular check-ins, equitable task allocation and visible support for mental health. If managers fail to implement these practices effectively, organisational wellbeing initiatives may not achieve meaningful outcomes. In addition, managers must ensure that wellbeing is not framed as an “extra” benefit but embedded into daily operational planning, particularly during peak demand periods.</w:t>
      </w:r>
    </w:p>
    <w:p w14:paraId="2AE7C036" w14:textId="77777777" w:rsidR="00C7607E" w:rsidRPr="00C7607E" w:rsidRDefault="00C7607E" w:rsidP="00C7607E"/>
    <w:p w14:paraId="11BABAC8" w14:textId="19F9187F" w:rsidR="00C7607E" w:rsidRPr="00C7607E" w:rsidRDefault="00C7607E" w:rsidP="00C7607E">
      <w:r w:rsidRPr="00C7607E">
        <w:t>Diversity, equity and inclusion also require active managerial involvement. Hilton’s corporate strategy emphasises inclusive leadership, but practical implementation occurs within departmental teams. Managers can promote inclusive environments by ensuring fairness in scheduling, encouraging diverse applicant pools, addressing discriminatory behaviour and modelling equitable conduct. Research highlights that inclusive team climates support improved retention and performance, particularly in multicultural environments (Roberson, 2021). Effective DEI implementation requires continuous training, accountability mechanisms and managerial commitment. It also requires a willingness to address subtle forms of exclusion, such as unequal access to informal networking opportunities or inconsistent development support.</w:t>
      </w:r>
    </w:p>
    <w:p w14:paraId="5B2B19FB" w14:textId="3E994BAE" w:rsidR="00C7607E" w:rsidRPr="00C7607E" w:rsidRDefault="00C7607E" w:rsidP="00C7607E">
      <w:r w:rsidRPr="00C7607E">
        <w:t xml:space="preserve">Talent development represents another key HR priority. Although Hilton provides comprehensive digital training, managers must ensure that employees engage with these opportunities and apply new knowledge in practice. Tailored development plans, mentoring structures and on-shift coaching can accelerate learning and enhance service quality. If managers do not encourage or enable participation in training, employees may experience stagnation, </w:t>
      </w:r>
      <w:proofErr w:type="gramStart"/>
      <w:r w:rsidRPr="00C7607E">
        <w:t>reducing</w:t>
      </w:r>
      <w:proofErr w:type="gramEnd"/>
      <w:r w:rsidRPr="00C7607E">
        <w:t xml:space="preserve"> motivation and increasing turnover, which can negatively affect operational continuity. Development should therefore be integrated into departmental routines rather than treated as a separate HR activity.</w:t>
      </w:r>
    </w:p>
    <w:p w14:paraId="08D6E2A8" w14:textId="25BF7FDF" w:rsidR="00C7607E" w:rsidRPr="00C7607E" w:rsidRDefault="00C7607E" w:rsidP="00C7607E">
      <w:r w:rsidRPr="00C7607E">
        <w:t>Digital HR systems, including scheduling platforms and performance management tools, also require strong managerial support. Managers must ensure that employees receive sufficient training to use these systems confidently. They must also interpret HR data responsibly and ensure that digital processes enhance, rather than hinder, staff experiences. Resistance to digital adoption can create inefficiencies and diminish employee trust, making managerial guidance essential. This is especially important when digital systems influence employee perceptions of fairness in rota allocation and workload distribution.</w:t>
      </w:r>
    </w:p>
    <w:p w14:paraId="48FC52AF" w14:textId="3704CF75" w:rsidR="00C7607E" w:rsidRPr="00C7607E" w:rsidRDefault="00C7607E" w:rsidP="00C7607E">
      <w:r w:rsidRPr="00C7607E">
        <w:t>Ultimately, leadership style is a decisive factor in the successful implementation of contemporary HR practices. Transformational leadership, characterised by motivation, collaboration and transparent communication, is associated with stronger organisational outcomes than directive leadership approaches. Managers who engage employees, encourage participation and demonstrate fairness are more likely to embed HR practices effectively and strengthen team cohesion. In the context of Hilton’s global brand, consistent values-driven leadership also helps to reinforce service culture across diverse operational environments.</w:t>
      </w:r>
    </w:p>
    <w:p w14:paraId="12FCEDAD" w14:textId="77777777" w:rsidR="00C7607E" w:rsidRPr="00C7607E" w:rsidRDefault="00C7607E" w:rsidP="00C7607E">
      <w:r w:rsidRPr="00C7607E">
        <w:t xml:space="preserve">Overall, departmental managers at Hilton must operate as strategic partners within the HR function. By prioritising wellbeing, inclusion, professional development and digital integration, they contribute to the establishment of resilient and high performing teams. </w:t>
      </w:r>
      <w:r w:rsidRPr="00C7607E">
        <w:lastRenderedPageBreak/>
        <w:t>The success of contemporary HR practices depends on consistent leadership, cultural awareness and active engagement with staff at all organisational levels.</w:t>
      </w:r>
    </w:p>
    <w:p w14:paraId="0C36C11F" w14:textId="77777777" w:rsidR="00C7607E" w:rsidRPr="00C7607E" w:rsidRDefault="00C7607E" w:rsidP="00C7607E"/>
    <w:p w14:paraId="04265AAD" w14:textId="4E978469" w:rsidR="00C7607E" w:rsidRPr="00C7607E" w:rsidRDefault="00C7607E" w:rsidP="00C7607E">
      <w:pPr>
        <w:rPr>
          <w:b/>
          <w:bCs/>
        </w:rPr>
      </w:pPr>
      <w:r w:rsidRPr="00C7607E">
        <w:rPr>
          <w:b/>
          <w:bCs/>
        </w:rPr>
        <w:t>Conclusion</w:t>
      </w:r>
    </w:p>
    <w:p w14:paraId="4E71474F" w14:textId="77777777" w:rsidR="00C7607E" w:rsidRPr="00C7607E" w:rsidRDefault="00C7607E" w:rsidP="00C7607E">
      <w:r w:rsidRPr="00C7607E">
        <w:t>Hilton International remains a prominent example of global hospitality excellence, combining operational innovation with a strong commitment to employee development and guest satisfaction. Its strategic focus on technology, sustainability, responsible tourism and inclusive organisational culture supports long term competitiveness in an evolving industry. By prioritising workforce capability, performance management and culturally responsive HR practices, Hilton has positioned itself to maintain growth across international markets. The organisation demonstrates that sustainable success within the hospitality sector depends on a clear strategic vision, adaptability, investment in staff and a consistent focus on delivering high quality guest experiences. As global labour markets continue to evolve, Hilton’s ability to combine standardised global values with locally responsive HR execution remains a key indicator of organisational resilience and long-term brand strength.</w:t>
      </w:r>
    </w:p>
    <w:p w14:paraId="6AC97ED5" w14:textId="77777777" w:rsidR="00C7607E" w:rsidRPr="00C7607E" w:rsidRDefault="00C7607E" w:rsidP="00C7607E">
      <w:r w:rsidRPr="00C7607E">
        <w:t>References</w:t>
      </w:r>
    </w:p>
    <w:p w14:paraId="4F13A91D" w14:textId="77777777" w:rsidR="00C7607E" w:rsidRPr="00C7607E" w:rsidRDefault="00C7607E" w:rsidP="00C7607E">
      <w:r w:rsidRPr="00C7607E">
        <w:t>Armstrong, M and Taylor, S 2020, Armstrong’s Handbook of Human Resource Management Practice, 15th </w:t>
      </w:r>
      <w:proofErr w:type="spellStart"/>
      <w:r w:rsidRPr="00C7607E">
        <w:t>edn</w:t>
      </w:r>
      <w:proofErr w:type="spellEnd"/>
      <w:r w:rsidRPr="00C7607E">
        <w:t>, Kogan Page, London.</w:t>
      </w:r>
    </w:p>
    <w:p w14:paraId="404BA191" w14:textId="77777777" w:rsidR="00C7607E" w:rsidRPr="00C7607E" w:rsidRDefault="00C7607E" w:rsidP="00C7607E">
      <w:r w:rsidRPr="00C7607E">
        <w:t>Baum, T 2019, ‘Hospitability and the hospitality industry: A critical review’, International Journal of Hospitality Management, vol. 76, pp. 79 90.</w:t>
      </w:r>
    </w:p>
    <w:p w14:paraId="3081FDF6" w14:textId="77777777" w:rsidR="00C7607E" w:rsidRPr="00C7607E" w:rsidRDefault="00C7607E" w:rsidP="00C7607E">
      <w:r w:rsidRPr="00C7607E">
        <w:t>Baum, T, Kralj, A, Robinson, RN and </w:t>
      </w:r>
      <w:proofErr w:type="spellStart"/>
      <w:r w:rsidRPr="00C7607E">
        <w:t>Solnet</w:t>
      </w:r>
      <w:proofErr w:type="spellEnd"/>
      <w:r w:rsidRPr="00C7607E">
        <w:t>, D 2020, ‘Tourism workforce research: A review’, Annals of Tourism Research, vol. 80, pp. 1 18.</w:t>
      </w:r>
    </w:p>
    <w:p w14:paraId="05F88862" w14:textId="77777777" w:rsidR="00C7607E" w:rsidRPr="00C7607E" w:rsidRDefault="00C7607E" w:rsidP="00C7607E">
      <w:r w:rsidRPr="00C7607E">
        <w:t>CIPD 2023, Performance Management: Factsheet, Chartered Institute of Personnel and Development, viewed &lt;</w:t>
      </w:r>
      <w:hyperlink r:id="rId4" w:tgtFrame="_blank" w:history="1">
        <w:r w:rsidRPr="00C7607E">
          <w:rPr>
            <w:rStyle w:val="Hyperlink"/>
          </w:rPr>
          <w:t>www.cipd.co.uk</w:t>
        </w:r>
      </w:hyperlink>
      <w:r w:rsidRPr="00C7607E">
        <w:t>&gt;.</w:t>
      </w:r>
    </w:p>
    <w:p w14:paraId="2A94CC0E" w14:textId="77777777" w:rsidR="00C7607E" w:rsidRPr="00C7607E" w:rsidRDefault="00C7607E" w:rsidP="00C7607E">
      <w:r w:rsidRPr="00C7607E">
        <w:t>Hilton Worldwide 2002, Hilton University: Global e Learning Initiative, Hilton Corporate Publications.</w:t>
      </w:r>
    </w:p>
    <w:p w14:paraId="2964EE42" w14:textId="77777777" w:rsidR="00C7607E" w:rsidRPr="00C7607E" w:rsidRDefault="00C7607E" w:rsidP="00C7607E">
      <w:r w:rsidRPr="00C7607E">
        <w:t>Holcomb, J, Upchurch, R and Okumus, F 2007, ‘Corporate social responsibility in the hospitality industry’, Journal of Hospitality and Tourism Research, vol. 31, no. 4, pp. 417 437.</w:t>
      </w:r>
    </w:p>
    <w:p w14:paraId="20152428" w14:textId="77777777" w:rsidR="00C7607E" w:rsidRPr="00C7607E" w:rsidRDefault="00C7607E" w:rsidP="00C7607E">
      <w:r w:rsidRPr="00C7607E">
        <w:t>O’Neill, J and Mattila, A 2010, ‘Hotel brand strategy’, Cornell Hospitality Quarterly, vol. 51, no. 1, pp. 27 34.</w:t>
      </w:r>
    </w:p>
    <w:p w14:paraId="6618E5A0" w14:textId="77777777" w:rsidR="00C7607E" w:rsidRPr="00C7607E" w:rsidRDefault="00C7607E" w:rsidP="00C7607E">
      <w:r w:rsidRPr="00C7607E">
        <w:t>O’Neill, J and Mattila, A 2019, ‘Hotel brand strategy and performance’, International Journal of Hospitality Management, vol. 77, pp. 196 204.</w:t>
      </w:r>
    </w:p>
    <w:p w14:paraId="642E15D2" w14:textId="77777777" w:rsidR="00C7607E" w:rsidRPr="00C7607E" w:rsidRDefault="00C7607E" w:rsidP="00C7607E">
      <w:r w:rsidRPr="00C7607E">
        <w:t>Roberson, Q 2021, Diversity in the Workplace, Oxford University Press, Oxford.</w:t>
      </w:r>
    </w:p>
    <w:p w14:paraId="57080C4E" w14:textId="77777777" w:rsidR="00C7607E" w:rsidRPr="00C7607E" w:rsidRDefault="00C7607E" w:rsidP="00C7607E">
      <w:r w:rsidRPr="00C7607E">
        <w:lastRenderedPageBreak/>
        <w:t>Slack, N and Brandon Jones, A 2022, Operations Management, 10th </w:t>
      </w:r>
      <w:proofErr w:type="spellStart"/>
      <w:r w:rsidRPr="00C7607E">
        <w:t>edn</w:t>
      </w:r>
      <w:proofErr w:type="spellEnd"/>
      <w:r w:rsidRPr="00C7607E">
        <w:t>, Pearson, </w:t>
      </w:r>
      <w:proofErr w:type="spellStart"/>
      <w:r w:rsidRPr="00C7607E">
        <w:t>London.Gmelch</w:t>
      </w:r>
      <w:proofErr w:type="spellEnd"/>
      <w:r w:rsidRPr="00C7607E">
        <w:t>, G &amp; </w:t>
      </w:r>
      <w:proofErr w:type="spellStart"/>
      <w:r w:rsidRPr="00C7607E">
        <w:t>Gmelch</w:t>
      </w:r>
      <w:proofErr w:type="spellEnd"/>
      <w:r w:rsidRPr="00C7607E">
        <w:t>, S 2020, </w:t>
      </w:r>
      <w:r w:rsidRPr="00C7607E">
        <w:rPr>
          <w:i/>
          <w:iCs/>
        </w:rPr>
        <w:t>Hospitality and Tourism: A Global Cultural Perspective</w:t>
      </w:r>
      <w:r w:rsidRPr="00C7607E">
        <w:t>, Waveland Press, Long Grove.</w:t>
      </w:r>
    </w:p>
    <w:p w14:paraId="6ACCDF34" w14:textId="77777777" w:rsidR="00C7607E" w:rsidRPr="00C7607E" w:rsidRDefault="00C7607E" w:rsidP="00C7607E">
      <w:r w:rsidRPr="00C7607E">
        <w:t>Lashley, C &amp; Morrison, A 2011, </w:t>
      </w:r>
      <w:r w:rsidRPr="00C7607E">
        <w:rPr>
          <w:i/>
          <w:iCs/>
        </w:rPr>
        <w:t>In Search of Hospitality: Theoretical Perspectives and Debates</w:t>
      </w:r>
      <w:r w:rsidRPr="00C7607E">
        <w:t>, Routledge, London.</w:t>
      </w:r>
    </w:p>
    <w:p w14:paraId="627A91AD" w14:textId="77777777" w:rsidR="00C7607E" w:rsidRDefault="00C7607E"/>
    <w:sectPr w:rsidR="00C760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07E"/>
    <w:rsid w:val="0002215F"/>
    <w:rsid w:val="00825335"/>
    <w:rsid w:val="00C7607E"/>
    <w:rsid w:val="00F36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0CB08"/>
  <w15:chartTrackingRefBased/>
  <w15:docId w15:val="{FA97EB3D-266D-49EC-8E45-1600C004C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60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60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60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60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60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60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60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60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60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60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60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60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60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60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60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60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60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607E"/>
    <w:rPr>
      <w:rFonts w:eastAsiaTheme="majorEastAsia" w:cstheme="majorBidi"/>
      <w:color w:val="272727" w:themeColor="text1" w:themeTint="D8"/>
    </w:rPr>
  </w:style>
  <w:style w:type="paragraph" w:styleId="Title">
    <w:name w:val="Title"/>
    <w:basedOn w:val="Normal"/>
    <w:next w:val="Normal"/>
    <w:link w:val="TitleChar"/>
    <w:uiPriority w:val="10"/>
    <w:qFormat/>
    <w:rsid w:val="00C760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60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60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60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607E"/>
    <w:pPr>
      <w:spacing w:before="160"/>
      <w:jc w:val="center"/>
    </w:pPr>
    <w:rPr>
      <w:i/>
      <w:iCs/>
      <w:color w:val="404040" w:themeColor="text1" w:themeTint="BF"/>
    </w:rPr>
  </w:style>
  <w:style w:type="character" w:customStyle="1" w:styleId="QuoteChar">
    <w:name w:val="Quote Char"/>
    <w:basedOn w:val="DefaultParagraphFont"/>
    <w:link w:val="Quote"/>
    <w:uiPriority w:val="29"/>
    <w:rsid w:val="00C7607E"/>
    <w:rPr>
      <w:i/>
      <w:iCs/>
      <w:color w:val="404040" w:themeColor="text1" w:themeTint="BF"/>
    </w:rPr>
  </w:style>
  <w:style w:type="paragraph" w:styleId="ListParagraph">
    <w:name w:val="List Paragraph"/>
    <w:basedOn w:val="Normal"/>
    <w:uiPriority w:val="34"/>
    <w:qFormat/>
    <w:rsid w:val="00C7607E"/>
    <w:pPr>
      <w:ind w:left="720"/>
      <w:contextualSpacing/>
    </w:pPr>
  </w:style>
  <w:style w:type="character" w:styleId="IntenseEmphasis">
    <w:name w:val="Intense Emphasis"/>
    <w:basedOn w:val="DefaultParagraphFont"/>
    <w:uiPriority w:val="21"/>
    <w:qFormat/>
    <w:rsid w:val="00C7607E"/>
    <w:rPr>
      <w:i/>
      <w:iCs/>
      <w:color w:val="0F4761" w:themeColor="accent1" w:themeShade="BF"/>
    </w:rPr>
  </w:style>
  <w:style w:type="paragraph" w:styleId="IntenseQuote">
    <w:name w:val="Intense Quote"/>
    <w:basedOn w:val="Normal"/>
    <w:next w:val="Normal"/>
    <w:link w:val="IntenseQuoteChar"/>
    <w:uiPriority w:val="30"/>
    <w:qFormat/>
    <w:rsid w:val="00C760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607E"/>
    <w:rPr>
      <w:i/>
      <w:iCs/>
      <w:color w:val="0F4761" w:themeColor="accent1" w:themeShade="BF"/>
    </w:rPr>
  </w:style>
  <w:style w:type="character" w:styleId="IntenseReference">
    <w:name w:val="Intense Reference"/>
    <w:basedOn w:val="DefaultParagraphFont"/>
    <w:uiPriority w:val="32"/>
    <w:qFormat/>
    <w:rsid w:val="00C7607E"/>
    <w:rPr>
      <w:b/>
      <w:bCs/>
      <w:smallCaps/>
      <w:color w:val="0F4761" w:themeColor="accent1" w:themeShade="BF"/>
      <w:spacing w:val="5"/>
    </w:rPr>
  </w:style>
  <w:style w:type="character" w:styleId="Hyperlink">
    <w:name w:val="Hyperlink"/>
    <w:basedOn w:val="DefaultParagraphFont"/>
    <w:uiPriority w:val="99"/>
    <w:unhideWhenUsed/>
    <w:rsid w:val="00C7607E"/>
    <w:rPr>
      <w:color w:val="467886" w:themeColor="hyperlink"/>
      <w:u w:val="single"/>
    </w:rPr>
  </w:style>
  <w:style w:type="character" w:styleId="UnresolvedMention">
    <w:name w:val="Unresolved Mention"/>
    <w:basedOn w:val="DefaultParagraphFont"/>
    <w:uiPriority w:val="99"/>
    <w:semiHidden/>
    <w:unhideWhenUsed/>
    <w:rsid w:val="00C760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cip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2477</Words>
  <Characters>14121</Characters>
  <Application>Microsoft Office Word</Application>
  <DocSecurity>0</DocSecurity>
  <Lines>117</Lines>
  <Paragraphs>33</Paragraphs>
  <ScaleCrop>false</ScaleCrop>
  <Company/>
  <LinksUpToDate>false</LinksUpToDate>
  <CharactersWithSpaces>16565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Safin Hossain</dc:creator>
  <cp:keywords/>
  <dc:description/>
  <cp:lastModifiedBy>Safin Hossain</cp:lastModifiedBy>
  <cp:revision>2</cp:revision>
  <dcterms:created xsi:type="dcterms:W3CDTF">2025-12-11T12:40:00Z</dcterms:created>
  <dcterms:modified xsi:type="dcterms:W3CDTF">2025-12-11T12:40:00Z</dcterms:modified>
</cp:coreProperties>
</file>