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00D" w:rsidRDefault="006D200D" w:rsidP="006D200D"/>
    <w:p w:rsidR="006D200D" w:rsidRDefault="006D200D" w:rsidP="006D200D">
      <w:pPr>
        <w:jc w:val="center"/>
      </w:pPr>
      <w:r>
        <w:rPr>
          <w:noProof/>
          <w:lang w:eastAsia="en-GB"/>
        </w:rPr>
        <w:drawing>
          <wp:inline distT="0" distB="0" distL="0" distR="0" wp14:anchorId="6A06BFF6" wp14:editId="1FFF2FCA">
            <wp:extent cx="2755265" cy="1104265"/>
            <wp:effectExtent l="0" t="0" r="6985" b="635"/>
            <wp:docPr id="2" name="Picture 2" descr="Image result for uwtsd sh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wtsd shiel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5265" cy="1104265"/>
                    </a:xfrm>
                    <a:prstGeom prst="rect">
                      <a:avLst/>
                    </a:prstGeom>
                    <a:noFill/>
                    <a:ln>
                      <a:noFill/>
                    </a:ln>
                  </pic:spPr>
                </pic:pic>
              </a:graphicData>
            </a:graphic>
          </wp:inline>
        </w:drawing>
      </w:r>
    </w:p>
    <w:p w:rsidR="006D200D" w:rsidRDefault="006D200D" w:rsidP="006D200D">
      <w:pPr>
        <w:pStyle w:val="Title"/>
        <w:rPr>
          <w:rStyle w:val="Strong"/>
          <w:rFonts w:ascii="Times New Roman" w:hAnsi="Times New Roman" w:cs="Times New Roman"/>
          <w:sz w:val="44"/>
          <w:szCs w:val="44"/>
        </w:rPr>
      </w:pPr>
    </w:p>
    <w:p w:rsidR="006D200D" w:rsidRPr="000908E4" w:rsidRDefault="006D200D" w:rsidP="006D200D"/>
    <w:p w:rsidR="006D200D" w:rsidRPr="000908E4" w:rsidRDefault="006D200D" w:rsidP="006D200D">
      <w:pPr>
        <w:pStyle w:val="Title"/>
        <w:jc w:val="center"/>
        <w:rPr>
          <w:rStyle w:val="Strong"/>
          <w:rFonts w:ascii="Times New Roman" w:hAnsi="Times New Roman" w:cs="Times New Roman"/>
          <w:sz w:val="44"/>
          <w:szCs w:val="44"/>
        </w:rPr>
      </w:pPr>
      <w:r w:rsidRPr="000908E4">
        <w:rPr>
          <w:rStyle w:val="Strong"/>
          <w:rFonts w:ascii="Times New Roman" w:hAnsi="Times New Roman" w:cs="Times New Roman"/>
          <w:sz w:val="44"/>
          <w:szCs w:val="44"/>
        </w:rPr>
        <w:t>The Road to Professionalism: How Greek states supported professional forces</w:t>
      </w:r>
    </w:p>
    <w:p w:rsidR="006D200D" w:rsidRPr="000908E4" w:rsidRDefault="006D200D" w:rsidP="006D200D">
      <w:pPr>
        <w:rPr>
          <w:rFonts w:ascii="Times New Roman" w:hAnsi="Times New Roman" w:cs="Times New Roman"/>
          <w:sz w:val="44"/>
          <w:szCs w:val="44"/>
        </w:rPr>
      </w:pPr>
    </w:p>
    <w:p w:rsidR="006D200D" w:rsidRPr="000908E4" w:rsidRDefault="006D200D" w:rsidP="006D200D">
      <w:pPr>
        <w:rPr>
          <w:rFonts w:ascii="Times New Roman" w:hAnsi="Times New Roman" w:cs="Times New Roman"/>
          <w:sz w:val="44"/>
          <w:szCs w:val="44"/>
        </w:rPr>
      </w:pPr>
    </w:p>
    <w:p w:rsidR="006D200D" w:rsidRPr="000908E4" w:rsidRDefault="006D200D" w:rsidP="006D200D">
      <w:pPr>
        <w:jc w:val="center"/>
        <w:rPr>
          <w:rFonts w:ascii="Times New Roman" w:hAnsi="Times New Roman" w:cs="Times New Roman"/>
          <w:sz w:val="36"/>
          <w:szCs w:val="44"/>
        </w:rPr>
      </w:pPr>
      <w:r w:rsidRPr="000908E4">
        <w:rPr>
          <w:rFonts w:ascii="Times New Roman" w:hAnsi="Times New Roman" w:cs="Times New Roman"/>
          <w:sz w:val="36"/>
          <w:szCs w:val="44"/>
        </w:rPr>
        <w:t>Tamara Jade Bowie</w:t>
      </w:r>
    </w:p>
    <w:p w:rsidR="006D200D" w:rsidRPr="000908E4" w:rsidRDefault="006D200D" w:rsidP="006D200D">
      <w:pPr>
        <w:jc w:val="center"/>
        <w:rPr>
          <w:rFonts w:ascii="Times New Roman" w:hAnsi="Times New Roman" w:cs="Times New Roman"/>
          <w:sz w:val="36"/>
          <w:szCs w:val="44"/>
        </w:rPr>
      </w:pPr>
    </w:p>
    <w:p w:rsidR="006D200D" w:rsidRPr="000908E4" w:rsidRDefault="006D200D" w:rsidP="006D200D">
      <w:pPr>
        <w:jc w:val="center"/>
        <w:rPr>
          <w:rFonts w:ascii="Times New Roman" w:hAnsi="Times New Roman" w:cs="Times New Roman"/>
          <w:sz w:val="36"/>
          <w:szCs w:val="44"/>
        </w:rPr>
      </w:pPr>
      <w:r w:rsidRPr="000908E4">
        <w:rPr>
          <w:rFonts w:ascii="Times New Roman" w:hAnsi="Times New Roman" w:cs="Times New Roman"/>
          <w:sz w:val="36"/>
          <w:szCs w:val="44"/>
        </w:rPr>
        <w:t>1601293</w:t>
      </w:r>
    </w:p>
    <w:p w:rsidR="006D200D" w:rsidRPr="000908E4" w:rsidRDefault="006D200D" w:rsidP="006D200D">
      <w:pPr>
        <w:jc w:val="center"/>
        <w:rPr>
          <w:rFonts w:ascii="Times New Roman" w:hAnsi="Times New Roman" w:cs="Times New Roman"/>
          <w:sz w:val="36"/>
          <w:szCs w:val="44"/>
        </w:rPr>
      </w:pPr>
    </w:p>
    <w:p w:rsidR="006D200D" w:rsidRPr="000908E4" w:rsidRDefault="006D200D" w:rsidP="006D200D">
      <w:pPr>
        <w:jc w:val="center"/>
        <w:rPr>
          <w:rFonts w:ascii="Times New Roman" w:hAnsi="Times New Roman" w:cs="Times New Roman"/>
          <w:sz w:val="36"/>
          <w:szCs w:val="44"/>
        </w:rPr>
      </w:pPr>
      <w:r w:rsidRPr="000908E4">
        <w:rPr>
          <w:rFonts w:ascii="Times New Roman" w:hAnsi="Times New Roman" w:cs="Times New Roman"/>
          <w:sz w:val="36"/>
          <w:szCs w:val="44"/>
        </w:rPr>
        <w:t>May 2019</w:t>
      </w:r>
    </w:p>
    <w:p w:rsidR="006D200D" w:rsidRPr="000908E4" w:rsidRDefault="006D200D" w:rsidP="006D200D">
      <w:pPr>
        <w:jc w:val="center"/>
        <w:rPr>
          <w:rFonts w:ascii="Times New Roman" w:hAnsi="Times New Roman" w:cs="Times New Roman"/>
          <w:sz w:val="36"/>
          <w:szCs w:val="44"/>
        </w:rPr>
      </w:pPr>
    </w:p>
    <w:p w:rsidR="006D200D" w:rsidRPr="000908E4" w:rsidRDefault="006D200D" w:rsidP="006D200D">
      <w:pPr>
        <w:jc w:val="center"/>
        <w:rPr>
          <w:rFonts w:ascii="Times New Roman" w:hAnsi="Times New Roman" w:cs="Times New Roman"/>
          <w:sz w:val="36"/>
          <w:szCs w:val="44"/>
        </w:rPr>
      </w:pPr>
      <w:r w:rsidRPr="000908E4">
        <w:rPr>
          <w:rFonts w:ascii="Times New Roman" w:hAnsi="Times New Roman" w:cs="Times New Roman"/>
          <w:sz w:val="36"/>
          <w:szCs w:val="44"/>
        </w:rPr>
        <w:t>Word Count:</w:t>
      </w:r>
      <w:r>
        <w:rPr>
          <w:rFonts w:ascii="Times New Roman" w:hAnsi="Times New Roman" w:cs="Times New Roman"/>
          <w:sz w:val="36"/>
          <w:szCs w:val="44"/>
        </w:rPr>
        <w:t xml:space="preserve"> 10,9</w:t>
      </w:r>
      <w:r w:rsidR="008D2454">
        <w:rPr>
          <w:rFonts w:ascii="Times New Roman" w:hAnsi="Times New Roman" w:cs="Times New Roman"/>
          <w:sz w:val="36"/>
          <w:szCs w:val="44"/>
        </w:rPr>
        <w:t>83</w:t>
      </w:r>
      <w:bookmarkStart w:id="0" w:name="_GoBack"/>
      <w:bookmarkEnd w:id="0"/>
    </w:p>
    <w:p w:rsidR="006D200D" w:rsidRPr="000908E4" w:rsidRDefault="006D200D" w:rsidP="006D200D">
      <w:pPr>
        <w:jc w:val="center"/>
        <w:rPr>
          <w:rFonts w:ascii="Times New Roman" w:hAnsi="Times New Roman" w:cs="Times New Roman"/>
          <w:sz w:val="44"/>
          <w:szCs w:val="44"/>
        </w:rPr>
      </w:pPr>
    </w:p>
    <w:p w:rsidR="006D200D" w:rsidRPr="000908E4" w:rsidRDefault="006D200D" w:rsidP="006D200D">
      <w:pPr>
        <w:jc w:val="center"/>
        <w:rPr>
          <w:rFonts w:ascii="Times New Roman" w:hAnsi="Times New Roman" w:cs="Times New Roman"/>
          <w:sz w:val="44"/>
          <w:szCs w:val="44"/>
        </w:rPr>
      </w:pPr>
    </w:p>
    <w:p w:rsidR="006D200D" w:rsidRPr="000908E4" w:rsidRDefault="006D200D" w:rsidP="006D200D">
      <w:pPr>
        <w:jc w:val="center"/>
        <w:rPr>
          <w:rFonts w:ascii="Times New Roman" w:hAnsi="Times New Roman" w:cs="Times New Roman"/>
          <w:sz w:val="44"/>
          <w:szCs w:val="44"/>
        </w:rPr>
      </w:pPr>
      <w:r w:rsidRPr="000908E4">
        <w:rPr>
          <w:rFonts w:ascii="Times New Roman" w:hAnsi="Times New Roman" w:cs="Times New Roman"/>
          <w:sz w:val="44"/>
          <w:szCs w:val="44"/>
        </w:rPr>
        <w:t>A dissertation submitted to the University of Wales Trinity Saint David in partial fulfilment of the requirements for the degree of Bachelor of Arts</w:t>
      </w:r>
    </w:p>
    <w:p w:rsidR="009E0AB8" w:rsidRPr="009E0AB8" w:rsidRDefault="009E0AB8" w:rsidP="009E0AB8">
      <w:pPr>
        <w:pStyle w:val="Heading2"/>
        <w:rPr>
          <w:rFonts w:ascii="Times New Roman" w:hAnsi="Times New Roman" w:cs="Times New Roman"/>
          <w:color w:val="auto"/>
          <w:sz w:val="32"/>
        </w:rPr>
      </w:pPr>
      <w:r w:rsidRPr="009E0AB8">
        <w:rPr>
          <w:rFonts w:ascii="Times New Roman" w:hAnsi="Times New Roman" w:cs="Times New Roman"/>
          <w:color w:val="auto"/>
          <w:sz w:val="32"/>
        </w:rPr>
        <w:lastRenderedPageBreak/>
        <w:t>Abstract</w:t>
      </w:r>
    </w:p>
    <w:p w:rsidR="009E0AB8" w:rsidRDefault="009E0AB8" w:rsidP="001C66D9"/>
    <w:p w:rsidR="009E0AB8" w:rsidRPr="009E0AB8" w:rsidRDefault="009E0AB8" w:rsidP="009E0AB8">
      <w:pPr>
        <w:spacing w:line="480" w:lineRule="auto"/>
        <w:rPr>
          <w:rFonts w:ascii="Times New Roman" w:hAnsi="Times New Roman" w:cs="Times New Roman"/>
          <w:sz w:val="24"/>
        </w:rPr>
      </w:pPr>
      <w:r w:rsidRPr="009E0AB8">
        <w:rPr>
          <w:rFonts w:ascii="Times New Roman" w:hAnsi="Times New Roman" w:cs="Times New Roman"/>
          <w:sz w:val="24"/>
        </w:rPr>
        <w:t xml:space="preserve">This work discusses the development of professionalism in the Classical Greek world, by primarily discussing the state of Sparta, it focuses on the discussions of Cartledge as well as the debate with Hodkinson to determine if Sparta could be used as a military model for other poleis or whether it was simply a unique polis not designed for longevity. </w:t>
      </w:r>
    </w:p>
    <w:p w:rsidR="009E0AB8" w:rsidRPr="009E0AB8" w:rsidRDefault="009E0AB8" w:rsidP="009E0AB8">
      <w:pPr>
        <w:spacing w:line="480" w:lineRule="auto"/>
        <w:rPr>
          <w:rFonts w:ascii="Times New Roman" w:hAnsi="Times New Roman" w:cs="Times New Roman"/>
          <w:sz w:val="24"/>
        </w:rPr>
      </w:pPr>
      <w:r w:rsidRPr="009E0AB8">
        <w:rPr>
          <w:rFonts w:ascii="Times New Roman" w:hAnsi="Times New Roman" w:cs="Times New Roman"/>
          <w:sz w:val="24"/>
        </w:rPr>
        <w:t xml:space="preserve">It develops this discussion by including debates on the Theban Sacred Band, the Argive one thousand </w:t>
      </w:r>
      <w:r>
        <w:rPr>
          <w:rFonts w:ascii="Times New Roman" w:hAnsi="Times New Roman" w:cs="Times New Roman"/>
          <w:sz w:val="24"/>
        </w:rPr>
        <w:t xml:space="preserve">by Kelly and Hilbert </w:t>
      </w:r>
      <w:r w:rsidRPr="009E0AB8">
        <w:rPr>
          <w:rFonts w:ascii="Times New Roman" w:hAnsi="Times New Roman" w:cs="Times New Roman"/>
          <w:sz w:val="24"/>
        </w:rPr>
        <w:t>and the development of peltast warfare before discussing the origins of mercenary forces in the period</w:t>
      </w:r>
      <w:r>
        <w:rPr>
          <w:rFonts w:ascii="Times New Roman" w:hAnsi="Times New Roman" w:cs="Times New Roman"/>
          <w:sz w:val="24"/>
        </w:rPr>
        <w:t xml:space="preserve"> through the works of Miller</w:t>
      </w:r>
      <w:r w:rsidRPr="009E0AB8">
        <w:rPr>
          <w:rFonts w:ascii="Times New Roman" w:hAnsi="Times New Roman" w:cs="Times New Roman"/>
          <w:sz w:val="24"/>
        </w:rPr>
        <w:t>. The work also discusses the ethical issues surrounding the hiring of these mercenary bands</w:t>
      </w:r>
      <w:r>
        <w:rPr>
          <w:rFonts w:ascii="Times New Roman" w:hAnsi="Times New Roman" w:cs="Times New Roman"/>
          <w:sz w:val="24"/>
        </w:rPr>
        <w:t xml:space="preserve"> highlighting the key issue with mercenary forces to be a matter of allegiance</w:t>
      </w:r>
      <w:r w:rsidRPr="009E0AB8">
        <w:rPr>
          <w:rFonts w:ascii="Times New Roman" w:hAnsi="Times New Roman" w:cs="Times New Roman"/>
          <w:sz w:val="24"/>
        </w:rPr>
        <w:t>.</w:t>
      </w:r>
    </w:p>
    <w:p w:rsidR="001C66D9" w:rsidRDefault="009E0AB8" w:rsidP="001C66D9">
      <w:r>
        <w:br w:type="page"/>
      </w:r>
    </w:p>
    <w:sdt>
      <w:sdtPr>
        <w:rPr>
          <w:rFonts w:ascii="Times New Roman" w:eastAsiaTheme="minorHAnsi" w:hAnsi="Times New Roman" w:cs="Times New Roman"/>
          <w:color w:val="auto"/>
          <w:sz w:val="24"/>
          <w:szCs w:val="24"/>
          <w:lang w:val="en-GB"/>
        </w:rPr>
        <w:id w:val="-1622136585"/>
        <w:docPartObj>
          <w:docPartGallery w:val="Table of Contents"/>
          <w:docPartUnique/>
        </w:docPartObj>
      </w:sdtPr>
      <w:sdtEndPr>
        <w:rPr>
          <w:rFonts w:asciiTheme="minorHAnsi" w:hAnsiTheme="minorHAnsi" w:cstheme="minorBidi"/>
          <w:b/>
          <w:bCs/>
          <w:noProof/>
          <w:sz w:val="22"/>
          <w:szCs w:val="22"/>
        </w:rPr>
      </w:sdtEndPr>
      <w:sdtContent>
        <w:p w:rsidR="009E0AB8" w:rsidRDefault="009E0AB8">
          <w:pPr>
            <w:pStyle w:val="TOCHeading"/>
            <w:rPr>
              <w:rFonts w:ascii="Times New Roman" w:hAnsi="Times New Roman" w:cs="Times New Roman"/>
              <w:sz w:val="24"/>
              <w:szCs w:val="24"/>
            </w:rPr>
          </w:pPr>
        </w:p>
        <w:p w:rsidR="009E0AB8" w:rsidRDefault="009E0AB8">
          <w:pPr>
            <w:pStyle w:val="TOCHeading"/>
            <w:rPr>
              <w:rFonts w:ascii="Times New Roman" w:hAnsi="Times New Roman" w:cs="Times New Roman"/>
              <w:sz w:val="24"/>
              <w:szCs w:val="24"/>
            </w:rPr>
          </w:pPr>
        </w:p>
        <w:p w:rsidR="009E0AB8" w:rsidRDefault="009E0AB8">
          <w:pPr>
            <w:pStyle w:val="TOCHeading"/>
            <w:rPr>
              <w:rFonts w:ascii="Times New Roman" w:hAnsi="Times New Roman" w:cs="Times New Roman"/>
              <w:color w:val="auto"/>
              <w:szCs w:val="24"/>
            </w:rPr>
          </w:pPr>
          <w:r>
            <w:rPr>
              <w:rFonts w:ascii="Times New Roman" w:hAnsi="Times New Roman" w:cs="Times New Roman"/>
              <w:color w:val="auto"/>
              <w:szCs w:val="24"/>
            </w:rPr>
            <w:t>Table of C</w:t>
          </w:r>
          <w:r w:rsidRPr="009E0AB8">
            <w:rPr>
              <w:rFonts w:ascii="Times New Roman" w:hAnsi="Times New Roman" w:cs="Times New Roman"/>
              <w:color w:val="auto"/>
              <w:szCs w:val="24"/>
            </w:rPr>
            <w:t>ontents</w:t>
          </w:r>
        </w:p>
        <w:p w:rsidR="009E0AB8" w:rsidRPr="009E0AB8" w:rsidRDefault="009E0AB8" w:rsidP="009E0AB8">
          <w:pPr>
            <w:rPr>
              <w:lang w:val="en-US"/>
            </w:rPr>
          </w:pPr>
        </w:p>
        <w:p w:rsidR="009E0AB8" w:rsidRPr="009E0AB8" w:rsidRDefault="009E0AB8">
          <w:pPr>
            <w:pStyle w:val="TOC1"/>
            <w:tabs>
              <w:tab w:val="right" w:leader="dot" w:pos="8494"/>
            </w:tabs>
            <w:rPr>
              <w:rFonts w:ascii="Times New Roman" w:eastAsiaTheme="minorEastAsia" w:hAnsi="Times New Roman" w:cs="Times New Roman"/>
              <w:noProof/>
              <w:sz w:val="24"/>
              <w:szCs w:val="24"/>
              <w:lang w:eastAsia="en-GB"/>
            </w:rPr>
          </w:pPr>
          <w:r w:rsidRPr="009E0AB8">
            <w:rPr>
              <w:rFonts w:ascii="Times New Roman" w:hAnsi="Times New Roman" w:cs="Times New Roman"/>
              <w:sz w:val="24"/>
              <w:szCs w:val="24"/>
            </w:rPr>
            <w:fldChar w:fldCharType="begin"/>
          </w:r>
          <w:r w:rsidRPr="009E0AB8">
            <w:rPr>
              <w:rFonts w:ascii="Times New Roman" w:hAnsi="Times New Roman" w:cs="Times New Roman"/>
              <w:sz w:val="24"/>
              <w:szCs w:val="24"/>
            </w:rPr>
            <w:instrText xml:space="preserve"> TOC \o "1-3" \h \z \u </w:instrText>
          </w:r>
          <w:r w:rsidRPr="009E0AB8">
            <w:rPr>
              <w:rFonts w:ascii="Times New Roman" w:hAnsi="Times New Roman" w:cs="Times New Roman"/>
              <w:sz w:val="24"/>
              <w:szCs w:val="24"/>
            </w:rPr>
            <w:fldChar w:fldCharType="separate"/>
          </w:r>
          <w:hyperlink w:anchor="_Toc8191332" w:history="1">
            <w:r w:rsidRPr="009E0AB8">
              <w:rPr>
                <w:rStyle w:val="Hyperlink"/>
                <w:rFonts w:ascii="Times New Roman" w:hAnsi="Times New Roman" w:cs="Times New Roman"/>
                <w:noProof/>
                <w:sz w:val="24"/>
                <w:szCs w:val="24"/>
              </w:rPr>
              <w:t>The road to professionalism: How Greek states supported professional forces</w:t>
            </w:r>
            <w:r w:rsidRPr="009E0AB8">
              <w:rPr>
                <w:rFonts w:ascii="Times New Roman" w:hAnsi="Times New Roman" w:cs="Times New Roman"/>
                <w:noProof/>
                <w:webHidden/>
                <w:sz w:val="24"/>
                <w:szCs w:val="24"/>
              </w:rPr>
              <w:tab/>
            </w:r>
            <w:r w:rsidRPr="009E0AB8">
              <w:rPr>
                <w:rFonts w:ascii="Times New Roman" w:hAnsi="Times New Roman" w:cs="Times New Roman"/>
                <w:noProof/>
                <w:webHidden/>
                <w:sz w:val="24"/>
                <w:szCs w:val="24"/>
              </w:rPr>
              <w:fldChar w:fldCharType="begin"/>
            </w:r>
            <w:r w:rsidRPr="009E0AB8">
              <w:rPr>
                <w:rFonts w:ascii="Times New Roman" w:hAnsi="Times New Roman" w:cs="Times New Roman"/>
                <w:noProof/>
                <w:webHidden/>
                <w:sz w:val="24"/>
                <w:szCs w:val="24"/>
              </w:rPr>
              <w:instrText xml:space="preserve"> PAGEREF _Toc8191332 \h </w:instrText>
            </w:r>
            <w:r w:rsidRPr="009E0AB8">
              <w:rPr>
                <w:rFonts w:ascii="Times New Roman" w:hAnsi="Times New Roman" w:cs="Times New Roman"/>
                <w:noProof/>
                <w:webHidden/>
                <w:sz w:val="24"/>
                <w:szCs w:val="24"/>
              </w:rPr>
            </w:r>
            <w:r w:rsidRPr="009E0AB8">
              <w:rPr>
                <w:rFonts w:ascii="Times New Roman" w:hAnsi="Times New Roman" w:cs="Times New Roman"/>
                <w:noProof/>
                <w:webHidden/>
                <w:sz w:val="24"/>
                <w:szCs w:val="24"/>
              </w:rPr>
              <w:fldChar w:fldCharType="separate"/>
            </w:r>
            <w:r w:rsidR="008D2454">
              <w:rPr>
                <w:rFonts w:ascii="Times New Roman" w:hAnsi="Times New Roman" w:cs="Times New Roman"/>
                <w:noProof/>
                <w:webHidden/>
                <w:sz w:val="24"/>
                <w:szCs w:val="24"/>
              </w:rPr>
              <w:t>4</w:t>
            </w:r>
            <w:r w:rsidRPr="009E0AB8">
              <w:rPr>
                <w:rFonts w:ascii="Times New Roman" w:hAnsi="Times New Roman" w:cs="Times New Roman"/>
                <w:noProof/>
                <w:webHidden/>
                <w:sz w:val="24"/>
                <w:szCs w:val="24"/>
              </w:rPr>
              <w:fldChar w:fldCharType="end"/>
            </w:r>
          </w:hyperlink>
        </w:p>
        <w:p w:rsidR="009E0AB8" w:rsidRPr="009E0AB8" w:rsidRDefault="008D2454">
          <w:pPr>
            <w:pStyle w:val="TOC1"/>
            <w:tabs>
              <w:tab w:val="right" w:leader="dot" w:pos="8494"/>
            </w:tabs>
            <w:rPr>
              <w:rFonts w:ascii="Times New Roman" w:eastAsiaTheme="minorEastAsia" w:hAnsi="Times New Roman" w:cs="Times New Roman"/>
              <w:noProof/>
              <w:sz w:val="24"/>
              <w:szCs w:val="24"/>
              <w:lang w:eastAsia="en-GB"/>
            </w:rPr>
          </w:pPr>
          <w:hyperlink w:anchor="_Toc8191333" w:history="1">
            <w:r w:rsidR="009E0AB8" w:rsidRPr="009E0AB8">
              <w:rPr>
                <w:rStyle w:val="Hyperlink"/>
                <w:rFonts w:ascii="Times New Roman" w:hAnsi="Times New Roman" w:cs="Times New Roman"/>
                <w:noProof/>
                <w:sz w:val="24"/>
                <w:szCs w:val="24"/>
              </w:rPr>
              <w:t>Chapter 2: Sparta and the Spartan Hoplites</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_Toc8191333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34" w:history="1">
            <w:r w:rsidR="009E0AB8" w:rsidRPr="009E0AB8">
              <w:rPr>
                <w:rStyle w:val="Hyperlink"/>
                <w:rFonts w:ascii="Times New Roman" w:hAnsi="Times New Roman" w:cs="Times New Roman"/>
                <w:noProof/>
                <w:sz w:val="24"/>
                <w:szCs w:val="24"/>
              </w:rPr>
              <w:t>Community of place, identity of territory and an urban centre</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_Toc8191334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35" w:history="1">
            <w:r w:rsidR="009E0AB8" w:rsidRPr="009E0AB8">
              <w:rPr>
                <w:rStyle w:val="Hyperlink"/>
                <w:rFonts w:ascii="Times New Roman" w:hAnsi="Times New Roman" w:cs="Times New Roman"/>
                <w:noProof/>
                <w:sz w:val="24"/>
                <w:szCs w:val="24"/>
              </w:rPr>
              <w:t>Sparta as a free polis</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_Toc8191335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15</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36" w:history="1">
            <w:r w:rsidR="009E0AB8" w:rsidRPr="009E0AB8">
              <w:rPr>
                <w:rStyle w:val="Hyperlink"/>
                <w:rFonts w:ascii="Times New Roman" w:hAnsi="Times New Roman" w:cs="Times New Roman"/>
                <w:noProof/>
                <w:sz w:val="24"/>
                <w:szCs w:val="24"/>
              </w:rPr>
              <w:t>Governance</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_Toc8191336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19</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37" w:history="1">
            <w:r w:rsidR="009E0AB8" w:rsidRPr="009E0AB8">
              <w:rPr>
                <w:rStyle w:val="Hyperlink"/>
                <w:rFonts w:ascii="Times New Roman" w:hAnsi="Times New Roman" w:cs="Times New Roman"/>
                <w:noProof/>
                <w:sz w:val="24"/>
                <w:szCs w:val="24"/>
              </w:rPr>
              <w:t>Self sufficiency</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_Toc8191337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20</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38" w:history="1">
            <w:r w:rsidR="009E0AB8" w:rsidRPr="009E0AB8">
              <w:rPr>
                <w:rStyle w:val="Hyperlink"/>
                <w:rFonts w:ascii="Times New Roman" w:hAnsi="Times New Roman" w:cs="Times New Roman"/>
                <w:noProof/>
                <w:sz w:val="24"/>
                <w:szCs w:val="24"/>
              </w:rPr>
              <w:t>Spartan professionalism; military model or unique polis?</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_Toc8191338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23</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1"/>
            <w:tabs>
              <w:tab w:val="right" w:leader="dot" w:pos="8494"/>
            </w:tabs>
            <w:rPr>
              <w:rFonts w:ascii="Times New Roman" w:eastAsiaTheme="minorEastAsia" w:hAnsi="Times New Roman" w:cs="Times New Roman"/>
              <w:noProof/>
              <w:sz w:val="24"/>
              <w:szCs w:val="24"/>
              <w:lang w:eastAsia="en-GB"/>
            </w:rPr>
          </w:pPr>
          <w:hyperlink w:anchor="_Toc8191339" w:history="1">
            <w:r w:rsidR="009E0AB8" w:rsidRPr="009E0AB8">
              <w:rPr>
                <w:rStyle w:val="Hyperlink"/>
                <w:rFonts w:ascii="Times New Roman" w:hAnsi="Times New Roman" w:cs="Times New Roman"/>
                <w:noProof/>
                <w:sz w:val="24"/>
                <w:szCs w:val="24"/>
              </w:rPr>
              <w:t>Chapter 3: Professional forces outside of Sparta</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_Toc8191339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25</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40" w:history="1">
            <w:r w:rsidR="009E0AB8" w:rsidRPr="009E0AB8">
              <w:rPr>
                <w:rStyle w:val="Hyperlink"/>
                <w:rFonts w:ascii="Times New Roman" w:hAnsi="Times New Roman" w:cs="Times New Roman"/>
                <w:noProof/>
                <w:sz w:val="24"/>
                <w:szCs w:val="24"/>
              </w:rPr>
              <w:t>The Theban Sacred Band</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_Toc8191340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25</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41" w:history="1">
            <w:r w:rsidR="009E0AB8" w:rsidRPr="009E0AB8">
              <w:rPr>
                <w:rStyle w:val="Hyperlink"/>
                <w:rFonts w:ascii="Times New Roman" w:hAnsi="Times New Roman" w:cs="Times New Roman"/>
                <w:noProof/>
                <w:sz w:val="24"/>
                <w:szCs w:val="24"/>
              </w:rPr>
              <w:t>The Argive one thousand</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_Toc8191341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27</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42" w:history="1">
            <w:r w:rsidR="009E0AB8" w:rsidRPr="009E0AB8">
              <w:rPr>
                <w:rStyle w:val="Hyperlink"/>
                <w:rFonts w:ascii="Times New Roman" w:hAnsi="Times New Roman" w:cs="Times New Roman"/>
                <w:noProof/>
                <w:sz w:val="24"/>
                <w:szCs w:val="24"/>
              </w:rPr>
              <w:t>Peltast warfare</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_Toc8191342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30</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43" w:history="1">
            <w:r w:rsidR="009E0AB8" w:rsidRPr="009E0AB8">
              <w:rPr>
                <w:rStyle w:val="Hyperlink"/>
                <w:rFonts w:ascii="Times New Roman" w:hAnsi="Times New Roman" w:cs="Times New Roman"/>
                <w:noProof/>
                <w:sz w:val="24"/>
                <w:szCs w:val="24"/>
              </w:rPr>
              <w:t>Issues of professionalism in military forces</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_Toc8191343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32</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1"/>
            <w:tabs>
              <w:tab w:val="right" w:leader="dot" w:pos="8494"/>
            </w:tabs>
            <w:rPr>
              <w:rFonts w:ascii="Times New Roman" w:eastAsiaTheme="minorEastAsia" w:hAnsi="Times New Roman" w:cs="Times New Roman"/>
              <w:noProof/>
              <w:sz w:val="24"/>
              <w:szCs w:val="24"/>
              <w:lang w:eastAsia="en-GB"/>
            </w:rPr>
          </w:pPr>
          <w:hyperlink w:anchor="_Toc8191344" w:history="1">
            <w:r w:rsidR="009E0AB8" w:rsidRPr="009E0AB8">
              <w:rPr>
                <w:rStyle w:val="Hyperlink"/>
                <w:rFonts w:ascii="Times New Roman" w:hAnsi="Times New Roman" w:cs="Times New Roman"/>
                <w:noProof/>
                <w:sz w:val="24"/>
                <w:szCs w:val="24"/>
              </w:rPr>
              <w:t>Chapter 4: The origins of Mercenary forces</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_Toc8191344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34</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1"/>
            <w:tabs>
              <w:tab w:val="right" w:leader="dot" w:pos="8494"/>
            </w:tabs>
            <w:rPr>
              <w:rFonts w:ascii="Times New Roman" w:eastAsiaTheme="minorEastAsia" w:hAnsi="Times New Roman" w:cs="Times New Roman"/>
              <w:noProof/>
              <w:sz w:val="24"/>
              <w:szCs w:val="24"/>
              <w:lang w:eastAsia="en-GB"/>
            </w:rPr>
          </w:pPr>
          <w:hyperlink w:anchor="_Toc8191345" w:history="1">
            <w:r w:rsidR="009E0AB8" w:rsidRPr="009E0AB8">
              <w:rPr>
                <w:rStyle w:val="Hyperlink"/>
                <w:rFonts w:ascii="Times New Roman" w:hAnsi="Times New Roman" w:cs="Times New Roman"/>
                <w:noProof/>
                <w:sz w:val="24"/>
                <w:szCs w:val="24"/>
              </w:rPr>
              <w:t>Chapter 5: Ethical issues of Mercenaries in the Ancient world</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_Toc8191345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38</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46" w:history="1">
            <w:r w:rsidR="009E0AB8" w:rsidRPr="009E0AB8">
              <w:rPr>
                <w:rStyle w:val="Hyperlink"/>
                <w:rFonts w:ascii="Times New Roman" w:hAnsi="Times New Roman" w:cs="Times New Roman"/>
                <w:noProof/>
                <w:sz w:val="24"/>
                <w:szCs w:val="24"/>
              </w:rPr>
              <w:t>How mercenaries were hired and issues of allegiance</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_Toc8191346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38</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47" w:history="1">
            <w:r w:rsidR="009E0AB8" w:rsidRPr="009E0AB8">
              <w:rPr>
                <w:rStyle w:val="Hyperlink"/>
                <w:rFonts w:ascii="Times New Roman" w:hAnsi="Times New Roman" w:cs="Times New Roman"/>
                <w:noProof/>
                <w:sz w:val="24"/>
                <w:szCs w:val="24"/>
              </w:rPr>
              <w:t>Mercenary unethical practises</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_Toc8191347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39</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48" w:history="1">
            <w:r w:rsidR="009E0AB8" w:rsidRPr="009E0AB8">
              <w:rPr>
                <w:rStyle w:val="Hyperlink"/>
                <w:rFonts w:ascii="Times New Roman" w:hAnsi="Times New Roman" w:cs="Times New Roman"/>
                <w:noProof/>
                <w:sz w:val="24"/>
                <w:szCs w:val="24"/>
              </w:rPr>
              <w:t>The mercenaries place in the Greek world</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_Toc8191348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40</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1"/>
            <w:tabs>
              <w:tab w:val="right" w:leader="dot" w:pos="8494"/>
            </w:tabs>
            <w:rPr>
              <w:rFonts w:ascii="Times New Roman" w:eastAsiaTheme="minorEastAsia" w:hAnsi="Times New Roman" w:cs="Times New Roman"/>
              <w:noProof/>
              <w:sz w:val="24"/>
              <w:szCs w:val="24"/>
              <w:lang w:eastAsia="en-GB"/>
            </w:rPr>
          </w:pPr>
          <w:hyperlink w:anchor="_Toc8191349" w:history="1">
            <w:r w:rsidR="009E0AB8" w:rsidRPr="009E0AB8">
              <w:rPr>
                <w:rStyle w:val="Hyperlink"/>
                <w:rFonts w:ascii="Times New Roman" w:hAnsi="Times New Roman" w:cs="Times New Roman"/>
                <w:noProof/>
                <w:sz w:val="24"/>
                <w:szCs w:val="24"/>
              </w:rPr>
              <w:t>Conclusions</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_Toc8191349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42</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1"/>
            <w:tabs>
              <w:tab w:val="right" w:leader="dot" w:pos="8494"/>
            </w:tabs>
            <w:rPr>
              <w:rFonts w:ascii="Times New Roman" w:eastAsiaTheme="minorEastAsia" w:hAnsi="Times New Roman" w:cs="Times New Roman"/>
              <w:noProof/>
              <w:sz w:val="24"/>
              <w:szCs w:val="24"/>
              <w:lang w:eastAsia="en-GB"/>
            </w:rPr>
          </w:pPr>
          <w:hyperlink w:anchor="_Toc8191350" w:history="1">
            <w:r w:rsidR="009E0AB8" w:rsidRPr="009E0AB8">
              <w:rPr>
                <w:rStyle w:val="Hyperlink"/>
                <w:rFonts w:ascii="Times New Roman" w:hAnsi="Times New Roman" w:cs="Times New Roman"/>
                <w:noProof/>
                <w:sz w:val="24"/>
                <w:szCs w:val="24"/>
              </w:rPr>
              <w:t>Bibliography</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_Toc8191350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43</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51" w:history="1">
            <w:r w:rsidR="009E0AB8" w:rsidRPr="009E0AB8">
              <w:rPr>
                <w:rStyle w:val="Hyperlink"/>
                <w:rFonts w:ascii="Times New Roman" w:eastAsiaTheme="majorEastAsia" w:hAnsi="Times New Roman" w:cs="Times New Roman"/>
                <w:noProof/>
                <w:sz w:val="24"/>
                <w:szCs w:val="24"/>
              </w:rPr>
              <w:t>Ancient Sources</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_Toc8191351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43</w:t>
            </w:r>
            <w:r w:rsidR="009E0AB8" w:rsidRPr="009E0AB8">
              <w:rPr>
                <w:rFonts w:ascii="Times New Roman" w:hAnsi="Times New Roman" w:cs="Times New Roman"/>
                <w:noProof/>
                <w:webHidden/>
                <w:sz w:val="24"/>
                <w:szCs w:val="24"/>
              </w:rPr>
              <w:fldChar w:fldCharType="end"/>
            </w:r>
          </w:hyperlink>
        </w:p>
        <w:p w:rsidR="009E0AB8" w:rsidRPr="009E0AB8" w:rsidRDefault="008D2454">
          <w:pPr>
            <w:pStyle w:val="TOC2"/>
            <w:tabs>
              <w:tab w:val="right" w:leader="dot" w:pos="8494"/>
            </w:tabs>
            <w:rPr>
              <w:rFonts w:ascii="Times New Roman" w:eastAsiaTheme="minorEastAsia" w:hAnsi="Times New Roman" w:cs="Times New Roman"/>
              <w:noProof/>
              <w:sz w:val="24"/>
              <w:szCs w:val="24"/>
              <w:lang w:eastAsia="en-GB"/>
            </w:rPr>
          </w:pPr>
          <w:hyperlink w:anchor="_Toc8191352" w:history="1">
            <w:r w:rsidR="009E0AB8" w:rsidRPr="009E0AB8">
              <w:rPr>
                <w:rStyle w:val="Hyperlink"/>
                <w:rFonts w:ascii="Times New Roman" w:eastAsiaTheme="majorEastAsia" w:hAnsi="Times New Roman" w:cs="Times New Roman"/>
                <w:noProof/>
                <w:sz w:val="24"/>
                <w:szCs w:val="24"/>
              </w:rPr>
              <w:t>Modern Scholarship</w:t>
            </w:r>
            <w:r w:rsidR="009E0AB8" w:rsidRPr="009E0AB8">
              <w:rPr>
                <w:rFonts w:ascii="Times New Roman" w:hAnsi="Times New Roman" w:cs="Times New Roman"/>
                <w:noProof/>
                <w:webHidden/>
                <w:sz w:val="24"/>
                <w:szCs w:val="24"/>
              </w:rPr>
              <w:tab/>
            </w:r>
            <w:r w:rsidR="009E0AB8" w:rsidRPr="009E0AB8">
              <w:rPr>
                <w:rFonts w:ascii="Times New Roman" w:hAnsi="Times New Roman" w:cs="Times New Roman"/>
                <w:noProof/>
                <w:webHidden/>
                <w:sz w:val="24"/>
                <w:szCs w:val="24"/>
              </w:rPr>
              <w:fldChar w:fldCharType="begin"/>
            </w:r>
            <w:r w:rsidR="009E0AB8" w:rsidRPr="009E0AB8">
              <w:rPr>
                <w:rFonts w:ascii="Times New Roman" w:hAnsi="Times New Roman" w:cs="Times New Roman"/>
                <w:noProof/>
                <w:webHidden/>
                <w:sz w:val="24"/>
                <w:szCs w:val="24"/>
              </w:rPr>
              <w:instrText xml:space="preserve"> PAGEREF _Toc8191352 \h </w:instrText>
            </w:r>
            <w:r w:rsidR="009E0AB8" w:rsidRPr="009E0AB8">
              <w:rPr>
                <w:rFonts w:ascii="Times New Roman" w:hAnsi="Times New Roman" w:cs="Times New Roman"/>
                <w:noProof/>
                <w:webHidden/>
                <w:sz w:val="24"/>
                <w:szCs w:val="24"/>
              </w:rPr>
            </w:r>
            <w:r w:rsidR="009E0AB8" w:rsidRPr="009E0AB8">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44</w:t>
            </w:r>
            <w:r w:rsidR="009E0AB8" w:rsidRPr="009E0AB8">
              <w:rPr>
                <w:rFonts w:ascii="Times New Roman" w:hAnsi="Times New Roman" w:cs="Times New Roman"/>
                <w:noProof/>
                <w:webHidden/>
                <w:sz w:val="24"/>
                <w:szCs w:val="24"/>
              </w:rPr>
              <w:fldChar w:fldCharType="end"/>
            </w:r>
          </w:hyperlink>
        </w:p>
        <w:p w:rsidR="009E0AB8" w:rsidRDefault="009E0AB8">
          <w:r w:rsidRPr="009E0AB8">
            <w:rPr>
              <w:rFonts w:ascii="Times New Roman" w:hAnsi="Times New Roman" w:cs="Times New Roman"/>
              <w:b/>
              <w:bCs/>
              <w:noProof/>
              <w:sz w:val="24"/>
              <w:szCs w:val="24"/>
            </w:rPr>
            <w:fldChar w:fldCharType="end"/>
          </w:r>
        </w:p>
      </w:sdtContent>
    </w:sdt>
    <w:p w:rsidR="001C66D9" w:rsidRDefault="001C66D9" w:rsidP="001C66D9">
      <w:pPr>
        <w:rPr>
          <w:rFonts w:eastAsiaTheme="majorEastAsia"/>
          <w:szCs w:val="32"/>
        </w:rPr>
      </w:pPr>
    </w:p>
    <w:p w:rsidR="009E0AB8" w:rsidRDefault="009E0AB8" w:rsidP="007158FB">
      <w:pPr>
        <w:pStyle w:val="Heading1"/>
        <w:jc w:val="center"/>
        <w:rPr>
          <w:rFonts w:ascii="Times New Roman" w:hAnsi="Times New Roman" w:cs="Times New Roman"/>
          <w:color w:val="auto"/>
          <w:sz w:val="36"/>
        </w:rPr>
      </w:pPr>
      <w:r>
        <w:rPr>
          <w:rFonts w:ascii="Times New Roman" w:hAnsi="Times New Roman" w:cs="Times New Roman"/>
          <w:color w:val="auto"/>
          <w:sz w:val="36"/>
        </w:rPr>
        <w:br w:type="page"/>
      </w:r>
    </w:p>
    <w:p w:rsidR="00317251" w:rsidRPr="00D349B2" w:rsidRDefault="00317251" w:rsidP="007158FB">
      <w:pPr>
        <w:pStyle w:val="Heading1"/>
        <w:jc w:val="center"/>
        <w:rPr>
          <w:rFonts w:ascii="Times New Roman" w:hAnsi="Times New Roman" w:cs="Times New Roman"/>
          <w:color w:val="auto"/>
          <w:sz w:val="36"/>
        </w:rPr>
      </w:pPr>
      <w:bookmarkStart w:id="1" w:name="_Toc8191332"/>
      <w:r w:rsidRPr="00D349B2">
        <w:rPr>
          <w:rFonts w:ascii="Times New Roman" w:hAnsi="Times New Roman" w:cs="Times New Roman"/>
          <w:color w:val="auto"/>
          <w:sz w:val="36"/>
        </w:rPr>
        <w:lastRenderedPageBreak/>
        <w:t>The road to professionalism: How Greek states supported professional forces</w:t>
      </w:r>
      <w:bookmarkEnd w:id="1"/>
    </w:p>
    <w:p w:rsidR="007158FB" w:rsidRPr="007158FB" w:rsidRDefault="007158FB" w:rsidP="007158FB"/>
    <w:p w:rsidR="00317251" w:rsidRPr="00A6707B" w:rsidRDefault="00450DC1" w:rsidP="00A6707B">
      <w:pPr>
        <w:spacing w:line="480" w:lineRule="auto"/>
        <w:jc w:val="center"/>
        <w:rPr>
          <w:rFonts w:ascii="Times New Roman" w:hAnsi="Times New Roman" w:cs="Times New Roman"/>
          <w:i/>
          <w:sz w:val="24"/>
          <w:szCs w:val="24"/>
        </w:rPr>
      </w:pPr>
      <w:r w:rsidRPr="00A6707B">
        <w:rPr>
          <w:rFonts w:ascii="Times New Roman" w:hAnsi="Times New Roman" w:cs="Times New Roman"/>
          <w:i/>
          <w:sz w:val="24"/>
          <w:szCs w:val="24"/>
        </w:rPr>
        <w:t>“War is often said to be central to Greek society</w:t>
      </w:r>
      <w:r w:rsidR="00317251" w:rsidRPr="00A6707B">
        <w:rPr>
          <w:rFonts w:ascii="Times New Roman" w:hAnsi="Times New Roman" w:cs="Times New Roman"/>
          <w:i/>
          <w:sz w:val="24"/>
          <w:szCs w:val="24"/>
        </w:rPr>
        <w:t>”</w:t>
      </w:r>
      <w:r w:rsidRPr="00A6707B">
        <w:rPr>
          <w:rStyle w:val="FootnoteReference"/>
          <w:rFonts w:ascii="Times New Roman" w:hAnsi="Times New Roman" w:cs="Times New Roman"/>
          <w:i/>
          <w:sz w:val="24"/>
          <w:szCs w:val="24"/>
        </w:rPr>
        <w:footnoteReference w:id="1"/>
      </w:r>
    </w:p>
    <w:p w:rsidR="00317251" w:rsidRPr="00A6707B" w:rsidRDefault="00317251"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Warfare was a naturally accepted part of classical Greek life</w:t>
      </w:r>
      <w:r w:rsidR="00B67520" w:rsidRPr="00A6707B">
        <w:rPr>
          <w:rFonts w:ascii="Times New Roman" w:hAnsi="Times New Roman" w:cs="Times New Roman"/>
          <w:sz w:val="24"/>
          <w:szCs w:val="24"/>
        </w:rPr>
        <w:t>;</w:t>
      </w:r>
      <w:r w:rsidRPr="00A6707B">
        <w:rPr>
          <w:rFonts w:ascii="Times New Roman" w:hAnsi="Times New Roman" w:cs="Times New Roman"/>
          <w:sz w:val="24"/>
          <w:szCs w:val="24"/>
        </w:rPr>
        <w:t xml:space="preserve"> from border disputes to alliances to prevent invasion from neighbouring empires, the Greek citizenry were accustomed to war.</w:t>
      </w:r>
      <w:r w:rsidR="002C6EA2" w:rsidRPr="00A6707B">
        <w:rPr>
          <w:rFonts w:ascii="Times New Roman" w:hAnsi="Times New Roman" w:cs="Times New Roman"/>
          <w:sz w:val="24"/>
          <w:szCs w:val="24"/>
        </w:rPr>
        <w:t xml:space="preserve"> Plato’s work ‘</w:t>
      </w:r>
      <w:r w:rsidR="00CF38EC" w:rsidRPr="00A6707B">
        <w:rPr>
          <w:rFonts w:ascii="Times New Roman" w:hAnsi="Times New Roman" w:cs="Times New Roman"/>
          <w:i/>
          <w:sz w:val="24"/>
          <w:szCs w:val="24"/>
        </w:rPr>
        <w:t xml:space="preserve">The </w:t>
      </w:r>
      <w:r w:rsidR="002C6EA2" w:rsidRPr="00A6707B">
        <w:rPr>
          <w:rFonts w:ascii="Times New Roman" w:hAnsi="Times New Roman" w:cs="Times New Roman"/>
          <w:i/>
          <w:sz w:val="24"/>
          <w:szCs w:val="24"/>
        </w:rPr>
        <w:t>Republic’</w:t>
      </w:r>
      <w:r w:rsidR="002C6EA2" w:rsidRPr="00A6707B">
        <w:rPr>
          <w:rFonts w:ascii="Times New Roman" w:hAnsi="Times New Roman" w:cs="Times New Roman"/>
          <w:sz w:val="24"/>
          <w:szCs w:val="24"/>
        </w:rPr>
        <w:t xml:space="preserve"> discusses what he believed </w:t>
      </w:r>
      <w:r w:rsidR="00B9189C" w:rsidRPr="00A6707B">
        <w:rPr>
          <w:rFonts w:ascii="Times New Roman" w:hAnsi="Times New Roman" w:cs="Times New Roman"/>
          <w:sz w:val="24"/>
          <w:szCs w:val="24"/>
        </w:rPr>
        <w:t>would create a</w:t>
      </w:r>
      <w:r w:rsidR="002C6EA2" w:rsidRPr="00A6707B">
        <w:rPr>
          <w:rFonts w:ascii="Times New Roman" w:hAnsi="Times New Roman" w:cs="Times New Roman"/>
          <w:sz w:val="24"/>
          <w:szCs w:val="24"/>
        </w:rPr>
        <w:t xml:space="preserve"> perfect state</w:t>
      </w:r>
      <w:r w:rsidR="00991698" w:rsidRPr="00A6707B">
        <w:rPr>
          <w:rStyle w:val="FootnoteReference"/>
          <w:rFonts w:ascii="Times New Roman" w:hAnsi="Times New Roman" w:cs="Times New Roman"/>
          <w:sz w:val="24"/>
          <w:szCs w:val="24"/>
        </w:rPr>
        <w:footnoteReference w:id="2"/>
      </w:r>
      <w:r w:rsidR="00CF38EC" w:rsidRPr="00A6707B">
        <w:rPr>
          <w:rFonts w:ascii="Times New Roman" w:hAnsi="Times New Roman" w:cs="Times New Roman"/>
          <w:sz w:val="24"/>
          <w:szCs w:val="24"/>
        </w:rPr>
        <w:t>;</w:t>
      </w:r>
      <w:r w:rsidR="002C6EA2" w:rsidRPr="00A6707B">
        <w:rPr>
          <w:rFonts w:ascii="Times New Roman" w:hAnsi="Times New Roman" w:cs="Times New Roman"/>
          <w:sz w:val="24"/>
          <w:szCs w:val="24"/>
        </w:rPr>
        <w:t xml:space="preserve"> during that discussion he highlights three groups of citizens that </w:t>
      </w:r>
      <w:r w:rsidR="00B9189C" w:rsidRPr="00A6707B">
        <w:rPr>
          <w:rFonts w:ascii="Times New Roman" w:hAnsi="Times New Roman" w:cs="Times New Roman"/>
          <w:sz w:val="24"/>
          <w:szCs w:val="24"/>
        </w:rPr>
        <w:t xml:space="preserve">would </w:t>
      </w:r>
      <w:r w:rsidR="002C6EA2" w:rsidRPr="00A6707B">
        <w:rPr>
          <w:rFonts w:ascii="Times New Roman" w:hAnsi="Times New Roman" w:cs="Times New Roman"/>
          <w:sz w:val="24"/>
          <w:szCs w:val="24"/>
        </w:rPr>
        <w:t>make up the citizen body, the contributors</w:t>
      </w:r>
      <w:r w:rsidR="00991698" w:rsidRPr="00A6707B">
        <w:rPr>
          <w:rStyle w:val="FootnoteReference"/>
          <w:rFonts w:ascii="Times New Roman" w:hAnsi="Times New Roman" w:cs="Times New Roman"/>
          <w:sz w:val="24"/>
          <w:szCs w:val="24"/>
        </w:rPr>
        <w:footnoteReference w:id="3"/>
      </w:r>
      <w:r w:rsidR="002C6EA2" w:rsidRPr="00A6707B">
        <w:rPr>
          <w:rFonts w:ascii="Times New Roman" w:hAnsi="Times New Roman" w:cs="Times New Roman"/>
          <w:sz w:val="24"/>
          <w:szCs w:val="24"/>
        </w:rPr>
        <w:t xml:space="preserve"> (such as builders and tradesmen), the guardians</w:t>
      </w:r>
      <w:r w:rsidR="00991698" w:rsidRPr="00A6707B">
        <w:rPr>
          <w:rStyle w:val="FootnoteReference"/>
          <w:rFonts w:ascii="Times New Roman" w:hAnsi="Times New Roman" w:cs="Times New Roman"/>
          <w:sz w:val="24"/>
          <w:szCs w:val="24"/>
        </w:rPr>
        <w:footnoteReference w:id="4"/>
      </w:r>
      <w:r w:rsidR="00CF38EC" w:rsidRPr="00A6707B">
        <w:rPr>
          <w:rFonts w:ascii="Times New Roman" w:hAnsi="Times New Roman" w:cs="Times New Roman"/>
          <w:sz w:val="24"/>
          <w:szCs w:val="24"/>
        </w:rPr>
        <w:t xml:space="preserve"> who</w:t>
      </w:r>
      <w:r w:rsidR="002C6EA2" w:rsidRPr="00A6707B">
        <w:rPr>
          <w:rFonts w:ascii="Times New Roman" w:hAnsi="Times New Roman" w:cs="Times New Roman"/>
          <w:sz w:val="24"/>
          <w:szCs w:val="24"/>
        </w:rPr>
        <w:t xml:space="preserve"> serve in the state</w:t>
      </w:r>
      <w:r w:rsidR="00CF38EC" w:rsidRPr="00A6707B">
        <w:rPr>
          <w:rFonts w:ascii="Times New Roman" w:hAnsi="Times New Roman" w:cs="Times New Roman"/>
          <w:sz w:val="24"/>
          <w:szCs w:val="24"/>
        </w:rPr>
        <w:t>’</w:t>
      </w:r>
      <w:r w:rsidR="002C6EA2" w:rsidRPr="00A6707B">
        <w:rPr>
          <w:rFonts w:ascii="Times New Roman" w:hAnsi="Times New Roman" w:cs="Times New Roman"/>
          <w:sz w:val="24"/>
          <w:szCs w:val="24"/>
        </w:rPr>
        <w:t>s military to protect the state and its interests and the rulers</w:t>
      </w:r>
      <w:r w:rsidR="00991698" w:rsidRPr="00A6707B">
        <w:rPr>
          <w:rStyle w:val="FootnoteReference"/>
          <w:rFonts w:ascii="Times New Roman" w:hAnsi="Times New Roman" w:cs="Times New Roman"/>
          <w:sz w:val="24"/>
          <w:szCs w:val="24"/>
        </w:rPr>
        <w:footnoteReference w:id="5"/>
      </w:r>
      <w:r w:rsidR="002C6EA2" w:rsidRPr="00A6707B">
        <w:rPr>
          <w:rFonts w:ascii="Times New Roman" w:hAnsi="Times New Roman" w:cs="Times New Roman"/>
          <w:sz w:val="24"/>
          <w:szCs w:val="24"/>
        </w:rPr>
        <w:t xml:space="preserve"> who were chosen from the top rank of the guardian citizenry to lead and govern the state. The belief that these three citizen groups </w:t>
      </w:r>
      <w:r w:rsidR="00B9189C" w:rsidRPr="00A6707B">
        <w:rPr>
          <w:rFonts w:ascii="Times New Roman" w:hAnsi="Times New Roman" w:cs="Times New Roman"/>
          <w:sz w:val="24"/>
          <w:szCs w:val="24"/>
        </w:rPr>
        <w:t xml:space="preserve">would be required for </w:t>
      </w:r>
      <w:r w:rsidR="002C6EA2" w:rsidRPr="00A6707B">
        <w:rPr>
          <w:rFonts w:ascii="Times New Roman" w:hAnsi="Times New Roman" w:cs="Times New Roman"/>
          <w:sz w:val="24"/>
          <w:szCs w:val="24"/>
        </w:rPr>
        <w:t>the perfect s</w:t>
      </w:r>
      <w:r w:rsidR="00310208" w:rsidRPr="00A6707B">
        <w:rPr>
          <w:rFonts w:ascii="Times New Roman" w:hAnsi="Times New Roman" w:cs="Times New Roman"/>
          <w:sz w:val="24"/>
          <w:szCs w:val="24"/>
        </w:rPr>
        <w:t xml:space="preserve">tate </w:t>
      </w:r>
      <w:r w:rsidR="00B9189C" w:rsidRPr="00A6707B">
        <w:rPr>
          <w:rFonts w:ascii="Times New Roman" w:hAnsi="Times New Roman" w:cs="Times New Roman"/>
          <w:sz w:val="24"/>
          <w:szCs w:val="24"/>
        </w:rPr>
        <w:t xml:space="preserve">to function </w:t>
      </w:r>
      <w:r w:rsidR="00310208" w:rsidRPr="00A6707B">
        <w:rPr>
          <w:rFonts w:ascii="Times New Roman" w:hAnsi="Times New Roman" w:cs="Times New Roman"/>
          <w:sz w:val="24"/>
          <w:szCs w:val="24"/>
        </w:rPr>
        <w:t>further highlights the commonality</w:t>
      </w:r>
      <w:r w:rsidR="00B9189C" w:rsidRPr="00A6707B">
        <w:rPr>
          <w:rFonts w:ascii="Times New Roman" w:hAnsi="Times New Roman" w:cs="Times New Roman"/>
          <w:sz w:val="24"/>
          <w:szCs w:val="24"/>
        </w:rPr>
        <w:t xml:space="preserve"> of warfare in everyday life due to his view that the rulers would be from the guardian citizenry and responsible for the protection of this utopia</w:t>
      </w:r>
      <w:r w:rsidR="002C6EA2" w:rsidRPr="00A6707B">
        <w:rPr>
          <w:rFonts w:ascii="Times New Roman" w:hAnsi="Times New Roman" w:cs="Times New Roman"/>
          <w:sz w:val="24"/>
          <w:szCs w:val="24"/>
        </w:rPr>
        <w:t xml:space="preserve">. </w:t>
      </w:r>
      <w:r w:rsidR="00C62D11" w:rsidRPr="00A6707B">
        <w:rPr>
          <w:rFonts w:ascii="Times New Roman" w:hAnsi="Times New Roman" w:cs="Times New Roman"/>
          <w:sz w:val="24"/>
          <w:szCs w:val="24"/>
        </w:rPr>
        <w:t>The reasons for war in the classical world are well</w:t>
      </w:r>
      <w:r w:rsidR="00CF38EC" w:rsidRPr="00A6707B">
        <w:rPr>
          <w:rFonts w:ascii="Times New Roman" w:hAnsi="Times New Roman" w:cs="Times New Roman"/>
          <w:sz w:val="24"/>
          <w:szCs w:val="24"/>
        </w:rPr>
        <w:t xml:space="preserve"> documented by ancient authors. T</w:t>
      </w:r>
      <w:r w:rsidR="00C62D11" w:rsidRPr="00A6707B">
        <w:rPr>
          <w:rFonts w:ascii="Times New Roman" w:hAnsi="Times New Roman" w:cs="Times New Roman"/>
          <w:sz w:val="24"/>
          <w:szCs w:val="24"/>
        </w:rPr>
        <w:t>he primary cause for war in the period this work will focus on (</w:t>
      </w:r>
      <w:r w:rsidR="00DF202F" w:rsidRPr="00A6707B">
        <w:rPr>
          <w:rFonts w:ascii="Times New Roman" w:hAnsi="Times New Roman" w:cs="Times New Roman"/>
          <w:sz w:val="24"/>
          <w:szCs w:val="24"/>
        </w:rPr>
        <w:t>primarily the fifth century</w:t>
      </w:r>
      <w:r w:rsidR="00310208" w:rsidRPr="00A6707B">
        <w:rPr>
          <w:rFonts w:ascii="Times New Roman" w:hAnsi="Times New Roman" w:cs="Times New Roman"/>
          <w:sz w:val="24"/>
          <w:szCs w:val="24"/>
        </w:rPr>
        <w:t xml:space="preserve"> and early fourth century BCE</w:t>
      </w:r>
      <w:r w:rsidR="00DF202F" w:rsidRPr="00A6707B">
        <w:rPr>
          <w:rFonts w:ascii="Times New Roman" w:hAnsi="Times New Roman" w:cs="Times New Roman"/>
          <w:sz w:val="24"/>
          <w:szCs w:val="24"/>
        </w:rPr>
        <w:t xml:space="preserve">) </w:t>
      </w:r>
      <w:r w:rsidR="00C62D11" w:rsidRPr="00A6707B">
        <w:rPr>
          <w:rFonts w:ascii="Times New Roman" w:hAnsi="Times New Roman" w:cs="Times New Roman"/>
          <w:sz w:val="24"/>
          <w:szCs w:val="24"/>
        </w:rPr>
        <w:t>was notably the threat of Persia</w:t>
      </w:r>
      <w:r w:rsidR="000B26D4" w:rsidRPr="00A6707B">
        <w:rPr>
          <w:rFonts w:ascii="Times New Roman" w:hAnsi="Times New Roman" w:cs="Times New Roman"/>
          <w:sz w:val="24"/>
          <w:szCs w:val="24"/>
        </w:rPr>
        <w:t xml:space="preserve"> during the Persian wars from 480BC</w:t>
      </w:r>
      <w:r w:rsidR="00F3256A">
        <w:rPr>
          <w:rFonts w:ascii="Times New Roman" w:hAnsi="Times New Roman" w:cs="Times New Roman"/>
          <w:sz w:val="24"/>
          <w:szCs w:val="24"/>
        </w:rPr>
        <w:t>E</w:t>
      </w:r>
      <w:r w:rsidR="00991698" w:rsidRPr="00A6707B">
        <w:rPr>
          <w:rStyle w:val="FootnoteReference"/>
          <w:rFonts w:ascii="Times New Roman" w:hAnsi="Times New Roman" w:cs="Times New Roman"/>
          <w:sz w:val="24"/>
          <w:szCs w:val="24"/>
        </w:rPr>
        <w:footnoteReference w:id="6"/>
      </w:r>
      <w:r w:rsidR="00C62D11" w:rsidRPr="00A6707B">
        <w:rPr>
          <w:rFonts w:ascii="Times New Roman" w:hAnsi="Times New Roman" w:cs="Times New Roman"/>
          <w:sz w:val="24"/>
          <w:szCs w:val="24"/>
        </w:rPr>
        <w:t xml:space="preserve"> and the Peloponnesian wars between the Sparta</w:t>
      </w:r>
      <w:r w:rsidR="00B67520" w:rsidRPr="00A6707B">
        <w:rPr>
          <w:rFonts w:ascii="Times New Roman" w:hAnsi="Times New Roman" w:cs="Times New Roman"/>
          <w:sz w:val="24"/>
          <w:szCs w:val="24"/>
        </w:rPr>
        <w:t>-</w:t>
      </w:r>
      <w:r w:rsidR="00C62D11" w:rsidRPr="00A6707B">
        <w:rPr>
          <w:rFonts w:ascii="Times New Roman" w:hAnsi="Times New Roman" w:cs="Times New Roman"/>
          <w:sz w:val="24"/>
          <w:szCs w:val="24"/>
        </w:rPr>
        <w:t>led Peloponnesian League and Athenian</w:t>
      </w:r>
      <w:r w:rsidR="00B67520" w:rsidRPr="00A6707B">
        <w:rPr>
          <w:rFonts w:ascii="Times New Roman" w:hAnsi="Times New Roman" w:cs="Times New Roman"/>
          <w:sz w:val="24"/>
          <w:szCs w:val="24"/>
        </w:rPr>
        <w:t>-</w:t>
      </w:r>
      <w:r w:rsidR="00C62D11" w:rsidRPr="00A6707B">
        <w:rPr>
          <w:rFonts w:ascii="Times New Roman" w:hAnsi="Times New Roman" w:cs="Times New Roman"/>
          <w:sz w:val="24"/>
          <w:szCs w:val="24"/>
        </w:rPr>
        <w:t xml:space="preserve">led Delian League in </w:t>
      </w:r>
      <w:r w:rsidR="00CF38EC" w:rsidRPr="00A6707B">
        <w:rPr>
          <w:rFonts w:ascii="Times New Roman" w:hAnsi="Times New Roman" w:cs="Times New Roman"/>
          <w:sz w:val="24"/>
          <w:szCs w:val="24"/>
        </w:rPr>
        <w:t>430BC</w:t>
      </w:r>
      <w:r w:rsidR="00F3256A">
        <w:rPr>
          <w:rFonts w:ascii="Times New Roman" w:hAnsi="Times New Roman" w:cs="Times New Roman"/>
          <w:sz w:val="24"/>
          <w:szCs w:val="24"/>
        </w:rPr>
        <w:t>E</w:t>
      </w:r>
      <w:r w:rsidR="00991698" w:rsidRPr="00A6707B">
        <w:rPr>
          <w:rStyle w:val="FootnoteReference"/>
          <w:rFonts w:ascii="Times New Roman" w:hAnsi="Times New Roman" w:cs="Times New Roman"/>
          <w:sz w:val="24"/>
          <w:szCs w:val="24"/>
        </w:rPr>
        <w:footnoteReference w:id="7"/>
      </w:r>
      <w:r w:rsidR="00C62D11" w:rsidRPr="00A6707B">
        <w:rPr>
          <w:rFonts w:ascii="Times New Roman" w:hAnsi="Times New Roman" w:cs="Times New Roman"/>
          <w:sz w:val="24"/>
          <w:szCs w:val="24"/>
        </w:rPr>
        <w:t xml:space="preserve">. </w:t>
      </w:r>
    </w:p>
    <w:p w:rsidR="00B9189C" w:rsidRPr="00A6707B" w:rsidRDefault="00E512BC"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The purpose of this work is to focus on the development of professionalism during these periods and identify how the Greek states supported these professional forces. </w:t>
      </w:r>
      <w:r w:rsidR="00B9189C" w:rsidRPr="00A6707B">
        <w:rPr>
          <w:rFonts w:ascii="Times New Roman" w:hAnsi="Times New Roman" w:cs="Times New Roman"/>
          <w:sz w:val="24"/>
          <w:szCs w:val="24"/>
        </w:rPr>
        <w:t xml:space="preserve">The </w:t>
      </w:r>
      <w:r w:rsidR="00B9189C" w:rsidRPr="00A6707B">
        <w:rPr>
          <w:rFonts w:ascii="Times New Roman" w:hAnsi="Times New Roman" w:cs="Times New Roman"/>
          <w:sz w:val="24"/>
          <w:szCs w:val="24"/>
        </w:rPr>
        <w:lastRenderedPageBreak/>
        <w:t>modern dictionary definition of professionalism is</w:t>
      </w:r>
      <w:r w:rsidRPr="00A6707B">
        <w:rPr>
          <w:rFonts w:ascii="Times New Roman" w:hAnsi="Times New Roman" w:cs="Times New Roman"/>
          <w:sz w:val="24"/>
          <w:szCs w:val="24"/>
        </w:rPr>
        <w:t xml:space="preserve"> “</w:t>
      </w:r>
      <w:r w:rsidR="00310208" w:rsidRPr="00A6707B">
        <w:rPr>
          <w:rStyle w:val="hvr"/>
          <w:rFonts w:ascii="Times New Roman" w:hAnsi="Times New Roman" w:cs="Times New Roman"/>
          <w:sz w:val="24"/>
          <w:szCs w:val="24"/>
          <w:lang w:val="en"/>
        </w:rPr>
        <w:t>the</w:t>
      </w:r>
      <w:r w:rsidR="00310208" w:rsidRPr="00A6707B">
        <w:rPr>
          <w:rFonts w:ascii="Times New Roman" w:hAnsi="Times New Roman" w:cs="Times New Roman"/>
          <w:sz w:val="24"/>
          <w:szCs w:val="24"/>
          <w:lang w:val="en"/>
        </w:rPr>
        <w:t xml:space="preserve"> </w:t>
      </w:r>
      <w:r w:rsidR="00310208" w:rsidRPr="00A6707B">
        <w:rPr>
          <w:rStyle w:val="hvr"/>
          <w:rFonts w:ascii="Times New Roman" w:hAnsi="Times New Roman" w:cs="Times New Roman"/>
          <w:sz w:val="24"/>
          <w:szCs w:val="24"/>
          <w:lang w:val="en"/>
        </w:rPr>
        <w:t>pursuit</w:t>
      </w:r>
      <w:r w:rsidR="00310208" w:rsidRPr="00A6707B">
        <w:rPr>
          <w:rFonts w:ascii="Times New Roman" w:hAnsi="Times New Roman" w:cs="Times New Roman"/>
          <w:sz w:val="24"/>
          <w:szCs w:val="24"/>
          <w:lang w:val="en"/>
        </w:rPr>
        <w:t xml:space="preserve"> of an </w:t>
      </w:r>
      <w:r w:rsidR="00310208" w:rsidRPr="00A6707B">
        <w:rPr>
          <w:rStyle w:val="hvr"/>
          <w:rFonts w:ascii="Times New Roman" w:hAnsi="Times New Roman" w:cs="Times New Roman"/>
          <w:sz w:val="24"/>
          <w:szCs w:val="24"/>
          <w:lang w:val="en"/>
        </w:rPr>
        <w:t>activity</w:t>
      </w:r>
      <w:r w:rsidR="00310208" w:rsidRPr="00A6707B">
        <w:rPr>
          <w:rFonts w:ascii="Times New Roman" w:hAnsi="Times New Roman" w:cs="Times New Roman"/>
          <w:sz w:val="24"/>
          <w:szCs w:val="24"/>
          <w:lang w:val="en"/>
        </w:rPr>
        <w:t xml:space="preserve"> </w:t>
      </w:r>
      <w:r w:rsidR="00310208" w:rsidRPr="00A6707B">
        <w:rPr>
          <w:rStyle w:val="hvr"/>
          <w:rFonts w:ascii="Times New Roman" w:hAnsi="Times New Roman" w:cs="Times New Roman"/>
          <w:sz w:val="24"/>
          <w:szCs w:val="24"/>
          <w:lang w:val="en"/>
        </w:rPr>
        <w:t>for</w:t>
      </w:r>
      <w:r w:rsidR="00310208" w:rsidRPr="00A6707B">
        <w:rPr>
          <w:rFonts w:ascii="Times New Roman" w:hAnsi="Times New Roman" w:cs="Times New Roman"/>
          <w:sz w:val="24"/>
          <w:szCs w:val="24"/>
          <w:lang w:val="en"/>
        </w:rPr>
        <w:t xml:space="preserve"> </w:t>
      </w:r>
      <w:r w:rsidR="00310208" w:rsidRPr="00A6707B">
        <w:rPr>
          <w:rStyle w:val="hvr"/>
          <w:rFonts w:ascii="Times New Roman" w:hAnsi="Times New Roman" w:cs="Times New Roman"/>
          <w:sz w:val="24"/>
          <w:szCs w:val="24"/>
          <w:lang w:val="en"/>
        </w:rPr>
        <w:t>gain</w:t>
      </w:r>
      <w:r w:rsidR="00310208" w:rsidRPr="00A6707B">
        <w:rPr>
          <w:rFonts w:ascii="Times New Roman" w:hAnsi="Times New Roman" w:cs="Times New Roman"/>
          <w:sz w:val="24"/>
          <w:szCs w:val="24"/>
          <w:lang w:val="en"/>
        </w:rPr>
        <w:t xml:space="preserve"> or </w:t>
      </w:r>
      <w:r w:rsidR="00310208" w:rsidRPr="00A6707B">
        <w:rPr>
          <w:rStyle w:val="hvr"/>
          <w:rFonts w:ascii="Times New Roman" w:hAnsi="Times New Roman" w:cs="Times New Roman"/>
          <w:sz w:val="24"/>
          <w:szCs w:val="24"/>
          <w:lang w:val="en"/>
        </w:rPr>
        <w:t>livelihood</w:t>
      </w:r>
      <w:r w:rsidRPr="00A6707B">
        <w:rPr>
          <w:rFonts w:ascii="Times New Roman" w:hAnsi="Times New Roman" w:cs="Times New Roman"/>
          <w:sz w:val="24"/>
          <w:szCs w:val="24"/>
        </w:rPr>
        <w:t>”</w:t>
      </w:r>
      <w:r w:rsidRPr="00A6707B">
        <w:rPr>
          <w:rStyle w:val="FootnoteReference"/>
          <w:rFonts w:ascii="Times New Roman" w:hAnsi="Times New Roman" w:cs="Times New Roman"/>
          <w:sz w:val="24"/>
          <w:szCs w:val="24"/>
        </w:rPr>
        <w:footnoteReference w:id="8"/>
      </w:r>
      <w:r w:rsidR="00B9189C" w:rsidRPr="00A6707B">
        <w:rPr>
          <w:rFonts w:ascii="Times New Roman" w:hAnsi="Times New Roman" w:cs="Times New Roman"/>
          <w:sz w:val="24"/>
          <w:szCs w:val="24"/>
        </w:rPr>
        <w:t xml:space="preserve"> meaning that a person could only be considered professional if they were in receipt of money or goods</w:t>
      </w:r>
      <w:r w:rsidRPr="00A6707B">
        <w:rPr>
          <w:rFonts w:ascii="Times New Roman" w:hAnsi="Times New Roman" w:cs="Times New Roman"/>
          <w:sz w:val="24"/>
          <w:szCs w:val="24"/>
        </w:rPr>
        <w:t xml:space="preserve">. </w:t>
      </w:r>
      <w:r w:rsidR="00B9189C" w:rsidRPr="00A6707B">
        <w:rPr>
          <w:rFonts w:ascii="Times New Roman" w:hAnsi="Times New Roman" w:cs="Times New Roman"/>
          <w:sz w:val="24"/>
          <w:szCs w:val="24"/>
        </w:rPr>
        <w:t>It is worth discussing how the modern view of professionalism may not apply to the classical view. When considering what a professional soldier was in the ancient world it is commonly the hoplites of Sparta, the army of Persia, the naval forces of Athens and the armies of Macedon und</w:t>
      </w:r>
      <w:r w:rsidR="00F3256A">
        <w:rPr>
          <w:rFonts w:ascii="Times New Roman" w:hAnsi="Times New Roman" w:cs="Times New Roman"/>
          <w:sz w:val="24"/>
          <w:szCs w:val="24"/>
        </w:rPr>
        <w:t>er Philip II and Alexander the G</w:t>
      </w:r>
      <w:r w:rsidR="00B9189C" w:rsidRPr="00A6707B">
        <w:rPr>
          <w:rFonts w:ascii="Times New Roman" w:hAnsi="Times New Roman" w:cs="Times New Roman"/>
          <w:sz w:val="24"/>
          <w:szCs w:val="24"/>
        </w:rPr>
        <w:t xml:space="preserve">reat that come to mind, with the armies of the Roman empire being considered later. However, in a world where warfare was a common part of everyday life, smaller polies and individuals had armies, dedicated elite units or citizen militias working for the protection of their state and interests, not all of which were paid in the modern ideology of wage. </w:t>
      </w:r>
    </w:p>
    <w:p w:rsidR="00E512BC" w:rsidRPr="00A6707B" w:rsidRDefault="00E512BC"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It is important to draw a contrast between professionalism of state militaries and mercenaries whose ethical issues pose a difficul</w:t>
      </w:r>
      <w:r w:rsidR="00CF38EC" w:rsidRPr="00A6707B">
        <w:rPr>
          <w:rFonts w:ascii="Times New Roman" w:hAnsi="Times New Roman" w:cs="Times New Roman"/>
          <w:sz w:val="24"/>
          <w:szCs w:val="24"/>
        </w:rPr>
        <w:t>t discussion in the event state-</w:t>
      </w:r>
      <w:r w:rsidRPr="00A6707B">
        <w:rPr>
          <w:rFonts w:ascii="Times New Roman" w:hAnsi="Times New Roman" w:cs="Times New Roman"/>
          <w:sz w:val="24"/>
          <w:szCs w:val="24"/>
        </w:rPr>
        <w:t xml:space="preserve">employed citizen soldiers and mercenaries were to be placed under the same umbrella term of ‘professional’. This debate is part of why this subject is worthy of discussion, the development of mercenaries in the </w:t>
      </w:r>
      <w:r w:rsidR="00310208" w:rsidRPr="00A6707B">
        <w:rPr>
          <w:rFonts w:ascii="Times New Roman" w:hAnsi="Times New Roman" w:cs="Times New Roman"/>
          <w:sz w:val="24"/>
          <w:szCs w:val="24"/>
        </w:rPr>
        <w:t>fourth</w:t>
      </w:r>
      <w:r w:rsidRPr="00A6707B">
        <w:rPr>
          <w:rFonts w:ascii="Times New Roman" w:hAnsi="Times New Roman" w:cs="Times New Roman"/>
          <w:sz w:val="24"/>
          <w:szCs w:val="24"/>
        </w:rPr>
        <w:t xml:space="preserve"> century signalled a significant shift in military capabilities through their use, from changes in power balance </w:t>
      </w:r>
      <w:r w:rsidR="00991698" w:rsidRPr="00A6707B">
        <w:rPr>
          <w:rFonts w:ascii="Times New Roman" w:hAnsi="Times New Roman" w:cs="Times New Roman"/>
          <w:sz w:val="24"/>
          <w:szCs w:val="24"/>
        </w:rPr>
        <w:t xml:space="preserve">between key states </w:t>
      </w:r>
      <w:r w:rsidRPr="00A6707B">
        <w:rPr>
          <w:rFonts w:ascii="Times New Roman" w:hAnsi="Times New Roman" w:cs="Times New Roman"/>
          <w:sz w:val="24"/>
          <w:szCs w:val="24"/>
        </w:rPr>
        <w:t>in Greece to their use by individuals for their own aims</w:t>
      </w:r>
      <w:r w:rsidR="00CF38EC" w:rsidRPr="00A6707B">
        <w:rPr>
          <w:rStyle w:val="FootnoteReference"/>
          <w:rFonts w:ascii="Times New Roman" w:hAnsi="Times New Roman" w:cs="Times New Roman"/>
          <w:sz w:val="24"/>
          <w:szCs w:val="24"/>
        </w:rPr>
        <w:footnoteReference w:id="9"/>
      </w:r>
      <w:r w:rsidRPr="00A6707B">
        <w:rPr>
          <w:rFonts w:ascii="Times New Roman" w:hAnsi="Times New Roman" w:cs="Times New Roman"/>
          <w:sz w:val="24"/>
          <w:szCs w:val="24"/>
        </w:rPr>
        <w:t xml:space="preserve">. This work will argue that Greek mercenary soldiers were a more sustainable </w:t>
      </w:r>
      <w:r w:rsidR="00991698" w:rsidRPr="00A6707B">
        <w:rPr>
          <w:rFonts w:ascii="Times New Roman" w:hAnsi="Times New Roman" w:cs="Times New Roman"/>
          <w:sz w:val="24"/>
          <w:szCs w:val="24"/>
        </w:rPr>
        <w:t>option in terms of warfare in comparison to state systems that were implemented in order to produce professional soldiers, such as the constitution of the Lacedaemonians.</w:t>
      </w:r>
    </w:p>
    <w:p w:rsidR="00627710" w:rsidRPr="00A6707B" w:rsidRDefault="00991698"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In order to do this, this work will begin by exploring the professionalism of Sparta, </w:t>
      </w:r>
      <w:r w:rsidR="00B67520" w:rsidRPr="00A6707B">
        <w:rPr>
          <w:rFonts w:ascii="Times New Roman" w:hAnsi="Times New Roman" w:cs="Times New Roman"/>
          <w:sz w:val="24"/>
          <w:szCs w:val="24"/>
        </w:rPr>
        <w:t>considering</w:t>
      </w:r>
      <w:r w:rsidRPr="00A6707B">
        <w:rPr>
          <w:rFonts w:ascii="Times New Roman" w:hAnsi="Times New Roman" w:cs="Times New Roman"/>
          <w:sz w:val="24"/>
          <w:szCs w:val="24"/>
        </w:rPr>
        <w:t xml:space="preserve"> its constitution and discuss the flaws presented with the model designed by </w:t>
      </w:r>
      <w:r w:rsidRPr="00A6707B">
        <w:rPr>
          <w:rFonts w:ascii="Times New Roman" w:hAnsi="Times New Roman" w:cs="Times New Roman"/>
          <w:sz w:val="24"/>
          <w:szCs w:val="24"/>
        </w:rPr>
        <w:lastRenderedPageBreak/>
        <w:t>Ly</w:t>
      </w:r>
      <w:r w:rsidR="000B26D4" w:rsidRPr="00A6707B">
        <w:rPr>
          <w:rFonts w:ascii="Times New Roman" w:hAnsi="Times New Roman" w:cs="Times New Roman"/>
          <w:sz w:val="24"/>
          <w:szCs w:val="24"/>
        </w:rPr>
        <w:t>curgus</w:t>
      </w:r>
      <w:r w:rsidRPr="00A6707B">
        <w:rPr>
          <w:rStyle w:val="FootnoteReference"/>
          <w:rFonts w:ascii="Times New Roman" w:hAnsi="Times New Roman" w:cs="Times New Roman"/>
          <w:sz w:val="24"/>
          <w:szCs w:val="24"/>
        </w:rPr>
        <w:footnoteReference w:id="10"/>
      </w:r>
      <w:r w:rsidRPr="00A6707B">
        <w:rPr>
          <w:rFonts w:ascii="Times New Roman" w:hAnsi="Times New Roman" w:cs="Times New Roman"/>
          <w:sz w:val="24"/>
          <w:szCs w:val="24"/>
        </w:rPr>
        <w:t xml:space="preserve"> as well as discuss the Spartan </w:t>
      </w:r>
      <w:r w:rsidR="00B67520" w:rsidRPr="00A6707B">
        <w:rPr>
          <w:rFonts w:ascii="Times New Roman" w:hAnsi="Times New Roman" w:cs="Times New Roman"/>
          <w:sz w:val="24"/>
          <w:szCs w:val="24"/>
        </w:rPr>
        <w:t>h</w:t>
      </w:r>
      <w:r w:rsidRPr="00A6707B">
        <w:rPr>
          <w:rFonts w:ascii="Times New Roman" w:hAnsi="Times New Roman" w:cs="Times New Roman"/>
          <w:sz w:val="24"/>
          <w:szCs w:val="24"/>
        </w:rPr>
        <w:t xml:space="preserve">oplites, identifying the way the state supported this professionalism and became the pinnacle of military prowess </w:t>
      </w:r>
      <w:r w:rsidR="000B26D4" w:rsidRPr="00A6707B">
        <w:rPr>
          <w:rFonts w:ascii="Times New Roman" w:hAnsi="Times New Roman" w:cs="Times New Roman"/>
          <w:sz w:val="24"/>
          <w:szCs w:val="24"/>
        </w:rPr>
        <w:t>from the sixth until the early fourth</w:t>
      </w:r>
      <w:r w:rsidRPr="00A6707B">
        <w:rPr>
          <w:rFonts w:ascii="Times New Roman" w:hAnsi="Times New Roman" w:cs="Times New Roman"/>
          <w:sz w:val="24"/>
          <w:szCs w:val="24"/>
        </w:rPr>
        <w:t xml:space="preserve"> centur</w:t>
      </w:r>
      <w:r w:rsidR="00B67520" w:rsidRPr="00A6707B">
        <w:rPr>
          <w:rFonts w:ascii="Times New Roman" w:hAnsi="Times New Roman" w:cs="Times New Roman"/>
          <w:sz w:val="24"/>
          <w:szCs w:val="24"/>
        </w:rPr>
        <w:t>ies</w:t>
      </w:r>
      <w:r w:rsidR="007B71B5">
        <w:rPr>
          <w:rFonts w:ascii="Times New Roman" w:hAnsi="Times New Roman" w:cs="Times New Roman"/>
          <w:sz w:val="24"/>
          <w:szCs w:val="24"/>
        </w:rPr>
        <w:t>. To do this, this work will build primarily upon the discussions of Cartledge in his various works, drawing on the debate between Cartledge and Hodkinson to determine the role of the agoge in the development of professional soldiers</w:t>
      </w:r>
      <w:r w:rsidRPr="00A6707B">
        <w:rPr>
          <w:rFonts w:ascii="Times New Roman" w:hAnsi="Times New Roman" w:cs="Times New Roman"/>
          <w:sz w:val="24"/>
          <w:szCs w:val="24"/>
        </w:rPr>
        <w:t>. This work will also cover the forces outside of Sparta, the Sacred Band of Thebes</w:t>
      </w:r>
      <w:r w:rsidRPr="00A6707B">
        <w:rPr>
          <w:rStyle w:val="FootnoteReference"/>
          <w:rFonts w:ascii="Times New Roman" w:hAnsi="Times New Roman" w:cs="Times New Roman"/>
          <w:sz w:val="24"/>
          <w:szCs w:val="24"/>
        </w:rPr>
        <w:footnoteReference w:id="11"/>
      </w:r>
      <w:r w:rsidRPr="00A6707B">
        <w:rPr>
          <w:rFonts w:ascii="Times New Roman" w:hAnsi="Times New Roman" w:cs="Times New Roman"/>
          <w:sz w:val="24"/>
          <w:szCs w:val="24"/>
        </w:rPr>
        <w:t xml:space="preserve"> and the </w:t>
      </w:r>
      <w:r w:rsidR="00CF38EC" w:rsidRPr="00A6707B">
        <w:rPr>
          <w:rFonts w:ascii="Times New Roman" w:hAnsi="Times New Roman" w:cs="Times New Roman"/>
          <w:sz w:val="24"/>
          <w:szCs w:val="24"/>
        </w:rPr>
        <w:t>Argive 1,000</w:t>
      </w:r>
      <w:r w:rsidRPr="00A6707B">
        <w:rPr>
          <w:rStyle w:val="FootnoteReference"/>
          <w:rFonts w:ascii="Times New Roman" w:hAnsi="Times New Roman" w:cs="Times New Roman"/>
          <w:sz w:val="24"/>
          <w:szCs w:val="24"/>
        </w:rPr>
        <w:footnoteReference w:id="12"/>
      </w:r>
      <w:r w:rsidRPr="00A6707B">
        <w:rPr>
          <w:rFonts w:ascii="Times New Roman" w:hAnsi="Times New Roman" w:cs="Times New Roman"/>
          <w:sz w:val="24"/>
          <w:szCs w:val="24"/>
        </w:rPr>
        <w:t xml:space="preserve"> for comparison on the professionalism of specialised forces as well as to discuss the power balance created when different states excel in contrasting methods of warfare</w:t>
      </w:r>
      <w:r w:rsidR="007B71B5">
        <w:rPr>
          <w:rFonts w:ascii="Times New Roman" w:hAnsi="Times New Roman" w:cs="Times New Roman"/>
          <w:sz w:val="24"/>
          <w:szCs w:val="24"/>
        </w:rPr>
        <w:t xml:space="preserve"> drawing on the works of Kelly and Hilbert. </w:t>
      </w:r>
      <w:r w:rsidRPr="00A6707B">
        <w:rPr>
          <w:rFonts w:ascii="Times New Roman" w:hAnsi="Times New Roman" w:cs="Times New Roman"/>
          <w:sz w:val="24"/>
          <w:szCs w:val="24"/>
        </w:rPr>
        <w:t xml:space="preserve">This work will discuss the origins of mercenaries, focusing on how the origins of these forces based them on a level of professionalism above the common citizen, </w:t>
      </w:r>
      <w:r w:rsidR="00B9551A" w:rsidRPr="00A6707B">
        <w:rPr>
          <w:rFonts w:ascii="Times New Roman" w:hAnsi="Times New Roman" w:cs="Times New Roman"/>
          <w:sz w:val="24"/>
          <w:szCs w:val="24"/>
        </w:rPr>
        <w:t xml:space="preserve">as well as </w:t>
      </w:r>
      <w:r w:rsidRPr="00A6707B">
        <w:rPr>
          <w:rFonts w:ascii="Times New Roman" w:hAnsi="Times New Roman" w:cs="Times New Roman"/>
          <w:sz w:val="24"/>
          <w:szCs w:val="24"/>
        </w:rPr>
        <w:t xml:space="preserve">the issues presented by the </w:t>
      </w:r>
      <w:r w:rsidR="00B9551A" w:rsidRPr="00A6707B">
        <w:rPr>
          <w:rFonts w:ascii="Times New Roman" w:hAnsi="Times New Roman" w:cs="Times New Roman"/>
          <w:sz w:val="24"/>
          <w:szCs w:val="24"/>
        </w:rPr>
        <w:t>mercenary</w:t>
      </w:r>
      <w:r w:rsidRPr="00A6707B">
        <w:rPr>
          <w:rFonts w:ascii="Times New Roman" w:hAnsi="Times New Roman" w:cs="Times New Roman"/>
          <w:sz w:val="24"/>
          <w:szCs w:val="24"/>
        </w:rPr>
        <w:t xml:space="preserve"> soldier, primarily the issue surrounding their ethics as well as the practical issues that arise </w:t>
      </w:r>
      <w:r w:rsidR="00B9551A" w:rsidRPr="00A6707B">
        <w:rPr>
          <w:rFonts w:ascii="Times New Roman" w:hAnsi="Times New Roman" w:cs="Times New Roman"/>
          <w:sz w:val="24"/>
          <w:szCs w:val="24"/>
        </w:rPr>
        <w:t>as a result of the ethical one</w:t>
      </w:r>
      <w:r w:rsidRPr="00A6707B">
        <w:rPr>
          <w:rFonts w:ascii="Times New Roman" w:hAnsi="Times New Roman" w:cs="Times New Roman"/>
          <w:sz w:val="24"/>
          <w:szCs w:val="24"/>
        </w:rPr>
        <w:t>s, considering the argument of a loyal citizen soldier versus a hired mercenary soldier in relation to loy</w:t>
      </w:r>
      <w:r w:rsidR="005D660A" w:rsidRPr="00A6707B">
        <w:rPr>
          <w:rFonts w:ascii="Times New Roman" w:hAnsi="Times New Roman" w:cs="Times New Roman"/>
          <w:sz w:val="24"/>
          <w:szCs w:val="24"/>
        </w:rPr>
        <w:t xml:space="preserve">alty. </w:t>
      </w:r>
      <w:r w:rsidR="007B71B5">
        <w:rPr>
          <w:rFonts w:ascii="Times New Roman" w:hAnsi="Times New Roman" w:cs="Times New Roman"/>
          <w:sz w:val="24"/>
          <w:szCs w:val="24"/>
        </w:rPr>
        <w:t xml:space="preserve">The work of Miller will be key in this discussion, working alongside the sources of Xenophon and Demosthenes. </w:t>
      </w:r>
      <w:r w:rsidR="005D660A" w:rsidRPr="00A6707B">
        <w:rPr>
          <w:rFonts w:ascii="Times New Roman" w:hAnsi="Times New Roman" w:cs="Times New Roman"/>
          <w:sz w:val="24"/>
          <w:szCs w:val="24"/>
        </w:rPr>
        <w:t>This work will also</w:t>
      </w:r>
      <w:r w:rsidR="00B9551A" w:rsidRPr="00A6707B">
        <w:rPr>
          <w:rFonts w:ascii="Times New Roman" w:hAnsi="Times New Roman" w:cs="Times New Roman"/>
          <w:sz w:val="24"/>
          <w:szCs w:val="24"/>
        </w:rPr>
        <w:t xml:space="preserve"> discuss the flawed system of Sparta becoming outdated as the rest of the Greek world developed a new quality in their methods of warfare to further inform the discussion that mercenaries were a more sustainable option for a city state in times of war.</w:t>
      </w:r>
    </w:p>
    <w:p w:rsidR="00B04515" w:rsidRPr="00A6707B" w:rsidRDefault="00B04515" w:rsidP="00D349B2">
      <w:r w:rsidRPr="00A6707B">
        <w:br w:type="page"/>
      </w:r>
    </w:p>
    <w:p w:rsidR="00316399" w:rsidRPr="00D349B2" w:rsidRDefault="00116A6A" w:rsidP="00B50485">
      <w:pPr>
        <w:pStyle w:val="Heading1"/>
        <w:spacing w:line="480" w:lineRule="auto"/>
        <w:jc w:val="center"/>
        <w:rPr>
          <w:rFonts w:ascii="Times New Roman" w:hAnsi="Times New Roman" w:cs="Times New Roman"/>
          <w:color w:val="auto"/>
          <w:szCs w:val="36"/>
        </w:rPr>
      </w:pPr>
      <w:bookmarkStart w:id="2" w:name="_Hlk7986061"/>
      <w:r w:rsidRPr="00D349B2">
        <w:rPr>
          <w:rFonts w:ascii="Times New Roman" w:hAnsi="Times New Roman" w:cs="Times New Roman"/>
          <w:color w:val="auto"/>
          <w:szCs w:val="36"/>
        </w:rPr>
        <w:lastRenderedPageBreak/>
        <w:t xml:space="preserve">  </w:t>
      </w:r>
      <w:r w:rsidR="005541E6" w:rsidRPr="00D349B2">
        <w:rPr>
          <w:rFonts w:ascii="Times New Roman" w:hAnsi="Times New Roman" w:cs="Times New Roman"/>
          <w:color w:val="auto"/>
          <w:szCs w:val="36"/>
        </w:rPr>
        <w:t xml:space="preserve"> </w:t>
      </w:r>
      <w:bookmarkStart w:id="3" w:name="_Toc8191333"/>
      <w:r w:rsidR="00CF38EC" w:rsidRPr="00D349B2">
        <w:rPr>
          <w:rFonts w:ascii="Times New Roman" w:hAnsi="Times New Roman" w:cs="Times New Roman"/>
          <w:color w:val="auto"/>
          <w:szCs w:val="36"/>
        </w:rPr>
        <w:t>Chapter 2: Sparta and the Spartan Hoplites</w:t>
      </w:r>
      <w:bookmarkEnd w:id="3"/>
    </w:p>
    <w:p w:rsidR="00316399" w:rsidRPr="00A6707B" w:rsidRDefault="00316399"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lang w:val="en-US"/>
        </w:rPr>
        <w:t xml:space="preserve">This chapter will focus on Spartan society. </w:t>
      </w:r>
      <w:r w:rsidRPr="00A6707B">
        <w:rPr>
          <w:rFonts w:ascii="Times New Roman" w:hAnsi="Times New Roman" w:cs="Times New Roman"/>
          <w:sz w:val="24"/>
          <w:szCs w:val="24"/>
        </w:rPr>
        <w:t>Debating whether the state of Sparta created a model for other pol</w:t>
      </w:r>
      <w:r w:rsidR="00F3256A">
        <w:rPr>
          <w:rFonts w:ascii="Times New Roman" w:hAnsi="Times New Roman" w:cs="Times New Roman"/>
          <w:sz w:val="24"/>
          <w:szCs w:val="24"/>
        </w:rPr>
        <w:t>e</w:t>
      </w:r>
      <w:r w:rsidRPr="00A6707B">
        <w:rPr>
          <w:rFonts w:ascii="Times New Roman" w:hAnsi="Times New Roman" w:cs="Times New Roman"/>
          <w:sz w:val="24"/>
          <w:szCs w:val="24"/>
        </w:rPr>
        <w:t xml:space="preserve">is by structuring its society around supporting its military or whether it was simply a unique political system that was not designed for longevity. By focusing on the third chapter of Cartledge’s </w:t>
      </w:r>
      <w:r w:rsidRPr="00A6707B">
        <w:rPr>
          <w:rFonts w:ascii="Times New Roman" w:hAnsi="Times New Roman" w:cs="Times New Roman"/>
          <w:i/>
          <w:sz w:val="24"/>
          <w:szCs w:val="24"/>
        </w:rPr>
        <w:t xml:space="preserve">Spartan Reflections </w:t>
      </w:r>
      <w:r w:rsidRPr="00A6707B">
        <w:rPr>
          <w:rFonts w:ascii="Times New Roman" w:hAnsi="Times New Roman" w:cs="Times New Roman"/>
          <w:sz w:val="24"/>
          <w:szCs w:val="24"/>
        </w:rPr>
        <w:t>as a structure for this discussion, this chapter will explore Sparta’s place in the development of professionalism. This chapter will do this by determining how professional soldiers were produced in Sparta, primarily through the Agoge while also exploring why this system produced professional soldiers. The argument presented in this chapter is that the model presented by Spartan society was not designed for longevity and was partially constructed out of fear of the helots and the developments of the rest of the Greek world began to highlight the flaws presented by the Spartan society.</w:t>
      </w:r>
    </w:p>
    <w:p w:rsidR="00316399" w:rsidRPr="00A6707B" w:rsidRDefault="00316399"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Before this chapter breaks down Cartledge’s argument it is important to determine the state of Sparta in the eyes of both its neighbours and modern scholars. To do this, this section will briefly discuss the laws of Lycurgus and the issues surrounding his existence and the Spartan mirage, including how the view of indomitability came to be.</w:t>
      </w:r>
    </w:p>
    <w:p w:rsidR="00316399" w:rsidRPr="00A6707B" w:rsidRDefault="00316399"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To determine whether Sparta provided a model for professionalism, it is important to discuss the laws of Lycurgus, which revolutionised the state. The role of Lycurgus is well documented, as the brother of a Spartan King</w:t>
      </w:r>
      <w:r w:rsidRPr="00A6707B">
        <w:rPr>
          <w:rStyle w:val="FootnoteReference"/>
          <w:rFonts w:ascii="Times New Roman" w:hAnsi="Times New Roman" w:cs="Times New Roman"/>
          <w:sz w:val="24"/>
          <w:szCs w:val="24"/>
        </w:rPr>
        <w:footnoteReference w:id="13"/>
      </w:r>
      <w:r w:rsidRPr="00A6707B">
        <w:rPr>
          <w:rFonts w:ascii="Times New Roman" w:hAnsi="Times New Roman" w:cs="Times New Roman"/>
          <w:sz w:val="24"/>
          <w:szCs w:val="24"/>
        </w:rPr>
        <w:t xml:space="preserve"> he was well versed in issues of the state and upon his brother’s death was favoured to take his place as King</w:t>
      </w:r>
      <w:r w:rsidRPr="00A6707B">
        <w:rPr>
          <w:rStyle w:val="FootnoteReference"/>
          <w:rFonts w:ascii="Times New Roman" w:hAnsi="Times New Roman" w:cs="Times New Roman"/>
          <w:sz w:val="24"/>
          <w:szCs w:val="24"/>
        </w:rPr>
        <w:footnoteReference w:id="14"/>
      </w:r>
      <w:r w:rsidRPr="00A6707B">
        <w:rPr>
          <w:rFonts w:ascii="Times New Roman" w:hAnsi="Times New Roman" w:cs="Times New Roman"/>
          <w:sz w:val="24"/>
          <w:szCs w:val="24"/>
        </w:rPr>
        <w:t>. Due to his brother having an unborn heir, Lycurgus refused and served as regent when his nephew was born</w:t>
      </w:r>
      <w:r w:rsidRPr="00A6707B">
        <w:rPr>
          <w:rStyle w:val="FootnoteReference"/>
          <w:rFonts w:ascii="Times New Roman" w:hAnsi="Times New Roman" w:cs="Times New Roman"/>
          <w:sz w:val="24"/>
          <w:szCs w:val="24"/>
        </w:rPr>
        <w:footnoteReference w:id="15"/>
      </w:r>
      <w:r w:rsidRPr="00A6707B">
        <w:rPr>
          <w:rFonts w:ascii="Times New Roman" w:hAnsi="Times New Roman" w:cs="Times New Roman"/>
          <w:sz w:val="24"/>
          <w:szCs w:val="24"/>
        </w:rPr>
        <w:t xml:space="preserve">. However, the queen mother and her supporters took issue with his treatment </w:t>
      </w:r>
      <w:r w:rsidRPr="00A6707B">
        <w:rPr>
          <w:rFonts w:ascii="Times New Roman" w:hAnsi="Times New Roman" w:cs="Times New Roman"/>
          <w:sz w:val="24"/>
          <w:szCs w:val="24"/>
        </w:rPr>
        <w:lastRenderedPageBreak/>
        <w:t>of her and this drove him to travel around Greece</w:t>
      </w:r>
      <w:r w:rsidRPr="00A6707B">
        <w:rPr>
          <w:rStyle w:val="FootnoteReference"/>
          <w:rFonts w:ascii="Times New Roman" w:hAnsi="Times New Roman" w:cs="Times New Roman"/>
          <w:sz w:val="24"/>
          <w:szCs w:val="24"/>
        </w:rPr>
        <w:footnoteReference w:id="16"/>
      </w:r>
      <w:r w:rsidRPr="00A6707B">
        <w:rPr>
          <w:rFonts w:ascii="Times New Roman" w:hAnsi="Times New Roman" w:cs="Times New Roman"/>
          <w:sz w:val="24"/>
          <w:szCs w:val="24"/>
        </w:rPr>
        <w:t>. On his travels Lycurgus encountered many different cultures who all ran their society differently to the next and Lycurgus made note of these aspects to apply to Sparta back home</w:t>
      </w:r>
      <w:r w:rsidRPr="00A6707B">
        <w:rPr>
          <w:rStyle w:val="FootnoteReference"/>
          <w:rFonts w:ascii="Times New Roman" w:hAnsi="Times New Roman" w:cs="Times New Roman"/>
          <w:sz w:val="24"/>
          <w:szCs w:val="24"/>
        </w:rPr>
        <w:footnoteReference w:id="17"/>
      </w:r>
      <w:r w:rsidRPr="00A6707B">
        <w:rPr>
          <w:rFonts w:ascii="Times New Roman" w:hAnsi="Times New Roman" w:cs="Times New Roman"/>
          <w:sz w:val="24"/>
          <w:szCs w:val="24"/>
        </w:rPr>
        <w:t>. Upon his return, he instituted several social changes that aimed to remove unsavoury aspects of their citizenry, chiefly the greed and envy each Spartan showed towards his neighbour</w:t>
      </w:r>
      <w:r w:rsidRPr="00A6707B">
        <w:rPr>
          <w:rStyle w:val="FootnoteReference"/>
          <w:rFonts w:ascii="Times New Roman" w:hAnsi="Times New Roman" w:cs="Times New Roman"/>
          <w:sz w:val="24"/>
          <w:szCs w:val="24"/>
        </w:rPr>
        <w:footnoteReference w:id="18"/>
      </w:r>
      <w:r w:rsidRPr="00A6707B">
        <w:rPr>
          <w:rFonts w:ascii="Times New Roman" w:hAnsi="Times New Roman" w:cs="Times New Roman"/>
          <w:sz w:val="24"/>
          <w:szCs w:val="24"/>
        </w:rPr>
        <w:t>, which he resolved by redistributing the lands of Sparta, so all citizens stood equal</w:t>
      </w:r>
      <w:r w:rsidRPr="00A6707B">
        <w:rPr>
          <w:rStyle w:val="FootnoteReference"/>
          <w:rFonts w:ascii="Times New Roman" w:hAnsi="Times New Roman" w:cs="Times New Roman"/>
          <w:sz w:val="24"/>
          <w:szCs w:val="24"/>
        </w:rPr>
        <w:footnoteReference w:id="19"/>
      </w:r>
      <w:r w:rsidRPr="00A6707B">
        <w:rPr>
          <w:rFonts w:ascii="Times New Roman" w:hAnsi="Times New Roman" w:cs="Times New Roman"/>
          <w:sz w:val="24"/>
          <w:szCs w:val="24"/>
        </w:rPr>
        <w:t xml:space="preserve">. </w:t>
      </w:r>
    </w:p>
    <w:p w:rsidR="00316399" w:rsidRPr="00A6707B" w:rsidRDefault="003B0EE9"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Issues surround the existence of Lycurgus, debates summarised to question; was Lycurgus a real person? While Plutarch describes his life and motivations in detail as if he was</w:t>
      </w:r>
      <w:r w:rsidR="006E4766" w:rsidRPr="00A6707B">
        <w:rPr>
          <w:rStyle w:val="FootnoteReference"/>
          <w:rFonts w:ascii="Times New Roman" w:hAnsi="Times New Roman" w:cs="Times New Roman"/>
          <w:sz w:val="24"/>
          <w:szCs w:val="24"/>
        </w:rPr>
        <w:footnoteReference w:id="20"/>
      </w:r>
      <w:r w:rsidRPr="00A6707B">
        <w:rPr>
          <w:rFonts w:ascii="Times New Roman" w:hAnsi="Times New Roman" w:cs="Times New Roman"/>
          <w:sz w:val="24"/>
          <w:szCs w:val="24"/>
        </w:rPr>
        <w:t>, it is important to</w:t>
      </w:r>
      <w:r w:rsidR="006E4766" w:rsidRPr="00A6707B">
        <w:rPr>
          <w:rFonts w:ascii="Times New Roman" w:hAnsi="Times New Roman" w:cs="Times New Roman"/>
          <w:sz w:val="24"/>
          <w:szCs w:val="24"/>
        </w:rPr>
        <w:t xml:space="preserve"> note this life of Lycurgus was pieced together from the popular versions of his existence at the time. It has</w:t>
      </w:r>
      <w:r w:rsidR="006E4766" w:rsidRPr="00B75857">
        <w:rPr>
          <w:rFonts w:ascii="Times New Roman" w:hAnsi="Times New Roman" w:cs="Times New Roman"/>
          <w:sz w:val="24"/>
          <w:szCs w:val="20"/>
        </w:rPr>
        <w:t xml:space="preserve"> been difficult for modern scholars to conclusively </w:t>
      </w:r>
      <w:r w:rsidR="00B75857" w:rsidRPr="00B75857">
        <w:rPr>
          <w:rFonts w:ascii="Times New Roman" w:hAnsi="Times New Roman" w:cs="Times New Roman"/>
          <w:sz w:val="24"/>
          <w:szCs w:val="20"/>
        </w:rPr>
        <w:t>determine his existence however the general consensus is “although Lycurgus may have been a wholly mythical personage, the [Spartan] constitution reflects the realities of Sparta's history and social system"</w:t>
      </w:r>
      <w:r w:rsidR="00B75857" w:rsidRPr="00B75857">
        <w:rPr>
          <w:rStyle w:val="FootnoteReference"/>
          <w:rFonts w:ascii="Times New Roman" w:hAnsi="Times New Roman" w:cs="Times New Roman"/>
          <w:sz w:val="24"/>
          <w:szCs w:val="20"/>
        </w:rPr>
        <w:footnoteReference w:id="21"/>
      </w:r>
      <w:r w:rsidR="006E4766" w:rsidRPr="00B75857">
        <w:rPr>
          <w:rFonts w:ascii="Times New Roman" w:hAnsi="Times New Roman" w:cs="Times New Roman"/>
          <w:sz w:val="24"/>
          <w:szCs w:val="20"/>
        </w:rPr>
        <w:t>.</w:t>
      </w:r>
      <w:r w:rsidR="006E4766" w:rsidRPr="00B75857">
        <w:rPr>
          <w:rFonts w:ascii="Times New Roman" w:hAnsi="Times New Roman" w:cs="Times New Roman"/>
          <w:sz w:val="32"/>
          <w:szCs w:val="24"/>
        </w:rPr>
        <w:t xml:space="preserve"> </w:t>
      </w:r>
      <w:r w:rsidR="006E4766" w:rsidRPr="00A6707B">
        <w:rPr>
          <w:rFonts w:ascii="Times New Roman" w:hAnsi="Times New Roman" w:cs="Times New Roman"/>
          <w:sz w:val="24"/>
          <w:szCs w:val="24"/>
        </w:rPr>
        <w:t>While worthy to</w:t>
      </w:r>
      <w:r w:rsidRPr="00A6707B">
        <w:rPr>
          <w:rFonts w:ascii="Times New Roman" w:hAnsi="Times New Roman" w:cs="Times New Roman"/>
          <w:sz w:val="24"/>
          <w:szCs w:val="24"/>
        </w:rPr>
        <w:t xml:space="preserve"> discuss whether</w:t>
      </w:r>
      <w:r w:rsidR="00F3256A">
        <w:rPr>
          <w:rFonts w:ascii="Times New Roman" w:hAnsi="Times New Roman" w:cs="Times New Roman"/>
          <w:sz w:val="24"/>
          <w:szCs w:val="24"/>
        </w:rPr>
        <w:t>,</w:t>
      </w:r>
      <w:r w:rsidRPr="00A6707B">
        <w:rPr>
          <w:rFonts w:ascii="Times New Roman" w:hAnsi="Times New Roman" w:cs="Times New Roman"/>
          <w:sz w:val="24"/>
          <w:szCs w:val="24"/>
        </w:rPr>
        <w:t xml:space="preserve"> like many of the figures in classical Greece, he truly existed</w:t>
      </w:r>
      <w:r w:rsidR="006E4766" w:rsidRPr="00A6707B">
        <w:rPr>
          <w:rFonts w:ascii="Times New Roman" w:hAnsi="Times New Roman" w:cs="Times New Roman"/>
          <w:sz w:val="24"/>
          <w:szCs w:val="24"/>
        </w:rPr>
        <w:t xml:space="preserve"> the effect of his existence real or mythological is still relevant for the purpose of this work</w:t>
      </w:r>
      <w:r w:rsidRPr="00A6707B">
        <w:rPr>
          <w:rFonts w:ascii="Times New Roman" w:hAnsi="Times New Roman" w:cs="Times New Roman"/>
          <w:sz w:val="24"/>
          <w:szCs w:val="24"/>
        </w:rPr>
        <w:t xml:space="preserve">. </w:t>
      </w:r>
      <w:r w:rsidR="006E4766" w:rsidRPr="00A6707B">
        <w:rPr>
          <w:rFonts w:ascii="Times New Roman" w:hAnsi="Times New Roman" w:cs="Times New Roman"/>
          <w:sz w:val="24"/>
          <w:szCs w:val="24"/>
        </w:rPr>
        <w:t>This is due to the</w:t>
      </w:r>
      <w:r w:rsidRPr="00A6707B">
        <w:rPr>
          <w:rFonts w:ascii="Times New Roman" w:hAnsi="Times New Roman" w:cs="Times New Roman"/>
          <w:sz w:val="24"/>
          <w:szCs w:val="24"/>
        </w:rPr>
        <w:t xml:space="preserve"> evidence of the</w:t>
      </w:r>
      <w:r w:rsidR="006E4766" w:rsidRPr="00A6707B">
        <w:rPr>
          <w:rFonts w:ascii="Times New Roman" w:hAnsi="Times New Roman" w:cs="Times New Roman"/>
          <w:sz w:val="24"/>
          <w:szCs w:val="24"/>
        </w:rPr>
        <w:t xml:space="preserve"> supposed</w:t>
      </w:r>
      <w:r w:rsidRPr="00A6707B">
        <w:rPr>
          <w:rFonts w:ascii="Times New Roman" w:hAnsi="Times New Roman" w:cs="Times New Roman"/>
          <w:sz w:val="24"/>
          <w:szCs w:val="24"/>
        </w:rPr>
        <w:t xml:space="preserve"> reforms of Lycurgus being referenced in relation to</w:t>
      </w:r>
      <w:r w:rsidR="006E4766" w:rsidRPr="00A6707B">
        <w:rPr>
          <w:rFonts w:ascii="Times New Roman" w:hAnsi="Times New Roman" w:cs="Times New Roman"/>
          <w:sz w:val="24"/>
          <w:szCs w:val="24"/>
        </w:rPr>
        <w:t xml:space="preserve"> later</w:t>
      </w:r>
      <w:r w:rsidRPr="00A6707B">
        <w:rPr>
          <w:rFonts w:ascii="Times New Roman" w:hAnsi="Times New Roman" w:cs="Times New Roman"/>
          <w:sz w:val="24"/>
          <w:szCs w:val="24"/>
        </w:rPr>
        <w:t xml:space="preserve"> reformers in Sparta wishing to return to the doctrine Lycurgus created</w:t>
      </w:r>
      <w:r w:rsidR="006E4766" w:rsidRPr="00A6707B">
        <w:rPr>
          <w:rStyle w:val="FootnoteReference"/>
          <w:rFonts w:ascii="Times New Roman" w:hAnsi="Times New Roman" w:cs="Times New Roman"/>
          <w:sz w:val="24"/>
          <w:szCs w:val="24"/>
        </w:rPr>
        <w:footnoteReference w:id="22"/>
      </w:r>
      <w:r w:rsidRPr="00A6707B">
        <w:rPr>
          <w:rFonts w:ascii="Times New Roman" w:hAnsi="Times New Roman" w:cs="Times New Roman"/>
          <w:sz w:val="24"/>
          <w:szCs w:val="24"/>
        </w:rPr>
        <w:t xml:space="preserve"> it also</w:t>
      </w:r>
      <w:r w:rsidR="006E4766" w:rsidRPr="00A6707B">
        <w:rPr>
          <w:rFonts w:ascii="Times New Roman" w:hAnsi="Times New Roman" w:cs="Times New Roman"/>
          <w:sz w:val="24"/>
          <w:szCs w:val="24"/>
        </w:rPr>
        <w:t xml:space="preserve"> aids in discussing the way in which Sparta wished to exist and appear to its neighbours</w:t>
      </w:r>
      <w:r w:rsidRPr="00A6707B">
        <w:rPr>
          <w:rFonts w:ascii="Times New Roman" w:hAnsi="Times New Roman" w:cs="Times New Roman"/>
          <w:sz w:val="24"/>
          <w:szCs w:val="24"/>
        </w:rPr>
        <w:t xml:space="preserve">. </w:t>
      </w:r>
    </w:p>
    <w:p w:rsidR="00316399" w:rsidRPr="00A6707B" w:rsidRDefault="00316399"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Even if this work believes the existence of Lycurgus to be mainly mythological, the resounding impact his laws have had on the view of Sparta, especially in relation to its </w:t>
      </w:r>
      <w:r w:rsidRPr="00A6707B">
        <w:rPr>
          <w:rFonts w:ascii="Times New Roman" w:hAnsi="Times New Roman" w:cs="Times New Roman"/>
          <w:sz w:val="24"/>
          <w:szCs w:val="24"/>
        </w:rPr>
        <w:lastRenderedPageBreak/>
        <w:t xml:space="preserve">military is evident. The Laws of Lycurgus presents a society in which those in governance attempted to eradicate unworthy traits of the descendants of Herakles, an idea tying to their supposed mythological heritage. Those traits primarily being greed but also the envy between neighbours discussed earlier. By eradicating these traits, the Spartan people were equal and stood together as opposed to being at odds with one another over material possessions, instead focusing on the dominance of the state over its neighbours than individual gain over one another. Thus, allowing for an idealized image of the Spartan people to develop and the idea of Spartan professionalism to expand. </w:t>
      </w:r>
    </w:p>
    <w:p w:rsidR="00316399" w:rsidRPr="00A6707B" w:rsidRDefault="00316399"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It is prudent at this point for this work to discuss the Spartan mirage. In order to determine the role of Sparta when identifying professionalism in the ancient world, it is important to briefly discuss how the polis was seen by the rest of the Greek world. The mirage can be summarised to mean the way in which the Spartans were perceived by their neighbours as well as the modern scholar, with specific reference to their indomitability in battle. The Spartan mirage is discussed by several scholars</w:t>
      </w:r>
      <w:r w:rsidRPr="00A6707B">
        <w:rPr>
          <w:rStyle w:val="FootnoteReference"/>
          <w:rFonts w:ascii="Times New Roman" w:hAnsi="Times New Roman" w:cs="Times New Roman"/>
          <w:sz w:val="24"/>
          <w:szCs w:val="24"/>
        </w:rPr>
        <w:footnoteReference w:id="23"/>
      </w:r>
      <w:r w:rsidRPr="00A6707B">
        <w:rPr>
          <w:rFonts w:ascii="Times New Roman" w:hAnsi="Times New Roman" w:cs="Times New Roman"/>
          <w:sz w:val="24"/>
          <w:szCs w:val="24"/>
        </w:rPr>
        <w:t>. However, this is mostly conjecture. The idea of the mirage is based on the representation of the polis in the sources that have survived until the present day, a majority of which were written after the events it is discussing or are fragmented to the point that Cartledge believes they complicate the image trying to be constructed if overly relied upon</w:t>
      </w:r>
      <w:r w:rsidRPr="00A6707B">
        <w:rPr>
          <w:rStyle w:val="FootnoteReference"/>
          <w:rFonts w:ascii="Times New Roman" w:hAnsi="Times New Roman" w:cs="Times New Roman"/>
          <w:sz w:val="24"/>
          <w:szCs w:val="24"/>
        </w:rPr>
        <w:footnoteReference w:id="24"/>
      </w:r>
      <w:r w:rsidRPr="00A6707B">
        <w:rPr>
          <w:rFonts w:ascii="Times New Roman" w:hAnsi="Times New Roman" w:cs="Times New Roman"/>
          <w:sz w:val="24"/>
          <w:szCs w:val="24"/>
        </w:rPr>
        <w:t>. Cartledge draws on the works of Herodotus and Thucydides as most scholars would over the works of Kritias</w:t>
      </w:r>
      <w:r w:rsidRPr="00A6707B">
        <w:rPr>
          <w:rStyle w:val="FootnoteReference"/>
          <w:rFonts w:ascii="Times New Roman" w:hAnsi="Times New Roman" w:cs="Times New Roman"/>
          <w:sz w:val="24"/>
          <w:szCs w:val="24"/>
        </w:rPr>
        <w:footnoteReference w:id="25"/>
      </w:r>
      <w:r w:rsidRPr="00A6707B">
        <w:rPr>
          <w:rFonts w:ascii="Times New Roman" w:hAnsi="Times New Roman" w:cs="Times New Roman"/>
          <w:sz w:val="24"/>
          <w:szCs w:val="24"/>
        </w:rPr>
        <w:t xml:space="preserve"> yet would argue the neutral work of Aristotle (</w:t>
      </w:r>
      <w:r w:rsidRPr="00A6707B">
        <w:rPr>
          <w:rFonts w:ascii="Times New Roman" w:hAnsi="Times New Roman" w:cs="Times New Roman"/>
          <w:i/>
          <w:sz w:val="24"/>
          <w:szCs w:val="24"/>
        </w:rPr>
        <w:t>Constitution of the Lacedaemonians</w:t>
      </w:r>
      <w:r w:rsidRPr="00A6707B">
        <w:rPr>
          <w:rFonts w:ascii="Times New Roman" w:hAnsi="Times New Roman" w:cs="Times New Roman"/>
          <w:sz w:val="24"/>
          <w:szCs w:val="24"/>
        </w:rPr>
        <w:t xml:space="preserve">) to be of more value even in fragments than the works of Plutarch and Xenophon which he believes to be a part of a ‘utopia’ </w:t>
      </w:r>
      <w:r w:rsidRPr="00A6707B">
        <w:rPr>
          <w:rFonts w:ascii="Times New Roman" w:hAnsi="Times New Roman" w:cs="Times New Roman"/>
          <w:sz w:val="24"/>
          <w:szCs w:val="24"/>
        </w:rPr>
        <w:lastRenderedPageBreak/>
        <w:t>tradition</w:t>
      </w:r>
      <w:r w:rsidRPr="00A6707B">
        <w:rPr>
          <w:rStyle w:val="FootnoteReference"/>
          <w:rFonts w:ascii="Times New Roman" w:hAnsi="Times New Roman" w:cs="Times New Roman"/>
          <w:sz w:val="24"/>
          <w:szCs w:val="24"/>
        </w:rPr>
        <w:footnoteReference w:id="26"/>
      </w:r>
      <w:r w:rsidRPr="00A6707B">
        <w:rPr>
          <w:rFonts w:ascii="Times New Roman" w:hAnsi="Times New Roman" w:cs="Times New Roman"/>
          <w:sz w:val="24"/>
          <w:szCs w:val="24"/>
        </w:rPr>
        <w:t xml:space="preserve">. This example of scholarly attitude presents the number of variables the evidence can present in terms of the Spartan society. </w:t>
      </w:r>
    </w:p>
    <w:p w:rsidR="00316399" w:rsidRPr="00A6707B" w:rsidRDefault="00316399"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One thing that is a common theme through a number of the ancient sources as well as the subject of modern study is that the Spartan hoplites were viewed as the ultimate unit of its kind in the ancient world</w:t>
      </w:r>
      <w:r w:rsidRPr="00A6707B">
        <w:rPr>
          <w:rStyle w:val="FootnoteReference"/>
          <w:rFonts w:ascii="Times New Roman" w:hAnsi="Times New Roman" w:cs="Times New Roman"/>
          <w:sz w:val="24"/>
          <w:szCs w:val="24"/>
        </w:rPr>
        <w:footnoteReference w:id="27"/>
      </w:r>
      <w:r w:rsidRPr="00A6707B">
        <w:rPr>
          <w:rFonts w:ascii="Times New Roman" w:hAnsi="Times New Roman" w:cs="Times New Roman"/>
          <w:sz w:val="24"/>
          <w:szCs w:val="24"/>
        </w:rPr>
        <w:t>, leading Sparta to hold sway over its allies and enemies alike, including Athens which was significantly larger than Sparta</w:t>
      </w:r>
      <w:r w:rsidRPr="00A6707B">
        <w:rPr>
          <w:rStyle w:val="FootnoteReference"/>
          <w:rFonts w:ascii="Times New Roman" w:hAnsi="Times New Roman" w:cs="Times New Roman"/>
          <w:sz w:val="24"/>
          <w:szCs w:val="24"/>
        </w:rPr>
        <w:footnoteReference w:id="28"/>
      </w:r>
      <w:r w:rsidRPr="00A6707B">
        <w:rPr>
          <w:rFonts w:ascii="Times New Roman" w:hAnsi="Times New Roman" w:cs="Times New Roman"/>
          <w:sz w:val="24"/>
          <w:szCs w:val="24"/>
        </w:rPr>
        <w:t>, further, the accepted military prowess of the Spartan hoplites allowed them to assume positions of leadership over their allies in times of war. Including the Persian Wars which were several conflicts over a fifty-year period between the Persian Empire and the Greek world. The Spartan King Leonidas led three hundred Spartans along with men from Thebes and other Greek city states to slow the forces of Xerxes of Persia</w:t>
      </w:r>
      <w:r w:rsidRPr="00A6707B">
        <w:rPr>
          <w:rStyle w:val="FootnoteReference"/>
          <w:rFonts w:ascii="Times New Roman" w:hAnsi="Times New Roman" w:cs="Times New Roman"/>
          <w:sz w:val="24"/>
          <w:szCs w:val="24"/>
        </w:rPr>
        <w:footnoteReference w:id="29"/>
      </w:r>
      <w:r w:rsidRPr="00A6707B">
        <w:rPr>
          <w:rFonts w:ascii="Times New Roman" w:hAnsi="Times New Roman" w:cs="Times New Roman"/>
          <w:sz w:val="24"/>
          <w:szCs w:val="24"/>
        </w:rPr>
        <w:t>. Using the land to their advantage the Spartan hoplites and their allies held the pass of Thermopylae in conjunction with a naval battle being waged in Artem</w:t>
      </w:r>
      <w:r w:rsidR="007E6ED7">
        <w:rPr>
          <w:rFonts w:ascii="Times New Roman" w:hAnsi="Times New Roman" w:cs="Times New Roman"/>
          <w:sz w:val="24"/>
          <w:szCs w:val="24"/>
        </w:rPr>
        <w:t>isium</w:t>
      </w:r>
      <w:r w:rsidRPr="00A6707B">
        <w:rPr>
          <w:rStyle w:val="FootnoteReference"/>
          <w:rFonts w:ascii="Times New Roman" w:hAnsi="Times New Roman" w:cs="Times New Roman"/>
          <w:sz w:val="24"/>
          <w:szCs w:val="24"/>
        </w:rPr>
        <w:footnoteReference w:id="30"/>
      </w:r>
      <w:r w:rsidRPr="00A6707B">
        <w:rPr>
          <w:rFonts w:ascii="Times New Roman" w:hAnsi="Times New Roman" w:cs="Times New Roman"/>
          <w:sz w:val="24"/>
          <w:szCs w:val="24"/>
        </w:rPr>
        <w:t xml:space="preserve"> in order to buy the city states of Greece time to gather their forces and prepare for a full-scale war with Xerxes. The battle of Thermopylae has become a cult classic in the modern era, inspiring movies based on the legendary three hundred men that held the pass against the monstrous horde of Persia. While this movie is heavily stylised it clearly shows how the Spartan hoplites have been considered the pinnacle of Greek military capabilities in the period.</w:t>
      </w:r>
    </w:p>
    <w:p w:rsidR="00316399" w:rsidRDefault="00316399"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The remainder of this chapter will explore the argument of Cartledge in his 2001 </w:t>
      </w:r>
      <w:r w:rsidRPr="00A6707B">
        <w:rPr>
          <w:rFonts w:ascii="Times New Roman" w:hAnsi="Times New Roman" w:cs="Times New Roman"/>
          <w:i/>
          <w:sz w:val="24"/>
          <w:szCs w:val="24"/>
        </w:rPr>
        <w:t>Spartan Reflections</w:t>
      </w:r>
      <w:r w:rsidRPr="00A6707B">
        <w:rPr>
          <w:rFonts w:ascii="Times New Roman" w:hAnsi="Times New Roman" w:cs="Times New Roman"/>
          <w:sz w:val="24"/>
          <w:szCs w:val="24"/>
        </w:rPr>
        <w:t xml:space="preserve"> drawing on his argument surrounding whether Sparta can truly be considered a polis in relation to a number of key themes that have been identified and </w:t>
      </w:r>
      <w:r w:rsidRPr="00A6707B">
        <w:rPr>
          <w:rFonts w:ascii="Times New Roman" w:hAnsi="Times New Roman" w:cs="Times New Roman"/>
          <w:sz w:val="24"/>
          <w:szCs w:val="24"/>
        </w:rPr>
        <w:lastRenderedPageBreak/>
        <w:t xml:space="preserve">expected of a Classical Greek polis, building on these ideas to determine their relevance to the professionalism of Sparta’s military as well as determining whether Sparta was a polis albeit a unique one or whether it could serve as a model for other city states. </w:t>
      </w:r>
    </w:p>
    <w:p w:rsidR="00B50485" w:rsidRPr="00A6707B" w:rsidRDefault="00B50485" w:rsidP="00A6707B">
      <w:pPr>
        <w:spacing w:line="480" w:lineRule="auto"/>
        <w:rPr>
          <w:rFonts w:ascii="Times New Roman" w:hAnsi="Times New Roman" w:cs="Times New Roman"/>
          <w:sz w:val="24"/>
          <w:szCs w:val="24"/>
        </w:rPr>
      </w:pPr>
    </w:p>
    <w:p w:rsidR="000E3641" w:rsidRPr="00A6707B" w:rsidRDefault="0035658F" w:rsidP="00A6707B">
      <w:pPr>
        <w:pStyle w:val="Heading2"/>
        <w:spacing w:line="480" w:lineRule="auto"/>
        <w:rPr>
          <w:rFonts w:ascii="Times New Roman" w:hAnsi="Times New Roman" w:cs="Times New Roman"/>
          <w:color w:val="auto"/>
          <w:sz w:val="28"/>
          <w:szCs w:val="24"/>
        </w:rPr>
      </w:pPr>
      <w:bookmarkStart w:id="4" w:name="_Toc8191334"/>
      <w:r w:rsidRPr="00A6707B">
        <w:rPr>
          <w:rFonts w:ascii="Times New Roman" w:hAnsi="Times New Roman" w:cs="Times New Roman"/>
          <w:color w:val="auto"/>
          <w:sz w:val="28"/>
          <w:szCs w:val="24"/>
        </w:rPr>
        <w:t>Community of place, identity of territory</w:t>
      </w:r>
      <w:r w:rsidR="00F44820" w:rsidRPr="00A6707B">
        <w:rPr>
          <w:rFonts w:ascii="Times New Roman" w:hAnsi="Times New Roman" w:cs="Times New Roman"/>
          <w:color w:val="auto"/>
          <w:sz w:val="28"/>
          <w:szCs w:val="24"/>
        </w:rPr>
        <w:t xml:space="preserve"> and an urban centre</w:t>
      </w:r>
      <w:bookmarkEnd w:id="4"/>
    </w:p>
    <w:p w:rsidR="00894B9D" w:rsidRPr="00A6707B" w:rsidRDefault="00894B9D"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The first</w:t>
      </w:r>
      <w:r w:rsidR="00393BEA" w:rsidRPr="00A6707B">
        <w:rPr>
          <w:rFonts w:ascii="Times New Roman" w:hAnsi="Times New Roman" w:cs="Times New Roman"/>
          <w:sz w:val="24"/>
          <w:szCs w:val="24"/>
        </w:rPr>
        <w:t xml:space="preserve"> two</w:t>
      </w:r>
      <w:r w:rsidRPr="00A6707B">
        <w:rPr>
          <w:rFonts w:ascii="Times New Roman" w:hAnsi="Times New Roman" w:cs="Times New Roman"/>
          <w:sz w:val="24"/>
          <w:szCs w:val="24"/>
        </w:rPr>
        <w:t xml:space="preserve"> attribute</w:t>
      </w:r>
      <w:r w:rsidR="00393BEA" w:rsidRPr="00A6707B">
        <w:rPr>
          <w:rFonts w:ascii="Times New Roman" w:hAnsi="Times New Roman" w:cs="Times New Roman"/>
          <w:sz w:val="24"/>
          <w:szCs w:val="24"/>
        </w:rPr>
        <w:t>s</w:t>
      </w:r>
      <w:r w:rsidRPr="00A6707B">
        <w:rPr>
          <w:rFonts w:ascii="Times New Roman" w:hAnsi="Times New Roman" w:cs="Times New Roman"/>
          <w:sz w:val="24"/>
          <w:szCs w:val="24"/>
        </w:rPr>
        <w:t xml:space="preserve"> Cartledge identifies in his discussion to determine whether Sparta could be considered a traditional polis is the idea of community</w:t>
      </w:r>
      <w:r w:rsidR="00393BEA" w:rsidRPr="00A6707B">
        <w:rPr>
          <w:rFonts w:ascii="Times New Roman" w:hAnsi="Times New Roman" w:cs="Times New Roman"/>
          <w:sz w:val="24"/>
          <w:szCs w:val="24"/>
        </w:rPr>
        <w:t xml:space="preserve"> and an urban centre</w:t>
      </w:r>
      <w:r w:rsidRPr="00A6707B">
        <w:rPr>
          <w:rFonts w:ascii="Times New Roman" w:hAnsi="Times New Roman" w:cs="Times New Roman"/>
          <w:sz w:val="24"/>
          <w:szCs w:val="24"/>
        </w:rPr>
        <w:t>. Whether the territory they lived upon provided them with a</w:t>
      </w:r>
      <w:r w:rsidR="00393BEA" w:rsidRPr="00A6707B">
        <w:rPr>
          <w:rFonts w:ascii="Times New Roman" w:hAnsi="Times New Roman" w:cs="Times New Roman"/>
          <w:sz w:val="24"/>
          <w:szCs w:val="24"/>
        </w:rPr>
        <w:t xml:space="preserve"> specific</w:t>
      </w:r>
      <w:r w:rsidRPr="00A6707B">
        <w:rPr>
          <w:rFonts w:ascii="Times New Roman" w:hAnsi="Times New Roman" w:cs="Times New Roman"/>
          <w:sz w:val="24"/>
          <w:szCs w:val="24"/>
        </w:rPr>
        <w:t xml:space="preserve"> </w:t>
      </w:r>
      <w:r w:rsidR="00393BEA" w:rsidRPr="00A6707B">
        <w:rPr>
          <w:rFonts w:ascii="Times New Roman" w:hAnsi="Times New Roman" w:cs="Times New Roman"/>
          <w:sz w:val="24"/>
          <w:szCs w:val="24"/>
        </w:rPr>
        <w:t>identity and whether there was a central village of governance</w:t>
      </w:r>
      <w:r w:rsidRPr="00A6707B">
        <w:rPr>
          <w:rFonts w:ascii="Times New Roman" w:hAnsi="Times New Roman" w:cs="Times New Roman"/>
          <w:sz w:val="24"/>
          <w:szCs w:val="24"/>
        </w:rPr>
        <w:t xml:space="preserve">. While this is strongly relevant to the discussion of his argument this </w:t>
      </w:r>
      <w:r w:rsidR="00393BEA" w:rsidRPr="00A6707B">
        <w:rPr>
          <w:rFonts w:ascii="Times New Roman" w:hAnsi="Times New Roman" w:cs="Times New Roman"/>
          <w:sz w:val="24"/>
          <w:szCs w:val="24"/>
        </w:rPr>
        <w:t xml:space="preserve">enables this work to discuss certain aspects of Sparta that aid its image of professionalism. </w:t>
      </w:r>
    </w:p>
    <w:p w:rsidR="00393BEA" w:rsidRPr="00A6707B" w:rsidRDefault="00393BEA"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Firstly, in relation to the idea of community, Cartledge highlights how when discussing the people of Athens, they are referred to as Athenians however when discussing the people of Sparta, they are often referred to as Spartiates or more commonly, the </w:t>
      </w:r>
      <w:r w:rsidR="00C34DB5" w:rsidRPr="00A6707B">
        <w:rPr>
          <w:rFonts w:ascii="Times New Roman" w:hAnsi="Times New Roman" w:cs="Times New Roman"/>
          <w:sz w:val="24"/>
          <w:szCs w:val="24"/>
        </w:rPr>
        <w:t>Lacedamonia</w:t>
      </w:r>
      <w:r w:rsidR="008C0F4A" w:rsidRPr="00A6707B">
        <w:rPr>
          <w:rStyle w:val="FootnoteReference"/>
          <w:rFonts w:ascii="Times New Roman" w:hAnsi="Times New Roman" w:cs="Times New Roman"/>
          <w:sz w:val="24"/>
          <w:szCs w:val="24"/>
        </w:rPr>
        <w:footnoteReference w:id="31"/>
      </w:r>
      <w:r w:rsidRPr="00A6707B">
        <w:rPr>
          <w:rFonts w:ascii="Times New Roman" w:hAnsi="Times New Roman" w:cs="Times New Roman"/>
          <w:sz w:val="24"/>
          <w:szCs w:val="24"/>
        </w:rPr>
        <w:t xml:space="preserve">. </w:t>
      </w:r>
      <w:r w:rsidR="008C0F4A" w:rsidRPr="00A6707B">
        <w:rPr>
          <w:rFonts w:ascii="Times New Roman" w:hAnsi="Times New Roman" w:cs="Times New Roman"/>
          <w:sz w:val="24"/>
          <w:szCs w:val="24"/>
        </w:rPr>
        <w:t>Cartledge highlights how the idea of citizenship and community are separate concepts in the classical world</w:t>
      </w:r>
      <w:r w:rsidR="008C0F4A" w:rsidRPr="00A6707B">
        <w:rPr>
          <w:rStyle w:val="FootnoteReference"/>
          <w:rFonts w:ascii="Times New Roman" w:hAnsi="Times New Roman" w:cs="Times New Roman"/>
          <w:sz w:val="24"/>
          <w:szCs w:val="24"/>
        </w:rPr>
        <w:footnoteReference w:id="32"/>
      </w:r>
      <w:r w:rsidR="008C0F4A" w:rsidRPr="00A6707B">
        <w:rPr>
          <w:rFonts w:ascii="Times New Roman" w:hAnsi="Times New Roman" w:cs="Times New Roman"/>
          <w:sz w:val="24"/>
          <w:szCs w:val="24"/>
        </w:rPr>
        <w:t>. While Sparta had its dedicated ‘citizens’ it was also home to a number of people who were not citizens. Becoming known as the Perioikoi, or ‘dwellers around’</w:t>
      </w:r>
      <w:r w:rsidR="008C0F4A" w:rsidRPr="00A6707B">
        <w:rPr>
          <w:rStyle w:val="FootnoteReference"/>
          <w:rFonts w:ascii="Times New Roman" w:hAnsi="Times New Roman" w:cs="Times New Roman"/>
          <w:sz w:val="24"/>
          <w:szCs w:val="24"/>
        </w:rPr>
        <w:footnoteReference w:id="33"/>
      </w:r>
      <w:r w:rsidR="008C0F4A" w:rsidRPr="00A6707B">
        <w:rPr>
          <w:rFonts w:ascii="Times New Roman" w:hAnsi="Times New Roman" w:cs="Times New Roman"/>
          <w:sz w:val="24"/>
          <w:szCs w:val="24"/>
        </w:rPr>
        <w:t xml:space="preserve">. Cartledge notes how these people, while not Spartan citizens were free and maintained a semi-autonomous life within the territory of Sparta.  </w:t>
      </w:r>
      <w:r w:rsidR="00214A76" w:rsidRPr="00A6707B">
        <w:rPr>
          <w:rFonts w:ascii="Times New Roman" w:hAnsi="Times New Roman" w:cs="Times New Roman"/>
          <w:sz w:val="24"/>
          <w:szCs w:val="24"/>
        </w:rPr>
        <w:t xml:space="preserve">In relation to an urban centre, Cartledge argues that unlike in the case of Athens where the main portion of its government was in Athens, Sparta was a collective of </w:t>
      </w:r>
      <w:r w:rsidR="00531DB4" w:rsidRPr="00A6707B">
        <w:rPr>
          <w:rFonts w:ascii="Times New Roman" w:hAnsi="Times New Roman" w:cs="Times New Roman"/>
          <w:sz w:val="24"/>
          <w:szCs w:val="24"/>
        </w:rPr>
        <w:t xml:space="preserve">villages that to an extent, maintained a level of independent identity, governing themselves for </w:t>
      </w:r>
      <w:r w:rsidR="00531DB4" w:rsidRPr="00A6707B">
        <w:rPr>
          <w:rFonts w:ascii="Times New Roman" w:hAnsi="Times New Roman" w:cs="Times New Roman"/>
          <w:sz w:val="24"/>
          <w:szCs w:val="24"/>
        </w:rPr>
        <w:lastRenderedPageBreak/>
        <w:t xml:space="preserve">the most part. How the state of Sparta was governed will be explored later in this chapter however, the idea of constituent villages poses an interesting question in regards to balance of power and the amount of influence the Spartan citizens and government possessed throughout the territory, especially in relation to the Perioikoi and the effect this had on the professionalism of Sparta. </w:t>
      </w:r>
    </w:p>
    <w:p w:rsidR="008C0F4A" w:rsidRPr="00A6707B" w:rsidRDefault="008C0F4A"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This section will now discuss the role of the Perioikoi in </w:t>
      </w:r>
      <w:r w:rsidR="00D07717" w:rsidRPr="00A6707B">
        <w:rPr>
          <w:rFonts w:ascii="Times New Roman" w:hAnsi="Times New Roman" w:cs="Times New Roman"/>
          <w:sz w:val="24"/>
          <w:szCs w:val="24"/>
        </w:rPr>
        <w:t xml:space="preserve">the Spartan army of the fourth century. Hawkins discusses the tenuous link between the Perioikoi and the Spartan citizenry in the </w:t>
      </w:r>
      <w:r w:rsidR="00D07717" w:rsidRPr="00A6707B">
        <w:rPr>
          <w:rFonts w:ascii="Times New Roman" w:hAnsi="Times New Roman" w:cs="Times New Roman"/>
          <w:i/>
          <w:sz w:val="24"/>
          <w:szCs w:val="24"/>
        </w:rPr>
        <w:t>mor</w:t>
      </w:r>
      <w:r w:rsidR="00F3256A">
        <w:rPr>
          <w:rFonts w:ascii="Times New Roman" w:hAnsi="Times New Roman" w:cs="Times New Roman"/>
          <w:i/>
          <w:sz w:val="24"/>
          <w:szCs w:val="24"/>
        </w:rPr>
        <w:t>a</w:t>
      </w:r>
      <w:r w:rsidR="00D07717" w:rsidRPr="00A6707B">
        <w:rPr>
          <w:rFonts w:ascii="Times New Roman" w:hAnsi="Times New Roman" w:cs="Times New Roman"/>
          <w:i/>
          <w:sz w:val="24"/>
          <w:szCs w:val="24"/>
        </w:rPr>
        <w:t>i.</w:t>
      </w:r>
      <w:r w:rsidR="00D07717" w:rsidRPr="00A6707B">
        <w:rPr>
          <w:rFonts w:ascii="Times New Roman" w:hAnsi="Times New Roman" w:cs="Times New Roman"/>
          <w:sz w:val="24"/>
          <w:szCs w:val="24"/>
        </w:rPr>
        <w:t xml:space="preserve"> It is clear the Spartans followed a strict doctrine of ‘manly </w:t>
      </w:r>
      <w:r w:rsidR="00E12EE3">
        <w:rPr>
          <w:rFonts w:ascii="Times New Roman" w:hAnsi="Times New Roman" w:cs="Times New Roman"/>
          <w:sz w:val="24"/>
          <w:szCs w:val="24"/>
        </w:rPr>
        <w:t>valor</w:t>
      </w:r>
      <w:r w:rsidR="00D07717" w:rsidRPr="00A6707B">
        <w:rPr>
          <w:rFonts w:ascii="Times New Roman" w:hAnsi="Times New Roman" w:cs="Times New Roman"/>
          <w:sz w:val="24"/>
          <w:szCs w:val="24"/>
        </w:rPr>
        <w:t>’</w:t>
      </w:r>
      <w:r w:rsidR="00D07717" w:rsidRPr="00A6707B">
        <w:rPr>
          <w:rStyle w:val="FootnoteReference"/>
          <w:rFonts w:ascii="Times New Roman" w:hAnsi="Times New Roman" w:cs="Times New Roman"/>
          <w:sz w:val="24"/>
          <w:szCs w:val="24"/>
        </w:rPr>
        <w:footnoteReference w:id="34"/>
      </w:r>
      <w:r w:rsidR="00D07717" w:rsidRPr="00A6707B">
        <w:rPr>
          <w:rFonts w:ascii="Times New Roman" w:hAnsi="Times New Roman" w:cs="Times New Roman"/>
          <w:sz w:val="24"/>
          <w:szCs w:val="24"/>
        </w:rPr>
        <w:t xml:space="preserve"> and this would drive them to seek prestige in battle. Hawkins discusses how the decline in the number of Spartan citizens did not affect this attitude, but how it was perceived. Previously, the Spartans would serve in a strictly citizen </w:t>
      </w:r>
      <w:r w:rsidR="00D07717" w:rsidRPr="00A6707B">
        <w:rPr>
          <w:rFonts w:ascii="Times New Roman" w:hAnsi="Times New Roman" w:cs="Times New Roman"/>
          <w:i/>
          <w:sz w:val="24"/>
          <w:szCs w:val="24"/>
        </w:rPr>
        <w:t>mor</w:t>
      </w:r>
      <w:r w:rsidR="00F3256A">
        <w:rPr>
          <w:rFonts w:ascii="Times New Roman" w:hAnsi="Times New Roman" w:cs="Times New Roman"/>
          <w:i/>
          <w:sz w:val="24"/>
          <w:szCs w:val="24"/>
        </w:rPr>
        <w:t>a</w:t>
      </w:r>
      <w:r w:rsidR="00D07717" w:rsidRPr="00A6707B">
        <w:rPr>
          <w:rFonts w:ascii="Times New Roman" w:hAnsi="Times New Roman" w:cs="Times New Roman"/>
          <w:i/>
          <w:sz w:val="24"/>
          <w:szCs w:val="24"/>
        </w:rPr>
        <w:t>i</w:t>
      </w:r>
      <w:r w:rsidR="005E457C">
        <w:rPr>
          <w:rFonts w:ascii="Times New Roman" w:hAnsi="Times New Roman" w:cs="Times New Roman"/>
          <w:i/>
          <w:sz w:val="24"/>
          <w:szCs w:val="24"/>
        </w:rPr>
        <w:t xml:space="preserve">, </w:t>
      </w:r>
      <w:r w:rsidR="005E457C">
        <w:rPr>
          <w:rFonts w:ascii="Times New Roman" w:hAnsi="Times New Roman" w:cs="Times New Roman"/>
          <w:sz w:val="24"/>
          <w:szCs w:val="24"/>
        </w:rPr>
        <w:t>Lazenby discusses how</w:t>
      </w:r>
      <w:r w:rsidR="0082441D" w:rsidRPr="00A6707B">
        <w:rPr>
          <w:rFonts w:ascii="Times New Roman" w:hAnsi="Times New Roman" w:cs="Times New Roman"/>
          <w:sz w:val="24"/>
          <w:szCs w:val="24"/>
        </w:rPr>
        <w:t xml:space="preserve"> the training they receive as a part of their compulsory education would make them weaker as a unit if the Perioikoi were integrated into their ranks</w:t>
      </w:r>
      <w:r w:rsidR="00F44820" w:rsidRPr="00A6707B">
        <w:rPr>
          <w:rStyle w:val="FootnoteReference"/>
          <w:rFonts w:ascii="Times New Roman" w:hAnsi="Times New Roman" w:cs="Times New Roman"/>
          <w:sz w:val="24"/>
          <w:szCs w:val="24"/>
        </w:rPr>
        <w:footnoteReference w:id="35"/>
      </w:r>
      <w:r w:rsidR="0082441D" w:rsidRPr="00A6707B">
        <w:rPr>
          <w:rFonts w:ascii="Times New Roman" w:hAnsi="Times New Roman" w:cs="Times New Roman"/>
          <w:sz w:val="24"/>
          <w:szCs w:val="24"/>
        </w:rPr>
        <w:t>. A useful idiom is the Spartan soldier was a weekday warrior whereas the Perioikoi</w:t>
      </w:r>
      <w:r w:rsidR="00D07717" w:rsidRPr="00A6707B">
        <w:rPr>
          <w:rFonts w:ascii="Times New Roman" w:hAnsi="Times New Roman" w:cs="Times New Roman"/>
          <w:sz w:val="24"/>
          <w:szCs w:val="24"/>
        </w:rPr>
        <w:t xml:space="preserve"> </w:t>
      </w:r>
      <w:r w:rsidR="0082441D" w:rsidRPr="00A6707B">
        <w:rPr>
          <w:rFonts w:ascii="Times New Roman" w:hAnsi="Times New Roman" w:cs="Times New Roman"/>
          <w:sz w:val="24"/>
          <w:szCs w:val="24"/>
        </w:rPr>
        <w:t>were weekend soldiers, carrying out the role of hoplite or light infantry around their agricultural responsibilities at various stages of the year</w:t>
      </w:r>
      <w:r w:rsidR="0082441D" w:rsidRPr="00A6707B">
        <w:rPr>
          <w:rStyle w:val="FootnoteReference"/>
          <w:rFonts w:ascii="Times New Roman" w:hAnsi="Times New Roman" w:cs="Times New Roman"/>
          <w:sz w:val="24"/>
          <w:szCs w:val="24"/>
        </w:rPr>
        <w:footnoteReference w:id="36"/>
      </w:r>
      <w:r w:rsidR="0082441D" w:rsidRPr="00A6707B">
        <w:rPr>
          <w:rFonts w:ascii="Times New Roman" w:hAnsi="Times New Roman" w:cs="Times New Roman"/>
          <w:sz w:val="24"/>
          <w:szCs w:val="24"/>
        </w:rPr>
        <w:t xml:space="preserve">. </w:t>
      </w:r>
      <w:r w:rsidRPr="00A6707B">
        <w:rPr>
          <w:rFonts w:ascii="Times New Roman" w:hAnsi="Times New Roman" w:cs="Times New Roman"/>
          <w:sz w:val="24"/>
          <w:szCs w:val="24"/>
        </w:rPr>
        <w:t xml:space="preserve">  </w:t>
      </w:r>
    </w:p>
    <w:p w:rsidR="00F44820" w:rsidRPr="00A6707B" w:rsidRDefault="0082441D"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However, Hawkins discusses how the decline in the number of Spartan citizens</w:t>
      </w:r>
      <w:r w:rsidR="00236341" w:rsidRPr="00A6707B">
        <w:rPr>
          <w:rFonts w:ascii="Times New Roman" w:hAnsi="Times New Roman" w:cs="Times New Roman"/>
          <w:sz w:val="24"/>
          <w:szCs w:val="24"/>
        </w:rPr>
        <w:t xml:space="preserve"> in the fifth century</w:t>
      </w:r>
      <w:r w:rsidRPr="00A6707B">
        <w:rPr>
          <w:rFonts w:ascii="Times New Roman" w:hAnsi="Times New Roman" w:cs="Times New Roman"/>
          <w:sz w:val="24"/>
          <w:szCs w:val="24"/>
        </w:rPr>
        <w:t>, whether it was due to population decline or a result of the Spartan citizens being unable to contribute the required amount to the common mess</w:t>
      </w:r>
      <w:r w:rsidR="00236341" w:rsidRPr="00A6707B">
        <w:rPr>
          <w:rStyle w:val="FootnoteReference"/>
          <w:rFonts w:ascii="Times New Roman" w:hAnsi="Times New Roman" w:cs="Times New Roman"/>
          <w:sz w:val="24"/>
          <w:szCs w:val="24"/>
        </w:rPr>
        <w:footnoteReference w:id="37"/>
      </w:r>
      <w:r w:rsidRPr="00A6707B">
        <w:rPr>
          <w:rFonts w:ascii="Times New Roman" w:hAnsi="Times New Roman" w:cs="Times New Roman"/>
          <w:sz w:val="24"/>
          <w:szCs w:val="24"/>
        </w:rPr>
        <w:t xml:space="preserve"> that determined their status, changed this</w:t>
      </w:r>
      <w:r w:rsidR="00F44820" w:rsidRPr="00A6707B">
        <w:rPr>
          <w:rFonts w:ascii="Times New Roman" w:hAnsi="Times New Roman" w:cs="Times New Roman"/>
          <w:sz w:val="24"/>
          <w:szCs w:val="24"/>
        </w:rPr>
        <w:t xml:space="preserve"> view. Hawkins theorised that a number of soldiers</w:t>
      </w:r>
      <w:r w:rsidRPr="00A6707B">
        <w:rPr>
          <w:rFonts w:ascii="Times New Roman" w:hAnsi="Times New Roman" w:cs="Times New Roman"/>
          <w:sz w:val="24"/>
          <w:szCs w:val="24"/>
        </w:rPr>
        <w:t xml:space="preserve"> in the </w:t>
      </w:r>
      <w:r w:rsidRPr="00A6707B">
        <w:rPr>
          <w:rFonts w:ascii="Times New Roman" w:hAnsi="Times New Roman" w:cs="Times New Roman"/>
          <w:i/>
          <w:sz w:val="24"/>
          <w:szCs w:val="24"/>
        </w:rPr>
        <w:t>mor</w:t>
      </w:r>
      <w:r w:rsidR="00F44820" w:rsidRPr="00A6707B">
        <w:rPr>
          <w:rFonts w:ascii="Times New Roman" w:hAnsi="Times New Roman" w:cs="Times New Roman"/>
          <w:i/>
          <w:sz w:val="24"/>
          <w:szCs w:val="24"/>
        </w:rPr>
        <w:t>a</w:t>
      </w:r>
      <w:r w:rsidRPr="00A6707B">
        <w:rPr>
          <w:rFonts w:ascii="Times New Roman" w:hAnsi="Times New Roman" w:cs="Times New Roman"/>
          <w:i/>
          <w:sz w:val="24"/>
          <w:szCs w:val="24"/>
        </w:rPr>
        <w:t>i</w:t>
      </w:r>
      <w:r w:rsidRPr="00A6707B">
        <w:rPr>
          <w:rFonts w:ascii="Times New Roman" w:hAnsi="Times New Roman" w:cs="Times New Roman"/>
          <w:sz w:val="24"/>
          <w:szCs w:val="24"/>
        </w:rPr>
        <w:t xml:space="preserve"> were drawn from the ranks of the </w:t>
      </w:r>
      <w:r w:rsidRPr="00A6707B">
        <w:rPr>
          <w:rFonts w:ascii="Times New Roman" w:hAnsi="Times New Roman" w:cs="Times New Roman"/>
          <w:i/>
          <w:sz w:val="24"/>
          <w:szCs w:val="24"/>
        </w:rPr>
        <w:t>hypomeiones</w:t>
      </w:r>
      <w:r w:rsidRPr="00A6707B">
        <w:rPr>
          <w:rFonts w:ascii="Times New Roman" w:hAnsi="Times New Roman" w:cs="Times New Roman"/>
          <w:sz w:val="24"/>
          <w:szCs w:val="24"/>
        </w:rPr>
        <w:t xml:space="preserve">, those Spartan born men who were denied full citizenship based on the </w:t>
      </w:r>
      <w:r w:rsidR="00F44820" w:rsidRPr="00A6707B">
        <w:rPr>
          <w:rFonts w:ascii="Times New Roman" w:hAnsi="Times New Roman" w:cs="Times New Roman"/>
          <w:sz w:val="24"/>
          <w:szCs w:val="24"/>
        </w:rPr>
        <w:t xml:space="preserve">financial issues. Arguing </w:t>
      </w:r>
      <w:r w:rsidRPr="00A6707B">
        <w:rPr>
          <w:rFonts w:ascii="Times New Roman" w:hAnsi="Times New Roman" w:cs="Times New Roman"/>
          <w:sz w:val="24"/>
          <w:szCs w:val="24"/>
        </w:rPr>
        <w:t xml:space="preserve">that it was likely a number </w:t>
      </w:r>
      <w:r w:rsidRPr="00A6707B">
        <w:rPr>
          <w:rFonts w:ascii="Times New Roman" w:hAnsi="Times New Roman" w:cs="Times New Roman"/>
          <w:sz w:val="24"/>
          <w:szCs w:val="24"/>
        </w:rPr>
        <w:lastRenderedPageBreak/>
        <w:t>of them had undergone the same public training as the Spartan hoplites as it typically required less of a contribution to the agoge mess for a parent to send a child there than to contribute to the mess that granted them citizenship.</w:t>
      </w:r>
      <w:r w:rsidR="00F3256A">
        <w:rPr>
          <w:rStyle w:val="FootnoteReference"/>
          <w:rFonts w:ascii="Times New Roman" w:hAnsi="Times New Roman" w:cs="Times New Roman"/>
          <w:sz w:val="24"/>
          <w:szCs w:val="24"/>
        </w:rPr>
        <w:footnoteReference w:id="38"/>
      </w:r>
      <w:r w:rsidRPr="00A6707B">
        <w:rPr>
          <w:rFonts w:ascii="Times New Roman" w:hAnsi="Times New Roman" w:cs="Times New Roman"/>
          <w:sz w:val="24"/>
          <w:szCs w:val="24"/>
        </w:rPr>
        <w:t xml:space="preserve"> In addition, Hawkins discusses how</w:t>
      </w:r>
      <w:r w:rsidR="00F44820" w:rsidRPr="00A6707B">
        <w:rPr>
          <w:rFonts w:ascii="Times New Roman" w:hAnsi="Times New Roman" w:cs="Times New Roman"/>
          <w:sz w:val="24"/>
          <w:szCs w:val="24"/>
        </w:rPr>
        <w:t xml:space="preserve"> the wealthy could choose to fund </w:t>
      </w:r>
      <w:r w:rsidR="00F44820" w:rsidRPr="00A6707B">
        <w:rPr>
          <w:rFonts w:ascii="Times New Roman" w:hAnsi="Times New Roman" w:cs="Times New Roman"/>
          <w:i/>
          <w:sz w:val="24"/>
          <w:szCs w:val="24"/>
        </w:rPr>
        <w:t xml:space="preserve">mothakes, </w:t>
      </w:r>
      <w:r w:rsidR="00F44820" w:rsidRPr="00A6707B">
        <w:rPr>
          <w:rFonts w:ascii="Times New Roman" w:hAnsi="Times New Roman" w:cs="Times New Roman"/>
          <w:sz w:val="24"/>
          <w:szCs w:val="24"/>
        </w:rPr>
        <w:t>something Hawkins defines</w:t>
      </w:r>
      <w:r w:rsidR="00F3256A">
        <w:rPr>
          <w:rFonts w:ascii="Times New Roman" w:hAnsi="Times New Roman" w:cs="Times New Roman"/>
          <w:sz w:val="24"/>
          <w:szCs w:val="24"/>
        </w:rPr>
        <w:t xml:space="preserve"> as</w:t>
      </w:r>
      <w:r w:rsidR="00F44820" w:rsidRPr="00A6707B">
        <w:rPr>
          <w:rFonts w:ascii="Times New Roman" w:hAnsi="Times New Roman" w:cs="Times New Roman"/>
          <w:sz w:val="24"/>
          <w:szCs w:val="24"/>
        </w:rPr>
        <w:t xml:space="preserve"> like a foster brother</w:t>
      </w:r>
      <w:r w:rsidR="00065985">
        <w:rPr>
          <w:rStyle w:val="FootnoteReference"/>
          <w:rFonts w:ascii="Times New Roman" w:hAnsi="Times New Roman" w:cs="Times New Roman"/>
          <w:sz w:val="24"/>
          <w:szCs w:val="24"/>
        </w:rPr>
        <w:footnoteReference w:id="39"/>
      </w:r>
      <w:r w:rsidR="00F44820" w:rsidRPr="00A6707B">
        <w:rPr>
          <w:rFonts w:ascii="Times New Roman" w:hAnsi="Times New Roman" w:cs="Times New Roman"/>
          <w:sz w:val="24"/>
          <w:szCs w:val="24"/>
        </w:rPr>
        <w:t>, someone who could not afford to undergo the education or maintain the contribution required for citizenship and is supported by a wealthy patron, Ogden discusses how it is likel</w:t>
      </w:r>
      <w:r w:rsidR="00F3256A">
        <w:rPr>
          <w:rFonts w:ascii="Times New Roman" w:hAnsi="Times New Roman" w:cs="Times New Roman"/>
          <w:sz w:val="24"/>
          <w:szCs w:val="24"/>
        </w:rPr>
        <w:t>y that these children were</w:t>
      </w:r>
      <w:r w:rsidR="00F44820" w:rsidRPr="00A6707B">
        <w:rPr>
          <w:rFonts w:ascii="Times New Roman" w:hAnsi="Times New Roman" w:cs="Times New Roman"/>
          <w:sz w:val="24"/>
          <w:szCs w:val="24"/>
        </w:rPr>
        <w:t xml:space="preserve"> the offspring of Spartan men and Helot concubines</w:t>
      </w:r>
      <w:r w:rsidR="00F44820" w:rsidRPr="00A6707B">
        <w:rPr>
          <w:rStyle w:val="FootnoteReference"/>
          <w:rFonts w:ascii="Times New Roman" w:hAnsi="Times New Roman" w:cs="Times New Roman"/>
          <w:sz w:val="24"/>
          <w:szCs w:val="24"/>
        </w:rPr>
        <w:footnoteReference w:id="40"/>
      </w:r>
      <w:r w:rsidR="00F44820" w:rsidRPr="00A6707B">
        <w:rPr>
          <w:rFonts w:ascii="Times New Roman" w:hAnsi="Times New Roman" w:cs="Times New Roman"/>
          <w:sz w:val="24"/>
          <w:szCs w:val="24"/>
        </w:rPr>
        <w:t xml:space="preserve"> whereas Hodkinson debates that they were likely chosen from the ranks of the </w:t>
      </w:r>
      <w:r w:rsidR="00F44820" w:rsidRPr="00A6707B">
        <w:rPr>
          <w:rFonts w:ascii="Times New Roman" w:hAnsi="Times New Roman" w:cs="Times New Roman"/>
          <w:i/>
          <w:sz w:val="24"/>
          <w:szCs w:val="24"/>
        </w:rPr>
        <w:t>hypomeiones</w:t>
      </w:r>
      <w:r w:rsidR="00F44820" w:rsidRPr="00A6707B">
        <w:rPr>
          <w:rStyle w:val="FootnoteReference"/>
          <w:rFonts w:ascii="Times New Roman" w:hAnsi="Times New Roman" w:cs="Times New Roman"/>
          <w:i/>
          <w:sz w:val="24"/>
          <w:szCs w:val="24"/>
        </w:rPr>
        <w:footnoteReference w:id="41"/>
      </w:r>
      <w:r w:rsidR="00F44820" w:rsidRPr="00A6707B">
        <w:rPr>
          <w:rFonts w:ascii="Times New Roman" w:hAnsi="Times New Roman" w:cs="Times New Roman"/>
          <w:sz w:val="24"/>
          <w:szCs w:val="24"/>
        </w:rPr>
        <w:t xml:space="preserve">. </w:t>
      </w:r>
      <w:r w:rsidRPr="00A6707B">
        <w:rPr>
          <w:rFonts w:ascii="Times New Roman" w:hAnsi="Times New Roman" w:cs="Times New Roman"/>
          <w:sz w:val="24"/>
          <w:szCs w:val="24"/>
        </w:rPr>
        <w:t xml:space="preserve">                 </w:t>
      </w:r>
    </w:p>
    <w:p w:rsidR="00F44820" w:rsidRPr="00A6707B" w:rsidRDefault="00F44820"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Even in instances where the </w:t>
      </w:r>
      <w:r w:rsidRPr="00F3256A">
        <w:rPr>
          <w:rFonts w:ascii="Times New Roman" w:hAnsi="Times New Roman" w:cs="Times New Roman"/>
          <w:i/>
          <w:sz w:val="24"/>
          <w:szCs w:val="24"/>
        </w:rPr>
        <w:t>hypomeiones</w:t>
      </w:r>
      <w:r w:rsidRPr="00A6707B">
        <w:rPr>
          <w:rFonts w:ascii="Times New Roman" w:hAnsi="Times New Roman" w:cs="Times New Roman"/>
          <w:sz w:val="24"/>
          <w:szCs w:val="24"/>
        </w:rPr>
        <w:t xml:space="preserve"> were integrated into the Spartan </w:t>
      </w:r>
      <w:r w:rsidRPr="00A6707B">
        <w:rPr>
          <w:rFonts w:ascii="Times New Roman" w:hAnsi="Times New Roman" w:cs="Times New Roman"/>
          <w:i/>
          <w:sz w:val="24"/>
          <w:szCs w:val="24"/>
        </w:rPr>
        <w:t>morai</w:t>
      </w:r>
      <w:r w:rsidRPr="00A6707B">
        <w:rPr>
          <w:rFonts w:ascii="Times New Roman" w:hAnsi="Times New Roman" w:cs="Times New Roman"/>
          <w:sz w:val="24"/>
          <w:szCs w:val="24"/>
        </w:rPr>
        <w:t xml:space="preserve"> Hawkins argues that it was likely the Spartan citizens strove for the most prestigious positions in combat, primarily the front rank of the phalanx based on the argument that the Spartans did this both out of an effort to fulfil their doctrine but also to highlight their place in the hierarchy of </w:t>
      </w:r>
      <w:r w:rsidR="00F3256A" w:rsidRPr="00A6707B">
        <w:rPr>
          <w:rFonts w:ascii="Times New Roman" w:hAnsi="Times New Roman" w:cs="Times New Roman"/>
          <w:sz w:val="24"/>
          <w:szCs w:val="24"/>
        </w:rPr>
        <w:t>Lacedamonia</w:t>
      </w:r>
      <w:r w:rsidRPr="00A6707B">
        <w:rPr>
          <w:rFonts w:ascii="Times New Roman" w:hAnsi="Times New Roman" w:cs="Times New Roman"/>
          <w:sz w:val="24"/>
          <w:szCs w:val="24"/>
        </w:rPr>
        <w:t xml:space="preserve"> and justify their political advantages.  </w:t>
      </w:r>
      <w:r w:rsidR="0082441D" w:rsidRPr="00A6707B">
        <w:rPr>
          <w:rFonts w:ascii="Times New Roman" w:hAnsi="Times New Roman" w:cs="Times New Roman"/>
          <w:sz w:val="24"/>
          <w:szCs w:val="24"/>
        </w:rPr>
        <w:t xml:space="preserve">                                         </w:t>
      </w:r>
    </w:p>
    <w:p w:rsidR="00F3256A" w:rsidRDefault="00F44820"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To conclude, the Perioikoi served as a sort of auxiliary force in Lacedamonia, they served alongside the dedicated Spartan </w:t>
      </w:r>
      <w:r w:rsidRPr="00A6707B">
        <w:rPr>
          <w:rFonts w:ascii="Times New Roman" w:hAnsi="Times New Roman" w:cs="Times New Roman"/>
          <w:i/>
          <w:sz w:val="24"/>
          <w:szCs w:val="24"/>
        </w:rPr>
        <w:t>morai</w:t>
      </w:r>
      <w:r w:rsidR="00236341" w:rsidRPr="00A6707B">
        <w:rPr>
          <w:rFonts w:ascii="Times New Roman" w:hAnsi="Times New Roman" w:cs="Times New Roman"/>
          <w:sz w:val="24"/>
          <w:szCs w:val="24"/>
        </w:rPr>
        <w:t xml:space="preserve"> in a supporting role when their agricultural responsibilities allowed and were viewed by the Spartans as an inferior force to the point that the Spartans believed their efficiency in combat would be hindered by their integration into the strictly Spartan </w:t>
      </w:r>
      <w:r w:rsidR="00236341" w:rsidRPr="00A6707B">
        <w:rPr>
          <w:rFonts w:ascii="Times New Roman" w:hAnsi="Times New Roman" w:cs="Times New Roman"/>
          <w:i/>
          <w:sz w:val="24"/>
          <w:szCs w:val="24"/>
        </w:rPr>
        <w:t>morai</w:t>
      </w:r>
      <w:r w:rsidR="00236341" w:rsidRPr="00A6707B">
        <w:rPr>
          <w:rFonts w:ascii="Times New Roman" w:hAnsi="Times New Roman" w:cs="Times New Roman"/>
          <w:sz w:val="24"/>
          <w:szCs w:val="24"/>
        </w:rPr>
        <w:t xml:space="preserve">. The Perioikoi were however, free. They maintained a level of autonomy in their individual settlements but were reliant on the Spartans politically, being unable to sit on the Assembly or the </w:t>
      </w:r>
      <w:r w:rsidR="00236341" w:rsidRPr="00A6707B">
        <w:rPr>
          <w:rFonts w:ascii="Times New Roman" w:hAnsi="Times New Roman" w:cs="Times New Roman"/>
          <w:sz w:val="24"/>
          <w:szCs w:val="24"/>
        </w:rPr>
        <w:lastRenderedPageBreak/>
        <w:t>Gerousia</w:t>
      </w:r>
      <w:r w:rsidR="00236341" w:rsidRPr="00A6707B">
        <w:rPr>
          <w:rStyle w:val="FootnoteReference"/>
          <w:rFonts w:ascii="Times New Roman" w:hAnsi="Times New Roman" w:cs="Times New Roman"/>
          <w:sz w:val="24"/>
          <w:szCs w:val="24"/>
        </w:rPr>
        <w:footnoteReference w:id="42"/>
      </w:r>
      <w:r w:rsidR="00236341" w:rsidRPr="00A6707B">
        <w:rPr>
          <w:rFonts w:ascii="Times New Roman" w:hAnsi="Times New Roman" w:cs="Times New Roman"/>
          <w:sz w:val="24"/>
          <w:szCs w:val="24"/>
        </w:rPr>
        <w:t xml:space="preserve">. The wealthy were however able to participate in the public Spartan educational system or be selected as </w:t>
      </w:r>
      <w:r w:rsidR="00236341" w:rsidRPr="00A6707B">
        <w:rPr>
          <w:rFonts w:ascii="Times New Roman" w:hAnsi="Times New Roman" w:cs="Times New Roman"/>
          <w:i/>
          <w:sz w:val="24"/>
          <w:szCs w:val="24"/>
        </w:rPr>
        <w:t>mothakes</w:t>
      </w:r>
      <w:r w:rsidR="00236341" w:rsidRPr="00A6707B">
        <w:rPr>
          <w:rFonts w:ascii="Times New Roman" w:hAnsi="Times New Roman" w:cs="Times New Roman"/>
          <w:sz w:val="24"/>
          <w:szCs w:val="24"/>
        </w:rPr>
        <w:t xml:space="preserve"> and supported through this education system by a patron. The Perioikoi represent a large population in which Sparta could draw auxiliary forces to supplement their forces </w:t>
      </w:r>
      <w:r w:rsidR="00B22828" w:rsidRPr="00A6707B">
        <w:rPr>
          <w:rFonts w:ascii="Times New Roman" w:hAnsi="Times New Roman" w:cs="Times New Roman"/>
          <w:sz w:val="24"/>
          <w:szCs w:val="24"/>
        </w:rPr>
        <w:t xml:space="preserve">in dedicated Perioikoi units </w:t>
      </w:r>
      <w:r w:rsidR="00236341" w:rsidRPr="00A6707B">
        <w:rPr>
          <w:rFonts w:ascii="Times New Roman" w:hAnsi="Times New Roman" w:cs="Times New Roman"/>
          <w:sz w:val="24"/>
          <w:szCs w:val="24"/>
        </w:rPr>
        <w:t xml:space="preserve">such as in the case of the </w:t>
      </w:r>
      <w:r w:rsidR="00B22828" w:rsidRPr="00A6707B">
        <w:rPr>
          <w:rFonts w:ascii="Times New Roman" w:hAnsi="Times New Roman" w:cs="Times New Roman"/>
          <w:sz w:val="24"/>
          <w:szCs w:val="24"/>
        </w:rPr>
        <w:t>battle at the Nemea River in 394</w:t>
      </w:r>
      <w:r w:rsidR="00006F09">
        <w:rPr>
          <w:rFonts w:ascii="Times New Roman" w:hAnsi="Times New Roman" w:cs="Times New Roman"/>
          <w:sz w:val="24"/>
          <w:szCs w:val="24"/>
        </w:rPr>
        <w:t>BCE</w:t>
      </w:r>
      <w:r w:rsidR="00B22828" w:rsidRPr="00A6707B">
        <w:rPr>
          <w:rStyle w:val="FootnoteReference"/>
          <w:rFonts w:ascii="Times New Roman" w:hAnsi="Times New Roman" w:cs="Times New Roman"/>
          <w:sz w:val="24"/>
          <w:szCs w:val="24"/>
        </w:rPr>
        <w:footnoteReference w:id="43"/>
      </w:r>
      <w:r w:rsidR="00B22828" w:rsidRPr="00A6707B">
        <w:rPr>
          <w:rFonts w:ascii="Times New Roman" w:hAnsi="Times New Roman" w:cs="Times New Roman"/>
          <w:sz w:val="24"/>
          <w:szCs w:val="24"/>
        </w:rPr>
        <w:t xml:space="preserve"> recorded by Xenophon</w:t>
      </w:r>
      <w:r w:rsidR="00B22828" w:rsidRPr="00A6707B">
        <w:rPr>
          <w:rStyle w:val="FootnoteReference"/>
          <w:rFonts w:ascii="Times New Roman" w:hAnsi="Times New Roman" w:cs="Times New Roman"/>
          <w:sz w:val="24"/>
          <w:szCs w:val="24"/>
        </w:rPr>
        <w:footnoteReference w:id="44"/>
      </w:r>
      <w:r w:rsidR="00236341" w:rsidRPr="00A6707B">
        <w:rPr>
          <w:rFonts w:ascii="Times New Roman" w:hAnsi="Times New Roman" w:cs="Times New Roman"/>
          <w:sz w:val="24"/>
          <w:szCs w:val="24"/>
        </w:rPr>
        <w:t xml:space="preserve"> or in cases where their forces were engaged elsewhere, carry out expeditions under the banner of Lacedamonia. </w:t>
      </w:r>
      <w:r w:rsidR="00B22828" w:rsidRPr="00A6707B">
        <w:rPr>
          <w:rFonts w:ascii="Times New Roman" w:hAnsi="Times New Roman" w:cs="Times New Roman"/>
          <w:sz w:val="24"/>
          <w:szCs w:val="24"/>
        </w:rPr>
        <w:t>There is also evidence however, of cases where the Perioikoi exercised their ‘freedom’ and as Hawkins discusses; ‘abandoned the Spartans during the crisis of 370/369’</w:t>
      </w:r>
      <w:r w:rsidR="00B22828" w:rsidRPr="00A6707B">
        <w:rPr>
          <w:rStyle w:val="FootnoteReference"/>
          <w:rFonts w:ascii="Times New Roman" w:hAnsi="Times New Roman" w:cs="Times New Roman"/>
          <w:sz w:val="24"/>
          <w:szCs w:val="24"/>
        </w:rPr>
        <w:footnoteReference w:id="45"/>
      </w:r>
      <w:r w:rsidR="00B22828" w:rsidRPr="00A6707B">
        <w:rPr>
          <w:rFonts w:ascii="Times New Roman" w:hAnsi="Times New Roman" w:cs="Times New Roman"/>
          <w:sz w:val="24"/>
          <w:szCs w:val="24"/>
        </w:rPr>
        <w:t xml:space="preserve"> by ignoring the call up from the Spartans</w:t>
      </w:r>
      <w:r w:rsidR="00B22828" w:rsidRPr="00A6707B">
        <w:rPr>
          <w:rStyle w:val="FootnoteReference"/>
          <w:rFonts w:ascii="Times New Roman" w:hAnsi="Times New Roman" w:cs="Times New Roman"/>
          <w:sz w:val="24"/>
          <w:szCs w:val="24"/>
        </w:rPr>
        <w:footnoteReference w:id="46"/>
      </w:r>
      <w:r w:rsidR="00B22828" w:rsidRPr="00A6707B">
        <w:rPr>
          <w:rFonts w:ascii="Times New Roman" w:hAnsi="Times New Roman" w:cs="Times New Roman"/>
          <w:sz w:val="24"/>
          <w:szCs w:val="24"/>
        </w:rPr>
        <w:t xml:space="preserve"> and in some cases deserting to the enemy. Although it can be argued this was a result of military pressure as opposed to dissatisfaction with their treatment.  </w:t>
      </w:r>
    </w:p>
    <w:p w:rsidR="0082441D" w:rsidRPr="00A6707B" w:rsidRDefault="00EA102B"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In relation to professionalism, the Perioikoi served a support soldiers for the core of the Spartan military and highlighted the difference in skill between the Perioikoi and the Spartan hoplites, something Herodotus highlights in his works through a discussion between the exiled Spartan, Demaratos, and Xerxes in which Demaratos directly compares the skill of the two to those who fought at Thermopylae, referring to the Spartans as “all of them equal to those who have fought here”</w:t>
      </w:r>
      <w:r w:rsidRPr="00A6707B">
        <w:rPr>
          <w:rStyle w:val="FootnoteReference"/>
          <w:rFonts w:ascii="Times New Roman" w:hAnsi="Times New Roman" w:cs="Times New Roman"/>
          <w:sz w:val="24"/>
          <w:szCs w:val="24"/>
        </w:rPr>
        <w:footnoteReference w:id="47"/>
      </w:r>
      <w:r w:rsidRPr="00A6707B">
        <w:rPr>
          <w:rFonts w:ascii="Times New Roman" w:hAnsi="Times New Roman" w:cs="Times New Roman"/>
          <w:sz w:val="24"/>
          <w:szCs w:val="24"/>
        </w:rPr>
        <w:t xml:space="preserve"> and the Perioikoi as “the rest of the Lacedaemonians are not equal to these, yet they are valiant men”</w:t>
      </w:r>
      <w:r w:rsidRPr="00A6707B">
        <w:rPr>
          <w:rStyle w:val="FootnoteReference"/>
          <w:rFonts w:ascii="Times New Roman" w:hAnsi="Times New Roman" w:cs="Times New Roman"/>
          <w:sz w:val="24"/>
          <w:szCs w:val="24"/>
        </w:rPr>
        <w:footnoteReference w:id="48"/>
      </w:r>
      <w:r w:rsidR="0082441D" w:rsidRPr="00A6707B">
        <w:rPr>
          <w:rFonts w:ascii="Times New Roman" w:hAnsi="Times New Roman" w:cs="Times New Roman"/>
          <w:sz w:val="24"/>
          <w:szCs w:val="24"/>
        </w:rPr>
        <w:t xml:space="preserve"> </w:t>
      </w:r>
      <w:r w:rsidRPr="00A6707B">
        <w:rPr>
          <w:rFonts w:ascii="Times New Roman" w:hAnsi="Times New Roman" w:cs="Times New Roman"/>
          <w:sz w:val="24"/>
          <w:szCs w:val="24"/>
        </w:rPr>
        <w:t xml:space="preserve">while it can be argued that this difference can be attributed to the view of Spartan dominance, </w:t>
      </w:r>
      <w:r w:rsidRPr="00A6707B">
        <w:rPr>
          <w:rFonts w:ascii="Times New Roman" w:hAnsi="Times New Roman" w:cs="Times New Roman"/>
          <w:sz w:val="24"/>
          <w:szCs w:val="24"/>
        </w:rPr>
        <w:lastRenderedPageBreak/>
        <w:t>it can also be attributed to a very real skill difference between the Spartans and the Perioikoi of Lacedamonia.</w:t>
      </w:r>
      <w:r w:rsidR="0082441D" w:rsidRPr="00A6707B">
        <w:rPr>
          <w:rFonts w:ascii="Times New Roman" w:hAnsi="Times New Roman" w:cs="Times New Roman"/>
          <w:sz w:val="24"/>
          <w:szCs w:val="24"/>
        </w:rPr>
        <w:t xml:space="preserve">                                                                                                                                                                                                      </w:t>
      </w:r>
      <w:r w:rsidR="00F44820" w:rsidRPr="00A6707B">
        <w:rPr>
          <w:rFonts w:ascii="Times New Roman" w:hAnsi="Times New Roman" w:cs="Times New Roman"/>
          <w:sz w:val="24"/>
          <w:szCs w:val="24"/>
        </w:rPr>
        <w:t xml:space="preserve">                                                                                                                                                                                                                                                                                                                                                </w:t>
      </w:r>
    </w:p>
    <w:p w:rsidR="000E3641" w:rsidRPr="00A6707B" w:rsidRDefault="008C0F4A" w:rsidP="00A6707B">
      <w:pPr>
        <w:pStyle w:val="Heading2"/>
        <w:spacing w:line="480" w:lineRule="auto"/>
        <w:rPr>
          <w:rFonts w:ascii="Times New Roman" w:hAnsi="Times New Roman" w:cs="Times New Roman"/>
          <w:color w:val="auto"/>
          <w:sz w:val="28"/>
          <w:szCs w:val="24"/>
        </w:rPr>
      </w:pPr>
      <w:bookmarkStart w:id="5" w:name="_Toc8191335"/>
      <w:r w:rsidRPr="00A6707B">
        <w:rPr>
          <w:rFonts w:ascii="Times New Roman" w:hAnsi="Times New Roman" w:cs="Times New Roman"/>
          <w:color w:val="auto"/>
          <w:sz w:val="28"/>
          <w:szCs w:val="24"/>
        </w:rPr>
        <w:t>Sparta as a free polis</w:t>
      </w:r>
      <w:bookmarkEnd w:id="5"/>
    </w:p>
    <w:p w:rsidR="00531DB4" w:rsidRPr="00A6707B" w:rsidRDefault="00531DB4"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The third attribute Cartledge discusses is the idea of a ‘free’ polis. He draws on a distinction between </w:t>
      </w:r>
      <w:r w:rsidRPr="00A6707B">
        <w:rPr>
          <w:rFonts w:ascii="Times New Roman" w:hAnsi="Times New Roman" w:cs="Times New Roman"/>
          <w:i/>
          <w:sz w:val="24"/>
          <w:szCs w:val="24"/>
        </w:rPr>
        <w:t xml:space="preserve">eleuthena </w:t>
      </w:r>
      <w:r w:rsidRPr="00A6707B">
        <w:rPr>
          <w:rFonts w:ascii="Times New Roman" w:hAnsi="Times New Roman" w:cs="Times New Roman"/>
          <w:sz w:val="24"/>
          <w:szCs w:val="24"/>
        </w:rPr>
        <w:t xml:space="preserve">and </w:t>
      </w:r>
      <w:r w:rsidRPr="00A6707B">
        <w:rPr>
          <w:rFonts w:ascii="Times New Roman" w:hAnsi="Times New Roman" w:cs="Times New Roman"/>
          <w:i/>
          <w:sz w:val="24"/>
          <w:szCs w:val="24"/>
        </w:rPr>
        <w:t>autonomia.</w:t>
      </w:r>
      <w:r w:rsidRPr="00A6707B">
        <w:rPr>
          <w:rFonts w:ascii="Times New Roman" w:hAnsi="Times New Roman" w:cs="Times New Roman"/>
          <w:sz w:val="24"/>
          <w:szCs w:val="24"/>
        </w:rPr>
        <w:t xml:space="preserve"> The former being freedom, freedom of the polis to organise its own political structure as it saw fit and the latter independence, however Cartledge notes that independence refers to freedom from external control.</w:t>
      </w:r>
      <w:r w:rsidR="00F3256A">
        <w:rPr>
          <w:rStyle w:val="FootnoteReference"/>
          <w:rFonts w:ascii="Times New Roman" w:hAnsi="Times New Roman" w:cs="Times New Roman"/>
          <w:sz w:val="24"/>
          <w:szCs w:val="24"/>
        </w:rPr>
        <w:footnoteReference w:id="49"/>
      </w:r>
      <w:r w:rsidRPr="00A6707B">
        <w:rPr>
          <w:rFonts w:ascii="Times New Roman" w:hAnsi="Times New Roman" w:cs="Times New Roman"/>
          <w:sz w:val="24"/>
          <w:szCs w:val="24"/>
        </w:rPr>
        <w:t xml:space="preserve"> Sparta is often referred to as the freest of the Greeks, suggesting its military is the freest in Greece and that highlights the dedication of its soldiers to defend that freedom. </w:t>
      </w:r>
    </w:p>
    <w:p w:rsidR="00531DB4" w:rsidRPr="00A6707B" w:rsidRDefault="00531DB4"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This section will discuss the Spartan hoplites</w:t>
      </w:r>
      <w:r w:rsidR="00404D98" w:rsidRPr="00A6707B">
        <w:rPr>
          <w:rFonts w:ascii="Times New Roman" w:hAnsi="Times New Roman" w:cs="Times New Roman"/>
          <w:sz w:val="24"/>
          <w:szCs w:val="24"/>
        </w:rPr>
        <w:t>, focusing on how these soldiers were trained i</w:t>
      </w:r>
      <w:r w:rsidR="00D96E55" w:rsidRPr="00A6707B">
        <w:rPr>
          <w:rFonts w:ascii="Times New Roman" w:hAnsi="Times New Roman" w:cs="Times New Roman"/>
          <w:sz w:val="24"/>
          <w:szCs w:val="24"/>
        </w:rPr>
        <w:t>n the a</w:t>
      </w:r>
      <w:r w:rsidR="00404D98" w:rsidRPr="00A6707B">
        <w:rPr>
          <w:rFonts w:ascii="Times New Roman" w:hAnsi="Times New Roman" w:cs="Times New Roman"/>
          <w:sz w:val="24"/>
          <w:szCs w:val="24"/>
        </w:rPr>
        <w:t>goge and why this produced professional soldiers</w:t>
      </w:r>
      <w:r w:rsidRPr="00A6707B">
        <w:rPr>
          <w:rFonts w:ascii="Times New Roman" w:hAnsi="Times New Roman" w:cs="Times New Roman"/>
          <w:sz w:val="24"/>
          <w:szCs w:val="24"/>
        </w:rPr>
        <w:t>. The Spartan state produced one of the most lethal military units of its period. The Spartan hoplite was trained from an early age to perform the role of a heavy infantry soldier. Spartan boys would enter the agoge, the Spartan educational system where they lived and trained together</w:t>
      </w:r>
      <w:r w:rsidRPr="00A6707B">
        <w:rPr>
          <w:rStyle w:val="FootnoteReference"/>
          <w:rFonts w:ascii="Times New Roman" w:hAnsi="Times New Roman" w:cs="Times New Roman"/>
          <w:sz w:val="24"/>
          <w:szCs w:val="24"/>
        </w:rPr>
        <w:footnoteReference w:id="50"/>
      </w:r>
      <w:r w:rsidRPr="00A6707B">
        <w:rPr>
          <w:rFonts w:ascii="Times New Roman" w:hAnsi="Times New Roman" w:cs="Times New Roman"/>
          <w:sz w:val="24"/>
          <w:szCs w:val="24"/>
        </w:rPr>
        <w:t>. This system was not perfect, several boys would not survive the agoge, from the exposure training, to injuries, there were several things that could threaten their lives</w:t>
      </w:r>
      <w:r w:rsidRPr="00A6707B">
        <w:rPr>
          <w:rStyle w:val="FootnoteReference"/>
          <w:rFonts w:ascii="Times New Roman" w:hAnsi="Times New Roman" w:cs="Times New Roman"/>
          <w:sz w:val="24"/>
          <w:szCs w:val="24"/>
        </w:rPr>
        <w:footnoteReference w:id="51"/>
      </w:r>
      <w:r w:rsidRPr="00A6707B">
        <w:rPr>
          <w:rFonts w:ascii="Times New Roman" w:hAnsi="Times New Roman" w:cs="Times New Roman"/>
          <w:sz w:val="24"/>
          <w:szCs w:val="24"/>
        </w:rPr>
        <w:t xml:space="preserve">, however, upon turning eighteen, the men would ‘graduate’ from the agoge </w:t>
      </w:r>
      <w:r w:rsidR="00F3256A">
        <w:rPr>
          <w:rFonts w:ascii="Times New Roman" w:hAnsi="Times New Roman" w:cs="Times New Roman"/>
          <w:sz w:val="24"/>
          <w:szCs w:val="24"/>
        </w:rPr>
        <w:t>and</w:t>
      </w:r>
      <w:r w:rsidRPr="00A6707B">
        <w:rPr>
          <w:rFonts w:ascii="Times New Roman" w:hAnsi="Times New Roman" w:cs="Times New Roman"/>
          <w:sz w:val="24"/>
          <w:szCs w:val="24"/>
        </w:rPr>
        <w:t xml:space="preserve"> would be assigned to a hoplite garrison</w:t>
      </w:r>
      <w:r w:rsidRPr="00A6707B">
        <w:rPr>
          <w:rStyle w:val="FootnoteReference"/>
          <w:rFonts w:ascii="Times New Roman" w:hAnsi="Times New Roman" w:cs="Times New Roman"/>
          <w:sz w:val="24"/>
          <w:szCs w:val="24"/>
        </w:rPr>
        <w:footnoteReference w:id="52"/>
      </w:r>
      <w:r w:rsidRPr="00A6707B">
        <w:rPr>
          <w:rFonts w:ascii="Times New Roman" w:hAnsi="Times New Roman" w:cs="Times New Roman"/>
          <w:sz w:val="24"/>
          <w:szCs w:val="24"/>
        </w:rPr>
        <w:t xml:space="preserve">. The reason for this was the agoge was aimed at training elite soldiers, their hoplite assignments would train them further to become elite units who work together perfectly through the sheer extensity of their training. </w:t>
      </w:r>
    </w:p>
    <w:p w:rsidR="00574106" w:rsidRPr="00A6707B" w:rsidRDefault="00531DB4"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lastRenderedPageBreak/>
        <w:t>The training the Spartan hoplites received</w:t>
      </w:r>
      <w:r w:rsidR="00F3256A">
        <w:rPr>
          <w:rFonts w:ascii="Times New Roman" w:hAnsi="Times New Roman" w:cs="Times New Roman"/>
          <w:sz w:val="24"/>
          <w:szCs w:val="24"/>
        </w:rPr>
        <w:t xml:space="preserve"> was a part of a public educational system, funded by contributions to the common mess,</w:t>
      </w:r>
      <w:r w:rsidRPr="00A6707B">
        <w:rPr>
          <w:rFonts w:ascii="Times New Roman" w:hAnsi="Times New Roman" w:cs="Times New Roman"/>
          <w:sz w:val="24"/>
          <w:szCs w:val="24"/>
        </w:rPr>
        <w:t xml:space="preserve"> ensur</w:t>
      </w:r>
      <w:r w:rsidR="00F3256A">
        <w:rPr>
          <w:rFonts w:ascii="Times New Roman" w:hAnsi="Times New Roman" w:cs="Times New Roman"/>
          <w:sz w:val="24"/>
          <w:szCs w:val="24"/>
        </w:rPr>
        <w:t>ing</w:t>
      </w:r>
      <w:r w:rsidRPr="00A6707B">
        <w:rPr>
          <w:rFonts w:ascii="Times New Roman" w:hAnsi="Times New Roman" w:cs="Times New Roman"/>
          <w:sz w:val="24"/>
          <w:szCs w:val="24"/>
        </w:rPr>
        <w:t xml:space="preserve"> nearly an entire male citizen population of a polis ready and able to defend it</w:t>
      </w:r>
      <w:r w:rsidRPr="00A6707B">
        <w:rPr>
          <w:rStyle w:val="FootnoteReference"/>
          <w:rFonts w:ascii="Times New Roman" w:hAnsi="Times New Roman" w:cs="Times New Roman"/>
          <w:sz w:val="24"/>
          <w:szCs w:val="24"/>
        </w:rPr>
        <w:footnoteReference w:id="53"/>
      </w:r>
      <w:r w:rsidRPr="00A6707B">
        <w:rPr>
          <w:rFonts w:ascii="Times New Roman" w:hAnsi="Times New Roman" w:cs="Times New Roman"/>
          <w:sz w:val="24"/>
          <w:szCs w:val="24"/>
        </w:rPr>
        <w:t>. There were those who were exceptions to the agoge, including the kings who it was believed should be trained independently based on the logic that the citizen should not do better than the king in his education, however, Agesilaus is an example of an outlier, as the brother of the would-be king as well as being considered lame, he went through the training of the agoge instead of independent tutors</w:t>
      </w:r>
      <w:r w:rsidRPr="00A6707B">
        <w:rPr>
          <w:rStyle w:val="FootnoteReference"/>
          <w:rFonts w:ascii="Times New Roman" w:hAnsi="Times New Roman" w:cs="Times New Roman"/>
          <w:sz w:val="24"/>
          <w:szCs w:val="24"/>
        </w:rPr>
        <w:footnoteReference w:id="54"/>
      </w:r>
      <w:r w:rsidRPr="00A6707B">
        <w:rPr>
          <w:rFonts w:ascii="Times New Roman" w:hAnsi="Times New Roman" w:cs="Times New Roman"/>
          <w:sz w:val="24"/>
          <w:szCs w:val="24"/>
        </w:rPr>
        <w:t xml:space="preserve">. </w:t>
      </w:r>
      <w:r w:rsidR="00404D98" w:rsidRPr="00A6707B">
        <w:rPr>
          <w:rFonts w:ascii="Times New Roman" w:hAnsi="Times New Roman" w:cs="Times New Roman"/>
          <w:sz w:val="24"/>
          <w:szCs w:val="24"/>
        </w:rPr>
        <w:t>Leonidas is another example of a future King of Sparta to receive state training, as only the first son of the King is exempt from public training, Leonidas’ older brother Cleomenes was exempt.</w:t>
      </w:r>
      <w:r w:rsidR="00F3256A">
        <w:rPr>
          <w:rStyle w:val="FootnoteReference"/>
          <w:rFonts w:ascii="Times New Roman" w:hAnsi="Times New Roman" w:cs="Times New Roman"/>
          <w:sz w:val="24"/>
          <w:szCs w:val="24"/>
        </w:rPr>
        <w:footnoteReference w:id="55"/>
      </w:r>
      <w:r w:rsidR="00404D98" w:rsidRPr="00A6707B">
        <w:rPr>
          <w:rFonts w:ascii="Times New Roman" w:hAnsi="Times New Roman" w:cs="Times New Roman"/>
          <w:sz w:val="24"/>
          <w:szCs w:val="24"/>
        </w:rPr>
        <w:t xml:space="preserve"> Until Cleomenes’ suicide in prison Leonidas was not expected to take the throne.</w:t>
      </w:r>
      <w:r w:rsidR="00F3256A">
        <w:rPr>
          <w:rStyle w:val="FootnoteReference"/>
          <w:rFonts w:ascii="Times New Roman" w:hAnsi="Times New Roman" w:cs="Times New Roman"/>
          <w:sz w:val="24"/>
          <w:szCs w:val="24"/>
        </w:rPr>
        <w:footnoteReference w:id="56"/>
      </w:r>
      <w:r w:rsidR="00404D98" w:rsidRPr="00A6707B">
        <w:rPr>
          <w:rFonts w:ascii="Times New Roman" w:hAnsi="Times New Roman" w:cs="Times New Roman"/>
          <w:sz w:val="24"/>
          <w:szCs w:val="24"/>
        </w:rPr>
        <w:t xml:space="preserve"> Potentially following the logic that the boys of the </w:t>
      </w:r>
      <w:r w:rsidR="00574106" w:rsidRPr="00A6707B">
        <w:rPr>
          <w:rFonts w:ascii="Times New Roman" w:hAnsi="Times New Roman" w:cs="Times New Roman"/>
          <w:sz w:val="24"/>
          <w:szCs w:val="24"/>
        </w:rPr>
        <w:t>a</w:t>
      </w:r>
      <w:r w:rsidR="00404D98" w:rsidRPr="00A6707B">
        <w:rPr>
          <w:rFonts w:ascii="Times New Roman" w:hAnsi="Times New Roman" w:cs="Times New Roman"/>
          <w:sz w:val="24"/>
          <w:szCs w:val="24"/>
        </w:rPr>
        <w:t xml:space="preserve">goge would one day follow this prince into battle and he should not be seen to be weaker or less skilled than those who would serve under him. </w:t>
      </w:r>
    </w:p>
    <w:p w:rsidR="00531DB4" w:rsidRPr="00A6707B" w:rsidRDefault="00574106"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Further it is important to note that constant training did not guarantee a cohesive fighting unit, this is where evidence suggest the Syssitia played a key role in bonding the soldiers through kinship in times of peace.</w:t>
      </w:r>
      <w:r w:rsidR="00AE0F51">
        <w:rPr>
          <w:rStyle w:val="FootnoteReference"/>
          <w:rFonts w:ascii="Times New Roman" w:hAnsi="Times New Roman" w:cs="Times New Roman"/>
          <w:sz w:val="24"/>
          <w:szCs w:val="24"/>
        </w:rPr>
        <w:footnoteReference w:id="57"/>
      </w:r>
      <w:r w:rsidRPr="00A6707B">
        <w:rPr>
          <w:rFonts w:ascii="Times New Roman" w:hAnsi="Times New Roman" w:cs="Times New Roman"/>
          <w:sz w:val="24"/>
          <w:szCs w:val="24"/>
        </w:rPr>
        <w:t xml:space="preserve"> The Syssitia was a common meal shared between the citizens of Sparta. The individual would be invited from the age of twenty and it was considered compulsory, with absence without a just cause prohibited.</w:t>
      </w:r>
      <w:r w:rsidR="00AE0F51">
        <w:rPr>
          <w:rStyle w:val="FootnoteReference"/>
          <w:rFonts w:ascii="Times New Roman" w:hAnsi="Times New Roman" w:cs="Times New Roman"/>
          <w:sz w:val="24"/>
          <w:szCs w:val="24"/>
        </w:rPr>
        <w:footnoteReference w:id="58"/>
      </w:r>
      <w:r w:rsidRPr="00A6707B">
        <w:rPr>
          <w:rFonts w:ascii="Times New Roman" w:hAnsi="Times New Roman" w:cs="Times New Roman"/>
          <w:sz w:val="24"/>
          <w:szCs w:val="24"/>
        </w:rPr>
        <w:t xml:space="preserve"> The meal is often likened to the mess halls of modern-day militaries since it also has the same aim of promoting comradery.</w:t>
      </w:r>
      <w:r w:rsidR="00782337" w:rsidRPr="00A6707B">
        <w:rPr>
          <w:rFonts w:ascii="Times New Roman" w:hAnsi="Times New Roman" w:cs="Times New Roman"/>
          <w:sz w:val="24"/>
          <w:szCs w:val="24"/>
        </w:rPr>
        <w:t xml:space="preserve"> </w:t>
      </w:r>
      <w:r w:rsidR="00606487" w:rsidRPr="00A6707B">
        <w:rPr>
          <w:rFonts w:ascii="Times New Roman" w:hAnsi="Times New Roman" w:cs="Times New Roman"/>
          <w:sz w:val="24"/>
          <w:szCs w:val="24"/>
        </w:rPr>
        <w:t xml:space="preserve">David discusses how it </w:t>
      </w:r>
      <w:r w:rsidR="00890C0E">
        <w:rPr>
          <w:rFonts w:ascii="Times New Roman" w:hAnsi="Times New Roman" w:cs="Times New Roman"/>
          <w:sz w:val="24"/>
          <w:szCs w:val="24"/>
        </w:rPr>
        <w:t xml:space="preserve">is </w:t>
      </w:r>
      <w:r w:rsidR="00606487" w:rsidRPr="00A6707B">
        <w:rPr>
          <w:rFonts w:ascii="Times New Roman" w:hAnsi="Times New Roman" w:cs="Times New Roman"/>
          <w:sz w:val="24"/>
          <w:szCs w:val="24"/>
        </w:rPr>
        <w:t xml:space="preserve">a common fact that “the citizens of Sparta had a basic duty to pay the dues necessary to keep the </w:t>
      </w:r>
      <w:r w:rsidR="00606487" w:rsidRPr="00A6707B">
        <w:rPr>
          <w:rFonts w:ascii="Times New Roman" w:hAnsi="Times New Roman" w:cs="Times New Roman"/>
          <w:sz w:val="24"/>
          <w:szCs w:val="24"/>
        </w:rPr>
        <w:lastRenderedPageBreak/>
        <w:t>mess going”</w:t>
      </w:r>
      <w:r w:rsidR="00606487" w:rsidRPr="00A6707B">
        <w:rPr>
          <w:rStyle w:val="FootnoteReference"/>
          <w:rFonts w:ascii="Times New Roman" w:hAnsi="Times New Roman" w:cs="Times New Roman"/>
          <w:sz w:val="24"/>
          <w:szCs w:val="24"/>
        </w:rPr>
        <w:footnoteReference w:id="59"/>
      </w:r>
      <w:r w:rsidR="00606487" w:rsidRPr="00A6707B">
        <w:rPr>
          <w:rFonts w:ascii="Times New Roman" w:hAnsi="Times New Roman" w:cs="Times New Roman"/>
          <w:sz w:val="24"/>
          <w:szCs w:val="24"/>
        </w:rPr>
        <w:t xml:space="preserve"> stating that “failure to do so entailing loss of political rights”</w:t>
      </w:r>
      <w:r w:rsidR="00606487" w:rsidRPr="00A6707B">
        <w:rPr>
          <w:rStyle w:val="FootnoteReference"/>
          <w:rFonts w:ascii="Times New Roman" w:hAnsi="Times New Roman" w:cs="Times New Roman"/>
          <w:sz w:val="24"/>
          <w:szCs w:val="24"/>
        </w:rPr>
        <w:footnoteReference w:id="60"/>
      </w:r>
      <w:r w:rsidR="00606487" w:rsidRPr="00A6707B">
        <w:rPr>
          <w:rFonts w:ascii="Times New Roman" w:hAnsi="Times New Roman" w:cs="Times New Roman"/>
          <w:sz w:val="24"/>
          <w:szCs w:val="24"/>
        </w:rPr>
        <w:t xml:space="preserve"> comparing the system to the Cretan syssitia in which the expenses were covered by the state</w:t>
      </w:r>
      <w:r w:rsidR="00606487" w:rsidRPr="00A6707B">
        <w:rPr>
          <w:rStyle w:val="FootnoteReference"/>
          <w:rFonts w:ascii="Times New Roman" w:hAnsi="Times New Roman" w:cs="Times New Roman"/>
          <w:sz w:val="24"/>
          <w:szCs w:val="24"/>
        </w:rPr>
        <w:footnoteReference w:id="61"/>
      </w:r>
      <w:r w:rsidR="00606487" w:rsidRPr="00A6707B">
        <w:rPr>
          <w:rFonts w:ascii="Times New Roman" w:hAnsi="Times New Roman" w:cs="Times New Roman"/>
          <w:sz w:val="24"/>
          <w:szCs w:val="24"/>
        </w:rPr>
        <w:t xml:space="preserve"> an issue that is well debated in the works of Plato and Aristotle when determining their idea of a utopic state</w:t>
      </w:r>
      <w:r w:rsidR="00606487" w:rsidRPr="00A6707B">
        <w:rPr>
          <w:rStyle w:val="FootnoteReference"/>
          <w:rFonts w:ascii="Times New Roman" w:hAnsi="Times New Roman" w:cs="Times New Roman"/>
          <w:sz w:val="24"/>
          <w:szCs w:val="24"/>
        </w:rPr>
        <w:footnoteReference w:id="62"/>
      </w:r>
      <w:r w:rsidR="00606487" w:rsidRPr="00A6707B">
        <w:rPr>
          <w:rFonts w:ascii="Times New Roman" w:hAnsi="Times New Roman" w:cs="Times New Roman"/>
          <w:sz w:val="24"/>
          <w:szCs w:val="24"/>
        </w:rPr>
        <w:t xml:space="preserve">. </w:t>
      </w:r>
    </w:p>
    <w:p w:rsidR="00D1671C" w:rsidRPr="00A6707B" w:rsidRDefault="00531DB4"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While the question of how the agoge trained its soldiers is well documented, the reason why this society structure worked and produced professional soldiers considered undefeatable is not explored as fully. Cartledge and </w:t>
      </w:r>
      <w:r w:rsidR="00404D98" w:rsidRPr="00A6707B">
        <w:rPr>
          <w:rFonts w:ascii="Times New Roman" w:hAnsi="Times New Roman" w:cs="Times New Roman"/>
          <w:sz w:val="24"/>
          <w:szCs w:val="24"/>
        </w:rPr>
        <w:t>Hodkinson</w:t>
      </w:r>
      <w:r w:rsidRPr="00A6707B">
        <w:rPr>
          <w:rFonts w:ascii="Times New Roman" w:hAnsi="Times New Roman" w:cs="Times New Roman"/>
          <w:sz w:val="24"/>
          <w:szCs w:val="24"/>
        </w:rPr>
        <w:t xml:space="preserve"> </w:t>
      </w:r>
      <w:r w:rsidR="00D96E55" w:rsidRPr="00A6707B">
        <w:rPr>
          <w:rFonts w:ascii="Times New Roman" w:hAnsi="Times New Roman" w:cs="Times New Roman"/>
          <w:sz w:val="24"/>
          <w:szCs w:val="24"/>
        </w:rPr>
        <w:t>discuss</w:t>
      </w:r>
      <w:r w:rsidRPr="00A6707B">
        <w:rPr>
          <w:rFonts w:ascii="Times New Roman" w:hAnsi="Times New Roman" w:cs="Times New Roman"/>
          <w:sz w:val="24"/>
          <w:szCs w:val="24"/>
        </w:rPr>
        <w:t xml:space="preserve"> the purpose of the </w:t>
      </w:r>
      <w:r w:rsidR="00574106" w:rsidRPr="00A6707B">
        <w:rPr>
          <w:rFonts w:ascii="Times New Roman" w:hAnsi="Times New Roman" w:cs="Times New Roman"/>
          <w:sz w:val="24"/>
          <w:szCs w:val="24"/>
        </w:rPr>
        <w:t>a</w:t>
      </w:r>
      <w:r w:rsidR="00404D98" w:rsidRPr="00A6707B">
        <w:rPr>
          <w:rFonts w:ascii="Times New Roman" w:hAnsi="Times New Roman" w:cs="Times New Roman"/>
          <w:sz w:val="24"/>
          <w:szCs w:val="24"/>
        </w:rPr>
        <w:t>goge, and this wo</w:t>
      </w:r>
      <w:r w:rsidR="00D96E55" w:rsidRPr="00A6707B">
        <w:rPr>
          <w:rFonts w:ascii="Times New Roman" w:hAnsi="Times New Roman" w:cs="Times New Roman"/>
          <w:sz w:val="24"/>
          <w:szCs w:val="24"/>
        </w:rPr>
        <w:t xml:space="preserve">rk will now explore these discussions </w:t>
      </w:r>
      <w:r w:rsidR="00404D98" w:rsidRPr="00A6707B">
        <w:rPr>
          <w:rFonts w:ascii="Times New Roman" w:hAnsi="Times New Roman" w:cs="Times New Roman"/>
          <w:sz w:val="24"/>
          <w:szCs w:val="24"/>
        </w:rPr>
        <w:t xml:space="preserve">to determine why these </w:t>
      </w:r>
      <w:r w:rsidR="00D96E55" w:rsidRPr="00A6707B">
        <w:rPr>
          <w:rFonts w:ascii="Times New Roman" w:hAnsi="Times New Roman" w:cs="Times New Roman"/>
          <w:sz w:val="24"/>
          <w:szCs w:val="24"/>
        </w:rPr>
        <w:t xml:space="preserve">children became </w:t>
      </w:r>
      <w:r w:rsidR="00404D98" w:rsidRPr="00A6707B">
        <w:rPr>
          <w:rFonts w:ascii="Times New Roman" w:hAnsi="Times New Roman" w:cs="Times New Roman"/>
          <w:sz w:val="24"/>
          <w:szCs w:val="24"/>
        </w:rPr>
        <w:t>soldiers</w:t>
      </w:r>
      <w:r w:rsidR="00D96E55" w:rsidRPr="00A6707B">
        <w:rPr>
          <w:rFonts w:ascii="Times New Roman" w:hAnsi="Times New Roman" w:cs="Times New Roman"/>
          <w:sz w:val="24"/>
          <w:szCs w:val="24"/>
        </w:rPr>
        <w:t xml:space="preserve"> that</w:t>
      </w:r>
      <w:r w:rsidR="00404D98" w:rsidRPr="00A6707B">
        <w:rPr>
          <w:rFonts w:ascii="Times New Roman" w:hAnsi="Times New Roman" w:cs="Times New Roman"/>
          <w:sz w:val="24"/>
          <w:szCs w:val="24"/>
        </w:rPr>
        <w:t xml:space="preserve"> were</w:t>
      </w:r>
      <w:r w:rsidR="00D96E55" w:rsidRPr="00A6707B">
        <w:rPr>
          <w:rFonts w:ascii="Times New Roman" w:hAnsi="Times New Roman" w:cs="Times New Roman"/>
          <w:sz w:val="24"/>
          <w:szCs w:val="24"/>
        </w:rPr>
        <w:t xml:space="preserve"> considered</w:t>
      </w:r>
      <w:r w:rsidR="00404D98" w:rsidRPr="00A6707B">
        <w:rPr>
          <w:rFonts w:ascii="Times New Roman" w:hAnsi="Times New Roman" w:cs="Times New Roman"/>
          <w:sz w:val="24"/>
          <w:szCs w:val="24"/>
        </w:rPr>
        <w:t xml:space="preserve"> the foremost heavy infantry soldiers in the Greek world</w:t>
      </w:r>
      <w:r w:rsidRPr="00A6707B">
        <w:rPr>
          <w:rFonts w:ascii="Times New Roman" w:hAnsi="Times New Roman" w:cs="Times New Roman"/>
          <w:sz w:val="24"/>
          <w:szCs w:val="24"/>
        </w:rPr>
        <w:t xml:space="preserve">. </w:t>
      </w:r>
    </w:p>
    <w:p w:rsidR="00D1671C" w:rsidRPr="00A6707B" w:rsidRDefault="00D1671C"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Cartledge begins by comparing the Spartan educational system to the Athenian one, however from his debate it becomes clear that the Spartan system was stricter, harsher and compulsory for all citizen children as opposed to the Athenian one</w:t>
      </w:r>
      <w:r w:rsidRPr="00A6707B">
        <w:rPr>
          <w:rStyle w:val="FootnoteReference"/>
          <w:rFonts w:ascii="Times New Roman" w:hAnsi="Times New Roman" w:cs="Times New Roman"/>
          <w:sz w:val="24"/>
          <w:szCs w:val="24"/>
        </w:rPr>
        <w:footnoteReference w:id="63"/>
      </w:r>
      <w:r w:rsidRPr="00A6707B">
        <w:rPr>
          <w:rFonts w:ascii="Times New Roman" w:hAnsi="Times New Roman" w:cs="Times New Roman"/>
          <w:sz w:val="24"/>
          <w:szCs w:val="24"/>
        </w:rPr>
        <w:t>. He notes that even Spartan girls were held in the same esteem as boys when their primary purpose, while the same as the Athenians, was to bear children</w:t>
      </w:r>
      <w:r w:rsidRPr="00A6707B">
        <w:rPr>
          <w:rStyle w:val="FootnoteReference"/>
          <w:rFonts w:ascii="Times New Roman" w:hAnsi="Times New Roman" w:cs="Times New Roman"/>
          <w:sz w:val="24"/>
          <w:szCs w:val="24"/>
        </w:rPr>
        <w:footnoteReference w:id="64"/>
      </w:r>
      <w:r w:rsidRPr="00A6707B">
        <w:rPr>
          <w:rFonts w:ascii="Times New Roman" w:hAnsi="Times New Roman" w:cs="Times New Roman"/>
          <w:sz w:val="24"/>
          <w:szCs w:val="24"/>
        </w:rPr>
        <w:t xml:space="preserve">. </w:t>
      </w:r>
      <w:r w:rsidR="00D96E55" w:rsidRPr="00A6707B">
        <w:rPr>
          <w:rFonts w:ascii="Times New Roman" w:hAnsi="Times New Roman" w:cs="Times New Roman"/>
          <w:sz w:val="24"/>
          <w:szCs w:val="24"/>
        </w:rPr>
        <w:t>Hodkinson also highlights how the age groups of the Spartan boys resemble the less formalised age groups of other poleis educational systems.</w:t>
      </w:r>
      <w:r w:rsidR="00D96E55" w:rsidRPr="00A6707B">
        <w:rPr>
          <w:rStyle w:val="FootnoteReference"/>
          <w:rFonts w:ascii="Times New Roman" w:hAnsi="Times New Roman" w:cs="Times New Roman"/>
          <w:sz w:val="24"/>
          <w:szCs w:val="24"/>
        </w:rPr>
        <w:footnoteReference w:id="65"/>
      </w:r>
    </w:p>
    <w:p w:rsidR="00D1671C" w:rsidRPr="00A6707B" w:rsidRDefault="00D1671C"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Hodkinson’s argument can be summarised to the purpose of the agoge was to instil the typically ‘Spartan’ virtues. He debates that the physical training of Spartan boys is often overstated as the most important aspect of a Spartan </w:t>
      </w:r>
      <w:r w:rsidR="00D96E55" w:rsidRPr="00A6707B">
        <w:rPr>
          <w:rFonts w:ascii="Times New Roman" w:hAnsi="Times New Roman" w:cs="Times New Roman"/>
          <w:sz w:val="24"/>
          <w:szCs w:val="24"/>
        </w:rPr>
        <w:t>boy’s</w:t>
      </w:r>
      <w:r w:rsidRPr="00A6707B">
        <w:rPr>
          <w:rFonts w:ascii="Times New Roman" w:hAnsi="Times New Roman" w:cs="Times New Roman"/>
          <w:sz w:val="24"/>
          <w:szCs w:val="24"/>
        </w:rPr>
        <w:t xml:space="preserve"> education. He highlights that reading, writing, singing and dance from the age of seven prepare them for the roles </w:t>
      </w:r>
      <w:r w:rsidRPr="00A6707B">
        <w:rPr>
          <w:rFonts w:ascii="Times New Roman" w:hAnsi="Times New Roman" w:cs="Times New Roman"/>
          <w:sz w:val="24"/>
          <w:szCs w:val="24"/>
        </w:rPr>
        <w:lastRenderedPageBreak/>
        <w:t>they are expected to perform both politically and in religious festivals</w:t>
      </w:r>
      <w:r w:rsidRPr="00A6707B">
        <w:rPr>
          <w:rStyle w:val="FootnoteReference"/>
          <w:rFonts w:ascii="Times New Roman" w:hAnsi="Times New Roman" w:cs="Times New Roman"/>
          <w:sz w:val="24"/>
          <w:szCs w:val="24"/>
        </w:rPr>
        <w:footnoteReference w:id="66"/>
      </w:r>
      <w:r w:rsidRPr="00A6707B">
        <w:rPr>
          <w:rFonts w:ascii="Times New Roman" w:hAnsi="Times New Roman" w:cs="Times New Roman"/>
          <w:sz w:val="24"/>
          <w:szCs w:val="24"/>
        </w:rPr>
        <w:t xml:space="preserve">. Cartledge’s views align with this by discussing how the education was compulsory while they were expected to ‘pass’ tests in these areas (dance, reading </w:t>
      </w:r>
      <w:r w:rsidR="00C34DB5" w:rsidRPr="00A6707B">
        <w:rPr>
          <w:rFonts w:ascii="Times New Roman" w:hAnsi="Times New Roman" w:cs="Times New Roman"/>
          <w:sz w:val="24"/>
          <w:szCs w:val="24"/>
        </w:rPr>
        <w:t>etc.</w:t>
      </w:r>
      <w:r w:rsidRPr="00A6707B">
        <w:rPr>
          <w:rFonts w:ascii="Times New Roman" w:hAnsi="Times New Roman" w:cs="Times New Roman"/>
          <w:sz w:val="24"/>
          <w:szCs w:val="24"/>
        </w:rPr>
        <w:t>) before being able to move on to the next stage of their education and in the long term, be considered citizens. Hodkinson discusses how the agoge was not solely citizen chil</w:t>
      </w:r>
      <w:r w:rsidR="00D96E55" w:rsidRPr="00A6707B">
        <w:rPr>
          <w:rFonts w:ascii="Times New Roman" w:hAnsi="Times New Roman" w:cs="Times New Roman"/>
          <w:sz w:val="24"/>
          <w:szCs w:val="24"/>
        </w:rPr>
        <w:t>d</w:t>
      </w:r>
      <w:r w:rsidRPr="00A6707B">
        <w:rPr>
          <w:rFonts w:ascii="Times New Roman" w:hAnsi="Times New Roman" w:cs="Times New Roman"/>
          <w:sz w:val="24"/>
          <w:szCs w:val="24"/>
        </w:rPr>
        <w:t>ren, that the ‘side kicks’</w:t>
      </w:r>
      <w:r w:rsidRPr="00A6707B">
        <w:rPr>
          <w:rStyle w:val="FootnoteReference"/>
          <w:rFonts w:ascii="Times New Roman" w:hAnsi="Times New Roman" w:cs="Times New Roman"/>
          <w:sz w:val="24"/>
          <w:szCs w:val="24"/>
        </w:rPr>
        <w:footnoteReference w:id="67"/>
      </w:r>
      <w:r w:rsidR="00D96E55" w:rsidRPr="00A6707B">
        <w:rPr>
          <w:rFonts w:ascii="Times New Roman" w:hAnsi="Times New Roman" w:cs="Times New Roman"/>
          <w:sz w:val="24"/>
          <w:szCs w:val="24"/>
        </w:rPr>
        <w:t xml:space="preserve"> or ‘foster brothers’</w:t>
      </w:r>
      <w:r w:rsidR="00D96E55" w:rsidRPr="00A6707B">
        <w:rPr>
          <w:rStyle w:val="FootnoteReference"/>
          <w:rFonts w:ascii="Times New Roman" w:hAnsi="Times New Roman" w:cs="Times New Roman"/>
          <w:sz w:val="24"/>
          <w:szCs w:val="24"/>
        </w:rPr>
        <w:footnoteReference w:id="68"/>
      </w:r>
      <w:r w:rsidR="00D96E55" w:rsidRPr="00A6707B">
        <w:rPr>
          <w:rFonts w:ascii="Times New Roman" w:hAnsi="Times New Roman" w:cs="Times New Roman"/>
          <w:sz w:val="24"/>
          <w:szCs w:val="24"/>
        </w:rPr>
        <w:t xml:space="preserve"> of the wealthy also underwent the same training</w:t>
      </w:r>
      <w:r w:rsidR="00D96E55" w:rsidRPr="00A6707B">
        <w:rPr>
          <w:rStyle w:val="FootnoteReference"/>
          <w:rFonts w:ascii="Times New Roman" w:hAnsi="Times New Roman" w:cs="Times New Roman"/>
          <w:sz w:val="24"/>
          <w:szCs w:val="24"/>
        </w:rPr>
        <w:footnoteReference w:id="69"/>
      </w:r>
      <w:r w:rsidR="00D96E55" w:rsidRPr="00A6707B">
        <w:rPr>
          <w:rFonts w:ascii="Times New Roman" w:hAnsi="Times New Roman" w:cs="Times New Roman"/>
          <w:sz w:val="24"/>
          <w:szCs w:val="24"/>
        </w:rPr>
        <w:t>.</w:t>
      </w:r>
    </w:p>
    <w:p w:rsidR="00D96E55" w:rsidRPr="00A6707B" w:rsidRDefault="00D96E55"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Cartledge’s argument is more straightforward, he argues the Spartan educational system aimed at promoting endurance, from their attire (barefoot in all terrain</w:t>
      </w:r>
      <w:r w:rsidRPr="00A6707B">
        <w:rPr>
          <w:rStyle w:val="FootnoteReference"/>
          <w:rFonts w:ascii="Times New Roman" w:hAnsi="Times New Roman" w:cs="Times New Roman"/>
          <w:sz w:val="24"/>
          <w:szCs w:val="24"/>
        </w:rPr>
        <w:footnoteReference w:id="70"/>
      </w:r>
      <w:r w:rsidRPr="00A6707B">
        <w:rPr>
          <w:rFonts w:ascii="Times New Roman" w:hAnsi="Times New Roman" w:cs="Times New Roman"/>
          <w:sz w:val="24"/>
          <w:szCs w:val="24"/>
        </w:rPr>
        <w:t>) to providing them with less food than is required to be satisfied to both train the body and mind to cope with less than ideal sustenance as well as to encourage them to use their initiative and provide for themselves, encouraging stealing and punishing those who were unsuccessful or caught red handed.</w:t>
      </w:r>
      <w:r w:rsidRPr="00A6707B">
        <w:rPr>
          <w:rStyle w:val="FootnoteReference"/>
          <w:rFonts w:ascii="Times New Roman" w:hAnsi="Times New Roman" w:cs="Times New Roman"/>
          <w:sz w:val="24"/>
          <w:szCs w:val="24"/>
        </w:rPr>
        <w:footnoteReference w:id="71"/>
      </w:r>
    </w:p>
    <w:p w:rsidR="00D07717" w:rsidRPr="00A6707B" w:rsidRDefault="00D96E55"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From this summary of the discussion between Cartledge and Hodkinson it is clear their views align on a number of aspects of the agoge. In relation to the development of professionalism of Spartan soldiers, it is clear that the Spartan boy was exposed to harsh and even repulsive conditions over the course of their education. The low-material </w:t>
      </w:r>
      <w:r w:rsidR="00D07717" w:rsidRPr="00A6707B">
        <w:rPr>
          <w:rFonts w:ascii="Times New Roman" w:hAnsi="Times New Roman" w:cs="Times New Roman"/>
          <w:sz w:val="24"/>
          <w:szCs w:val="24"/>
        </w:rPr>
        <w:t xml:space="preserve">existence </w:t>
      </w:r>
      <w:r w:rsidRPr="00A6707B">
        <w:rPr>
          <w:rFonts w:ascii="Times New Roman" w:hAnsi="Times New Roman" w:cs="Times New Roman"/>
          <w:sz w:val="24"/>
          <w:szCs w:val="24"/>
        </w:rPr>
        <w:t xml:space="preserve">of Spartan boys instilled them with the necessary endurance for all weather, terrains and </w:t>
      </w:r>
      <w:r w:rsidR="00D07717" w:rsidRPr="00A6707B">
        <w:rPr>
          <w:rFonts w:ascii="Times New Roman" w:hAnsi="Times New Roman" w:cs="Times New Roman"/>
          <w:sz w:val="24"/>
          <w:szCs w:val="24"/>
        </w:rPr>
        <w:t xml:space="preserve">further in the course of their lives, prepared them for a life of discomfort on campaign. This is supported by acclimatising the would be Spartan soldier to limited food resources, both training the body to become accustomed to it and providing them </w:t>
      </w:r>
      <w:r w:rsidR="00D07717" w:rsidRPr="00A6707B">
        <w:rPr>
          <w:rFonts w:ascii="Times New Roman" w:hAnsi="Times New Roman" w:cs="Times New Roman"/>
          <w:sz w:val="24"/>
          <w:szCs w:val="24"/>
        </w:rPr>
        <w:lastRenderedPageBreak/>
        <w:t xml:space="preserve">with the skills and initiative to be able to procure the necessary sustenance while away on campaign. </w:t>
      </w:r>
    </w:p>
    <w:p w:rsidR="00D07717" w:rsidRPr="00A6707B" w:rsidRDefault="00D07717"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To conclude, the agoge prepared the would be soldier for a hard life of combat, presenting Sparta as a ‘workshop of war’</w:t>
      </w:r>
      <w:r w:rsidRPr="00A6707B">
        <w:rPr>
          <w:rStyle w:val="FootnoteReference"/>
          <w:rFonts w:ascii="Times New Roman" w:hAnsi="Times New Roman" w:cs="Times New Roman"/>
          <w:sz w:val="24"/>
          <w:szCs w:val="24"/>
        </w:rPr>
        <w:footnoteReference w:id="72"/>
      </w:r>
      <w:r w:rsidRPr="00A6707B">
        <w:rPr>
          <w:rFonts w:ascii="Times New Roman" w:hAnsi="Times New Roman" w:cs="Times New Roman"/>
          <w:sz w:val="24"/>
          <w:szCs w:val="24"/>
        </w:rPr>
        <w:t xml:space="preserve"> by producing soldiers that would not balk at discomfort or trials, instead instilling them with a level of competitiveness and the adoption of a strict Spartan doctrine that drove them to seek prestige in combat</w:t>
      </w:r>
      <w:r w:rsidRPr="00A6707B">
        <w:rPr>
          <w:rStyle w:val="FootnoteReference"/>
          <w:rFonts w:ascii="Times New Roman" w:hAnsi="Times New Roman" w:cs="Times New Roman"/>
          <w:sz w:val="24"/>
          <w:szCs w:val="24"/>
        </w:rPr>
        <w:footnoteReference w:id="73"/>
      </w:r>
      <w:r w:rsidRPr="00A6707B">
        <w:rPr>
          <w:rFonts w:ascii="Times New Roman" w:hAnsi="Times New Roman" w:cs="Times New Roman"/>
          <w:sz w:val="24"/>
          <w:szCs w:val="24"/>
        </w:rPr>
        <w:t xml:space="preserve">. </w:t>
      </w:r>
    </w:p>
    <w:p w:rsidR="00F44820" w:rsidRPr="00A6707B" w:rsidRDefault="00F44820" w:rsidP="00A6707B">
      <w:pPr>
        <w:spacing w:line="480" w:lineRule="auto"/>
        <w:rPr>
          <w:rFonts w:ascii="Times New Roman" w:hAnsi="Times New Roman" w:cs="Times New Roman"/>
          <w:sz w:val="24"/>
          <w:szCs w:val="24"/>
        </w:rPr>
      </w:pPr>
    </w:p>
    <w:p w:rsidR="000E3641" w:rsidRPr="00A6707B" w:rsidRDefault="008C0F4A" w:rsidP="00A6707B">
      <w:pPr>
        <w:pStyle w:val="Heading2"/>
        <w:spacing w:line="480" w:lineRule="auto"/>
        <w:rPr>
          <w:rFonts w:ascii="Times New Roman" w:hAnsi="Times New Roman" w:cs="Times New Roman"/>
          <w:color w:val="000000" w:themeColor="text1"/>
          <w:sz w:val="24"/>
          <w:szCs w:val="24"/>
        </w:rPr>
      </w:pPr>
      <w:bookmarkStart w:id="6" w:name="_Toc8191336"/>
      <w:r w:rsidRPr="00A6707B">
        <w:rPr>
          <w:rFonts w:ascii="Times New Roman" w:hAnsi="Times New Roman" w:cs="Times New Roman"/>
          <w:color w:val="000000" w:themeColor="text1"/>
          <w:sz w:val="28"/>
          <w:szCs w:val="24"/>
        </w:rPr>
        <w:t>Governance</w:t>
      </w:r>
      <w:bookmarkEnd w:id="6"/>
      <w:r w:rsidRPr="00A6707B">
        <w:rPr>
          <w:rFonts w:ascii="Times New Roman" w:hAnsi="Times New Roman" w:cs="Times New Roman"/>
          <w:color w:val="000000" w:themeColor="text1"/>
          <w:sz w:val="28"/>
          <w:szCs w:val="24"/>
        </w:rPr>
        <w:t xml:space="preserve">  </w:t>
      </w:r>
    </w:p>
    <w:p w:rsidR="006766FF" w:rsidRPr="00A6707B" w:rsidRDefault="00250EA8"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The government of a classical Greek polis was as responsible for its military actions as it was for its day to day political decisions. Cartledge’s discussion determines that for Sparta to be considered a polis it must have an elected council that had regular meetings. In the case of the Spartans, </w:t>
      </w:r>
      <w:r w:rsidR="006766FF" w:rsidRPr="00A6707B">
        <w:rPr>
          <w:rFonts w:ascii="Times New Roman" w:hAnsi="Times New Roman" w:cs="Times New Roman"/>
          <w:sz w:val="24"/>
          <w:szCs w:val="24"/>
        </w:rPr>
        <w:t xml:space="preserve">there were three governing bodies that impacted the politics of the state. </w:t>
      </w:r>
    </w:p>
    <w:p w:rsidR="005D660A" w:rsidRDefault="006766FF"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Firstly there were the two kings, supposedly descended from the two lines of kings from Herakles they were expected to prevent each other from tyrannical action. However, Hamilton discusses how more often than not the Kings would be in the centre of opposing political factions.</w:t>
      </w:r>
      <w:r w:rsidRPr="00A6707B">
        <w:rPr>
          <w:rStyle w:val="FootnoteReference"/>
          <w:rFonts w:ascii="Times New Roman" w:hAnsi="Times New Roman" w:cs="Times New Roman"/>
          <w:sz w:val="24"/>
          <w:szCs w:val="24"/>
        </w:rPr>
        <w:footnoteReference w:id="74"/>
      </w:r>
      <w:r w:rsidR="00250EA8" w:rsidRPr="00A6707B">
        <w:rPr>
          <w:rFonts w:ascii="Times New Roman" w:hAnsi="Times New Roman" w:cs="Times New Roman"/>
          <w:sz w:val="24"/>
          <w:szCs w:val="24"/>
        </w:rPr>
        <w:t xml:space="preserve"> </w:t>
      </w:r>
      <w:r w:rsidRPr="00A6707B">
        <w:rPr>
          <w:rFonts w:ascii="Times New Roman" w:hAnsi="Times New Roman" w:cs="Times New Roman"/>
          <w:sz w:val="24"/>
          <w:szCs w:val="24"/>
        </w:rPr>
        <w:t>Secondly there was the Gerousia. A council of sorts made up of twenty eight members of the male citizenry who lived to be past sixty and retired from active military duty.</w:t>
      </w:r>
      <w:r w:rsidR="00F3256A">
        <w:rPr>
          <w:rStyle w:val="FootnoteReference"/>
          <w:rFonts w:ascii="Times New Roman" w:hAnsi="Times New Roman" w:cs="Times New Roman"/>
          <w:sz w:val="24"/>
          <w:szCs w:val="24"/>
        </w:rPr>
        <w:footnoteReference w:id="75"/>
      </w:r>
      <w:r w:rsidRPr="00A6707B">
        <w:rPr>
          <w:rFonts w:ascii="Times New Roman" w:hAnsi="Times New Roman" w:cs="Times New Roman"/>
          <w:sz w:val="24"/>
          <w:szCs w:val="24"/>
        </w:rPr>
        <w:t xml:space="preserve"> The Gerousia is attributed to being the body that </w:t>
      </w:r>
      <w:r w:rsidR="00C36529" w:rsidRPr="00A6707B">
        <w:rPr>
          <w:rFonts w:ascii="Times New Roman" w:hAnsi="Times New Roman" w:cs="Times New Roman"/>
          <w:sz w:val="24"/>
          <w:szCs w:val="24"/>
        </w:rPr>
        <w:t>decided</w:t>
      </w:r>
      <w:r w:rsidRPr="00A6707B">
        <w:rPr>
          <w:rFonts w:ascii="Times New Roman" w:hAnsi="Times New Roman" w:cs="Times New Roman"/>
          <w:sz w:val="24"/>
          <w:szCs w:val="24"/>
        </w:rPr>
        <w:t xml:space="preserve"> whether a child should be exposed for being weak or deformed and Hamilton suggests they were anonymous, a new member only being </w:t>
      </w:r>
      <w:r w:rsidR="00C36529" w:rsidRPr="00A6707B">
        <w:rPr>
          <w:rFonts w:ascii="Times New Roman" w:hAnsi="Times New Roman" w:cs="Times New Roman"/>
          <w:sz w:val="24"/>
          <w:szCs w:val="24"/>
        </w:rPr>
        <w:t xml:space="preserve">invited upon the death of a current </w:t>
      </w:r>
      <w:r w:rsidR="00C36529" w:rsidRPr="00A6707B">
        <w:rPr>
          <w:rFonts w:ascii="Times New Roman" w:hAnsi="Times New Roman" w:cs="Times New Roman"/>
          <w:sz w:val="24"/>
          <w:szCs w:val="24"/>
        </w:rPr>
        <w:lastRenderedPageBreak/>
        <w:t>member</w:t>
      </w:r>
      <w:r w:rsidR="00F3256A">
        <w:rPr>
          <w:rStyle w:val="FootnoteReference"/>
          <w:rFonts w:ascii="Times New Roman" w:hAnsi="Times New Roman" w:cs="Times New Roman"/>
          <w:sz w:val="24"/>
          <w:szCs w:val="24"/>
        </w:rPr>
        <w:footnoteReference w:id="76"/>
      </w:r>
      <w:r w:rsidR="00C36529" w:rsidRPr="00A6707B">
        <w:rPr>
          <w:rFonts w:ascii="Times New Roman" w:hAnsi="Times New Roman" w:cs="Times New Roman"/>
          <w:sz w:val="24"/>
          <w:szCs w:val="24"/>
        </w:rPr>
        <w:t>. Thirdly there were the ephors, elected each year by the citizens, thus fulfilling Cartledge’s criteria,</w:t>
      </w:r>
      <w:r w:rsidR="00F3256A">
        <w:rPr>
          <w:rFonts w:ascii="Times New Roman" w:hAnsi="Times New Roman" w:cs="Times New Roman"/>
          <w:sz w:val="24"/>
          <w:szCs w:val="24"/>
        </w:rPr>
        <w:t xml:space="preserve"> it gave the citizens</w:t>
      </w:r>
      <w:r w:rsidR="00C36529" w:rsidRPr="00A6707B">
        <w:rPr>
          <w:rFonts w:ascii="Times New Roman" w:hAnsi="Times New Roman" w:cs="Times New Roman"/>
          <w:sz w:val="24"/>
          <w:szCs w:val="24"/>
        </w:rPr>
        <w:t xml:space="preserve"> an opportunity to have a voice in the decision making bodies</w:t>
      </w:r>
      <w:r w:rsidR="00C36529" w:rsidRPr="00A6707B">
        <w:rPr>
          <w:rStyle w:val="FootnoteReference"/>
          <w:rFonts w:ascii="Times New Roman" w:hAnsi="Times New Roman" w:cs="Times New Roman"/>
          <w:sz w:val="24"/>
          <w:szCs w:val="24"/>
        </w:rPr>
        <w:footnoteReference w:id="77"/>
      </w:r>
      <w:r w:rsidR="00C36529" w:rsidRPr="00A6707B">
        <w:rPr>
          <w:rFonts w:ascii="Times New Roman" w:hAnsi="Times New Roman" w:cs="Times New Roman"/>
          <w:sz w:val="24"/>
          <w:szCs w:val="24"/>
        </w:rPr>
        <w:t>. It is argued that the ephors held the most political power in the state with the Kings only duties being religious or when one would have to accompany the army on campaign.</w:t>
      </w:r>
      <w:r w:rsidR="00F3256A">
        <w:rPr>
          <w:rStyle w:val="FootnoteReference"/>
          <w:rFonts w:ascii="Times New Roman" w:hAnsi="Times New Roman" w:cs="Times New Roman"/>
          <w:sz w:val="24"/>
          <w:szCs w:val="24"/>
        </w:rPr>
        <w:footnoteReference w:id="78"/>
      </w:r>
    </w:p>
    <w:p w:rsidR="00B50485" w:rsidRPr="00A6707B" w:rsidRDefault="00B50485" w:rsidP="00A6707B">
      <w:pPr>
        <w:spacing w:line="480" w:lineRule="auto"/>
        <w:rPr>
          <w:rFonts w:ascii="Times New Roman" w:hAnsi="Times New Roman" w:cs="Times New Roman"/>
          <w:sz w:val="24"/>
          <w:szCs w:val="24"/>
        </w:rPr>
      </w:pPr>
    </w:p>
    <w:p w:rsidR="000E3641" w:rsidRPr="00A6707B" w:rsidRDefault="008C0F4A" w:rsidP="00A6707B">
      <w:pPr>
        <w:pStyle w:val="Heading2"/>
        <w:spacing w:line="480" w:lineRule="auto"/>
        <w:rPr>
          <w:rFonts w:ascii="Times New Roman" w:hAnsi="Times New Roman" w:cs="Times New Roman"/>
          <w:color w:val="auto"/>
          <w:sz w:val="28"/>
          <w:szCs w:val="24"/>
        </w:rPr>
      </w:pPr>
      <w:bookmarkStart w:id="7" w:name="_Toc8191337"/>
      <w:r w:rsidRPr="00A6707B">
        <w:rPr>
          <w:rFonts w:ascii="Times New Roman" w:hAnsi="Times New Roman" w:cs="Times New Roman"/>
          <w:color w:val="auto"/>
          <w:sz w:val="28"/>
          <w:szCs w:val="24"/>
        </w:rPr>
        <w:t>Self sufficiency</w:t>
      </w:r>
      <w:bookmarkEnd w:id="7"/>
    </w:p>
    <w:p w:rsidR="002223DB" w:rsidRPr="00A6707B" w:rsidRDefault="002223DB"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The last attribute Cartledge argues is required for Sparta to be considered a polis is self-sufficiency. He debates that a state would only be considered ‘</w:t>
      </w:r>
      <w:r w:rsidRPr="00A6707B">
        <w:rPr>
          <w:rFonts w:ascii="Times New Roman" w:hAnsi="Times New Roman" w:cs="Times New Roman"/>
          <w:i/>
          <w:sz w:val="24"/>
          <w:szCs w:val="24"/>
        </w:rPr>
        <w:t>autarkeia</w:t>
      </w:r>
      <w:r w:rsidRPr="00A6707B">
        <w:rPr>
          <w:rFonts w:ascii="Times New Roman" w:hAnsi="Times New Roman" w:cs="Times New Roman"/>
          <w:sz w:val="24"/>
          <w:szCs w:val="24"/>
        </w:rPr>
        <w:t>’ when they do not require long term support from another state to survive. He argues that their “development [came as a result] of economic exploitation through various forms of despondent or forced labour”</w:t>
      </w:r>
      <w:r w:rsidRPr="00A6707B">
        <w:rPr>
          <w:rStyle w:val="FootnoteReference"/>
          <w:rFonts w:ascii="Times New Roman" w:hAnsi="Times New Roman" w:cs="Times New Roman"/>
          <w:sz w:val="24"/>
          <w:szCs w:val="24"/>
        </w:rPr>
        <w:footnoteReference w:id="79"/>
      </w:r>
      <w:r w:rsidRPr="00A6707B">
        <w:rPr>
          <w:rFonts w:ascii="Times New Roman" w:hAnsi="Times New Roman" w:cs="Times New Roman"/>
          <w:sz w:val="24"/>
          <w:szCs w:val="24"/>
        </w:rPr>
        <w:t xml:space="preserve">. In this case, it relies primarily on the Helots. </w:t>
      </w:r>
    </w:p>
    <w:p w:rsidR="00356AD5" w:rsidRPr="00A6707B" w:rsidRDefault="00356AD5"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Sparta was a unique polis in </w:t>
      </w:r>
      <w:r w:rsidR="002223DB" w:rsidRPr="00A6707B">
        <w:rPr>
          <w:rFonts w:ascii="Times New Roman" w:hAnsi="Times New Roman" w:cs="Times New Roman"/>
          <w:sz w:val="24"/>
          <w:szCs w:val="24"/>
        </w:rPr>
        <w:t>this</w:t>
      </w:r>
      <w:r w:rsidRPr="00A6707B">
        <w:rPr>
          <w:rFonts w:ascii="Times New Roman" w:hAnsi="Times New Roman" w:cs="Times New Roman"/>
          <w:sz w:val="24"/>
          <w:szCs w:val="24"/>
        </w:rPr>
        <w:t xml:space="preserve"> respect, alongside its aim to produce a battle-ready military that underwent constant training, it was heavily reliant on the Helots</w:t>
      </w:r>
      <w:r w:rsidR="002223DB" w:rsidRPr="00A6707B">
        <w:rPr>
          <w:rFonts w:ascii="Times New Roman" w:hAnsi="Times New Roman" w:cs="Times New Roman"/>
          <w:sz w:val="24"/>
          <w:szCs w:val="24"/>
        </w:rPr>
        <w:t xml:space="preserve"> to maintain their livelihood and maintain their self-sufficiency</w:t>
      </w:r>
      <w:r w:rsidRPr="00A6707B">
        <w:rPr>
          <w:rFonts w:ascii="Times New Roman" w:hAnsi="Times New Roman" w:cs="Times New Roman"/>
          <w:sz w:val="24"/>
          <w:szCs w:val="24"/>
        </w:rPr>
        <w:t xml:space="preserve">. For the purpose of identifying what made the Spartan hoplites professional it is important to note why their society functioned without its male citizenry </w:t>
      </w:r>
      <w:r w:rsidR="00184E2C">
        <w:rPr>
          <w:rFonts w:ascii="Times New Roman" w:hAnsi="Times New Roman" w:cs="Times New Roman"/>
          <w:sz w:val="24"/>
          <w:szCs w:val="24"/>
        </w:rPr>
        <w:t>to support it economically</w:t>
      </w:r>
      <w:r w:rsidRPr="00A6707B">
        <w:rPr>
          <w:rFonts w:ascii="Times New Roman" w:hAnsi="Times New Roman" w:cs="Times New Roman"/>
          <w:sz w:val="24"/>
          <w:szCs w:val="24"/>
        </w:rPr>
        <w:t xml:space="preserve">. </w:t>
      </w:r>
    </w:p>
    <w:p w:rsidR="00356AD5" w:rsidRPr="00A6707B" w:rsidRDefault="00356AD5"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While the women of Sparta were deemed above the women in Greece and Persia</w:t>
      </w:r>
      <w:r w:rsidRPr="00A6707B">
        <w:rPr>
          <w:rStyle w:val="FootnoteReference"/>
          <w:rFonts w:ascii="Times New Roman" w:hAnsi="Times New Roman" w:cs="Times New Roman"/>
          <w:sz w:val="24"/>
          <w:szCs w:val="24"/>
        </w:rPr>
        <w:footnoteReference w:id="80"/>
      </w:r>
      <w:r w:rsidRPr="00A6707B">
        <w:rPr>
          <w:rFonts w:ascii="Times New Roman" w:hAnsi="Times New Roman" w:cs="Times New Roman"/>
          <w:sz w:val="24"/>
          <w:szCs w:val="24"/>
        </w:rPr>
        <w:t xml:space="preserve"> taking active roles in </w:t>
      </w:r>
      <w:r w:rsidR="00B75857">
        <w:rPr>
          <w:rFonts w:ascii="Times New Roman" w:hAnsi="Times New Roman" w:cs="Times New Roman"/>
          <w:sz w:val="24"/>
          <w:szCs w:val="24"/>
        </w:rPr>
        <w:t>running the household</w:t>
      </w:r>
      <w:r w:rsidRPr="00A6707B">
        <w:rPr>
          <w:rStyle w:val="FootnoteReference"/>
          <w:rFonts w:ascii="Times New Roman" w:hAnsi="Times New Roman" w:cs="Times New Roman"/>
          <w:sz w:val="24"/>
          <w:szCs w:val="24"/>
        </w:rPr>
        <w:footnoteReference w:id="81"/>
      </w:r>
      <w:r w:rsidRPr="00A6707B">
        <w:rPr>
          <w:rFonts w:ascii="Times New Roman" w:hAnsi="Times New Roman" w:cs="Times New Roman"/>
          <w:sz w:val="24"/>
          <w:szCs w:val="24"/>
        </w:rPr>
        <w:t>, the Helots performed several tasks the male citizenry were not present to conduct themselves</w:t>
      </w:r>
      <w:r w:rsidRPr="00A6707B">
        <w:rPr>
          <w:rStyle w:val="FootnoteReference"/>
          <w:rFonts w:ascii="Times New Roman" w:hAnsi="Times New Roman" w:cs="Times New Roman"/>
          <w:sz w:val="24"/>
          <w:szCs w:val="24"/>
        </w:rPr>
        <w:footnoteReference w:id="82"/>
      </w:r>
      <w:r w:rsidRPr="00A6707B">
        <w:rPr>
          <w:rFonts w:ascii="Times New Roman" w:hAnsi="Times New Roman" w:cs="Times New Roman"/>
          <w:sz w:val="24"/>
          <w:szCs w:val="24"/>
        </w:rPr>
        <w:t xml:space="preserve">. Drawing on Plato’s </w:t>
      </w:r>
      <w:r w:rsidR="00C360E1" w:rsidRPr="00A6707B">
        <w:rPr>
          <w:rFonts w:ascii="Times New Roman" w:hAnsi="Times New Roman" w:cs="Times New Roman"/>
          <w:sz w:val="24"/>
          <w:szCs w:val="24"/>
        </w:rPr>
        <w:t>utopic</w:t>
      </w:r>
      <w:r w:rsidRPr="00A6707B">
        <w:rPr>
          <w:rFonts w:ascii="Times New Roman" w:hAnsi="Times New Roman" w:cs="Times New Roman"/>
          <w:sz w:val="24"/>
          <w:szCs w:val="24"/>
        </w:rPr>
        <w:t xml:space="preserve"> </w:t>
      </w:r>
      <w:r w:rsidRPr="00A6707B">
        <w:rPr>
          <w:rFonts w:ascii="Times New Roman" w:hAnsi="Times New Roman" w:cs="Times New Roman"/>
          <w:sz w:val="24"/>
          <w:szCs w:val="24"/>
        </w:rPr>
        <w:lastRenderedPageBreak/>
        <w:t>state discussion from earlier in this work</w:t>
      </w:r>
      <w:r w:rsidR="005E457C">
        <w:rPr>
          <w:rFonts w:ascii="Times New Roman" w:hAnsi="Times New Roman" w:cs="Times New Roman"/>
          <w:sz w:val="24"/>
          <w:szCs w:val="24"/>
        </w:rPr>
        <w:t>, the Helots functioned as the contributors</w:t>
      </w:r>
      <w:r w:rsidR="00F3256A">
        <w:rPr>
          <w:rFonts w:ascii="Times New Roman" w:hAnsi="Times New Roman" w:cs="Times New Roman"/>
          <w:sz w:val="24"/>
          <w:szCs w:val="24"/>
        </w:rPr>
        <w:t>.</w:t>
      </w:r>
      <w:r w:rsidRPr="00A6707B">
        <w:rPr>
          <w:rStyle w:val="FootnoteReference"/>
          <w:rFonts w:ascii="Times New Roman" w:hAnsi="Times New Roman" w:cs="Times New Roman"/>
          <w:sz w:val="24"/>
          <w:szCs w:val="24"/>
        </w:rPr>
        <w:footnoteReference w:id="83"/>
      </w:r>
      <w:r w:rsidRPr="00A6707B">
        <w:rPr>
          <w:rFonts w:ascii="Times New Roman" w:hAnsi="Times New Roman" w:cs="Times New Roman"/>
          <w:sz w:val="24"/>
          <w:szCs w:val="24"/>
        </w:rPr>
        <w:t xml:space="preserve"> While it is easy to label the Helots as a slave race, it may be more accurate to simply acknowledge they </w:t>
      </w:r>
      <w:r w:rsidR="005E457C">
        <w:rPr>
          <w:rFonts w:ascii="Times New Roman" w:hAnsi="Times New Roman" w:cs="Times New Roman"/>
          <w:sz w:val="24"/>
          <w:szCs w:val="24"/>
        </w:rPr>
        <w:t>were subjugated by the Spartans</w:t>
      </w:r>
      <w:r w:rsidR="001A10D3" w:rsidRPr="00A6707B">
        <w:rPr>
          <w:rFonts w:ascii="Times New Roman" w:hAnsi="Times New Roman" w:cs="Times New Roman"/>
          <w:sz w:val="24"/>
          <w:szCs w:val="24"/>
        </w:rPr>
        <w:t xml:space="preserve">. </w:t>
      </w:r>
      <w:r w:rsidRPr="00A6707B">
        <w:rPr>
          <w:rFonts w:ascii="Times New Roman" w:hAnsi="Times New Roman" w:cs="Times New Roman"/>
          <w:sz w:val="24"/>
          <w:szCs w:val="24"/>
        </w:rPr>
        <w:t>Cartledge discusses the Helot system to be one of seven defective aspects of the Spartan society, not based on moral implications but on the practical management of them, primarily the sheer number of them in comparison to what Cartledge refers to as the ‘master class’</w:t>
      </w:r>
      <w:r w:rsidRPr="00A6707B">
        <w:rPr>
          <w:rStyle w:val="FootnoteReference"/>
          <w:rFonts w:ascii="Times New Roman" w:hAnsi="Times New Roman" w:cs="Times New Roman"/>
          <w:sz w:val="24"/>
          <w:szCs w:val="24"/>
        </w:rPr>
        <w:footnoteReference w:id="84"/>
      </w:r>
      <w:r w:rsidRPr="00A6707B">
        <w:rPr>
          <w:rFonts w:ascii="Times New Roman" w:hAnsi="Times New Roman" w:cs="Times New Roman"/>
          <w:sz w:val="24"/>
          <w:szCs w:val="24"/>
        </w:rPr>
        <w:t>. The Helots were not slaves in the sense they belonged to an individual citizen and worked solely for his house, the Helots worked for the state</w:t>
      </w:r>
      <w:r w:rsidRPr="00A6707B">
        <w:rPr>
          <w:rStyle w:val="FootnoteReference"/>
          <w:rFonts w:ascii="Times New Roman" w:hAnsi="Times New Roman" w:cs="Times New Roman"/>
          <w:sz w:val="24"/>
          <w:szCs w:val="24"/>
        </w:rPr>
        <w:footnoteReference w:id="85"/>
      </w:r>
      <w:r w:rsidRPr="00A6707B">
        <w:rPr>
          <w:rFonts w:ascii="Times New Roman" w:hAnsi="Times New Roman" w:cs="Times New Roman"/>
          <w:sz w:val="24"/>
          <w:szCs w:val="24"/>
        </w:rPr>
        <w:t xml:space="preserve">. From growing food to construction, the Helots enabled the Spartan citizenry to focus on its military. This meant that while the Helots were a benefit to the function of Sparta, they were also one of the biggest threats to the state’s stability. </w:t>
      </w:r>
    </w:p>
    <w:p w:rsidR="00B3464B" w:rsidRPr="00A6707B" w:rsidRDefault="00B3464B"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The helot revolt of 464BC</w:t>
      </w:r>
      <w:r w:rsidR="00F3256A">
        <w:rPr>
          <w:rFonts w:ascii="Times New Roman" w:hAnsi="Times New Roman" w:cs="Times New Roman"/>
          <w:sz w:val="24"/>
          <w:szCs w:val="24"/>
        </w:rPr>
        <w:t>E</w:t>
      </w:r>
      <w:r w:rsidRPr="00A6707B">
        <w:rPr>
          <w:rFonts w:ascii="Times New Roman" w:hAnsi="Times New Roman" w:cs="Times New Roman"/>
          <w:sz w:val="24"/>
          <w:szCs w:val="24"/>
        </w:rPr>
        <w:t xml:space="preserve"> is evidence of the fragility of the system. As an earthquake tore through </w:t>
      </w:r>
      <w:r w:rsidR="00C34DB5" w:rsidRPr="00A6707B">
        <w:rPr>
          <w:rFonts w:ascii="Times New Roman" w:hAnsi="Times New Roman" w:cs="Times New Roman"/>
          <w:sz w:val="24"/>
          <w:szCs w:val="24"/>
        </w:rPr>
        <w:t>Lacedamonia</w:t>
      </w:r>
      <w:r w:rsidR="005E457C">
        <w:rPr>
          <w:rStyle w:val="FootnoteReference"/>
          <w:rFonts w:ascii="Times New Roman" w:hAnsi="Times New Roman" w:cs="Times New Roman"/>
          <w:sz w:val="24"/>
          <w:szCs w:val="24"/>
        </w:rPr>
        <w:footnoteReference w:id="86"/>
      </w:r>
      <w:r w:rsidRPr="00A6707B">
        <w:rPr>
          <w:rFonts w:ascii="Times New Roman" w:hAnsi="Times New Roman" w:cs="Times New Roman"/>
          <w:sz w:val="24"/>
          <w:szCs w:val="24"/>
        </w:rPr>
        <w:t>, the state of Sparta was on the edge of destruction, aside from the damage to the state physically, the number of casualties was high</w:t>
      </w:r>
      <w:r w:rsidRPr="00A6707B">
        <w:rPr>
          <w:rStyle w:val="FootnoteReference"/>
          <w:rFonts w:ascii="Times New Roman" w:hAnsi="Times New Roman" w:cs="Times New Roman"/>
          <w:sz w:val="24"/>
          <w:szCs w:val="24"/>
        </w:rPr>
        <w:footnoteReference w:id="87"/>
      </w:r>
      <w:r w:rsidRPr="00A6707B">
        <w:rPr>
          <w:rFonts w:ascii="Times New Roman" w:hAnsi="Times New Roman" w:cs="Times New Roman"/>
          <w:sz w:val="24"/>
          <w:szCs w:val="24"/>
        </w:rPr>
        <w:t>. French discusses the breakdown of Spartan-Athenian relations as a result of the ‘threat’ of Spartan military might being diminished by the destruction Lacedamonia was faced with.</w:t>
      </w:r>
      <w:r w:rsidRPr="00A6707B">
        <w:rPr>
          <w:rStyle w:val="FootnoteReference"/>
          <w:rFonts w:ascii="Times New Roman" w:hAnsi="Times New Roman" w:cs="Times New Roman"/>
          <w:sz w:val="24"/>
          <w:szCs w:val="24"/>
        </w:rPr>
        <w:footnoteReference w:id="88"/>
      </w:r>
      <w:r w:rsidRPr="00A6707B">
        <w:rPr>
          <w:rFonts w:ascii="Times New Roman" w:hAnsi="Times New Roman" w:cs="Times New Roman"/>
          <w:sz w:val="24"/>
          <w:szCs w:val="24"/>
        </w:rPr>
        <w:t xml:space="preserve"> The Helots took advantage of a reduced Spartan presence in the polis during the Third Messanian War to take Mt Ithome as a strategic position, leading the Spartans to seek aid from their allies (Athens among others) in order to end the revolt</w:t>
      </w:r>
      <w:r w:rsidRPr="00A6707B">
        <w:rPr>
          <w:rStyle w:val="FootnoteReference"/>
          <w:rFonts w:ascii="Times New Roman" w:hAnsi="Times New Roman" w:cs="Times New Roman"/>
          <w:sz w:val="24"/>
          <w:szCs w:val="24"/>
        </w:rPr>
        <w:footnoteReference w:id="89"/>
      </w:r>
      <w:r w:rsidRPr="00A6707B">
        <w:rPr>
          <w:rFonts w:ascii="Times New Roman" w:hAnsi="Times New Roman" w:cs="Times New Roman"/>
          <w:sz w:val="24"/>
          <w:szCs w:val="24"/>
        </w:rPr>
        <w:t xml:space="preserve">. The Helot revolts led the Spartan citizens to have young men currently in the Agoge patrol the Helot living areas, enforcing a curfew with orders to hunt and kill any breaking that </w:t>
      </w:r>
      <w:r w:rsidRPr="00A6707B">
        <w:rPr>
          <w:rFonts w:ascii="Times New Roman" w:hAnsi="Times New Roman" w:cs="Times New Roman"/>
          <w:sz w:val="24"/>
          <w:szCs w:val="24"/>
        </w:rPr>
        <w:lastRenderedPageBreak/>
        <w:t>curfew</w:t>
      </w:r>
      <w:r w:rsidRPr="00A6707B">
        <w:rPr>
          <w:rStyle w:val="FootnoteReference"/>
          <w:rFonts w:ascii="Times New Roman" w:hAnsi="Times New Roman" w:cs="Times New Roman"/>
          <w:sz w:val="24"/>
          <w:szCs w:val="24"/>
        </w:rPr>
        <w:footnoteReference w:id="90"/>
      </w:r>
      <w:r w:rsidRPr="00A6707B">
        <w:rPr>
          <w:rFonts w:ascii="Times New Roman" w:hAnsi="Times New Roman" w:cs="Times New Roman"/>
          <w:sz w:val="24"/>
          <w:szCs w:val="24"/>
        </w:rPr>
        <w:t>. This worked as a sort of population control, by removing those brave enough to attempt to flee or disobey the Spartans while also instilling fear into those who remained. There have been instances where large numbers of Helots were put to death</w:t>
      </w:r>
      <w:r w:rsidRPr="00A6707B">
        <w:rPr>
          <w:rStyle w:val="FootnoteReference"/>
          <w:rFonts w:ascii="Times New Roman" w:hAnsi="Times New Roman" w:cs="Times New Roman"/>
          <w:sz w:val="24"/>
          <w:szCs w:val="24"/>
        </w:rPr>
        <w:footnoteReference w:id="91"/>
      </w:r>
      <w:r w:rsidRPr="00A6707B">
        <w:rPr>
          <w:rFonts w:ascii="Times New Roman" w:hAnsi="Times New Roman" w:cs="Times New Roman"/>
          <w:sz w:val="24"/>
          <w:szCs w:val="24"/>
        </w:rPr>
        <w:t xml:space="preserve"> and the results of the revolts meant catastrophic losses for the Helots.</w:t>
      </w:r>
    </w:p>
    <w:p w:rsidR="002939A1" w:rsidRPr="00A6707B" w:rsidRDefault="00B3464B"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Interestingly, these instances did not stop the Spartan citizenry from having the Helots serve in the military in times of war</w:t>
      </w:r>
      <w:r w:rsidRPr="00A6707B">
        <w:rPr>
          <w:rStyle w:val="FootnoteReference"/>
          <w:rFonts w:ascii="Times New Roman" w:hAnsi="Times New Roman" w:cs="Times New Roman"/>
          <w:sz w:val="24"/>
          <w:szCs w:val="24"/>
        </w:rPr>
        <w:footnoteReference w:id="92"/>
      </w:r>
      <w:r w:rsidRPr="00A6707B">
        <w:rPr>
          <w:rFonts w:ascii="Times New Roman" w:hAnsi="Times New Roman" w:cs="Times New Roman"/>
          <w:sz w:val="24"/>
          <w:szCs w:val="24"/>
        </w:rPr>
        <w:t>. The Helots performed a number of roles in the Spartan military, from baggage carriers to hoplites. Their role in the military aids the label of slave regarding the Helots, due to the fact they seemingly had less rights than the Spartan citizen however, those who fought for the polis enjoyed more liberties than those who did not</w:t>
      </w:r>
      <w:r w:rsidRPr="00A6707B">
        <w:rPr>
          <w:rStyle w:val="FootnoteReference"/>
          <w:rFonts w:ascii="Times New Roman" w:hAnsi="Times New Roman" w:cs="Times New Roman"/>
          <w:sz w:val="24"/>
          <w:szCs w:val="24"/>
        </w:rPr>
        <w:footnoteReference w:id="93"/>
      </w:r>
      <w:r w:rsidRPr="00A6707B">
        <w:rPr>
          <w:rFonts w:ascii="Times New Roman" w:hAnsi="Times New Roman" w:cs="Times New Roman"/>
          <w:sz w:val="24"/>
          <w:szCs w:val="24"/>
        </w:rPr>
        <w:t xml:space="preserve"> some even being offered their ‘freedom’ in return for their service as in the case of Brasidas’ expeditionary force</w:t>
      </w:r>
      <w:r w:rsidRPr="00A6707B">
        <w:rPr>
          <w:rStyle w:val="FootnoteReference"/>
          <w:rFonts w:ascii="Times New Roman" w:hAnsi="Times New Roman" w:cs="Times New Roman"/>
          <w:sz w:val="24"/>
          <w:szCs w:val="24"/>
        </w:rPr>
        <w:footnoteReference w:id="94"/>
      </w:r>
      <w:r w:rsidRPr="00A6707B">
        <w:rPr>
          <w:rFonts w:ascii="Times New Roman" w:hAnsi="Times New Roman" w:cs="Times New Roman"/>
          <w:sz w:val="24"/>
          <w:szCs w:val="24"/>
        </w:rPr>
        <w:t xml:space="preserve">. </w:t>
      </w:r>
    </w:p>
    <w:p w:rsidR="00C360E1" w:rsidRPr="00A6707B" w:rsidRDefault="00C360E1"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Further, the Helots were not paid, with their arms and armour provided at the cost of the state</w:t>
      </w:r>
      <w:r w:rsidR="00F3256A">
        <w:rPr>
          <w:rFonts w:ascii="Times New Roman" w:hAnsi="Times New Roman" w:cs="Times New Roman"/>
          <w:sz w:val="24"/>
          <w:szCs w:val="24"/>
        </w:rPr>
        <w:t>, but for the purpose of this work the Helots primary occupation was not to serve in the state military.</w:t>
      </w:r>
      <w:r w:rsidRPr="00A6707B">
        <w:rPr>
          <w:rFonts w:ascii="Times New Roman" w:hAnsi="Times New Roman" w:cs="Times New Roman"/>
          <w:sz w:val="24"/>
          <w:szCs w:val="24"/>
        </w:rPr>
        <w:t xml:space="preserve"> Cartledge makes the argument that in instances of civil unrest for the Spartans, their chief concern was another Helot revolt so by providing these arms and armour it reduced the number of Helots in Sparta as well as increasing their numbers in battle due to the Helot experience of combat as armour bearers</w:t>
      </w:r>
      <w:r w:rsidRPr="00A6707B">
        <w:rPr>
          <w:rStyle w:val="FootnoteReference"/>
          <w:rFonts w:ascii="Times New Roman" w:hAnsi="Times New Roman" w:cs="Times New Roman"/>
          <w:sz w:val="24"/>
          <w:szCs w:val="24"/>
        </w:rPr>
        <w:footnoteReference w:id="95"/>
      </w:r>
      <w:r w:rsidRPr="00A6707B">
        <w:rPr>
          <w:rFonts w:ascii="Times New Roman" w:hAnsi="Times New Roman" w:cs="Times New Roman"/>
          <w:sz w:val="24"/>
          <w:szCs w:val="24"/>
        </w:rPr>
        <w:t>. I would be inclined to agree that if the Spartans feared the Helots revolting, then removing a portion of the rioting population from Sparta and taking it to the battlefield</w:t>
      </w:r>
      <w:r w:rsidRPr="00A6707B">
        <w:rPr>
          <w:rStyle w:val="FootnoteReference"/>
          <w:rFonts w:ascii="Times New Roman" w:hAnsi="Times New Roman" w:cs="Times New Roman"/>
          <w:sz w:val="24"/>
          <w:szCs w:val="24"/>
        </w:rPr>
        <w:footnoteReference w:id="96"/>
      </w:r>
      <w:r w:rsidRPr="00A6707B">
        <w:rPr>
          <w:rFonts w:ascii="Times New Roman" w:hAnsi="Times New Roman" w:cs="Times New Roman"/>
          <w:sz w:val="24"/>
          <w:szCs w:val="24"/>
        </w:rPr>
        <w:t xml:space="preserve"> and keeping it under observation achieved two things. Firstly, it would set the Spartans at ease and reduce the </w:t>
      </w:r>
      <w:r w:rsidRPr="00A6707B">
        <w:rPr>
          <w:rFonts w:ascii="Times New Roman" w:hAnsi="Times New Roman" w:cs="Times New Roman"/>
          <w:sz w:val="24"/>
          <w:szCs w:val="24"/>
        </w:rPr>
        <w:lastRenderedPageBreak/>
        <w:t>number of Helots that can bear arms in a riot in Sparta and secondly, would act as a method of population control as the Spartans can take those Helots most suited to combat, who were likely the ones most likely to bear arms against them. As a result, in the event the Helot fell in battle it reduced the number of potential rioters in Sparta. Further, aside from the difficulty in determining whether Helots can be considered professional from a lack of income, the Spartan society placed higher value on goods and land than coinage to ensure their citizenry did not hoard wealth out of greed</w:t>
      </w:r>
      <w:r w:rsidRPr="00A6707B">
        <w:rPr>
          <w:rStyle w:val="FootnoteReference"/>
          <w:rFonts w:ascii="Times New Roman" w:hAnsi="Times New Roman" w:cs="Times New Roman"/>
          <w:sz w:val="24"/>
          <w:szCs w:val="24"/>
        </w:rPr>
        <w:footnoteReference w:id="97"/>
      </w:r>
      <w:r w:rsidRPr="00A6707B">
        <w:rPr>
          <w:rFonts w:ascii="Times New Roman" w:hAnsi="Times New Roman" w:cs="Times New Roman"/>
          <w:sz w:val="24"/>
          <w:szCs w:val="24"/>
        </w:rPr>
        <w:t>. For the purpose of this discussion, this work will function on the understanding that professionalism is a result of fighting for livelihood, including the freedom won by the Helot’s of Brasidas’ expeditionary force</w:t>
      </w:r>
      <w:r w:rsidRPr="00A6707B">
        <w:rPr>
          <w:rStyle w:val="FootnoteReference"/>
          <w:rFonts w:ascii="Times New Roman" w:hAnsi="Times New Roman" w:cs="Times New Roman"/>
          <w:sz w:val="24"/>
          <w:szCs w:val="24"/>
        </w:rPr>
        <w:footnoteReference w:id="98"/>
      </w:r>
      <w:r w:rsidRPr="00A6707B">
        <w:rPr>
          <w:rFonts w:ascii="Times New Roman" w:hAnsi="Times New Roman" w:cs="Times New Roman"/>
          <w:sz w:val="24"/>
          <w:szCs w:val="24"/>
        </w:rPr>
        <w:t xml:space="preserve"> as well as the goods and land traded with the Spartan citizenry, not just coinage.</w:t>
      </w:r>
    </w:p>
    <w:p w:rsidR="00356AD5" w:rsidRPr="00A6707B" w:rsidRDefault="00356AD5" w:rsidP="00A6707B">
      <w:pPr>
        <w:spacing w:line="480" w:lineRule="auto"/>
        <w:rPr>
          <w:rFonts w:ascii="Times New Roman" w:hAnsi="Times New Roman" w:cs="Times New Roman"/>
          <w:sz w:val="24"/>
          <w:szCs w:val="24"/>
        </w:rPr>
      </w:pPr>
    </w:p>
    <w:p w:rsidR="000E3641" w:rsidRPr="00532282" w:rsidRDefault="006B0624" w:rsidP="00A6707B">
      <w:pPr>
        <w:pStyle w:val="Heading2"/>
        <w:spacing w:line="480" w:lineRule="auto"/>
        <w:rPr>
          <w:rFonts w:ascii="Times New Roman" w:hAnsi="Times New Roman" w:cs="Times New Roman"/>
          <w:color w:val="auto"/>
          <w:sz w:val="28"/>
          <w:szCs w:val="24"/>
        </w:rPr>
      </w:pPr>
      <w:bookmarkStart w:id="8" w:name="_Toc8191338"/>
      <w:r w:rsidRPr="00532282">
        <w:rPr>
          <w:rFonts w:ascii="Times New Roman" w:hAnsi="Times New Roman" w:cs="Times New Roman"/>
          <w:color w:val="auto"/>
          <w:sz w:val="28"/>
          <w:szCs w:val="24"/>
        </w:rPr>
        <w:t>Spartan professionalism</w:t>
      </w:r>
      <w:r w:rsidR="00D403D3" w:rsidRPr="00532282">
        <w:rPr>
          <w:rFonts w:ascii="Times New Roman" w:hAnsi="Times New Roman" w:cs="Times New Roman"/>
          <w:color w:val="auto"/>
          <w:sz w:val="28"/>
          <w:szCs w:val="24"/>
        </w:rPr>
        <w:t>; military model or unique polis?</w:t>
      </w:r>
      <w:bookmarkEnd w:id="8"/>
      <w:r w:rsidR="00D403D3" w:rsidRPr="00532282">
        <w:rPr>
          <w:rFonts w:ascii="Times New Roman" w:hAnsi="Times New Roman" w:cs="Times New Roman"/>
          <w:color w:val="auto"/>
          <w:sz w:val="28"/>
          <w:szCs w:val="24"/>
        </w:rPr>
        <w:t xml:space="preserve"> </w:t>
      </w:r>
    </w:p>
    <w:p w:rsidR="00894B9D" w:rsidRPr="00A6707B" w:rsidRDefault="006B0624"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The previous sections of this chapter has used the debate of Cartledge to determine the aspects of Spartan society that not only made it a polis that subverts slightly from the common attributes expected of a Greek polis, it has also enabled this work to identify what about these areas of Spartan society allowed for the development of Spartan professionalism. This section will summarise these points to conclusively determine what is meant by Spartan professionalism.</w:t>
      </w:r>
      <w:bookmarkEnd w:id="2"/>
    </w:p>
    <w:p w:rsidR="00D403D3" w:rsidRPr="00A6707B" w:rsidRDefault="00D403D3"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Sparta meets a majority of the criteria Cartledge desires, however the inclusion of the Perioikoi and the Helot system lead this work to view the state more as a unique polis not designed for longevity, </w:t>
      </w:r>
      <w:r w:rsidR="00DF096B" w:rsidRPr="00A6707B">
        <w:rPr>
          <w:rFonts w:ascii="Times New Roman" w:hAnsi="Times New Roman" w:cs="Times New Roman"/>
          <w:sz w:val="24"/>
          <w:szCs w:val="24"/>
        </w:rPr>
        <w:t>and this</w:t>
      </w:r>
      <w:r w:rsidRPr="00A6707B">
        <w:rPr>
          <w:rFonts w:ascii="Times New Roman" w:hAnsi="Times New Roman" w:cs="Times New Roman"/>
          <w:sz w:val="24"/>
          <w:szCs w:val="24"/>
        </w:rPr>
        <w:t xml:space="preserve"> is supported by the </w:t>
      </w:r>
      <w:r w:rsidR="00DF096B" w:rsidRPr="00A6707B">
        <w:rPr>
          <w:rFonts w:ascii="Times New Roman" w:hAnsi="Times New Roman" w:cs="Times New Roman"/>
          <w:sz w:val="24"/>
          <w:szCs w:val="24"/>
        </w:rPr>
        <w:t xml:space="preserve">decline in the number of Spartan </w:t>
      </w:r>
      <w:r w:rsidR="00DF096B" w:rsidRPr="00A6707B">
        <w:rPr>
          <w:rFonts w:ascii="Times New Roman" w:hAnsi="Times New Roman" w:cs="Times New Roman"/>
          <w:sz w:val="24"/>
          <w:szCs w:val="24"/>
        </w:rPr>
        <w:lastRenderedPageBreak/>
        <w:t xml:space="preserve">citizens and the subsequent </w:t>
      </w:r>
      <w:r w:rsidRPr="00A6707B">
        <w:rPr>
          <w:rFonts w:ascii="Times New Roman" w:hAnsi="Times New Roman" w:cs="Times New Roman"/>
          <w:sz w:val="24"/>
          <w:szCs w:val="24"/>
        </w:rPr>
        <w:t xml:space="preserve">interaction of the Perioikoi in relation to their place in the </w:t>
      </w:r>
      <w:r w:rsidR="00C34DB5" w:rsidRPr="00A6707B">
        <w:rPr>
          <w:rFonts w:ascii="Times New Roman" w:hAnsi="Times New Roman" w:cs="Times New Roman"/>
          <w:sz w:val="24"/>
          <w:szCs w:val="24"/>
        </w:rPr>
        <w:t>Lacedamonia</w:t>
      </w:r>
      <w:r w:rsidRPr="00A6707B">
        <w:rPr>
          <w:rFonts w:ascii="Times New Roman" w:hAnsi="Times New Roman" w:cs="Times New Roman"/>
          <w:sz w:val="24"/>
          <w:szCs w:val="24"/>
        </w:rPr>
        <w:t xml:space="preserve"> army. In relation to professionalism, the Spartan citizens fit the description of a professional soldier as it is not only their primary occupation in comparison to the Perioikoi who have agricultural commitments, they are also in a state of what </w:t>
      </w:r>
      <w:r w:rsidR="00777AC0" w:rsidRPr="00A6707B">
        <w:rPr>
          <w:rFonts w:ascii="Times New Roman" w:hAnsi="Times New Roman" w:cs="Times New Roman"/>
          <w:sz w:val="24"/>
          <w:szCs w:val="24"/>
        </w:rPr>
        <w:t>David refers to as a “perpetual readiness for war”</w:t>
      </w:r>
      <w:r w:rsidR="00777AC0" w:rsidRPr="00A6707B">
        <w:rPr>
          <w:rStyle w:val="FootnoteReference"/>
          <w:rFonts w:ascii="Times New Roman" w:hAnsi="Times New Roman" w:cs="Times New Roman"/>
          <w:sz w:val="24"/>
          <w:szCs w:val="24"/>
        </w:rPr>
        <w:footnoteReference w:id="99"/>
      </w:r>
      <w:r w:rsidR="00777AC0" w:rsidRPr="00A6707B">
        <w:rPr>
          <w:rFonts w:ascii="Times New Roman" w:hAnsi="Times New Roman" w:cs="Times New Roman"/>
          <w:sz w:val="24"/>
          <w:szCs w:val="24"/>
        </w:rPr>
        <w:t xml:space="preserve"> as a result of the communal mess, the syssitia, </w:t>
      </w:r>
      <w:r w:rsidR="00DF096B" w:rsidRPr="00A6707B">
        <w:rPr>
          <w:rFonts w:ascii="Times New Roman" w:hAnsi="Times New Roman" w:cs="Times New Roman"/>
          <w:sz w:val="24"/>
          <w:szCs w:val="24"/>
        </w:rPr>
        <w:t>the purpose of which is</w:t>
      </w:r>
      <w:r w:rsidR="00777AC0" w:rsidRPr="00A6707B">
        <w:rPr>
          <w:rFonts w:ascii="Times New Roman" w:hAnsi="Times New Roman" w:cs="Times New Roman"/>
          <w:sz w:val="24"/>
          <w:szCs w:val="24"/>
        </w:rPr>
        <w:t xml:space="preserve"> to maintain order in times of peace and in the private lives of the soldiers</w:t>
      </w:r>
      <w:r w:rsidR="00777AC0" w:rsidRPr="00A6707B">
        <w:rPr>
          <w:rStyle w:val="FootnoteReference"/>
          <w:rFonts w:ascii="Times New Roman" w:hAnsi="Times New Roman" w:cs="Times New Roman"/>
          <w:sz w:val="24"/>
          <w:szCs w:val="24"/>
        </w:rPr>
        <w:footnoteReference w:id="100"/>
      </w:r>
      <w:r w:rsidR="00777AC0" w:rsidRPr="00A6707B">
        <w:rPr>
          <w:rFonts w:ascii="Times New Roman" w:hAnsi="Times New Roman" w:cs="Times New Roman"/>
          <w:sz w:val="24"/>
          <w:szCs w:val="24"/>
        </w:rPr>
        <w:t xml:space="preserve"> that would extend into public life. </w:t>
      </w:r>
      <w:r w:rsidR="00801955" w:rsidRPr="00A6707B">
        <w:rPr>
          <w:rFonts w:ascii="Times New Roman" w:hAnsi="Times New Roman" w:cs="Times New Roman"/>
          <w:sz w:val="24"/>
          <w:szCs w:val="24"/>
        </w:rPr>
        <w:t xml:space="preserve"> </w:t>
      </w:r>
    </w:p>
    <w:p w:rsidR="00A00DD0" w:rsidRPr="00A6707B" w:rsidRDefault="00A00DD0" w:rsidP="00A6707B">
      <w:pPr>
        <w:pStyle w:val="Heading1"/>
        <w:spacing w:line="480" w:lineRule="auto"/>
        <w:jc w:val="center"/>
        <w:rPr>
          <w:rFonts w:ascii="Times New Roman" w:hAnsi="Times New Roman" w:cs="Times New Roman"/>
          <w:color w:val="auto"/>
          <w:sz w:val="24"/>
          <w:szCs w:val="24"/>
        </w:rPr>
      </w:pPr>
      <w:r w:rsidRPr="00A6707B">
        <w:rPr>
          <w:rFonts w:ascii="Times New Roman" w:hAnsi="Times New Roman" w:cs="Times New Roman"/>
          <w:color w:val="auto"/>
          <w:sz w:val="24"/>
          <w:szCs w:val="24"/>
        </w:rPr>
        <w:br w:type="page"/>
      </w:r>
    </w:p>
    <w:p w:rsidR="00CF38EC" w:rsidRPr="00D349B2" w:rsidRDefault="00CF38EC" w:rsidP="00A6707B">
      <w:pPr>
        <w:pStyle w:val="Heading1"/>
        <w:spacing w:line="480" w:lineRule="auto"/>
        <w:jc w:val="center"/>
        <w:rPr>
          <w:rFonts w:ascii="Times New Roman" w:hAnsi="Times New Roman" w:cs="Times New Roman"/>
          <w:color w:val="auto"/>
          <w:szCs w:val="36"/>
        </w:rPr>
      </w:pPr>
      <w:bookmarkStart w:id="9" w:name="_Toc8191339"/>
      <w:r w:rsidRPr="00D349B2">
        <w:rPr>
          <w:rFonts w:ascii="Times New Roman" w:hAnsi="Times New Roman" w:cs="Times New Roman"/>
          <w:color w:val="auto"/>
          <w:szCs w:val="36"/>
        </w:rPr>
        <w:lastRenderedPageBreak/>
        <w:t>Chapter 3: Professional forces outside of Sparta</w:t>
      </w:r>
      <w:bookmarkEnd w:id="9"/>
    </w:p>
    <w:p w:rsidR="006D10AA" w:rsidRDefault="00473D5F"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This </w:t>
      </w:r>
      <w:r w:rsidR="00AC5D9A" w:rsidRPr="00A6707B">
        <w:rPr>
          <w:rFonts w:ascii="Times New Roman" w:hAnsi="Times New Roman" w:cs="Times New Roman"/>
          <w:sz w:val="24"/>
          <w:szCs w:val="24"/>
        </w:rPr>
        <w:t>chapter</w:t>
      </w:r>
      <w:r w:rsidRPr="00A6707B">
        <w:rPr>
          <w:rFonts w:ascii="Times New Roman" w:hAnsi="Times New Roman" w:cs="Times New Roman"/>
          <w:sz w:val="24"/>
          <w:szCs w:val="24"/>
        </w:rPr>
        <w:t xml:space="preserve"> will focus on professional forces outside Sparta, </w:t>
      </w:r>
      <w:r w:rsidR="00534A21" w:rsidRPr="00A6707B">
        <w:rPr>
          <w:rFonts w:ascii="Times New Roman" w:hAnsi="Times New Roman" w:cs="Times New Roman"/>
          <w:sz w:val="24"/>
          <w:szCs w:val="24"/>
        </w:rPr>
        <w:t>specifically</w:t>
      </w:r>
      <w:r w:rsidRPr="00A6707B">
        <w:rPr>
          <w:rFonts w:ascii="Times New Roman" w:hAnsi="Times New Roman" w:cs="Times New Roman"/>
          <w:sz w:val="24"/>
          <w:szCs w:val="24"/>
        </w:rPr>
        <w:t xml:space="preserve"> the Theban Sacred band to determine if the force was based on the Spartan model and how the state of Thebes supported them. By discussing instances the uni</w:t>
      </w:r>
      <w:r w:rsidR="00534A21" w:rsidRPr="00A6707B">
        <w:rPr>
          <w:rFonts w:ascii="Times New Roman" w:hAnsi="Times New Roman" w:cs="Times New Roman"/>
          <w:sz w:val="24"/>
          <w:szCs w:val="24"/>
        </w:rPr>
        <w:t>t was</w:t>
      </w:r>
      <w:r w:rsidRPr="00A6707B">
        <w:rPr>
          <w:rFonts w:ascii="Times New Roman" w:hAnsi="Times New Roman" w:cs="Times New Roman"/>
          <w:sz w:val="24"/>
          <w:szCs w:val="24"/>
        </w:rPr>
        <w:t xml:space="preserve"> present according the sources, this section will determine whether the unit was effective and whether the way it was supported was designed to last or </w:t>
      </w:r>
      <w:r w:rsidR="00534A21" w:rsidRPr="00A6707B">
        <w:rPr>
          <w:rFonts w:ascii="Times New Roman" w:hAnsi="Times New Roman" w:cs="Times New Roman"/>
          <w:sz w:val="24"/>
          <w:szCs w:val="24"/>
        </w:rPr>
        <w:t xml:space="preserve">used only </w:t>
      </w:r>
      <w:r w:rsidRPr="00A6707B">
        <w:rPr>
          <w:rFonts w:ascii="Times New Roman" w:hAnsi="Times New Roman" w:cs="Times New Roman"/>
          <w:sz w:val="24"/>
          <w:szCs w:val="24"/>
        </w:rPr>
        <w:t>for those particular events. Further this section will compare the implementation of the Argive one thousand in order to determine</w:t>
      </w:r>
      <w:r w:rsidR="00F3256A">
        <w:rPr>
          <w:rFonts w:ascii="Times New Roman" w:hAnsi="Times New Roman" w:cs="Times New Roman"/>
          <w:sz w:val="24"/>
          <w:szCs w:val="24"/>
        </w:rPr>
        <w:t xml:space="preserve"> if there was a precedent for a</w:t>
      </w:r>
      <w:r w:rsidRPr="00A6707B">
        <w:rPr>
          <w:rFonts w:ascii="Times New Roman" w:hAnsi="Times New Roman" w:cs="Times New Roman"/>
          <w:sz w:val="24"/>
          <w:szCs w:val="24"/>
        </w:rPr>
        <w:t xml:space="preserve"> dedicated military unit. </w:t>
      </w:r>
      <w:r w:rsidR="002B7BC1" w:rsidRPr="00A6707B">
        <w:rPr>
          <w:rFonts w:ascii="Times New Roman" w:hAnsi="Times New Roman" w:cs="Times New Roman"/>
          <w:sz w:val="24"/>
          <w:szCs w:val="24"/>
        </w:rPr>
        <w:t>Finally</w:t>
      </w:r>
      <w:r w:rsidR="00041659" w:rsidRPr="00A6707B">
        <w:rPr>
          <w:rFonts w:ascii="Times New Roman" w:hAnsi="Times New Roman" w:cs="Times New Roman"/>
          <w:sz w:val="24"/>
          <w:szCs w:val="24"/>
        </w:rPr>
        <w:t>,</w:t>
      </w:r>
      <w:r w:rsidR="002B7BC1" w:rsidRPr="00A6707B">
        <w:rPr>
          <w:rFonts w:ascii="Times New Roman" w:hAnsi="Times New Roman" w:cs="Times New Roman"/>
          <w:sz w:val="24"/>
          <w:szCs w:val="24"/>
        </w:rPr>
        <w:t xml:space="preserve"> this section will determine if the development of the peltast</w:t>
      </w:r>
      <w:r w:rsidR="00F3256A">
        <w:rPr>
          <w:rFonts w:ascii="Times New Roman" w:hAnsi="Times New Roman" w:cs="Times New Roman"/>
          <w:sz w:val="24"/>
          <w:szCs w:val="24"/>
        </w:rPr>
        <w:t xml:space="preserve"> warfare and its</w:t>
      </w:r>
      <w:r w:rsidR="002B7BC1" w:rsidRPr="00A6707B">
        <w:rPr>
          <w:rFonts w:ascii="Times New Roman" w:hAnsi="Times New Roman" w:cs="Times New Roman"/>
          <w:sz w:val="24"/>
          <w:szCs w:val="24"/>
        </w:rPr>
        <w:t xml:space="preserve"> adoption across wider Greece had a significant impact on the development of professionalism in the Greek world. </w:t>
      </w:r>
    </w:p>
    <w:p w:rsidR="00B50485" w:rsidRPr="00A6707B" w:rsidRDefault="00B50485" w:rsidP="00A6707B">
      <w:pPr>
        <w:spacing w:line="480" w:lineRule="auto"/>
        <w:rPr>
          <w:rFonts w:ascii="Times New Roman" w:hAnsi="Times New Roman" w:cs="Times New Roman"/>
          <w:sz w:val="24"/>
          <w:szCs w:val="24"/>
        </w:rPr>
      </w:pPr>
    </w:p>
    <w:p w:rsidR="000E3641" w:rsidRPr="00A6707B" w:rsidRDefault="000E3641" w:rsidP="00A6707B">
      <w:pPr>
        <w:pStyle w:val="Heading2"/>
        <w:spacing w:line="480" w:lineRule="auto"/>
        <w:rPr>
          <w:rFonts w:ascii="Times New Roman" w:hAnsi="Times New Roman" w:cs="Times New Roman"/>
          <w:color w:val="auto"/>
          <w:sz w:val="28"/>
          <w:szCs w:val="24"/>
        </w:rPr>
      </w:pPr>
      <w:bookmarkStart w:id="10" w:name="_Toc8191340"/>
      <w:r w:rsidRPr="00A6707B">
        <w:rPr>
          <w:rFonts w:ascii="Times New Roman" w:hAnsi="Times New Roman" w:cs="Times New Roman"/>
          <w:color w:val="auto"/>
          <w:sz w:val="28"/>
          <w:szCs w:val="24"/>
        </w:rPr>
        <w:t>The Theban Sacred Band</w:t>
      </w:r>
      <w:bookmarkEnd w:id="10"/>
    </w:p>
    <w:p w:rsidR="0022344D" w:rsidRPr="00A6707B" w:rsidRDefault="006E4766" w:rsidP="00A6707B">
      <w:pPr>
        <w:spacing w:line="480" w:lineRule="auto"/>
        <w:rPr>
          <w:rFonts w:ascii="Times New Roman" w:hAnsi="Times New Roman" w:cs="Times New Roman"/>
          <w:color w:val="000000" w:themeColor="text1"/>
          <w:sz w:val="24"/>
          <w:szCs w:val="24"/>
        </w:rPr>
      </w:pPr>
      <w:r w:rsidRPr="00A6707B">
        <w:rPr>
          <w:rFonts w:ascii="Times New Roman" w:hAnsi="Times New Roman" w:cs="Times New Roman"/>
          <w:sz w:val="24"/>
          <w:szCs w:val="24"/>
        </w:rPr>
        <w:t>The purpose of this section is to discuss the formation</w:t>
      </w:r>
      <w:r w:rsidR="000B0E7F" w:rsidRPr="00A6707B">
        <w:rPr>
          <w:rFonts w:ascii="Times New Roman" w:hAnsi="Times New Roman" w:cs="Times New Roman"/>
          <w:sz w:val="24"/>
          <w:szCs w:val="24"/>
        </w:rPr>
        <w:t xml:space="preserve"> and maintenance</w:t>
      </w:r>
      <w:r w:rsidRPr="00A6707B">
        <w:rPr>
          <w:rFonts w:ascii="Times New Roman" w:hAnsi="Times New Roman" w:cs="Times New Roman"/>
          <w:sz w:val="24"/>
          <w:szCs w:val="24"/>
        </w:rPr>
        <w:t xml:space="preserve"> of the Theban Sacred Band. Firstly by identifying the need for a </w:t>
      </w:r>
      <w:r w:rsidRPr="00A6707B">
        <w:rPr>
          <w:rFonts w:ascii="Times New Roman" w:hAnsi="Times New Roman" w:cs="Times New Roman"/>
          <w:color w:val="000000" w:themeColor="text1"/>
          <w:sz w:val="24"/>
          <w:szCs w:val="24"/>
        </w:rPr>
        <w:t>dedicated unit in Thebes. Some modern scholars attribute it to what Hilbert refers to as the Phoibidas affair, where the Spartans took control of the Kadmeia, the Theban acropolis, on route to the Chalcidice in the North of Hellas.</w:t>
      </w:r>
      <w:r w:rsidR="0032148C" w:rsidRPr="00A6707B">
        <w:rPr>
          <w:rStyle w:val="FootnoteReference"/>
          <w:rFonts w:ascii="Times New Roman" w:hAnsi="Times New Roman" w:cs="Times New Roman"/>
          <w:color w:val="000000" w:themeColor="text1"/>
          <w:sz w:val="24"/>
          <w:szCs w:val="24"/>
        </w:rPr>
        <w:footnoteReference w:id="101"/>
      </w:r>
      <w:r w:rsidRPr="00A6707B">
        <w:rPr>
          <w:rFonts w:ascii="Times New Roman" w:hAnsi="Times New Roman" w:cs="Times New Roman"/>
          <w:color w:val="000000" w:themeColor="text1"/>
          <w:sz w:val="24"/>
          <w:szCs w:val="24"/>
        </w:rPr>
        <w:t xml:space="preserve"> In 379BC</w:t>
      </w:r>
      <w:r w:rsidR="00F3256A">
        <w:rPr>
          <w:rFonts w:ascii="Times New Roman" w:hAnsi="Times New Roman" w:cs="Times New Roman"/>
          <w:color w:val="000000" w:themeColor="text1"/>
          <w:sz w:val="24"/>
          <w:szCs w:val="24"/>
        </w:rPr>
        <w:t>E</w:t>
      </w:r>
      <w:r w:rsidRPr="00A6707B">
        <w:rPr>
          <w:rFonts w:ascii="Times New Roman" w:hAnsi="Times New Roman" w:cs="Times New Roman"/>
          <w:color w:val="000000" w:themeColor="text1"/>
          <w:sz w:val="24"/>
          <w:szCs w:val="24"/>
        </w:rPr>
        <w:t xml:space="preserve"> the Thebans overthrew the Spartans, </w:t>
      </w:r>
      <w:r w:rsidR="00902E1C">
        <w:rPr>
          <w:rFonts w:ascii="Times New Roman" w:hAnsi="Times New Roman" w:cs="Times New Roman"/>
          <w:color w:val="000000" w:themeColor="text1"/>
          <w:sz w:val="24"/>
          <w:szCs w:val="24"/>
        </w:rPr>
        <w:t xml:space="preserve">at </w:t>
      </w:r>
      <w:r w:rsidRPr="00A6707B">
        <w:rPr>
          <w:rFonts w:ascii="Times New Roman" w:hAnsi="Times New Roman" w:cs="Times New Roman"/>
          <w:color w:val="000000" w:themeColor="text1"/>
          <w:sz w:val="24"/>
          <w:szCs w:val="24"/>
        </w:rPr>
        <w:t>the</w:t>
      </w:r>
      <w:r w:rsidR="00902E1C">
        <w:rPr>
          <w:rFonts w:ascii="Times New Roman" w:hAnsi="Times New Roman" w:cs="Times New Roman"/>
          <w:color w:val="000000" w:themeColor="text1"/>
          <w:sz w:val="24"/>
          <w:szCs w:val="24"/>
        </w:rPr>
        <w:t xml:space="preserve"> beginning of the</w:t>
      </w:r>
      <w:r w:rsidRPr="00A6707B">
        <w:rPr>
          <w:rFonts w:ascii="Times New Roman" w:hAnsi="Times New Roman" w:cs="Times New Roman"/>
          <w:color w:val="000000" w:themeColor="text1"/>
          <w:sz w:val="24"/>
          <w:szCs w:val="24"/>
        </w:rPr>
        <w:t xml:space="preserve"> Boeotian wa</w:t>
      </w:r>
      <w:r w:rsidR="0022344D" w:rsidRPr="00A6707B">
        <w:rPr>
          <w:rFonts w:ascii="Times New Roman" w:hAnsi="Times New Roman" w:cs="Times New Roman"/>
          <w:color w:val="000000" w:themeColor="text1"/>
          <w:sz w:val="24"/>
          <w:szCs w:val="24"/>
        </w:rPr>
        <w:t>r</w:t>
      </w:r>
      <w:r w:rsidR="0032148C" w:rsidRPr="00A6707B">
        <w:rPr>
          <w:rStyle w:val="FootnoteReference"/>
          <w:rFonts w:ascii="Times New Roman" w:hAnsi="Times New Roman" w:cs="Times New Roman"/>
          <w:color w:val="000000" w:themeColor="text1"/>
          <w:sz w:val="24"/>
          <w:szCs w:val="24"/>
        </w:rPr>
        <w:footnoteReference w:id="102"/>
      </w:r>
      <w:r w:rsidR="0022344D" w:rsidRPr="00A6707B">
        <w:rPr>
          <w:rFonts w:ascii="Times New Roman" w:hAnsi="Times New Roman" w:cs="Times New Roman"/>
          <w:color w:val="000000" w:themeColor="text1"/>
          <w:sz w:val="24"/>
          <w:szCs w:val="24"/>
        </w:rPr>
        <w:t>.</w:t>
      </w:r>
      <w:r w:rsidRPr="00A6707B">
        <w:rPr>
          <w:rFonts w:ascii="Times New Roman" w:hAnsi="Times New Roman" w:cs="Times New Roman"/>
          <w:color w:val="000000" w:themeColor="text1"/>
          <w:sz w:val="24"/>
          <w:szCs w:val="24"/>
        </w:rPr>
        <w:t xml:space="preserve"> As a result, in combination with the view of Spartan indomitability discussed earlier in this work, or out of sheer necessity of living in a war torn Greece, the Thebans required a dedicated force to defend its interests. This section </w:t>
      </w:r>
      <w:r w:rsidRPr="00A6707B">
        <w:rPr>
          <w:rFonts w:ascii="Times New Roman" w:hAnsi="Times New Roman" w:cs="Times New Roman"/>
          <w:color w:val="000000" w:themeColor="text1"/>
          <w:sz w:val="24"/>
          <w:szCs w:val="24"/>
        </w:rPr>
        <w:lastRenderedPageBreak/>
        <w:t xml:space="preserve">will discuss the formation and maintenance of the Sacred Band as well as identifying their place in the development of professionalism in the classical world.  </w:t>
      </w:r>
    </w:p>
    <w:p w:rsidR="00473D5F" w:rsidRPr="00A6707B" w:rsidRDefault="00473D5F"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The formation of the Sacred Band was overseen by Gorgidas</w:t>
      </w:r>
      <w:r w:rsidR="0032148C" w:rsidRPr="00A6707B">
        <w:rPr>
          <w:rStyle w:val="FootnoteReference"/>
          <w:rFonts w:ascii="Times New Roman" w:hAnsi="Times New Roman" w:cs="Times New Roman"/>
          <w:sz w:val="24"/>
          <w:szCs w:val="24"/>
        </w:rPr>
        <w:footnoteReference w:id="103"/>
      </w:r>
      <w:r w:rsidRPr="00A6707B">
        <w:rPr>
          <w:rFonts w:ascii="Times New Roman" w:hAnsi="Times New Roman" w:cs="Times New Roman"/>
          <w:sz w:val="24"/>
          <w:szCs w:val="24"/>
        </w:rPr>
        <w:t>, and was made up of what Xenophon referred to as “favourite boys”</w:t>
      </w:r>
      <w:r w:rsidR="0032148C" w:rsidRPr="00A6707B">
        <w:rPr>
          <w:rStyle w:val="FootnoteReference"/>
          <w:rFonts w:ascii="Times New Roman" w:hAnsi="Times New Roman" w:cs="Times New Roman"/>
          <w:sz w:val="24"/>
          <w:szCs w:val="24"/>
        </w:rPr>
        <w:footnoteReference w:id="104"/>
      </w:r>
      <w:r w:rsidR="0032148C" w:rsidRPr="00A6707B">
        <w:rPr>
          <w:rFonts w:ascii="Times New Roman" w:hAnsi="Times New Roman" w:cs="Times New Roman"/>
          <w:sz w:val="24"/>
          <w:szCs w:val="24"/>
        </w:rPr>
        <w:t>. Hilbert views</w:t>
      </w:r>
      <w:r w:rsidRPr="00A6707B">
        <w:rPr>
          <w:rFonts w:ascii="Times New Roman" w:hAnsi="Times New Roman" w:cs="Times New Roman"/>
          <w:sz w:val="24"/>
          <w:szCs w:val="24"/>
        </w:rPr>
        <w:t xml:space="preserve"> this title as </w:t>
      </w:r>
      <w:r w:rsidR="0032148C" w:rsidRPr="00A6707B">
        <w:rPr>
          <w:rFonts w:ascii="Times New Roman" w:hAnsi="Times New Roman" w:cs="Times New Roman"/>
          <w:sz w:val="24"/>
          <w:szCs w:val="24"/>
        </w:rPr>
        <w:t>complex</w:t>
      </w:r>
      <w:r w:rsidRPr="00A6707B">
        <w:rPr>
          <w:rFonts w:ascii="Times New Roman" w:hAnsi="Times New Roman" w:cs="Times New Roman"/>
          <w:sz w:val="24"/>
          <w:szCs w:val="24"/>
        </w:rPr>
        <w:t>, due to the fact these soldiers were adult men in their society and not children</w:t>
      </w:r>
      <w:r w:rsidR="0032148C" w:rsidRPr="00A6707B">
        <w:rPr>
          <w:rStyle w:val="FootnoteReference"/>
          <w:rFonts w:ascii="Times New Roman" w:hAnsi="Times New Roman" w:cs="Times New Roman"/>
          <w:sz w:val="24"/>
          <w:szCs w:val="24"/>
        </w:rPr>
        <w:footnoteReference w:id="105"/>
      </w:r>
      <w:r w:rsidRPr="00A6707B">
        <w:rPr>
          <w:rFonts w:ascii="Times New Roman" w:hAnsi="Times New Roman" w:cs="Times New Roman"/>
          <w:sz w:val="24"/>
          <w:szCs w:val="24"/>
        </w:rPr>
        <w:t xml:space="preserve">. The Band was comprised </w:t>
      </w:r>
      <w:r w:rsidR="006E4766" w:rsidRPr="00A6707B">
        <w:rPr>
          <w:rFonts w:ascii="Times New Roman" w:hAnsi="Times New Roman" w:cs="Times New Roman"/>
          <w:sz w:val="24"/>
          <w:szCs w:val="24"/>
        </w:rPr>
        <w:t>of</w:t>
      </w:r>
      <w:r w:rsidRPr="00A6707B">
        <w:rPr>
          <w:rFonts w:ascii="Times New Roman" w:hAnsi="Times New Roman" w:cs="Times New Roman"/>
          <w:sz w:val="24"/>
          <w:szCs w:val="24"/>
        </w:rPr>
        <w:t xml:space="preserve"> three hundred soldiers, a number which after the Spartans at Thermopylae held cultural significance in military terms</w:t>
      </w:r>
      <w:r w:rsidR="0032148C" w:rsidRPr="00A6707B">
        <w:rPr>
          <w:rStyle w:val="FootnoteReference"/>
          <w:rFonts w:ascii="Times New Roman" w:hAnsi="Times New Roman" w:cs="Times New Roman"/>
          <w:sz w:val="24"/>
          <w:szCs w:val="24"/>
        </w:rPr>
        <w:footnoteReference w:id="106"/>
      </w:r>
      <w:r w:rsidR="00534A21" w:rsidRPr="00A6707B">
        <w:rPr>
          <w:rFonts w:ascii="Times New Roman" w:hAnsi="Times New Roman" w:cs="Times New Roman"/>
          <w:sz w:val="24"/>
          <w:szCs w:val="24"/>
        </w:rPr>
        <w:t xml:space="preserve"> </w:t>
      </w:r>
      <w:r w:rsidR="00534A21" w:rsidRPr="00A6707B">
        <w:rPr>
          <w:rFonts w:ascii="Times New Roman" w:hAnsi="Times New Roman" w:cs="Times New Roman"/>
          <w:color w:val="000000" w:themeColor="text1"/>
          <w:sz w:val="24"/>
          <w:szCs w:val="24"/>
        </w:rPr>
        <w:t>however it was no</w:t>
      </w:r>
      <w:r w:rsidR="00947137" w:rsidRPr="00A6707B">
        <w:rPr>
          <w:rFonts w:ascii="Times New Roman" w:hAnsi="Times New Roman" w:cs="Times New Roman"/>
          <w:color w:val="000000" w:themeColor="text1"/>
          <w:sz w:val="24"/>
          <w:szCs w:val="24"/>
        </w:rPr>
        <w:t>t solely a result of the Spartans that three hundred soldiers became significant in the Greek world</w:t>
      </w:r>
      <w:r w:rsidR="006E7DBA" w:rsidRPr="00A6707B">
        <w:rPr>
          <w:rFonts w:ascii="Times New Roman" w:hAnsi="Times New Roman" w:cs="Times New Roman"/>
          <w:color w:val="000000" w:themeColor="text1"/>
          <w:sz w:val="24"/>
          <w:szCs w:val="24"/>
        </w:rPr>
        <w:t>, Diodorus discusses the battle at Delion</w:t>
      </w:r>
      <w:r w:rsidR="0032148C" w:rsidRPr="00A6707B">
        <w:rPr>
          <w:rStyle w:val="FootnoteReference"/>
          <w:rFonts w:ascii="Times New Roman" w:hAnsi="Times New Roman" w:cs="Times New Roman"/>
          <w:color w:val="000000" w:themeColor="text1"/>
          <w:sz w:val="24"/>
          <w:szCs w:val="24"/>
        </w:rPr>
        <w:footnoteReference w:id="107"/>
      </w:r>
      <w:r w:rsidR="00534A21" w:rsidRPr="00A6707B">
        <w:rPr>
          <w:rFonts w:ascii="Times New Roman" w:hAnsi="Times New Roman" w:cs="Times New Roman"/>
          <w:color w:val="000000" w:themeColor="text1"/>
          <w:sz w:val="24"/>
          <w:szCs w:val="24"/>
        </w:rPr>
        <w:t xml:space="preserve"> and the Battle of the Champions</w:t>
      </w:r>
      <w:r w:rsidR="006B0624" w:rsidRPr="00A6707B">
        <w:rPr>
          <w:rFonts w:ascii="Times New Roman" w:hAnsi="Times New Roman" w:cs="Times New Roman"/>
          <w:color w:val="000000" w:themeColor="text1"/>
          <w:sz w:val="24"/>
          <w:szCs w:val="24"/>
        </w:rPr>
        <w:t xml:space="preserve"> in approximately 546BC</w:t>
      </w:r>
      <w:r w:rsidR="00534A21" w:rsidRPr="00A6707B">
        <w:rPr>
          <w:rStyle w:val="FootnoteReference"/>
          <w:rFonts w:ascii="Times New Roman" w:hAnsi="Times New Roman" w:cs="Times New Roman"/>
          <w:color w:val="000000" w:themeColor="text1"/>
          <w:sz w:val="24"/>
          <w:szCs w:val="24"/>
        </w:rPr>
        <w:footnoteReference w:id="108"/>
      </w:r>
      <w:r w:rsidRPr="00A6707B">
        <w:rPr>
          <w:rFonts w:ascii="Times New Roman" w:hAnsi="Times New Roman" w:cs="Times New Roman"/>
          <w:color w:val="000000" w:themeColor="text1"/>
          <w:sz w:val="24"/>
          <w:szCs w:val="24"/>
        </w:rPr>
        <w:t xml:space="preserve">. Plato </w:t>
      </w:r>
      <w:r w:rsidRPr="00A6707B">
        <w:rPr>
          <w:rFonts w:ascii="Times New Roman" w:hAnsi="Times New Roman" w:cs="Times New Roman"/>
          <w:sz w:val="24"/>
          <w:szCs w:val="24"/>
        </w:rPr>
        <w:t>described the Band as an “army of lovers”</w:t>
      </w:r>
      <w:r w:rsidR="0032148C" w:rsidRPr="00A6707B">
        <w:rPr>
          <w:rStyle w:val="FootnoteReference"/>
          <w:rFonts w:ascii="Times New Roman" w:hAnsi="Times New Roman" w:cs="Times New Roman"/>
          <w:sz w:val="24"/>
          <w:szCs w:val="24"/>
        </w:rPr>
        <w:footnoteReference w:id="109"/>
      </w:r>
      <w:r w:rsidRPr="00A6707B">
        <w:rPr>
          <w:rFonts w:ascii="Times New Roman" w:hAnsi="Times New Roman" w:cs="Times New Roman"/>
          <w:sz w:val="24"/>
          <w:szCs w:val="24"/>
        </w:rPr>
        <w:t xml:space="preserve"> due to the fact these three hundred were in pairs, dedicated to one another. </w:t>
      </w:r>
    </w:p>
    <w:p w:rsidR="00473D5F" w:rsidRPr="00A6707B" w:rsidRDefault="00473D5F"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The logic behind this formation is not unreasonable, Hilbert comments “</w:t>
      </w:r>
      <w:r w:rsidR="006E7DBA" w:rsidRPr="00A6707B">
        <w:rPr>
          <w:rFonts w:ascii="Times New Roman" w:hAnsi="Times New Roman" w:cs="Times New Roman"/>
          <w:sz w:val="24"/>
          <w:szCs w:val="24"/>
        </w:rPr>
        <w:t xml:space="preserve">who better to post side by side than </w:t>
      </w:r>
      <w:r w:rsidR="006E7DBA" w:rsidRPr="00A6707B">
        <w:rPr>
          <w:rFonts w:ascii="Times New Roman" w:hAnsi="Times New Roman" w:cs="Times New Roman"/>
          <w:color w:val="000000" w:themeColor="text1"/>
          <w:sz w:val="24"/>
          <w:szCs w:val="24"/>
        </w:rPr>
        <w:t>lovers?”</w:t>
      </w:r>
      <w:r w:rsidR="0032148C" w:rsidRPr="00A6707B">
        <w:rPr>
          <w:rStyle w:val="FootnoteReference"/>
          <w:rFonts w:ascii="Times New Roman" w:hAnsi="Times New Roman" w:cs="Times New Roman"/>
          <w:color w:val="000000" w:themeColor="text1"/>
          <w:sz w:val="24"/>
          <w:szCs w:val="24"/>
        </w:rPr>
        <w:footnoteReference w:id="110"/>
      </w:r>
      <w:r w:rsidR="006E7DBA" w:rsidRPr="00A6707B">
        <w:rPr>
          <w:rFonts w:ascii="Times New Roman" w:hAnsi="Times New Roman" w:cs="Times New Roman"/>
          <w:color w:val="000000" w:themeColor="text1"/>
          <w:sz w:val="24"/>
          <w:szCs w:val="24"/>
        </w:rPr>
        <w:t xml:space="preserve"> </w:t>
      </w:r>
      <w:r w:rsidR="006B0624" w:rsidRPr="00A6707B">
        <w:rPr>
          <w:rFonts w:ascii="Times New Roman" w:hAnsi="Times New Roman" w:cs="Times New Roman"/>
          <w:color w:val="000000" w:themeColor="text1"/>
          <w:sz w:val="24"/>
          <w:szCs w:val="24"/>
        </w:rPr>
        <w:t>Arguing that the strength of t</w:t>
      </w:r>
      <w:r w:rsidR="00CD28F6">
        <w:rPr>
          <w:rFonts w:ascii="Times New Roman" w:hAnsi="Times New Roman" w:cs="Times New Roman"/>
          <w:color w:val="000000" w:themeColor="text1"/>
          <w:sz w:val="24"/>
          <w:szCs w:val="24"/>
        </w:rPr>
        <w:t>he phalanx</w:t>
      </w:r>
      <w:r w:rsidR="006B0624" w:rsidRPr="00A6707B">
        <w:rPr>
          <w:rFonts w:ascii="Times New Roman" w:hAnsi="Times New Roman" w:cs="Times New Roman"/>
          <w:color w:val="000000" w:themeColor="text1"/>
          <w:sz w:val="24"/>
          <w:szCs w:val="24"/>
        </w:rPr>
        <w:t xml:space="preserve"> is </w:t>
      </w:r>
      <w:r w:rsidR="00CD28F6">
        <w:rPr>
          <w:rFonts w:ascii="Times New Roman" w:hAnsi="Times New Roman" w:cs="Times New Roman"/>
          <w:color w:val="000000" w:themeColor="text1"/>
          <w:sz w:val="24"/>
          <w:szCs w:val="24"/>
        </w:rPr>
        <w:t xml:space="preserve">in </w:t>
      </w:r>
      <w:r w:rsidR="006B0624" w:rsidRPr="00A6707B">
        <w:rPr>
          <w:rFonts w:ascii="Times New Roman" w:hAnsi="Times New Roman" w:cs="Times New Roman"/>
          <w:color w:val="000000" w:themeColor="text1"/>
          <w:sz w:val="24"/>
          <w:szCs w:val="24"/>
        </w:rPr>
        <w:t xml:space="preserve">maintaining the line and protecting the soldier to the side, theoretically </w:t>
      </w:r>
      <w:r w:rsidR="006E7DBA" w:rsidRPr="00A6707B">
        <w:rPr>
          <w:rFonts w:ascii="Times New Roman" w:hAnsi="Times New Roman" w:cs="Times New Roman"/>
          <w:sz w:val="24"/>
          <w:szCs w:val="24"/>
        </w:rPr>
        <w:t xml:space="preserve">posting lovers beside one another </w:t>
      </w:r>
      <w:r w:rsidR="006B0624" w:rsidRPr="00A6707B">
        <w:rPr>
          <w:rFonts w:ascii="Times New Roman" w:hAnsi="Times New Roman" w:cs="Times New Roman"/>
          <w:sz w:val="24"/>
          <w:szCs w:val="24"/>
        </w:rPr>
        <w:t xml:space="preserve">led to the belief that the soldier </w:t>
      </w:r>
      <w:r w:rsidR="006E7DBA" w:rsidRPr="00A6707B">
        <w:rPr>
          <w:rFonts w:ascii="Times New Roman" w:hAnsi="Times New Roman" w:cs="Times New Roman"/>
          <w:sz w:val="24"/>
          <w:szCs w:val="24"/>
        </w:rPr>
        <w:t>would be less likely to break</w:t>
      </w:r>
      <w:r w:rsidR="006B0624" w:rsidRPr="00A6707B">
        <w:rPr>
          <w:rFonts w:ascii="Times New Roman" w:hAnsi="Times New Roman" w:cs="Times New Roman"/>
          <w:sz w:val="24"/>
          <w:szCs w:val="24"/>
        </w:rPr>
        <w:t xml:space="preserve"> their formation</w:t>
      </w:r>
      <w:r w:rsidR="006E7DBA" w:rsidRPr="00A6707B">
        <w:rPr>
          <w:rFonts w:ascii="Times New Roman" w:hAnsi="Times New Roman" w:cs="Times New Roman"/>
          <w:sz w:val="24"/>
          <w:szCs w:val="24"/>
        </w:rPr>
        <w:t xml:space="preserve"> or flee for fear of leaving their lover to die.  The pairs would take vows similar to those of marriage</w:t>
      </w:r>
      <w:r w:rsidR="0032148C" w:rsidRPr="00A6707B">
        <w:rPr>
          <w:rStyle w:val="FootnoteReference"/>
          <w:rFonts w:ascii="Times New Roman" w:hAnsi="Times New Roman" w:cs="Times New Roman"/>
          <w:sz w:val="24"/>
          <w:szCs w:val="24"/>
        </w:rPr>
        <w:footnoteReference w:id="111"/>
      </w:r>
      <w:r w:rsidR="006E7DBA" w:rsidRPr="00A6707B">
        <w:rPr>
          <w:rFonts w:ascii="Times New Roman" w:hAnsi="Times New Roman" w:cs="Times New Roman"/>
          <w:sz w:val="24"/>
          <w:szCs w:val="24"/>
        </w:rPr>
        <w:t xml:space="preserve"> in an effort to express this idea of loyalty before serving </w:t>
      </w:r>
      <w:r w:rsidR="006E7DBA" w:rsidRPr="00A6707B">
        <w:rPr>
          <w:rFonts w:ascii="Times New Roman" w:hAnsi="Times New Roman" w:cs="Times New Roman"/>
          <w:sz w:val="24"/>
          <w:szCs w:val="24"/>
        </w:rPr>
        <w:lastRenderedPageBreak/>
        <w:t>in the band and these vows took place in the temple at Iolaos</w:t>
      </w:r>
      <w:r w:rsidR="0032148C" w:rsidRPr="00A6707B">
        <w:rPr>
          <w:rStyle w:val="FootnoteReference"/>
          <w:rFonts w:ascii="Times New Roman" w:hAnsi="Times New Roman" w:cs="Times New Roman"/>
          <w:sz w:val="24"/>
          <w:szCs w:val="24"/>
        </w:rPr>
        <w:footnoteReference w:id="112"/>
      </w:r>
      <w:r w:rsidR="006E7DBA" w:rsidRPr="00A6707B">
        <w:rPr>
          <w:rFonts w:ascii="Times New Roman" w:hAnsi="Times New Roman" w:cs="Times New Roman"/>
          <w:sz w:val="24"/>
          <w:szCs w:val="24"/>
        </w:rPr>
        <w:t>, dedicating themselves before the gods.</w:t>
      </w:r>
    </w:p>
    <w:p w:rsidR="002249F5" w:rsidRDefault="006E7DBA"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The Sacred band was trained and maintained at the state’s expense</w:t>
      </w:r>
      <w:r w:rsidR="0032148C" w:rsidRPr="00A6707B">
        <w:rPr>
          <w:rStyle w:val="FootnoteReference"/>
          <w:rFonts w:ascii="Times New Roman" w:hAnsi="Times New Roman" w:cs="Times New Roman"/>
          <w:sz w:val="24"/>
          <w:szCs w:val="24"/>
        </w:rPr>
        <w:footnoteReference w:id="113"/>
      </w:r>
      <w:r w:rsidR="0032148C" w:rsidRPr="00A6707B">
        <w:rPr>
          <w:rFonts w:ascii="Times New Roman" w:hAnsi="Times New Roman" w:cs="Times New Roman"/>
          <w:sz w:val="24"/>
          <w:szCs w:val="24"/>
        </w:rPr>
        <w:t>. Based on the motivation for the unit’s formation, it comes as no surprise that the Sacred Band was garrisoned in the Kadmeia</w:t>
      </w:r>
      <w:r w:rsidR="0032148C" w:rsidRPr="00A6707B">
        <w:rPr>
          <w:rStyle w:val="FootnoteReference"/>
          <w:rFonts w:ascii="Times New Roman" w:hAnsi="Times New Roman" w:cs="Times New Roman"/>
          <w:sz w:val="24"/>
          <w:szCs w:val="24"/>
        </w:rPr>
        <w:footnoteReference w:id="114"/>
      </w:r>
      <w:r w:rsidR="0032148C" w:rsidRPr="00A6707B">
        <w:rPr>
          <w:rFonts w:ascii="Times New Roman" w:hAnsi="Times New Roman" w:cs="Times New Roman"/>
          <w:sz w:val="24"/>
          <w:szCs w:val="24"/>
        </w:rPr>
        <w:t>, Hilbert supports this idea viewing the garrison as a preventative measure against another Phoibidas incident</w:t>
      </w:r>
      <w:r w:rsidR="0032148C" w:rsidRPr="00A6707B">
        <w:rPr>
          <w:rStyle w:val="FootnoteReference"/>
          <w:rFonts w:ascii="Times New Roman" w:hAnsi="Times New Roman" w:cs="Times New Roman"/>
          <w:sz w:val="24"/>
          <w:szCs w:val="24"/>
        </w:rPr>
        <w:footnoteReference w:id="115"/>
      </w:r>
      <w:r w:rsidR="0032148C" w:rsidRPr="00A6707B">
        <w:rPr>
          <w:rFonts w:ascii="Times New Roman" w:hAnsi="Times New Roman" w:cs="Times New Roman"/>
          <w:sz w:val="24"/>
          <w:szCs w:val="24"/>
        </w:rPr>
        <w:t xml:space="preserve">. </w:t>
      </w:r>
    </w:p>
    <w:p w:rsidR="00B50485" w:rsidRPr="00A6707B" w:rsidRDefault="00B50485" w:rsidP="00A6707B">
      <w:pPr>
        <w:spacing w:line="480" w:lineRule="auto"/>
        <w:rPr>
          <w:rFonts w:ascii="Times New Roman" w:hAnsi="Times New Roman" w:cs="Times New Roman"/>
          <w:sz w:val="24"/>
          <w:szCs w:val="24"/>
        </w:rPr>
      </w:pPr>
    </w:p>
    <w:p w:rsidR="00EF2FB5" w:rsidRPr="00A6707B" w:rsidRDefault="000E3641" w:rsidP="00A6707B">
      <w:pPr>
        <w:pStyle w:val="Heading2"/>
        <w:spacing w:line="480" w:lineRule="auto"/>
        <w:rPr>
          <w:rFonts w:ascii="Times New Roman" w:hAnsi="Times New Roman" w:cs="Times New Roman"/>
          <w:color w:val="auto"/>
          <w:sz w:val="28"/>
          <w:szCs w:val="24"/>
        </w:rPr>
      </w:pPr>
      <w:bookmarkStart w:id="11" w:name="_Toc8191341"/>
      <w:r w:rsidRPr="00A6707B">
        <w:rPr>
          <w:rFonts w:ascii="Times New Roman" w:hAnsi="Times New Roman" w:cs="Times New Roman"/>
          <w:color w:val="auto"/>
          <w:sz w:val="28"/>
          <w:szCs w:val="24"/>
        </w:rPr>
        <w:t xml:space="preserve">The Argive </w:t>
      </w:r>
      <w:r w:rsidR="00EE46AE" w:rsidRPr="00A6707B">
        <w:rPr>
          <w:rFonts w:ascii="Times New Roman" w:hAnsi="Times New Roman" w:cs="Times New Roman"/>
          <w:color w:val="auto"/>
          <w:sz w:val="28"/>
          <w:szCs w:val="24"/>
        </w:rPr>
        <w:t>one thousand</w:t>
      </w:r>
      <w:bookmarkEnd w:id="11"/>
    </w:p>
    <w:p w:rsidR="00EE46AE" w:rsidRPr="00A6707B" w:rsidRDefault="00EE46AE"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This section will briefly discuss the Argive one thousand.  It is important to note that it is often accepted that Argos shared hostility with Sparta and it is often paired with the idea that they must have shared friendly relations with Athens as a result</w:t>
      </w:r>
      <w:r w:rsidR="00F77C22" w:rsidRPr="00A6707B">
        <w:rPr>
          <w:rStyle w:val="FootnoteReference"/>
          <w:rFonts w:ascii="Times New Roman" w:hAnsi="Times New Roman" w:cs="Times New Roman"/>
          <w:sz w:val="24"/>
          <w:szCs w:val="24"/>
        </w:rPr>
        <w:footnoteReference w:id="116"/>
      </w:r>
      <w:r w:rsidRPr="00A6707B">
        <w:rPr>
          <w:rFonts w:ascii="Times New Roman" w:hAnsi="Times New Roman" w:cs="Times New Roman"/>
          <w:sz w:val="24"/>
          <w:szCs w:val="24"/>
        </w:rPr>
        <w:t>. Kelly is sceptical of this assessment and while it is clear in the sources that Argos was often at war with Sparta, it did not necessarily mean that the Athenians were allied with them strongly.</w:t>
      </w:r>
    </w:p>
    <w:p w:rsidR="003B35EA" w:rsidRPr="00A6707B" w:rsidRDefault="00F77C22"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The Argive thousand was a result of the foreign policy Argos adopted in the fifth century regarding the Spartans. The Argives did not take part in the Persian wars, with rumours that they had made deals with the Persians the Argives justified their neutrality by claiming the losses they endured at Sepeia in 494BC</w:t>
      </w:r>
      <w:r w:rsidR="00CD28F6">
        <w:rPr>
          <w:rFonts w:ascii="Times New Roman" w:hAnsi="Times New Roman" w:cs="Times New Roman"/>
          <w:sz w:val="24"/>
          <w:szCs w:val="24"/>
        </w:rPr>
        <w:t>E</w:t>
      </w:r>
      <w:r w:rsidRPr="00A6707B">
        <w:rPr>
          <w:rFonts w:ascii="Times New Roman" w:hAnsi="Times New Roman" w:cs="Times New Roman"/>
          <w:sz w:val="24"/>
          <w:szCs w:val="24"/>
        </w:rPr>
        <w:t xml:space="preserve"> by the Spartans left them unable to field a force</w:t>
      </w:r>
      <w:r w:rsidRPr="00A6707B">
        <w:rPr>
          <w:rStyle w:val="FootnoteReference"/>
          <w:rFonts w:ascii="Times New Roman" w:hAnsi="Times New Roman" w:cs="Times New Roman"/>
          <w:sz w:val="24"/>
          <w:szCs w:val="24"/>
        </w:rPr>
        <w:footnoteReference w:id="117"/>
      </w:r>
      <w:r w:rsidRPr="00A6707B">
        <w:rPr>
          <w:rFonts w:ascii="Times New Roman" w:hAnsi="Times New Roman" w:cs="Times New Roman"/>
          <w:sz w:val="24"/>
          <w:szCs w:val="24"/>
        </w:rPr>
        <w:t xml:space="preserve">. Kelly’s view states that the Argives must have acknowledged that an alliance with Athens did not strengthen the Argive position nor would the </w:t>
      </w:r>
      <w:r w:rsidRPr="00A6707B">
        <w:rPr>
          <w:rFonts w:ascii="Times New Roman" w:hAnsi="Times New Roman" w:cs="Times New Roman"/>
          <w:sz w:val="24"/>
          <w:szCs w:val="24"/>
        </w:rPr>
        <w:lastRenderedPageBreak/>
        <w:t>Athenians be able to prevent invasion into Argive territory by the Spartans.</w:t>
      </w:r>
      <w:r w:rsidRPr="00A6707B">
        <w:rPr>
          <w:rStyle w:val="FootnoteReference"/>
          <w:rFonts w:ascii="Times New Roman" w:hAnsi="Times New Roman" w:cs="Times New Roman"/>
          <w:sz w:val="24"/>
          <w:szCs w:val="24"/>
        </w:rPr>
        <w:footnoteReference w:id="118"/>
      </w:r>
      <w:r w:rsidRPr="00A6707B">
        <w:rPr>
          <w:rFonts w:ascii="Times New Roman" w:hAnsi="Times New Roman" w:cs="Times New Roman"/>
          <w:sz w:val="24"/>
          <w:szCs w:val="24"/>
        </w:rPr>
        <w:t xml:space="preserve">  In fact, in 451BC, the Argives allied with the Athenians and again suffered defeat at the hands of the Spartans, highlighting “the superior military might of Sparta”</w:t>
      </w:r>
      <w:r w:rsidRPr="00A6707B">
        <w:rPr>
          <w:rStyle w:val="FootnoteReference"/>
          <w:rFonts w:ascii="Times New Roman" w:hAnsi="Times New Roman" w:cs="Times New Roman"/>
          <w:sz w:val="24"/>
          <w:szCs w:val="24"/>
        </w:rPr>
        <w:footnoteReference w:id="119"/>
      </w:r>
      <w:r w:rsidR="003F5F7D" w:rsidRPr="00A6707B">
        <w:rPr>
          <w:rFonts w:ascii="Times New Roman" w:hAnsi="Times New Roman" w:cs="Times New Roman"/>
          <w:sz w:val="24"/>
          <w:szCs w:val="24"/>
        </w:rPr>
        <w:t>.</w:t>
      </w:r>
    </w:p>
    <w:p w:rsidR="003F5F7D" w:rsidRPr="00A6707B" w:rsidRDefault="003F5F7D"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Kagan attributes the formation of the Argive thousand as a result of the Archidamian war</w:t>
      </w:r>
      <w:r w:rsidRPr="00A6707B">
        <w:rPr>
          <w:rStyle w:val="FootnoteReference"/>
          <w:rFonts w:ascii="Times New Roman" w:hAnsi="Times New Roman" w:cs="Times New Roman"/>
          <w:sz w:val="24"/>
          <w:szCs w:val="24"/>
        </w:rPr>
        <w:footnoteReference w:id="120"/>
      </w:r>
      <w:r w:rsidRPr="00A6707B">
        <w:rPr>
          <w:rFonts w:ascii="Times New Roman" w:hAnsi="Times New Roman" w:cs="Times New Roman"/>
          <w:sz w:val="24"/>
          <w:szCs w:val="24"/>
        </w:rPr>
        <w:t>, which was the first of two instances he highlights to show division in the Argive political sphere. The second instance is the Athenian invasion of Corinth in 425BC. The Argives warned the Corinthians of the impending attack</w:t>
      </w:r>
      <w:r w:rsidRPr="00A6707B">
        <w:rPr>
          <w:rStyle w:val="FootnoteReference"/>
          <w:rFonts w:ascii="Times New Roman" w:hAnsi="Times New Roman" w:cs="Times New Roman"/>
          <w:sz w:val="24"/>
          <w:szCs w:val="24"/>
        </w:rPr>
        <w:footnoteReference w:id="121"/>
      </w:r>
      <w:r w:rsidRPr="00A6707B">
        <w:rPr>
          <w:rFonts w:ascii="Times New Roman" w:hAnsi="Times New Roman" w:cs="Times New Roman"/>
          <w:sz w:val="24"/>
          <w:szCs w:val="24"/>
        </w:rPr>
        <w:t xml:space="preserve"> and the Athenians were defeated. Kagan uses this example to show a faction of the Argive political sphere “that worked and hoped for a Spartan victory”</w:t>
      </w:r>
      <w:r w:rsidRPr="00A6707B">
        <w:rPr>
          <w:rStyle w:val="FootnoteReference"/>
          <w:rFonts w:ascii="Times New Roman" w:hAnsi="Times New Roman" w:cs="Times New Roman"/>
          <w:sz w:val="24"/>
          <w:szCs w:val="24"/>
        </w:rPr>
        <w:footnoteReference w:id="122"/>
      </w:r>
      <w:r w:rsidRPr="00A6707B">
        <w:rPr>
          <w:rFonts w:ascii="Times New Roman" w:hAnsi="Times New Roman" w:cs="Times New Roman"/>
          <w:sz w:val="24"/>
          <w:szCs w:val="24"/>
        </w:rPr>
        <w:t xml:space="preserve"> which Kagan refers to as ‘the oligarchs’. The division in Argos came as a result of Spartan tendency to support oligarchy in the states they supported which the oligarchs desired, even at the expense of the defeats Sparta had visited upon them previously, something the ‘democratic’ factions of Argos feared.</w:t>
      </w:r>
      <w:r w:rsidRPr="00A6707B">
        <w:rPr>
          <w:rStyle w:val="FootnoteReference"/>
          <w:rFonts w:ascii="Times New Roman" w:hAnsi="Times New Roman" w:cs="Times New Roman"/>
          <w:sz w:val="24"/>
          <w:szCs w:val="24"/>
        </w:rPr>
        <w:footnoteReference w:id="123"/>
      </w:r>
      <w:r w:rsidRPr="00A6707B">
        <w:rPr>
          <w:rFonts w:ascii="Times New Roman" w:hAnsi="Times New Roman" w:cs="Times New Roman"/>
          <w:sz w:val="24"/>
          <w:szCs w:val="24"/>
        </w:rPr>
        <w:t xml:space="preserve"> If the </w:t>
      </w:r>
      <w:r w:rsidR="00CD28F6">
        <w:rPr>
          <w:rFonts w:ascii="Times New Roman" w:hAnsi="Times New Roman" w:cs="Times New Roman"/>
          <w:sz w:val="24"/>
          <w:szCs w:val="24"/>
        </w:rPr>
        <w:t xml:space="preserve">democratic </w:t>
      </w:r>
      <w:r w:rsidRPr="00A6707B">
        <w:rPr>
          <w:rFonts w:ascii="Times New Roman" w:hAnsi="Times New Roman" w:cs="Times New Roman"/>
          <w:sz w:val="24"/>
          <w:szCs w:val="24"/>
        </w:rPr>
        <w:t>Argives supported Athens however, they would have the opportunity to regain lost territory as well as honour.</w:t>
      </w:r>
      <w:r w:rsidRPr="00A6707B">
        <w:rPr>
          <w:rStyle w:val="FootnoteReference"/>
          <w:rFonts w:ascii="Times New Roman" w:hAnsi="Times New Roman" w:cs="Times New Roman"/>
          <w:sz w:val="24"/>
          <w:szCs w:val="24"/>
        </w:rPr>
        <w:footnoteReference w:id="124"/>
      </w:r>
    </w:p>
    <w:p w:rsidR="003F5F7D" w:rsidRPr="00A6707B" w:rsidRDefault="003F5F7D"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The formation of the Argive one thousand appears to be a joint venture of the factions of Argos, however there are differences in opinion over what that force would be used for. The democrats of Argos rejected a peace proposal from Sparta. Instead wishing to open negotiations with </w:t>
      </w:r>
      <w:r w:rsidR="00B63314" w:rsidRPr="00A6707B">
        <w:rPr>
          <w:rFonts w:ascii="Times New Roman" w:hAnsi="Times New Roman" w:cs="Times New Roman"/>
          <w:sz w:val="24"/>
          <w:szCs w:val="24"/>
        </w:rPr>
        <w:t>particular states of the Peloponnesian League.</w:t>
      </w:r>
      <w:r w:rsidR="00B63314" w:rsidRPr="00A6707B">
        <w:rPr>
          <w:rStyle w:val="FootnoteReference"/>
          <w:rFonts w:ascii="Times New Roman" w:hAnsi="Times New Roman" w:cs="Times New Roman"/>
          <w:sz w:val="24"/>
          <w:szCs w:val="24"/>
        </w:rPr>
        <w:footnoteReference w:id="125"/>
      </w:r>
      <w:r w:rsidR="00B63314" w:rsidRPr="00A6707B">
        <w:rPr>
          <w:rFonts w:ascii="Times New Roman" w:hAnsi="Times New Roman" w:cs="Times New Roman"/>
          <w:sz w:val="24"/>
          <w:szCs w:val="24"/>
        </w:rPr>
        <w:t xml:space="preserve"> At this stage, it seems that the Argives were still conscious of the military might of Sparta and Kagan discusses how they chose one thousand of the aristocracy, led by the oligarchs, who </w:t>
      </w:r>
      <w:r w:rsidR="00B63314" w:rsidRPr="00A6707B">
        <w:rPr>
          <w:rFonts w:ascii="Times New Roman" w:hAnsi="Times New Roman" w:cs="Times New Roman"/>
          <w:sz w:val="24"/>
          <w:szCs w:val="24"/>
        </w:rPr>
        <w:lastRenderedPageBreak/>
        <w:t>were “strongest in body and in wealth”</w:t>
      </w:r>
      <w:r w:rsidR="00B63314" w:rsidRPr="00A6707B">
        <w:rPr>
          <w:rStyle w:val="FootnoteReference"/>
          <w:rFonts w:ascii="Times New Roman" w:hAnsi="Times New Roman" w:cs="Times New Roman"/>
          <w:sz w:val="24"/>
          <w:szCs w:val="24"/>
        </w:rPr>
        <w:footnoteReference w:id="126"/>
      </w:r>
      <w:r w:rsidR="00B63314" w:rsidRPr="00A6707B">
        <w:rPr>
          <w:rFonts w:ascii="Times New Roman" w:hAnsi="Times New Roman" w:cs="Times New Roman"/>
          <w:sz w:val="24"/>
          <w:szCs w:val="24"/>
        </w:rPr>
        <w:t xml:space="preserve"> presumably because they would be able to afford to provide their own arms. </w:t>
      </w:r>
    </w:p>
    <w:p w:rsidR="00B63314" w:rsidRPr="00A6707B" w:rsidRDefault="00B63314"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Peace in Argos gave way to the oligarchs taking advantage of this elite force that the democrats had created with the intention of having a force capable of withstanding the Spartan hoplites. Kagan discusses how by 419BC</w:t>
      </w:r>
      <w:r w:rsidR="00CD28F6">
        <w:rPr>
          <w:rFonts w:ascii="Times New Roman" w:hAnsi="Times New Roman" w:cs="Times New Roman"/>
          <w:sz w:val="24"/>
          <w:szCs w:val="24"/>
        </w:rPr>
        <w:t>E</w:t>
      </w:r>
      <w:r w:rsidRPr="00A6707B">
        <w:rPr>
          <w:rFonts w:ascii="Times New Roman" w:hAnsi="Times New Roman" w:cs="Times New Roman"/>
          <w:sz w:val="24"/>
          <w:szCs w:val="24"/>
        </w:rPr>
        <w:t xml:space="preserve"> there were two clear forces, the Peloponnesians and the democratic league</w:t>
      </w:r>
      <w:r w:rsidRPr="00A6707B">
        <w:rPr>
          <w:rStyle w:val="FootnoteReference"/>
          <w:rFonts w:ascii="Times New Roman" w:hAnsi="Times New Roman" w:cs="Times New Roman"/>
          <w:sz w:val="24"/>
          <w:szCs w:val="24"/>
        </w:rPr>
        <w:footnoteReference w:id="127"/>
      </w:r>
      <w:r w:rsidRPr="00A6707B">
        <w:rPr>
          <w:rFonts w:ascii="Times New Roman" w:hAnsi="Times New Roman" w:cs="Times New Roman"/>
          <w:sz w:val="24"/>
          <w:szCs w:val="24"/>
        </w:rPr>
        <w:t>. Kagan adds that the ascension of Alcibiades strengthened the latter by bringing Athens into the alliance</w:t>
      </w:r>
      <w:r w:rsidRPr="00A6707B">
        <w:rPr>
          <w:rStyle w:val="FootnoteReference"/>
          <w:rFonts w:ascii="Times New Roman" w:hAnsi="Times New Roman" w:cs="Times New Roman"/>
          <w:sz w:val="24"/>
          <w:szCs w:val="24"/>
        </w:rPr>
        <w:footnoteReference w:id="128"/>
      </w:r>
      <w:r w:rsidRPr="00A6707B">
        <w:rPr>
          <w:rFonts w:ascii="Times New Roman" w:hAnsi="Times New Roman" w:cs="Times New Roman"/>
          <w:sz w:val="24"/>
          <w:szCs w:val="24"/>
        </w:rPr>
        <w:t xml:space="preserve">. At this stage, the oligarchs were leading a state allied with democracy, opposing the Spartans who they looked to for support in maintaining oligarchy. </w:t>
      </w:r>
    </w:p>
    <w:p w:rsidR="00B63314" w:rsidRPr="00A6707B" w:rsidRDefault="00B63314"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The battle of Mantinea during the Peloponnesian war was the decisive battle for the Argive one thousand. The Spartans still wished to win over the Argives and as Kagan discusses this may have influenced the events of this battle. When the forces of Argos began to falter</w:t>
      </w:r>
      <w:r w:rsidRPr="00A6707B">
        <w:rPr>
          <w:rStyle w:val="FootnoteReference"/>
          <w:rFonts w:ascii="Times New Roman" w:hAnsi="Times New Roman" w:cs="Times New Roman"/>
          <w:sz w:val="24"/>
          <w:szCs w:val="24"/>
        </w:rPr>
        <w:footnoteReference w:id="129"/>
      </w:r>
      <w:r w:rsidRPr="00A6707B">
        <w:rPr>
          <w:rFonts w:ascii="Times New Roman" w:hAnsi="Times New Roman" w:cs="Times New Roman"/>
          <w:sz w:val="24"/>
          <w:szCs w:val="24"/>
        </w:rPr>
        <w:t xml:space="preserve">, the oligarchic thousand </w:t>
      </w:r>
      <w:r w:rsidR="00F61BD3" w:rsidRPr="00A6707B">
        <w:rPr>
          <w:rFonts w:ascii="Times New Roman" w:hAnsi="Times New Roman" w:cs="Times New Roman"/>
          <w:sz w:val="24"/>
          <w:szCs w:val="24"/>
        </w:rPr>
        <w:t>held. Diodorus notes how Agis, the Spartan King, would have slaughtered them all to appease his people after earlier instances where the Argives were not punished</w:t>
      </w:r>
      <w:r w:rsidR="00F61BD3" w:rsidRPr="00A6707B">
        <w:rPr>
          <w:rStyle w:val="FootnoteReference"/>
          <w:rFonts w:ascii="Times New Roman" w:hAnsi="Times New Roman" w:cs="Times New Roman"/>
          <w:sz w:val="24"/>
          <w:szCs w:val="24"/>
        </w:rPr>
        <w:footnoteReference w:id="130"/>
      </w:r>
      <w:r w:rsidR="00F61BD3" w:rsidRPr="00A6707B">
        <w:rPr>
          <w:rFonts w:ascii="Times New Roman" w:hAnsi="Times New Roman" w:cs="Times New Roman"/>
          <w:sz w:val="24"/>
          <w:szCs w:val="24"/>
        </w:rPr>
        <w:t xml:space="preserve"> until advised to allow ‘picked men’ to escape</w:t>
      </w:r>
      <w:r w:rsidR="00F61BD3" w:rsidRPr="00A6707B">
        <w:rPr>
          <w:rStyle w:val="FootnoteReference"/>
          <w:rFonts w:ascii="Times New Roman" w:hAnsi="Times New Roman" w:cs="Times New Roman"/>
          <w:sz w:val="24"/>
          <w:szCs w:val="24"/>
        </w:rPr>
        <w:footnoteReference w:id="131"/>
      </w:r>
      <w:r w:rsidR="00F61BD3" w:rsidRPr="00A6707B">
        <w:rPr>
          <w:rFonts w:ascii="Times New Roman" w:hAnsi="Times New Roman" w:cs="Times New Roman"/>
          <w:sz w:val="24"/>
          <w:szCs w:val="24"/>
        </w:rPr>
        <w:t>. As a result of their bravery, the Argive thousand were allowed to leave the battlefield. Kagan notes how the prestige of the thousand grew as a result of their bravery in the face of the Spartan forces where cowardice overtook the rest of their forces</w:t>
      </w:r>
      <w:r w:rsidR="00F61BD3" w:rsidRPr="00A6707B">
        <w:rPr>
          <w:rStyle w:val="FootnoteReference"/>
          <w:rFonts w:ascii="Times New Roman" w:hAnsi="Times New Roman" w:cs="Times New Roman"/>
          <w:sz w:val="24"/>
          <w:szCs w:val="24"/>
        </w:rPr>
        <w:footnoteReference w:id="132"/>
      </w:r>
      <w:r w:rsidR="00F61BD3" w:rsidRPr="00A6707B">
        <w:rPr>
          <w:rFonts w:ascii="Times New Roman" w:hAnsi="Times New Roman" w:cs="Times New Roman"/>
          <w:sz w:val="24"/>
          <w:szCs w:val="24"/>
        </w:rPr>
        <w:t>.</w:t>
      </w:r>
    </w:p>
    <w:p w:rsidR="00F61BD3" w:rsidRDefault="00F61BD3"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 xml:space="preserve">In the case of the Argive one thousand, the unit was created as a means of withstanding the military might of Sparta in the Peloponnese, and while the force may not have </w:t>
      </w:r>
      <w:r w:rsidRPr="00A6707B">
        <w:rPr>
          <w:rFonts w:ascii="Times New Roman" w:hAnsi="Times New Roman" w:cs="Times New Roman"/>
          <w:sz w:val="24"/>
          <w:szCs w:val="24"/>
        </w:rPr>
        <w:lastRenderedPageBreak/>
        <w:t xml:space="preserve">withstood them in battle, their professionalism is demonstrated in their bravery even while their allies fractures and fled around them. </w:t>
      </w:r>
    </w:p>
    <w:p w:rsidR="00B50485" w:rsidRPr="00A6707B" w:rsidRDefault="00B50485" w:rsidP="00A6707B">
      <w:pPr>
        <w:spacing w:line="480" w:lineRule="auto"/>
        <w:rPr>
          <w:rFonts w:ascii="Times New Roman" w:hAnsi="Times New Roman" w:cs="Times New Roman"/>
          <w:sz w:val="24"/>
          <w:szCs w:val="24"/>
        </w:rPr>
      </w:pPr>
    </w:p>
    <w:p w:rsidR="000E3641" w:rsidRPr="00A6707B" w:rsidRDefault="00B3464B" w:rsidP="00A6707B">
      <w:pPr>
        <w:pStyle w:val="Heading2"/>
        <w:spacing w:line="480" w:lineRule="auto"/>
        <w:rPr>
          <w:rFonts w:ascii="Times New Roman" w:hAnsi="Times New Roman" w:cs="Times New Roman"/>
          <w:color w:val="auto"/>
          <w:sz w:val="28"/>
          <w:szCs w:val="24"/>
        </w:rPr>
      </w:pPr>
      <w:bookmarkStart w:id="12" w:name="_Toc8191342"/>
      <w:r w:rsidRPr="00A6707B">
        <w:rPr>
          <w:rFonts w:ascii="Times New Roman" w:hAnsi="Times New Roman" w:cs="Times New Roman"/>
          <w:color w:val="auto"/>
          <w:sz w:val="28"/>
          <w:szCs w:val="24"/>
        </w:rPr>
        <w:t>Peltast warfare</w:t>
      </w:r>
      <w:bookmarkEnd w:id="12"/>
    </w:p>
    <w:p w:rsidR="00B3464B" w:rsidRPr="00A6707B" w:rsidRDefault="00D12282" w:rsidP="00A6707B">
      <w:pPr>
        <w:spacing w:line="480" w:lineRule="auto"/>
        <w:rPr>
          <w:rFonts w:ascii="Times New Roman" w:hAnsi="Times New Roman" w:cs="Times New Roman"/>
          <w:sz w:val="24"/>
          <w:szCs w:val="24"/>
        </w:rPr>
      </w:pPr>
      <w:r>
        <w:rPr>
          <w:rFonts w:ascii="Times New Roman" w:hAnsi="Times New Roman" w:cs="Times New Roman"/>
          <w:sz w:val="24"/>
          <w:szCs w:val="24"/>
        </w:rPr>
        <w:t>This section will discuss</w:t>
      </w:r>
      <w:r w:rsidR="00B3464B" w:rsidRPr="00A6707B">
        <w:rPr>
          <w:rFonts w:ascii="Times New Roman" w:hAnsi="Times New Roman" w:cs="Times New Roman"/>
          <w:sz w:val="24"/>
          <w:szCs w:val="24"/>
        </w:rPr>
        <w:t xml:space="preserve"> peltast warfare, focusing primarily on </w:t>
      </w:r>
      <w:r>
        <w:rPr>
          <w:rFonts w:ascii="Times New Roman" w:hAnsi="Times New Roman" w:cs="Times New Roman"/>
          <w:sz w:val="24"/>
          <w:szCs w:val="24"/>
        </w:rPr>
        <w:t>its</w:t>
      </w:r>
      <w:r w:rsidR="00B3464B" w:rsidRPr="00A6707B">
        <w:rPr>
          <w:rFonts w:ascii="Times New Roman" w:hAnsi="Times New Roman" w:cs="Times New Roman"/>
          <w:sz w:val="24"/>
          <w:szCs w:val="24"/>
        </w:rPr>
        <w:t xml:space="preserve"> origins before concluding with the key</w:t>
      </w:r>
      <w:r>
        <w:rPr>
          <w:rFonts w:ascii="Times New Roman" w:hAnsi="Times New Roman" w:cs="Times New Roman"/>
          <w:sz w:val="24"/>
          <w:szCs w:val="24"/>
        </w:rPr>
        <w:t xml:space="preserve"> battles we have evidence of</w:t>
      </w:r>
      <w:r w:rsidR="00B3464B" w:rsidRPr="00A6707B">
        <w:rPr>
          <w:rFonts w:ascii="Times New Roman" w:hAnsi="Times New Roman" w:cs="Times New Roman"/>
          <w:sz w:val="24"/>
          <w:szCs w:val="24"/>
        </w:rPr>
        <w:t xml:space="preserve"> peltasts being </w:t>
      </w:r>
      <w:r>
        <w:rPr>
          <w:rFonts w:ascii="Times New Roman" w:hAnsi="Times New Roman" w:cs="Times New Roman"/>
          <w:sz w:val="24"/>
          <w:szCs w:val="24"/>
        </w:rPr>
        <w:t>present</w:t>
      </w:r>
      <w:r w:rsidR="00B3464B" w:rsidRPr="00A6707B">
        <w:rPr>
          <w:rFonts w:ascii="Times New Roman" w:hAnsi="Times New Roman" w:cs="Times New Roman"/>
          <w:sz w:val="24"/>
          <w:szCs w:val="24"/>
        </w:rPr>
        <w:t xml:space="preserve"> to determine their place in the warfare sphere. Best discusses the position of Peltasts in the Greek army, placing them between the light infantry who did not carry shields and the hoplites who carried much longer spears and larger shields</w:t>
      </w:r>
      <w:r w:rsidR="00B3464B" w:rsidRPr="00A6707B">
        <w:rPr>
          <w:rStyle w:val="FootnoteReference"/>
          <w:rFonts w:ascii="Times New Roman" w:hAnsi="Times New Roman" w:cs="Times New Roman"/>
          <w:sz w:val="24"/>
          <w:szCs w:val="24"/>
        </w:rPr>
        <w:footnoteReference w:id="133"/>
      </w:r>
      <w:r w:rsidR="00B3464B" w:rsidRPr="00A6707B">
        <w:rPr>
          <w:rFonts w:ascii="Times New Roman" w:hAnsi="Times New Roman" w:cs="Times New Roman"/>
          <w:sz w:val="24"/>
          <w:szCs w:val="24"/>
        </w:rPr>
        <w:t xml:space="preserve">. </w:t>
      </w:r>
    </w:p>
    <w:p w:rsidR="00B3464B" w:rsidRPr="00A6707B" w:rsidRDefault="00B3464B"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In relation to the origins of the Thracian peltasts, Best draws on the work of Parke which states “from whom the peltasts were raised is not exactly stated, but it seems to be understood that they were of local origin and not as usually hitherto importations from Thrace”</w:t>
      </w:r>
      <w:r w:rsidRPr="00A6707B">
        <w:rPr>
          <w:rStyle w:val="FootnoteReference"/>
          <w:rFonts w:ascii="Times New Roman" w:hAnsi="Times New Roman" w:cs="Times New Roman"/>
          <w:sz w:val="24"/>
          <w:szCs w:val="24"/>
        </w:rPr>
        <w:footnoteReference w:id="134"/>
      </w:r>
      <w:r w:rsidRPr="00A6707B">
        <w:rPr>
          <w:rFonts w:ascii="Times New Roman" w:hAnsi="Times New Roman" w:cs="Times New Roman"/>
          <w:sz w:val="24"/>
          <w:szCs w:val="24"/>
        </w:rPr>
        <w:t>. Best agrees with Parke for the most part, until the latter part of the last sentence, continuing the discussion on how the sources usually mention peltasts as belonging to tribes in Asia Minor</w:t>
      </w:r>
      <w:r w:rsidRPr="00A6707B">
        <w:rPr>
          <w:rStyle w:val="FootnoteReference"/>
          <w:rFonts w:ascii="Times New Roman" w:hAnsi="Times New Roman" w:cs="Times New Roman"/>
          <w:sz w:val="24"/>
          <w:szCs w:val="24"/>
        </w:rPr>
        <w:footnoteReference w:id="135"/>
      </w:r>
      <w:r w:rsidRPr="00A6707B">
        <w:rPr>
          <w:rFonts w:ascii="Times New Roman" w:hAnsi="Times New Roman" w:cs="Times New Roman"/>
          <w:sz w:val="24"/>
          <w:szCs w:val="24"/>
        </w:rPr>
        <w:t xml:space="preserve">, specifically Herodotus’ discussion on the </w:t>
      </w:r>
      <w:proofErr w:type="spellStart"/>
      <w:r w:rsidRPr="00A6707B">
        <w:rPr>
          <w:rFonts w:ascii="Times New Roman" w:hAnsi="Times New Roman" w:cs="Times New Roman"/>
          <w:sz w:val="24"/>
          <w:szCs w:val="24"/>
        </w:rPr>
        <w:t>Bithynians</w:t>
      </w:r>
      <w:proofErr w:type="spellEnd"/>
      <w:r w:rsidRPr="00A6707B">
        <w:rPr>
          <w:rFonts w:ascii="Times New Roman" w:hAnsi="Times New Roman" w:cs="Times New Roman"/>
          <w:sz w:val="24"/>
          <w:szCs w:val="24"/>
        </w:rPr>
        <w:t xml:space="preserve">. Herodotus records the </w:t>
      </w:r>
      <w:proofErr w:type="spellStart"/>
      <w:r w:rsidRPr="00A6707B">
        <w:rPr>
          <w:rFonts w:ascii="Times New Roman" w:hAnsi="Times New Roman" w:cs="Times New Roman"/>
          <w:sz w:val="24"/>
          <w:szCs w:val="24"/>
        </w:rPr>
        <w:t>Bithynians</w:t>
      </w:r>
      <w:proofErr w:type="spellEnd"/>
      <w:r w:rsidRPr="00A6707B">
        <w:rPr>
          <w:rFonts w:ascii="Times New Roman" w:hAnsi="Times New Roman" w:cs="Times New Roman"/>
          <w:sz w:val="24"/>
          <w:szCs w:val="24"/>
        </w:rPr>
        <w:t xml:space="preserve"> as originating from a valley on the Strymon in Thrace</w:t>
      </w:r>
      <w:r w:rsidRPr="00A6707B">
        <w:rPr>
          <w:rStyle w:val="FootnoteReference"/>
          <w:rFonts w:ascii="Times New Roman" w:hAnsi="Times New Roman" w:cs="Times New Roman"/>
          <w:sz w:val="24"/>
          <w:szCs w:val="24"/>
        </w:rPr>
        <w:footnoteReference w:id="136"/>
      </w:r>
      <w:r w:rsidRPr="00A6707B">
        <w:rPr>
          <w:rFonts w:ascii="Times New Roman" w:hAnsi="Times New Roman" w:cs="Times New Roman"/>
          <w:sz w:val="24"/>
          <w:szCs w:val="24"/>
        </w:rPr>
        <w:t xml:space="preserve"> and several of the sources discuss how they were driven from their homes into Asia Minor by the Teukrians and Mysians</w:t>
      </w:r>
      <w:r w:rsidRPr="00A6707B">
        <w:rPr>
          <w:rStyle w:val="FootnoteReference"/>
          <w:rFonts w:ascii="Times New Roman" w:hAnsi="Times New Roman" w:cs="Times New Roman"/>
          <w:sz w:val="24"/>
          <w:szCs w:val="24"/>
        </w:rPr>
        <w:footnoteReference w:id="137"/>
      </w:r>
      <w:r w:rsidRPr="00A6707B">
        <w:rPr>
          <w:rFonts w:ascii="Times New Roman" w:hAnsi="Times New Roman" w:cs="Times New Roman"/>
          <w:sz w:val="24"/>
          <w:szCs w:val="24"/>
        </w:rPr>
        <w:t>.  Best uses this evidence to discuss how a strong tradition exists concerning the Thracian migrations to Asia Minor</w:t>
      </w:r>
      <w:r w:rsidRPr="00A6707B">
        <w:rPr>
          <w:rStyle w:val="FootnoteReference"/>
          <w:rFonts w:ascii="Times New Roman" w:hAnsi="Times New Roman" w:cs="Times New Roman"/>
          <w:sz w:val="24"/>
          <w:szCs w:val="24"/>
        </w:rPr>
        <w:footnoteReference w:id="138"/>
      </w:r>
      <w:r w:rsidRPr="00A6707B">
        <w:rPr>
          <w:rFonts w:ascii="Times New Roman" w:hAnsi="Times New Roman" w:cs="Times New Roman"/>
          <w:sz w:val="24"/>
          <w:szCs w:val="24"/>
        </w:rPr>
        <w:t xml:space="preserve">, highlighting how military developments in Greek colonies on the Thracian </w:t>
      </w:r>
      <w:r w:rsidRPr="00A6707B">
        <w:rPr>
          <w:rFonts w:ascii="Times New Roman" w:hAnsi="Times New Roman" w:cs="Times New Roman"/>
          <w:sz w:val="24"/>
          <w:szCs w:val="24"/>
        </w:rPr>
        <w:lastRenderedPageBreak/>
        <w:t>coast likely would have resulted in the Greeks who held the territory of the Thracian tribes adapting “the native method of fighting”</w:t>
      </w:r>
      <w:r w:rsidRPr="00A6707B">
        <w:rPr>
          <w:rStyle w:val="FootnoteReference"/>
          <w:rFonts w:ascii="Times New Roman" w:hAnsi="Times New Roman" w:cs="Times New Roman"/>
          <w:sz w:val="24"/>
          <w:szCs w:val="24"/>
        </w:rPr>
        <w:footnoteReference w:id="139"/>
      </w:r>
      <w:r w:rsidRPr="00A6707B">
        <w:rPr>
          <w:rFonts w:ascii="Times New Roman" w:hAnsi="Times New Roman" w:cs="Times New Roman"/>
          <w:sz w:val="24"/>
          <w:szCs w:val="24"/>
        </w:rPr>
        <w:t xml:space="preserve">. </w:t>
      </w:r>
    </w:p>
    <w:p w:rsidR="00B3464B" w:rsidRPr="00A6707B" w:rsidRDefault="00B3464B" w:rsidP="00A6707B">
      <w:pPr>
        <w:spacing w:line="480" w:lineRule="auto"/>
        <w:rPr>
          <w:rFonts w:ascii="Times New Roman" w:hAnsi="Times New Roman" w:cs="Times New Roman"/>
          <w:color w:val="000000" w:themeColor="text1"/>
          <w:sz w:val="24"/>
          <w:szCs w:val="24"/>
        </w:rPr>
      </w:pPr>
      <w:r w:rsidRPr="00A6707B">
        <w:rPr>
          <w:rFonts w:ascii="Times New Roman" w:hAnsi="Times New Roman" w:cs="Times New Roman"/>
          <w:color w:val="000000" w:themeColor="text1"/>
          <w:sz w:val="24"/>
          <w:szCs w:val="24"/>
        </w:rPr>
        <w:t>The final area of discussion this section will focus on is the key battles discussed by Best</w:t>
      </w:r>
      <w:r w:rsidRPr="00A6707B">
        <w:rPr>
          <w:rStyle w:val="FootnoteReference"/>
          <w:rFonts w:ascii="Times New Roman" w:hAnsi="Times New Roman" w:cs="Times New Roman"/>
          <w:color w:val="000000" w:themeColor="text1"/>
          <w:sz w:val="24"/>
          <w:szCs w:val="24"/>
        </w:rPr>
        <w:footnoteReference w:id="140"/>
      </w:r>
      <w:r w:rsidRPr="00A6707B">
        <w:rPr>
          <w:rFonts w:ascii="Times New Roman" w:hAnsi="Times New Roman" w:cs="Times New Roman"/>
          <w:color w:val="000000" w:themeColor="text1"/>
          <w:sz w:val="24"/>
          <w:szCs w:val="24"/>
        </w:rPr>
        <w:t xml:space="preserve"> that peltasts were present for, focusing on the battles that the peltasts were underestimated</w:t>
      </w:r>
      <w:r w:rsidRPr="00A6707B">
        <w:rPr>
          <w:rStyle w:val="FootnoteReference"/>
          <w:rFonts w:ascii="Times New Roman" w:hAnsi="Times New Roman" w:cs="Times New Roman"/>
          <w:color w:val="000000" w:themeColor="text1"/>
          <w:sz w:val="24"/>
          <w:szCs w:val="24"/>
        </w:rPr>
        <w:footnoteReference w:id="141"/>
      </w:r>
      <w:r w:rsidRPr="00A6707B">
        <w:rPr>
          <w:rFonts w:ascii="Times New Roman" w:hAnsi="Times New Roman" w:cs="Times New Roman"/>
          <w:color w:val="000000" w:themeColor="text1"/>
          <w:sz w:val="24"/>
          <w:szCs w:val="24"/>
        </w:rPr>
        <w:t xml:space="preserve"> as well as cases where generals learned from their predecessors</w:t>
      </w:r>
      <w:r w:rsidRPr="00A6707B">
        <w:rPr>
          <w:rStyle w:val="FootnoteReference"/>
          <w:rFonts w:ascii="Times New Roman" w:hAnsi="Times New Roman" w:cs="Times New Roman"/>
          <w:color w:val="000000" w:themeColor="text1"/>
          <w:sz w:val="24"/>
          <w:szCs w:val="24"/>
        </w:rPr>
        <w:footnoteReference w:id="142"/>
      </w:r>
      <w:r w:rsidRPr="00A6707B">
        <w:rPr>
          <w:rFonts w:ascii="Times New Roman" w:hAnsi="Times New Roman" w:cs="Times New Roman"/>
          <w:color w:val="000000" w:themeColor="text1"/>
          <w:sz w:val="24"/>
          <w:szCs w:val="24"/>
        </w:rPr>
        <w:t>. Best records that as far as is known, Peisistratos was the first to take Thracian peltasts into his service. His first detailed example covers Demosthenes in 426BC. The narrative goes that Demosthenes was persuaded to invade the Aitolian territory by the Messenians in Naupaktos</w:t>
      </w:r>
      <w:r w:rsidRPr="00A6707B">
        <w:rPr>
          <w:rStyle w:val="FootnoteReference"/>
          <w:rFonts w:ascii="Times New Roman" w:hAnsi="Times New Roman" w:cs="Times New Roman"/>
          <w:color w:val="000000" w:themeColor="text1"/>
          <w:sz w:val="24"/>
          <w:szCs w:val="24"/>
        </w:rPr>
        <w:footnoteReference w:id="143"/>
      </w:r>
      <w:r w:rsidRPr="00A6707B">
        <w:rPr>
          <w:rFonts w:ascii="Times New Roman" w:hAnsi="Times New Roman" w:cs="Times New Roman"/>
          <w:color w:val="000000" w:themeColor="text1"/>
          <w:sz w:val="24"/>
          <w:szCs w:val="24"/>
        </w:rPr>
        <w:t>. Demosthenes assumed that the light armour of the Aitolians would make them easy to defeat, resulting in Demosthenes not waiting for reinforcements from Lokris, who were light-armoured troops, familiar with the style of warfare as well as being familiar with the territory due to being local</w:t>
      </w:r>
      <w:r w:rsidRPr="00A6707B">
        <w:rPr>
          <w:rStyle w:val="FootnoteReference"/>
          <w:rFonts w:ascii="Times New Roman" w:hAnsi="Times New Roman" w:cs="Times New Roman"/>
          <w:color w:val="000000" w:themeColor="text1"/>
          <w:sz w:val="24"/>
          <w:szCs w:val="24"/>
        </w:rPr>
        <w:footnoteReference w:id="144"/>
      </w:r>
      <w:r w:rsidRPr="00A6707B">
        <w:rPr>
          <w:rFonts w:ascii="Times New Roman" w:hAnsi="Times New Roman" w:cs="Times New Roman"/>
          <w:color w:val="000000" w:themeColor="text1"/>
          <w:sz w:val="24"/>
          <w:szCs w:val="24"/>
        </w:rPr>
        <w:t xml:space="preserve">. In this case the peltasts were underestimated, they would attack from higher ground and retreat when Demosthenes’ forces would counter attack renewing their efforts when the </w:t>
      </w:r>
      <w:r w:rsidR="00C34DB5" w:rsidRPr="00A6707B">
        <w:rPr>
          <w:rFonts w:ascii="Times New Roman" w:hAnsi="Times New Roman" w:cs="Times New Roman"/>
          <w:color w:val="000000" w:themeColor="text1"/>
          <w:sz w:val="24"/>
          <w:szCs w:val="24"/>
        </w:rPr>
        <w:t>Aitolians</w:t>
      </w:r>
      <w:r w:rsidRPr="00A6707B">
        <w:rPr>
          <w:rFonts w:ascii="Times New Roman" w:hAnsi="Times New Roman" w:cs="Times New Roman"/>
          <w:color w:val="000000" w:themeColor="text1"/>
          <w:sz w:val="24"/>
          <w:szCs w:val="24"/>
        </w:rPr>
        <w:t xml:space="preserve"> retreated</w:t>
      </w:r>
      <w:r w:rsidRPr="00A6707B">
        <w:rPr>
          <w:rStyle w:val="FootnoteReference"/>
          <w:rFonts w:ascii="Times New Roman" w:hAnsi="Times New Roman" w:cs="Times New Roman"/>
          <w:color w:val="000000" w:themeColor="text1"/>
          <w:sz w:val="24"/>
          <w:szCs w:val="24"/>
        </w:rPr>
        <w:footnoteReference w:id="145"/>
      </w:r>
      <w:r w:rsidRPr="00A6707B">
        <w:rPr>
          <w:rFonts w:ascii="Times New Roman" w:hAnsi="Times New Roman" w:cs="Times New Roman"/>
          <w:color w:val="000000" w:themeColor="text1"/>
          <w:sz w:val="24"/>
          <w:szCs w:val="24"/>
        </w:rPr>
        <w:t>. Best discusses how the peltasts knew their own limits, staying out of range of the archers until they exhausted their arrows</w:t>
      </w:r>
      <w:r w:rsidRPr="00A6707B">
        <w:rPr>
          <w:rStyle w:val="FootnoteReference"/>
          <w:rFonts w:ascii="Times New Roman" w:hAnsi="Times New Roman" w:cs="Times New Roman"/>
          <w:color w:val="000000" w:themeColor="text1"/>
          <w:sz w:val="24"/>
          <w:szCs w:val="24"/>
        </w:rPr>
        <w:footnoteReference w:id="146"/>
      </w:r>
      <w:r w:rsidRPr="00A6707B">
        <w:rPr>
          <w:rFonts w:ascii="Times New Roman" w:hAnsi="Times New Roman" w:cs="Times New Roman"/>
          <w:color w:val="000000" w:themeColor="text1"/>
          <w:sz w:val="24"/>
          <w:szCs w:val="24"/>
        </w:rPr>
        <w:t>. Demosthenes’ underestimation of the peltasts is clear in this narrative. After his forces fled, the phalanx was dispersed and separated amongst a forest which the Aitolians set ablaze</w:t>
      </w:r>
      <w:r w:rsidRPr="00A6707B">
        <w:rPr>
          <w:rStyle w:val="FootnoteReference"/>
          <w:rFonts w:ascii="Times New Roman" w:hAnsi="Times New Roman" w:cs="Times New Roman"/>
          <w:color w:val="000000" w:themeColor="text1"/>
          <w:sz w:val="24"/>
          <w:szCs w:val="24"/>
        </w:rPr>
        <w:footnoteReference w:id="147"/>
      </w:r>
      <w:r w:rsidRPr="00A6707B">
        <w:rPr>
          <w:rFonts w:ascii="Times New Roman" w:hAnsi="Times New Roman" w:cs="Times New Roman"/>
          <w:color w:val="000000" w:themeColor="text1"/>
          <w:sz w:val="24"/>
          <w:szCs w:val="24"/>
        </w:rPr>
        <w:t xml:space="preserve">. </w:t>
      </w:r>
    </w:p>
    <w:p w:rsidR="00B3464B" w:rsidRPr="00A6707B" w:rsidRDefault="00B3464B" w:rsidP="00A6707B">
      <w:pPr>
        <w:spacing w:line="480" w:lineRule="auto"/>
        <w:rPr>
          <w:rFonts w:ascii="Times New Roman" w:hAnsi="Times New Roman" w:cs="Times New Roman"/>
          <w:color w:val="000000" w:themeColor="text1"/>
          <w:sz w:val="24"/>
          <w:szCs w:val="24"/>
        </w:rPr>
      </w:pPr>
      <w:r w:rsidRPr="00A6707B">
        <w:rPr>
          <w:rFonts w:ascii="Times New Roman" w:hAnsi="Times New Roman" w:cs="Times New Roman"/>
          <w:color w:val="000000" w:themeColor="text1"/>
          <w:sz w:val="24"/>
          <w:szCs w:val="24"/>
        </w:rPr>
        <w:t xml:space="preserve">Following on from this narrative, Best discusses how Demosthenes learned from his defeat at the hands of the Aitolians and set proper precautions in place when he heard </w:t>
      </w:r>
      <w:r w:rsidRPr="00A6707B">
        <w:rPr>
          <w:rFonts w:ascii="Times New Roman" w:hAnsi="Times New Roman" w:cs="Times New Roman"/>
          <w:color w:val="000000" w:themeColor="text1"/>
          <w:sz w:val="24"/>
          <w:szCs w:val="24"/>
        </w:rPr>
        <w:lastRenderedPageBreak/>
        <w:t xml:space="preserve">the Ambrakiots were marching against him. In this instance, Demosthenes made use of his light armoured troops, whereas the Ambrakiots did not, </w:t>
      </w:r>
      <w:proofErr w:type="gramStart"/>
      <w:r w:rsidRPr="00A6707B">
        <w:rPr>
          <w:rFonts w:ascii="Times New Roman" w:hAnsi="Times New Roman" w:cs="Times New Roman"/>
          <w:color w:val="000000" w:themeColor="text1"/>
          <w:sz w:val="24"/>
          <w:szCs w:val="24"/>
        </w:rPr>
        <w:t>Best</w:t>
      </w:r>
      <w:proofErr w:type="gramEnd"/>
      <w:r w:rsidRPr="00A6707B">
        <w:rPr>
          <w:rFonts w:ascii="Times New Roman" w:hAnsi="Times New Roman" w:cs="Times New Roman"/>
          <w:color w:val="000000" w:themeColor="text1"/>
          <w:sz w:val="24"/>
          <w:szCs w:val="24"/>
        </w:rPr>
        <w:t xml:space="preserve"> highlights the eerie similarities between the original defeats Demosthenes experienced to the one that he inflicted on the Ambrakiots</w:t>
      </w:r>
      <w:r w:rsidRPr="00A6707B">
        <w:rPr>
          <w:rStyle w:val="FootnoteReference"/>
          <w:rFonts w:ascii="Times New Roman" w:hAnsi="Times New Roman" w:cs="Times New Roman"/>
          <w:color w:val="000000" w:themeColor="text1"/>
          <w:sz w:val="24"/>
          <w:szCs w:val="24"/>
        </w:rPr>
        <w:footnoteReference w:id="148"/>
      </w:r>
      <w:r w:rsidRPr="00A6707B">
        <w:rPr>
          <w:rFonts w:ascii="Times New Roman" w:hAnsi="Times New Roman" w:cs="Times New Roman"/>
          <w:color w:val="000000" w:themeColor="text1"/>
          <w:sz w:val="24"/>
          <w:szCs w:val="24"/>
        </w:rPr>
        <w:t xml:space="preserve">. </w:t>
      </w:r>
    </w:p>
    <w:p w:rsidR="00B3464B" w:rsidRDefault="00B3464B" w:rsidP="00A6707B">
      <w:pPr>
        <w:spacing w:line="480" w:lineRule="auto"/>
        <w:rPr>
          <w:rFonts w:ascii="Times New Roman" w:hAnsi="Times New Roman" w:cs="Times New Roman"/>
          <w:color w:val="000000" w:themeColor="text1"/>
          <w:sz w:val="24"/>
          <w:szCs w:val="24"/>
        </w:rPr>
      </w:pPr>
      <w:r w:rsidRPr="00A6707B">
        <w:rPr>
          <w:rFonts w:ascii="Times New Roman" w:hAnsi="Times New Roman" w:cs="Times New Roman"/>
          <w:color w:val="000000" w:themeColor="text1"/>
          <w:sz w:val="24"/>
          <w:szCs w:val="24"/>
        </w:rPr>
        <w:t>The peltast has often been underestimated, but once the military applications of the peltast were understood they often provided the upper hand for a force facing hoplites especially when the terrain limited hoplite capabilities. In relation to professionalism, the development of peltast warfare shows the soldiers adaptation of light infantry warfare to be able to confidently counter the heavy infantry hoplite.</w:t>
      </w:r>
    </w:p>
    <w:p w:rsidR="00B50485" w:rsidRPr="00A6707B" w:rsidRDefault="00B50485" w:rsidP="00A6707B">
      <w:pPr>
        <w:spacing w:line="480" w:lineRule="auto"/>
        <w:rPr>
          <w:rFonts w:ascii="Times New Roman" w:hAnsi="Times New Roman" w:cs="Times New Roman"/>
          <w:sz w:val="24"/>
          <w:szCs w:val="24"/>
        </w:rPr>
      </w:pPr>
    </w:p>
    <w:p w:rsidR="00507FC5" w:rsidRPr="00A6707B" w:rsidRDefault="000E3641" w:rsidP="00A6707B">
      <w:pPr>
        <w:pStyle w:val="Heading2"/>
        <w:spacing w:line="480" w:lineRule="auto"/>
        <w:rPr>
          <w:rFonts w:ascii="Times New Roman" w:hAnsi="Times New Roman" w:cs="Times New Roman"/>
          <w:color w:val="auto"/>
          <w:sz w:val="28"/>
          <w:szCs w:val="24"/>
        </w:rPr>
      </w:pPr>
      <w:bookmarkStart w:id="13" w:name="_Toc8191343"/>
      <w:r w:rsidRPr="00A6707B">
        <w:rPr>
          <w:rFonts w:ascii="Times New Roman" w:hAnsi="Times New Roman" w:cs="Times New Roman"/>
          <w:color w:val="auto"/>
          <w:sz w:val="28"/>
          <w:szCs w:val="24"/>
        </w:rPr>
        <w:t>Issues of professionalism in military forces</w:t>
      </w:r>
      <w:bookmarkEnd w:id="13"/>
    </w:p>
    <w:p w:rsidR="00507FC5" w:rsidRDefault="00D12282" w:rsidP="00A6707B">
      <w:pPr>
        <w:spacing w:line="480" w:lineRule="auto"/>
        <w:rPr>
          <w:rFonts w:ascii="Times New Roman" w:hAnsi="Times New Roman" w:cs="Times New Roman"/>
          <w:sz w:val="24"/>
          <w:szCs w:val="24"/>
        </w:rPr>
      </w:pPr>
      <w:r>
        <w:rPr>
          <w:rFonts w:ascii="Times New Roman" w:hAnsi="Times New Roman" w:cs="Times New Roman"/>
          <w:sz w:val="24"/>
          <w:szCs w:val="24"/>
        </w:rPr>
        <w:t>This chapter has discussed three separate branches of soldiers in the Classical Greek world to determine the development of professionalism in individual poleis dedicated units as well as development of a specific branch of warfare.</w:t>
      </w:r>
    </w:p>
    <w:p w:rsidR="00D12282" w:rsidRDefault="00D12282" w:rsidP="00A6707B">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a number of benefits to having a dedicated unit as opposed to the society structure explored at Sparta earlier in this work. Primarily, it is cheaper. By selecting members of the aristocracy such as in the case of the Argive one thousand, there is the opportunity for their arms to be provided by the soldiers themselves, while the smaller size of the unit, again in the case of the one thousand in comparison to the entire male citizen population of Sparta it, means that the state could support them itself as opposed to being required to create a contribution system to maintain its unit. Furthermore, the </w:t>
      </w:r>
      <w:r>
        <w:rPr>
          <w:rFonts w:ascii="Times New Roman" w:hAnsi="Times New Roman" w:cs="Times New Roman"/>
          <w:sz w:val="24"/>
          <w:szCs w:val="24"/>
        </w:rPr>
        <w:lastRenderedPageBreak/>
        <w:t xml:space="preserve">unit would not be reliant on a dedicated serf population such as the Helots at Sparta which provided the state with a significant threat to the safety of the polis. </w:t>
      </w:r>
    </w:p>
    <w:p w:rsidR="00D12282" w:rsidRDefault="00D12282" w:rsidP="00A6707B">
      <w:pPr>
        <w:spacing w:line="480" w:lineRule="auto"/>
        <w:rPr>
          <w:rFonts w:ascii="Times New Roman" w:hAnsi="Times New Roman" w:cs="Times New Roman"/>
          <w:sz w:val="24"/>
          <w:szCs w:val="24"/>
        </w:rPr>
      </w:pPr>
      <w:r>
        <w:rPr>
          <w:rFonts w:ascii="Times New Roman" w:hAnsi="Times New Roman" w:cs="Times New Roman"/>
          <w:sz w:val="24"/>
          <w:szCs w:val="24"/>
        </w:rPr>
        <w:t xml:space="preserve">In addition, a dedicated unit could be formed and trained for a specific purpose as opposed to a standing army comprised of the entire male population of the state, in the case of the Argive one thousand they were created as a means to withstand Sparta. </w:t>
      </w:r>
    </w:p>
    <w:p w:rsidR="00D12282" w:rsidRDefault="00D12282" w:rsidP="00A6707B">
      <w:pPr>
        <w:spacing w:line="480" w:lineRule="auto"/>
        <w:rPr>
          <w:rFonts w:ascii="Times New Roman" w:hAnsi="Times New Roman" w:cs="Times New Roman"/>
          <w:sz w:val="24"/>
          <w:szCs w:val="24"/>
        </w:rPr>
      </w:pPr>
      <w:r>
        <w:rPr>
          <w:rFonts w:ascii="Times New Roman" w:hAnsi="Times New Roman" w:cs="Times New Roman"/>
          <w:sz w:val="24"/>
          <w:szCs w:val="24"/>
        </w:rPr>
        <w:t>In terms of the development of peltast warfare, it is clear from the examples discussed above that the peltast strikes a balance between the defence capabilities of the hoplite through the use of a shield however it maintains a level of manoeuvrability that the light infantry benefitted from.</w:t>
      </w:r>
    </w:p>
    <w:p w:rsidR="00B04515" w:rsidRPr="00A6707B" w:rsidRDefault="00D12282" w:rsidP="00C02BA8">
      <w:pPr>
        <w:spacing w:line="480" w:lineRule="auto"/>
        <w:rPr>
          <w:rFonts w:ascii="Times New Roman" w:hAnsi="Times New Roman" w:cs="Times New Roman"/>
          <w:sz w:val="24"/>
          <w:szCs w:val="24"/>
        </w:rPr>
      </w:pPr>
      <w:r>
        <w:rPr>
          <w:rFonts w:ascii="Times New Roman" w:hAnsi="Times New Roman" w:cs="Times New Roman"/>
          <w:sz w:val="24"/>
          <w:szCs w:val="24"/>
        </w:rPr>
        <w:t>To conclude, the forces outside of Sparta were developing dedicated units as opposed to restructuring their society to provide a standing military to rival the professional quality of the Spartan hoplite and by doing so, in combination with the decline in Sparta</w:t>
      </w:r>
      <w:r>
        <w:rPr>
          <w:rStyle w:val="FootnoteReference"/>
          <w:rFonts w:ascii="Times New Roman" w:hAnsi="Times New Roman" w:cs="Times New Roman"/>
          <w:sz w:val="24"/>
          <w:szCs w:val="24"/>
        </w:rPr>
        <w:footnoteReference w:id="149"/>
      </w:r>
      <w:r>
        <w:rPr>
          <w:rFonts w:ascii="Times New Roman" w:hAnsi="Times New Roman" w:cs="Times New Roman"/>
          <w:sz w:val="24"/>
          <w:szCs w:val="24"/>
        </w:rPr>
        <w:t xml:space="preserve">, </w:t>
      </w:r>
      <w:r w:rsidR="00C02BA8">
        <w:rPr>
          <w:rFonts w:ascii="Times New Roman" w:hAnsi="Times New Roman" w:cs="Times New Roman"/>
          <w:sz w:val="24"/>
          <w:szCs w:val="24"/>
        </w:rPr>
        <w:t>became military powers in their own right.</w:t>
      </w:r>
    </w:p>
    <w:p w:rsidR="00C02BA8" w:rsidRDefault="00C02BA8" w:rsidP="00A6707B">
      <w:pPr>
        <w:pStyle w:val="Heading1"/>
        <w:spacing w:line="480" w:lineRule="auto"/>
        <w:jc w:val="center"/>
        <w:rPr>
          <w:rFonts w:ascii="Times New Roman" w:hAnsi="Times New Roman" w:cs="Times New Roman"/>
          <w:color w:val="auto"/>
          <w:sz w:val="36"/>
          <w:szCs w:val="36"/>
        </w:rPr>
      </w:pPr>
      <w:r>
        <w:rPr>
          <w:rFonts w:ascii="Times New Roman" w:hAnsi="Times New Roman" w:cs="Times New Roman"/>
          <w:color w:val="auto"/>
          <w:sz w:val="36"/>
          <w:szCs w:val="36"/>
        </w:rPr>
        <w:br w:type="page"/>
      </w:r>
    </w:p>
    <w:p w:rsidR="000E3641" w:rsidRPr="00D349B2" w:rsidRDefault="00EF2FB5" w:rsidP="00A6707B">
      <w:pPr>
        <w:pStyle w:val="Heading1"/>
        <w:spacing w:line="480" w:lineRule="auto"/>
        <w:jc w:val="center"/>
        <w:rPr>
          <w:rFonts w:ascii="Times New Roman" w:hAnsi="Times New Roman" w:cs="Times New Roman"/>
          <w:color w:val="auto"/>
          <w:szCs w:val="36"/>
        </w:rPr>
      </w:pPr>
      <w:bookmarkStart w:id="14" w:name="_Toc8191344"/>
      <w:r w:rsidRPr="00D349B2">
        <w:rPr>
          <w:rFonts w:ascii="Times New Roman" w:hAnsi="Times New Roman" w:cs="Times New Roman"/>
          <w:color w:val="auto"/>
          <w:szCs w:val="36"/>
        </w:rPr>
        <w:lastRenderedPageBreak/>
        <w:t>C</w:t>
      </w:r>
      <w:r w:rsidR="00CF38EC" w:rsidRPr="00D349B2">
        <w:rPr>
          <w:rFonts w:ascii="Times New Roman" w:hAnsi="Times New Roman" w:cs="Times New Roman"/>
          <w:color w:val="auto"/>
          <w:szCs w:val="36"/>
        </w:rPr>
        <w:t>hapter 4: The origins of Mercenary forces</w:t>
      </w:r>
      <w:bookmarkEnd w:id="14"/>
    </w:p>
    <w:p w:rsidR="00680E61" w:rsidRPr="00A6707B" w:rsidRDefault="00680E61" w:rsidP="00A6707B">
      <w:pPr>
        <w:pStyle w:val="NormalWeb"/>
        <w:shd w:val="clear" w:color="auto" w:fill="FFFFFF"/>
        <w:spacing w:before="0" w:beforeAutospacing="0" w:after="160" w:afterAutospacing="0" w:line="480" w:lineRule="auto"/>
        <w:rPr>
          <w:color w:val="000000"/>
        </w:rPr>
      </w:pPr>
      <w:bookmarkStart w:id="15" w:name="_Hlk7560833"/>
      <w:r w:rsidRPr="00A6707B">
        <w:rPr>
          <w:color w:val="000000"/>
        </w:rPr>
        <w:t>This section will discuss the origins of mercenary forces in the ancient world. In a world where warfare was a commonly accepted aspect of life for the citizens of the states in Greece, mercenary bands were an ever-growing source of employment for men who had served their entire lives and were no longer suited to, or willing to, return to civilian lives at home as well as those with no other option, this section will focus primarily on the latter. This section will discuss the evidence around the formation of mercenary bands in comparison to the state produced professional soldiers of Sparta and Thebes.</w:t>
      </w:r>
    </w:p>
    <w:p w:rsidR="00680E61" w:rsidRPr="00A6707B" w:rsidRDefault="00680E61" w:rsidP="00A6707B">
      <w:pPr>
        <w:pStyle w:val="NormalWeb"/>
        <w:shd w:val="clear" w:color="auto" w:fill="FFFFFF"/>
        <w:spacing w:before="0" w:beforeAutospacing="0" w:after="160" w:afterAutospacing="0" w:line="480" w:lineRule="auto"/>
        <w:rPr>
          <w:color w:val="000000"/>
        </w:rPr>
      </w:pPr>
      <w:r w:rsidRPr="00A6707B">
        <w:rPr>
          <w:color w:val="000000"/>
        </w:rPr>
        <w:t>Miller discusses what he believes to be the practical and economic background to what he refers to as the Greek mercenary explosion. He opens his discussion by stating that while there is an almost glamourized image of the classical mercenary, it was still “subject to the discipline of practical economics as less glamourous-sounding pursuits”</w:t>
      </w:r>
      <w:r w:rsidRPr="00A6707B">
        <w:rPr>
          <w:rStyle w:val="FootnoteReference"/>
          <w:color w:val="000000"/>
        </w:rPr>
        <w:footnoteReference w:id="150"/>
      </w:r>
      <w:r w:rsidRPr="00A6707B">
        <w:rPr>
          <w:color w:val="000000"/>
        </w:rPr>
        <w:t xml:space="preserve">. Miller’s view centers </w:t>
      </w:r>
      <w:r w:rsidR="00C34DB5" w:rsidRPr="00A6707B">
        <w:rPr>
          <w:color w:val="000000"/>
        </w:rPr>
        <w:t>on</w:t>
      </w:r>
      <w:r w:rsidRPr="00A6707B">
        <w:rPr>
          <w:color w:val="000000"/>
        </w:rPr>
        <w:t xml:space="preserve"> the concept of supply and demand. He theorized that leaders would have to determine the economic costs of an army not just through wage or maintenance but the effect of removing a portion of the working population from the fields for the period of an extended campaign</w:t>
      </w:r>
      <w:r w:rsidRPr="00A6707B">
        <w:rPr>
          <w:rStyle w:val="FootnoteReference"/>
          <w:color w:val="000000"/>
        </w:rPr>
        <w:footnoteReference w:id="151"/>
      </w:r>
      <w:r w:rsidRPr="00A6707B">
        <w:rPr>
          <w:color w:val="000000"/>
        </w:rPr>
        <w:t>.  Miller believed the cost of hiring a mercenary force while potentially substantial would pale in comparison of the loss of revenue from either food production or goods as well as being more cost effective than hiring and maintaining a local force</w:t>
      </w:r>
      <w:r w:rsidRPr="00A6707B">
        <w:rPr>
          <w:rStyle w:val="FootnoteReference"/>
          <w:color w:val="000000"/>
        </w:rPr>
        <w:footnoteReference w:id="152"/>
      </w:r>
      <w:r w:rsidRPr="00A6707B">
        <w:rPr>
          <w:color w:val="000000"/>
        </w:rPr>
        <w:t xml:space="preserve">.  While this runs true for larger </w:t>
      </w:r>
      <w:r w:rsidR="00B50485" w:rsidRPr="00A6707B">
        <w:rPr>
          <w:color w:val="000000"/>
        </w:rPr>
        <w:t>poleis</w:t>
      </w:r>
      <w:r w:rsidRPr="00A6707B">
        <w:rPr>
          <w:color w:val="000000"/>
        </w:rPr>
        <w:t xml:space="preserve"> it creates a complicated question when discussing the options of a smaller polis. </w:t>
      </w:r>
    </w:p>
    <w:p w:rsidR="00680E61" w:rsidRPr="00A6707B" w:rsidRDefault="00680E61" w:rsidP="00A6707B">
      <w:pPr>
        <w:pStyle w:val="NormalWeb"/>
        <w:shd w:val="clear" w:color="auto" w:fill="FFFFFF"/>
        <w:spacing w:before="0" w:beforeAutospacing="0" w:after="160" w:afterAutospacing="0" w:line="480" w:lineRule="auto"/>
        <w:rPr>
          <w:color w:val="000000"/>
        </w:rPr>
      </w:pPr>
      <w:r w:rsidRPr="00A6707B">
        <w:rPr>
          <w:color w:val="000000"/>
        </w:rPr>
        <w:t xml:space="preserve">Further, the primary argument Miller presents is that the mercenary occupation grew in popularity as a result of a war-ravaged Greece during and after the Peloponnesian war </w:t>
      </w:r>
      <w:r w:rsidRPr="00A6707B">
        <w:rPr>
          <w:color w:val="000000"/>
        </w:rPr>
        <w:lastRenderedPageBreak/>
        <w:t xml:space="preserve">constantly leaving the </w:t>
      </w:r>
      <w:r w:rsidR="00C02BA8">
        <w:rPr>
          <w:color w:val="000000"/>
        </w:rPr>
        <w:t>arable</w:t>
      </w:r>
      <w:r w:rsidRPr="00A6707B">
        <w:rPr>
          <w:color w:val="000000"/>
        </w:rPr>
        <w:t xml:space="preserve"> land in ruin</w:t>
      </w:r>
      <w:r w:rsidRPr="00A6707B">
        <w:rPr>
          <w:rStyle w:val="FootnoteReference"/>
          <w:color w:val="000000"/>
        </w:rPr>
        <w:footnoteReference w:id="153"/>
      </w:r>
      <w:r w:rsidRPr="00A6707B">
        <w:rPr>
          <w:color w:val="000000"/>
        </w:rPr>
        <w:t xml:space="preserve">. Small land owners would find themselves with </w:t>
      </w:r>
      <w:r w:rsidR="00C02BA8" w:rsidRPr="00A6707B">
        <w:rPr>
          <w:color w:val="000000"/>
        </w:rPr>
        <w:t>un</w:t>
      </w:r>
      <w:r w:rsidR="00C02BA8">
        <w:rPr>
          <w:color w:val="000000"/>
        </w:rPr>
        <w:t>cultivable</w:t>
      </w:r>
      <w:r w:rsidRPr="00A6707B">
        <w:rPr>
          <w:color w:val="000000"/>
        </w:rPr>
        <w:t xml:space="preserve"> land as a result of the conflict and would be unable to afford the repairs it would require to return the land to an arable state, Miller discusses how these farmers would often have to mortgage their land in order to afford these repairs</w:t>
      </w:r>
      <w:r w:rsidRPr="00A6707B">
        <w:rPr>
          <w:rStyle w:val="FootnoteReference"/>
          <w:color w:val="000000"/>
        </w:rPr>
        <w:footnoteReference w:id="154"/>
      </w:r>
      <w:r w:rsidRPr="00A6707B">
        <w:rPr>
          <w:color w:val="000000"/>
        </w:rPr>
        <w:t>. Miller</w:t>
      </w:r>
      <w:r w:rsidR="00CC597D" w:rsidRPr="00A6707B">
        <w:rPr>
          <w:color w:val="000000"/>
        </w:rPr>
        <w:t xml:space="preserve"> further</w:t>
      </w:r>
      <w:r w:rsidRPr="00A6707B">
        <w:rPr>
          <w:color w:val="000000"/>
        </w:rPr>
        <w:t xml:space="preserve"> notes how the increase in population as well as expansion in trade made for a more competitive market </w:t>
      </w:r>
      <w:r w:rsidR="00C02BA8">
        <w:rPr>
          <w:color w:val="000000"/>
        </w:rPr>
        <w:t xml:space="preserve">with </w:t>
      </w:r>
      <w:r w:rsidRPr="00A6707B">
        <w:rPr>
          <w:color w:val="000000"/>
        </w:rPr>
        <w:t>imported goods</w:t>
      </w:r>
      <w:r w:rsidRPr="00A6707B">
        <w:rPr>
          <w:rStyle w:val="FootnoteReference"/>
          <w:color w:val="000000"/>
        </w:rPr>
        <w:footnoteReference w:id="155"/>
      </w:r>
      <w:r w:rsidRPr="00A6707B">
        <w:rPr>
          <w:color w:val="000000"/>
        </w:rPr>
        <w:t xml:space="preserve">. The result being the smaller land owner would have to lower the price of his goods </w:t>
      </w:r>
      <w:r w:rsidR="00C02BA8">
        <w:rPr>
          <w:color w:val="000000"/>
        </w:rPr>
        <w:t>to remain competitive</w:t>
      </w:r>
      <w:r w:rsidRPr="00A6707B">
        <w:rPr>
          <w:color w:val="000000"/>
        </w:rPr>
        <w:t xml:space="preserve"> however, unlike larger landowners, the smaller landowner required these funds in order to maintain a level of livelihood. </w:t>
      </w:r>
    </w:p>
    <w:p w:rsidR="00680E61" w:rsidRPr="00A6707B" w:rsidRDefault="00680E61" w:rsidP="00A6707B">
      <w:pPr>
        <w:pStyle w:val="NormalWeb"/>
        <w:shd w:val="clear" w:color="auto" w:fill="FFFFFF"/>
        <w:spacing w:before="0" w:beforeAutospacing="0" w:after="160" w:afterAutospacing="0" w:line="480" w:lineRule="auto"/>
        <w:rPr>
          <w:color w:val="000000"/>
        </w:rPr>
      </w:pPr>
      <w:r w:rsidRPr="00A6707B">
        <w:rPr>
          <w:color w:val="000000"/>
        </w:rPr>
        <w:t>Miller attributes difficulty in maintaining land and goods to a competitive standard in comparison to la</w:t>
      </w:r>
      <w:r w:rsidR="00C02BA8">
        <w:rPr>
          <w:color w:val="000000"/>
        </w:rPr>
        <w:t>r</w:t>
      </w:r>
      <w:r w:rsidRPr="00A6707B">
        <w:rPr>
          <w:color w:val="000000"/>
        </w:rPr>
        <w:t>ger land owners able to employ metics as a primary cause for small land owners becoming dispossessed and becoming what he refers to as wanderers</w:t>
      </w:r>
      <w:r w:rsidRPr="00A6707B">
        <w:rPr>
          <w:rStyle w:val="FootnoteReference"/>
          <w:color w:val="000000"/>
        </w:rPr>
        <w:footnoteReference w:id="156"/>
      </w:r>
      <w:r w:rsidRPr="00A6707B">
        <w:rPr>
          <w:color w:val="000000"/>
        </w:rPr>
        <w:t>.  Parke believes that during the fourth century no state, with perhaps the exception of Sparta, was exempt from political and violent upheaval and the number of those who were homeless and unemployed increased.</w:t>
      </w:r>
      <w:r w:rsidRPr="00A6707B">
        <w:rPr>
          <w:rStyle w:val="FootnoteReference"/>
          <w:color w:val="000000"/>
        </w:rPr>
        <w:footnoteReference w:id="157"/>
      </w:r>
      <w:r w:rsidRPr="00A6707B">
        <w:rPr>
          <w:color w:val="000000"/>
        </w:rPr>
        <w:t xml:space="preserve"> Meaning the number of men willing to take up arms for hire also increased.</w:t>
      </w:r>
    </w:p>
    <w:p w:rsidR="00680E61" w:rsidRPr="00A6707B" w:rsidRDefault="00680E61" w:rsidP="00A6707B">
      <w:pPr>
        <w:pStyle w:val="NormalWeb"/>
        <w:shd w:val="clear" w:color="auto" w:fill="FFFFFF"/>
        <w:spacing w:before="0" w:beforeAutospacing="0" w:after="160" w:afterAutospacing="0" w:line="480" w:lineRule="auto"/>
        <w:rPr>
          <w:color w:val="000000"/>
        </w:rPr>
      </w:pPr>
      <w:r w:rsidRPr="00A6707B">
        <w:rPr>
          <w:color w:val="000000"/>
        </w:rPr>
        <w:t>Now, while these discussions begin to piece together the origins of an increase of mercenary forces, it does not explain why men would choose this profession over a safer one. Miller suggests that it was not a result of a good wage. Mercenaries would rarely make a wage equal to a skilled laborer</w:t>
      </w:r>
      <w:r w:rsidRPr="00A6707B">
        <w:rPr>
          <w:rStyle w:val="FootnoteReference"/>
          <w:color w:val="000000"/>
        </w:rPr>
        <w:footnoteReference w:id="158"/>
      </w:r>
      <w:r w:rsidRPr="00A6707B">
        <w:rPr>
          <w:color w:val="000000"/>
        </w:rPr>
        <w:t xml:space="preserve"> while Diodorus records that mercenaries </w:t>
      </w:r>
      <w:r w:rsidRPr="00A6707B">
        <w:rPr>
          <w:color w:val="000000"/>
        </w:rPr>
        <w:lastRenderedPageBreak/>
        <w:t>seemed to expect benefits of a higher standard</w:t>
      </w:r>
      <w:r w:rsidRPr="00A6707B">
        <w:rPr>
          <w:rStyle w:val="FootnoteReference"/>
          <w:color w:val="000000"/>
        </w:rPr>
        <w:footnoteReference w:id="159"/>
      </w:r>
      <w:r w:rsidRPr="00A6707B">
        <w:rPr>
          <w:color w:val="000000"/>
        </w:rPr>
        <w:t>. Miller records their benefits to include bonuses through division of loot from conquered forces, increase in pay or a gift of a sum of money for ‘outstanding deeds’ which Miller views as being primarily available to the officers</w:t>
      </w:r>
      <w:r w:rsidRPr="00A6707B">
        <w:rPr>
          <w:rStyle w:val="FootnoteReference"/>
          <w:color w:val="000000"/>
        </w:rPr>
        <w:footnoteReference w:id="160"/>
      </w:r>
      <w:r w:rsidRPr="00A6707B">
        <w:rPr>
          <w:color w:val="000000"/>
        </w:rPr>
        <w:t>.</w:t>
      </w:r>
    </w:p>
    <w:p w:rsidR="00680E61" w:rsidRPr="00A6707B" w:rsidRDefault="00680E61" w:rsidP="00A6707B">
      <w:pPr>
        <w:pStyle w:val="NormalWeb"/>
        <w:shd w:val="clear" w:color="auto" w:fill="FFFFFF"/>
        <w:spacing w:before="0" w:beforeAutospacing="0" w:after="160" w:afterAutospacing="0" w:line="480" w:lineRule="auto"/>
      </w:pPr>
      <w:r w:rsidRPr="00A6707B">
        <w:rPr>
          <w:color w:val="000000"/>
        </w:rPr>
        <w:t>The key debate of Miller is the concept of a mercenary marketplace. Multiple locations in Greece where those looking to join a mercenary band, representatives from these bands and potential employers or their recruitment representatives could gather with the purpose of employment</w:t>
      </w:r>
      <w:r w:rsidRPr="00A6707B">
        <w:rPr>
          <w:rStyle w:val="FootnoteReference"/>
          <w:color w:val="000000"/>
        </w:rPr>
        <w:footnoteReference w:id="161"/>
      </w:r>
      <w:r w:rsidRPr="00A6707B">
        <w:rPr>
          <w:color w:val="000000"/>
        </w:rPr>
        <w:t>. Miller draws on the work of Isocrates, who complained that the process of hiring mercenaries was difficult due to a lack of this type of system in the 400’s</w:t>
      </w:r>
      <w:r w:rsidRPr="00A6707B">
        <w:rPr>
          <w:rStyle w:val="FootnoteReference"/>
          <w:color w:val="000000"/>
        </w:rPr>
        <w:footnoteReference w:id="162"/>
      </w:r>
      <w:r w:rsidRPr="00A6707B">
        <w:rPr>
          <w:color w:val="000000"/>
        </w:rPr>
        <w:t xml:space="preserve">.  </w:t>
      </w:r>
      <w:r w:rsidRPr="00A6707B">
        <w:t>Miller discusses how the likely locations for these marketplaces would be conveniently placed cities such as Corinth or Athens in the fourth century, Aspendus and Ephesus in the third and second</w:t>
      </w:r>
      <w:r w:rsidRPr="00A6707B">
        <w:rPr>
          <w:rStyle w:val="FootnoteReference"/>
        </w:rPr>
        <w:footnoteReference w:id="163"/>
      </w:r>
      <w:r w:rsidR="00C02BA8">
        <w:t xml:space="preserve"> however ther</w:t>
      </w:r>
      <w:r w:rsidRPr="00A6707B">
        <w:t xml:space="preserve">e is little evidence to prove this aside from the recorded conflicts in the areas to make the locations convenient in hindsight. </w:t>
      </w:r>
    </w:p>
    <w:p w:rsidR="00680E61" w:rsidRPr="00A6707B" w:rsidRDefault="00680E61" w:rsidP="00A6707B">
      <w:pPr>
        <w:pStyle w:val="NormalWeb"/>
        <w:shd w:val="clear" w:color="auto" w:fill="FFFFFF"/>
        <w:spacing w:before="0" w:beforeAutospacing="0" w:after="160" w:afterAutospacing="0" w:line="480" w:lineRule="auto"/>
        <w:rPr>
          <w:color w:val="000000"/>
        </w:rPr>
      </w:pPr>
      <w:r w:rsidRPr="00A6707B">
        <w:t xml:space="preserve">In relation to the theme of this work, the modern definition of professionalism loosely applies the mercenaries of the classical world. They were maintained at the expense of the one who hired them, either at personal expense or expense of the state. </w:t>
      </w:r>
      <w:r w:rsidRPr="00A6707B">
        <w:rPr>
          <w:color w:val="000000"/>
        </w:rPr>
        <w:t xml:space="preserve">Before analyzing how the mercenary forces became paramount in the period, it is important to identify the benefits and limitations of mercenary forces. Due to state military’s being comprised of the citizenry, smaller states would struggle to field an army the size of one from Athens or Sparta alone. The option to hire a mercenary force is one method for </w:t>
      </w:r>
      <w:r w:rsidRPr="00A6707B">
        <w:rPr>
          <w:color w:val="000000"/>
        </w:rPr>
        <w:lastRenderedPageBreak/>
        <w:t>enabling a smaller sate to protect its interests. However, the debate touched on ear</w:t>
      </w:r>
      <w:r w:rsidR="00C02BA8">
        <w:rPr>
          <w:color w:val="000000"/>
        </w:rPr>
        <w:t>lier</w:t>
      </w:r>
      <w:r w:rsidRPr="00A6707B">
        <w:rPr>
          <w:color w:val="000000"/>
        </w:rPr>
        <w:t xml:space="preserve"> in this section concerning how a smaller state was able to support a mercenary force</w:t>
      </w:r>
      <w:r w:rsidR="005F78B3">
        <w:rPr>
          <w:color w:val="000000"/>
        </w:rPr>
        <w:t>, in many cases they simply were not able to. The cost of a mercenary force, especially being able to pay them enough to prevent them from deserting or being bought off by the enemy</w:t>
      </w:r>
      <w:r w:rsidR="005F78B3">
        <w:rPr>
          <w:rStyle w:val="FootnoteReference"/>
          <w:color w:val="000000"/>
        </w:rPr>
        <w:footnoteReference w:id="164"/>
      </w:r>
      <w:r w:rsidR="005F78B3">
        <w:rPr>
          <w:color w:val="000000"/>
        </w:rPr>
        <w:t>, was too great. Once example where a polis went to extreme lengths in order to purchase a mercenary force was Phocis who plundered the treasury at Delphi</w:t>
      </w:r>
      <w:r w:rsidRPr="00A6707B">
        <w:rPr>
          <w:color w:val="000000"/>
        </w:rPr>
        <w:t>.</w:t>
      </w:r>
      <w:r w:rsidR="005F78B3">
        <w:rPr>
          <w:rStyle w:val="FootnoteReference"/>
          <w:color w:val="000000"/>
        </w:rPr>
        <w:footnoteReference w:id="165"/>
      </w:r>
      <w:r w:rsidR="005F78B3">
        <w:rPr>
          <w:color w:val="000000"/>
        </w:rPr>
        <w:t xml:space="preserve"> Phocis offered the mercenary force one and a half their usual pay in order to gather the army quickly.</w:t>
      </w:r>
      <w:r w:rsidR="005F78B3">
        <w:rPr>
          <w:rStyle w:val="FootnoteReference"/>
          <w:color w:val="000000"/>
        </w:rPr>
        <w:footnoteReference w:id="166"/>
      </w:r>
      <w:r w:rsidRPr="00A6707B">
        <w:rPr>
          <w:color w:val="000000"/>
        </w:rPr>
        <w:t xml:space="preserve"> On the contrary to this, mercenary forces solely served for money, with no loyalty to their employer in the event they can no longer afford to pay them. The ethical issues surrounding mercenaries will be discussed in a later chapter. Furthermore, mercenary forces would benefit from constant combat experience, meaning they formed a trained unit that could supplement the minimally trained citizenry units, however </w:t>
      </w:r>
      <w:r w:rsidR="005F78B3">
        <w:rPr>
          <w:color w:val="000000"/>
        </w:rPr>
        <w:t>Cartledge</w:t>
      </w:r>
      <w:r w:rsidRPr="00A6707B">
        <w:rPr>
          <w:color w:val="000000"/>
        </w:rPr>
        <w:t xml:space="preserve"> discusses how a man fighting for his livelihood and home would fight and stand in the face of awful odds regardless as opposed to mercenary forces who have no invested interest in the results of the battle.</w:t>
      </w:r>
    </w:p>
    <w:bookmarkEnd w:id="15"/>
    <w:p w:rsidR="00B50485" w:rsidRDefault="00B50485" w:rsidP="008C1882">
      <w:pPr>
        <w:pStyle w:val="Heading1"/>
        <w:spacing w:line="480" w:lineRule="auto"/>
        <w:rPr>
          <w:rFonts w:ascii="Times New Roman" w:hAnsi="Times New Roman" w:cs="Times New Roman"/>
          <w:color w:val="auto"/>
          <w:sz w:val="36"/>
          <w:szCs w:val="40"/>
        </w:rPr>
      </w:pPr>
      <w:r>
        <w:rPr>
          <w:rFonts w:ascii="Times New Roman" w:hAnsi="Times New Roman" w:cs="Times New Roman"/>
          <w:color w:val="auto"/>
          <w:sz w:val="36"/>
          <w:szCs w:val="40"/>
        </w:rPr>
        <w:br w:type="page"/>
      </w:r>
    </w:p>
    <w:p w:rsidR="00CF38EC" w:rsidRPr="00D349B2" w:rsidRDefault="00CF38EC" w:rsidP="00D349B2">
      <w:pPr>
        <w:pStyle w:val="Heading1"/>
        <w:spacing w:line="480" w:lineRule="auto"/>
        <w:jc w:val="center"/>
        <w:rPr>
          <w:rFonts w:ascii="Times New Roman" w:hAnsi="Times New Roman" w:cs="Times New Roman"/>
          <w:color w:val="auto"/>
          <w:sz w:val="36"/>
          <w:szCs w:val="40"/>
        </w:rPr>
      </w:pPr>
      <w:bookmarkStart w:id="16" w:name="_Toc8191345"/>
      <w:r w:rsidRPr="00D349B2">
        <w:rPr>
          <w:rFonts w:ascii="Times New Roman" w:hAnsi="Times New Roman" w:cs="Times New Roman"/>
          <w:color w:val="auto"/>
          <w:szCs w:val="40"/>
        </w:rPr>
        <w:lastRenderedPageBreak/>
        <w:t>Chapter 5: Ethical issues of Mercenaries in the Ancient world</w:t>
      </w:r>
      <w:bookmarkEnd w:id="16"/>
    </w:p>
    <w:p w:rsidR="00D8732A" w:rsidRPr="00F9094B" w:rsidRDefault="00444C24" w:rsidP="00A6707B">
      <w:pPr>
        <w:spacing w:line="480" w:lineRule="auto"/>
        <w:rPr>
          <w:rFonts w:ascii="Times New Roman" w:hAnsi="Times New Roman" w:cs="Times New Roman"/>
          <w:sz w:val="24"/>
          <w:szCs w:val="24"/>
        </w:rPr>
      </w:pPr>
      <w:r w:rsidRPr="00F9094B">
        <w:rPr>
          <w:rFonts w:ascii="Times New Roman" w:hAnsi="Times New Roman" w:cs="Times New Roman"/>
          <w:sz w:val="24"/>
          <w:szCs w:val="24"/>
        </w:rPr>
        <w:t>Th</w:t>
      </w:r>
      <w:r w:rsidR="00D8732A" w:rsidRPr="00F9094B">
        <w:rPr>
          <w:rFonts w:ascii="Times New Roman" w:hAnsi="Times New Roman" w:cs="Times New Roman"/>
          <w:sz w:val="24"/>
          <w:szCs w:val="24"/>
        </w:rPr>
        <w:t>is chapter will focus on the ethical issues surrounding the use of mercenary forces in classical Greek warfare, primarily the issue of allegiance and cases where the mercenarie</w:t>
      </w:r>
      <w:r w:rsidR="00F9094B" w:rsidRPr="00F9094B">
        <w:rPr>
          <w:rFonts w:ascii="Times New Roman" w:hAnsi="Times New Roman" w:cs="Times New Roman"/>
          <w:sz w:val="24"/>
          <w:szCs w:val="24"/>
        </w:rPr>
        <w:t>s have betrayed their employers</w:t>
      </w:r>
      <w:r w:rsidR="00D8732A" w:rsidRPr="00F9094B">
        <w:rPr>
          <w:rFonts w:ascii="Times New Roman" w:hAnsi="Times New Roman" w:cs="Times New Roman"/>
          <w:sz w:val="24"/>
          <w:szCs w:val="24"/>
        </w:rPr>
        <w:t xml:space="preserve">. The </w:t>
      </w:r>
      <w:r w:rsidR="00BB205A" w:rsidRPr="00F9094B">
        <w:rPr>
          <w:rFonts w:ascii="Times New Roman" w:hAnsi="Times New Roman" w:cs="Times New Roman"/>
          <w:sz w:val="24"/>
          <w:szCs w:val="24"/>
        </w:rPr>
        <w:t>discussions</w:t>
      </w:r>
      <w:r w:rsidR="00D8732A" w:rsidRPr="00F9094B">
        <w:rPr>
          <w:rFonts w:ascii="Times New Roman" w:hAnsi="Times New Roman" w:cs="Times New Roman"/>
          <w:sz w:val="24"/>
          <w:szCs w:val="24"/>
        </w:rPr>
        <w:t xml:space="preserve"> will conclude with an exploration into the </w:t>
      </w:r>
      <w:r w:rsidR="00BB205A" w:rsidRPr="00F9094B">
        <w:rPr>
          <w:rFonts w:ascii="Times New Roman" w:hAnsi="Times New Roman" w:cs="Times New Roman"/>
          <w:sz w:val="24"/>
          <w:szCs w:val="24"/>
        </w:rPr>
        <w:t>mercenary’s</w:t>
      </w:r>
      <w:r w:rsidR="00D8732A" w:rsidRPr="00F9094B">
        <w:rPr>
          <w:rFonts w:ascii="Times New Roman" w:hAnsi="Times New Roman" w:cs="Times New Roman"/>
          <w:sz w:val="24"/>
          <w:szCs w:val="24"/>
        </w:rPr>
        <w:t xml:space="preserve"> place in the Greek military sphere as well as to determine how the mercenaries developed</w:t>
      </w:r>
      <w:r w:rsidR="005D660A" w:rsidRPr="00F9094B">
        <w:rPr>
          <w:rFonts w:ascii="Times New Roman" w:hAnsi="Times New Roman" w:cs="Times New Roman"/>
          <w:sz w:val="24"/>
          <w:szCs w:val="24"/>
        </w:rPr>
        <w:t xml:space="preserve"> the concept of professionalism </w:t>
      </w:r>
    </w:p>
    <w:p w:rsidR="00B0162B" w:rsidRPr="00A6707B" w:rsidRDefault="00BC79D7" w:rsidP="00A6707B">
      <w:pPr>
        <w:pStyle w:val="Heading2"/>
        <w:spacing w:line="480" w:lineRule="auto"/>
        <w:rPr>
          <w:rFonts w:ascii="Times New Roman" w:hAnsi="Times New Roman" w:cs="Times New Roman"/>
          <w:color w:val="auto"/>
          <w:sz w:val="28"/>
          <w:szCs w:val="24"/>
        </w:rPr>
      </w:pPr>
      <w:bookmarkStart w:id="17" w:name="_Toc8191346"/>
      <w:r w:rsidRPr="00A6707B">
        <w:rPr>
          <w:rFonts w:ascii="Times New Roman" w:hAnsi="Times New Roman" w:cs="Times New Roman"/>
          <w:color w:val="auto"/>
          <w:sz w:val="28"/>
          <w:szCs w:val="24"/>
        </w:rPr>
        <w:t xml:space="preserve">How mercenaries were hired and </w:t>
      </w:r>
      <w:r w:rsidR="00B0162B" w:rsidRPr="00A6707B">
        <w:rPr>
          <w:rFonts w:ascii="Times New Roman" w:hAnsi="Times New Roman" w:cs="Times New Roman"/>
          <w:color w:val="auto"/>
          <w:sz w:val="28"/>
          <w:szCs w:val="24"/>
        </w:rPr>
        <w:t>i</w:t>
      </w:r>
      <w:r w:rsidR="00D8732A" w:rsidRPr="00A6707B">
        <w:rPr>
          <w:rFonts w:ascii="Times New Roman" w:hAnsi="Times New Roman" w:cs="Times New Roman"/>
          <w:color w:val="auto"/>
          <w:sz w:val="28"/>
          <w:szCs w:val="24"/>
        </w:rPr>
        <w:t>ssues of allegiance</w:t>
      </w:r>
      <w:bookmarkEnd w:id="17"/>
    </w:p>
    <w:p w:rsidR="00B0162B" w:rsidRPr="00A6707B" w:rsidRDefault="00B0162B"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Mercenaries were hired in one of two ways, by the state with the aim of protecting the polis and by the individual in either service of the state or to further their own ends</w:t>
      </w:r>
      <w:r w:rsidR="003D289A" w:rsidRPr="00A6707B">
        <w:rPr>
          <w:rStyle w:val="FootnoteReference"/>
          <w:rFonts w:ascii="Times New Roman" w:hAnsi="Times New Roman" w:cs="Times New Roman"/>
          <w:sz w:val="24"/>
          <w:szCs w:val="24"/>
        </w:rPr>
        <w:footnoteReference w:id="167"/>
      </w:r>
      <w:r w:rsidRPr="00A6707B">
        <w:rPr>
          <w:rFonts w:ascii="Times New Roman" w:hAnsi="Times New Roman" w:cs="Times New Roman"/>
          <w:sz w:val="24"/>
          <w:szCs w:val="24"/>
        </w:rPr>
        <w:t xml:space="preserve">. </w:t>
      </w:r>
      <w:r w:rsidR="00F9094B">
        <w:rPr>
          <w:rFonts w:ascii="Times New Roman" w:hAnsi="Times New Roman" w:cs="Times New Roman"/>
          <w:sz w:val="24"/>
          <w:szCs w:val="24"/>
        </w:rPr>
        <w:t xml:space="preserve">Xenophon’s </w:t>
      </w:r>
      <w:r w:rsidR="00F9094B" w:rsidRPr="00F9094B">
        <w:rPr>
          <w:rFonts w:ascii="Times New Roman" w:hAnsi="Times New Roman" w:cs="Times New Roman"/>
          <w:i/>
          <w:sz w:val="24"/>
          <w:szCs w:val="24"/>
        </w:rPr>
        <w:t>Anabasis</w:t>
      </w:r>
      <w:r w:rsidR="00F9094B">
        <w:rPr>
          <w:rFonts w:ascii="Times New Roman" w:hAnsi="Times New Roman" w:cs="Times New Roman"/>
          <w:i/>
          <w:sz w:val="24"/>
          <w:szCs w:val="24"/>
        </w:rPr>
        <w:t xml:space="preserve"> </w:t>
      </w:r>
      <w:r w:rsidR="00F9094B">
        <w:rPr>
          <w:rFonts w:ascii="Times New Roman" w:hAnsi="Times New Roman" w:cs="Times New Roman"/>
          <w:sz w:val="24"/>
          <w:szCs w:val="24"/>
        </w:rPr>
        <w:t>discusses the methods in which Cyrus son of Darius procured and deployed mercenary forces</w:t>
      </w:r>
      <w:r w:rsidR="00F9094B">
        <w:rPr>
          <w:rStyle w:val="FootnoteReference"/>
          <w:rFonts w:ascii="Times New Roman" w:hAnsi="Times New Roman" w:cs="Times New Roman"/>
          <w:sz w:val="24"/>
          <w:szCs w:val="24"/>
        </w:rPr>
        <w:footnoteReference w:id="168"/>
      </w:r>
      <w:r w:rsidR="00F9094B">
        <w:rPr>
          <w:rFonts w:ascii="Times New Roman" w:hAnsi="Times New Roman" w:cs="Times New Roman"/>
          <w:sz w:val="24"/>
          <w:szCs w:val="24"/>
        </w:rPr>
        <w:t xml:space="preserve">. </w:t>
      </w:r>
      <w:r w:rsidRPr="00F9094B">
        <w:rPr>
          <w:rFonts w:ascii="Times New Roman" w:hAnsi="Times New Roman" w:cs="Times New Roman"/>
          <w:sz w:val="24"/>
          <w:szCs w:val="24"/>
        </w:rPr>
        <w:t>Evidence</w:t>
      </w:r>
      <w:r w:rsidRPr="00C02BA8">
        <w:rPr>
          <w:rFonts w:ascii="Times New Roman" w:hAnsi="Times New Roman" w:cs="Times New Roman"/>
          <w:sz w:val="24"/>
          <w:szCs w:val="24"/>
        </w:rPr>
        <w:t xml:space="preserve"> of powerful and ambitious individuals hiring mercenaries is common in the ancient sources</w:t>
      </w:r>
      <w:r w:rsidR="003D289A" w:rsidRPr="00C02BA8">
        <w:rPr>
          <w:rStyle w:val="FootnoteReference"/>
          <w:rFonts w:ascii="Times New Roman" w:hAnsi="Times New Roman" w:cs="Times New Roman"/>
          <w:sz w:val="24"/>
          <w:szCs w:val="24"/>
        </w:rPr>
        <w:footnoteReference w:id="169"/>
      </w:r>
      <w:r w:rsidRPr="00C02BA8">
        <w:rPr>
          <w:rFonts w:ascii="Times New Roman" w:hAnsi="Times New Roman" w:cs="Times New Roman"/>
          <w:sz w:val="24"/>
          <w:szCs w:val="24"/>
        </w:rPr>
        <w:t xml:space="preserve">. Tacitus explains that mercenaries </w:t>
      </w:r>
      <w:r w:rsidRPr="00A6707B">
        <w:rPr>
          <w:rFonts w:ascii="Times New Roman" w:hAnsi="Times New Roman" w:cs="Times New Roman"/>
          <w:sz w:val="24"/>
          <w:szCs w:val="24"/>
        </w:rPr>
        <w:t>should be hired by individuals with the means to maintain them</w:t>
      </w:r>
      <w:r w:rsidRPr="00A6707B">
        <w:rPr>
          <w:rStyle w:val="FootnoteReference"/>
          <w:rFonts w:ascii="Times New Roman" w:hAnsi="Times New Roman" w:cs="Times New Roman"/>
          <w:sz w:val="24"/>
          <w:szCs w:val="24"/>
        </w:rPr>
        <w:footnoteReference w:id="170"/>
      </w:r>
      <w:r w:rsidRPr="00A6707B">
        <w:rPr>
          <w:rFonts w:ascii="Times New Roman" w:hAnsi="Times New Roman" w:cs="Times New Roman"/>
          <w:sz w:val="24"/>
          <w:szCs w:val="24"/>
        </w:rPr>
        <w:t xml:space="preserve"> and the number that is hired should not </w:t>
      </w:r>
      <w:r w:rsidR="008A5F58" w:rsidRPr="00A6707B">
        <w:rPr>
          <w:rFonts w:ascii="Times New Roman" w:hAnsi="Times New Roman" w:cs="Times New Roman"/>
          <w:sz w:val="24"/>
          <w:szCs w:val="24"/>
        </w:rPr>
        <w:t>exceed their means, providing they are able to pay most of their wages with the excess being supplemented by the state</w:t>
      </w:r>
      <w:r w:rsidR="008A5F58" w:rsidRPr="00A6707B">
        <w:rPr>
          <w:rStyle w:val="FootnoteReference"/>
          <w:rFonts w:ascii="Times New Roman" w:hAnsi="Times New Roman" w:cs="Times New Roman"/>
          <w:sz w:val="24"/>
          <w:szCs w:val="24"/>
        </w:rPr>
        <w:footnoteReference w:id="171"/>
      </w:r>
      <w:r w:rsidR="008A5F58" w:rsidRPr="00A6707B">
        <w:rPr>
          <w:rFonts w:ascii="Times New Roman" w:hAnsi="Times New Roman" w:cs="Times New Roman"/>
          <w:sz w:val="24"/>
          <w:szCs w:val="24"/>
        </w:rPr>
        <w:t xml:space="preserve">. </w:t>
      </w:r>
    </w:p>
    <w:p w:rsidR="00685215" w:rsidRPr="00A6707B" w:rsidRDefault="00685215" w:rsidP="00A6707B">
      <w:pPr>
        <w:spacing w:line="480" w:lineRule="auto"/>
        <w:rPr>
          <w:rFonts w:ascii="Times New Roman" w:hAnsi="Times New Roman" w:cs="Times New Roman"/>
          <w:sz w:val="24"/>
          <w:szCs w:val="24"/>
        </w:rPr>
      </w:pPr>
      <w:r w:rsidRPr="00A6707B">
        <w:rPr>
          <w:rFonts w:ascii="Times New Roman" w:hAnsi="Times New Roman" w:cs="Times New Roman"/>
          <w:sz w:val="24"/>
          <w:szCs w:val="24"/>
        </w:rPr>
        <w:t>Xenophon references the hiring and deployment of mercenary forces on several occasions. Including a reference to the training of mercenaries to be able to carry out a variety of tasks for their employers, widening their employability</w:t>
      </w:r>
      <w:r w:rsidRPr="00A6707B">
        <w:rPr>
          <w:rStyle w:val="FootnoteReference"/>
          <w:rFonts w:ascii="Times New Roman" w:hAnsi="Times New Roman" w:cs="Times New Roman"/>
          <w:sz w:val="24"/>
          <w:szCs w:val="24"/>
        </w:rPr>
        <w:footnoteReference w:id="172"/>
      </w:r>
      <w:r w:rsidRPr="00A6707B">
        <w:rPr>
          <w:rFonts w:ascii="Times New Roman" w:hAnsi="Times New Roman" w:cs="Times New Roman"/>
          <w:sz w:val="24"/>
          <w:szCs w:val="24"/>
        </w:rPr>
        <w:t xml:space="preserve">. The way in which Xenophon praises the abilities of the mercenary forces suggests a level of bias based on the success of mercenaries as opposed to a specific unit of mercenary soldiers. </w:t>
      </w:r>
    </w:p>
    <w:p w:rsidR="00FC7FC5" w:rsidRPr="00A6707B" w:rsidRDefault="005D660A" w:rsidP="00F9094B">
      <w:pPr>
        <w:spacing w:line="480" w:lineRule="auto"/>
        <w:rPr>
          <w:rFonts w:ascii="Times New Roman" w:hAnsi="Times New Roman" w:cs="Times New Roman"/>
          <w:color w:val="FF0000"/>
          <w:sz w:val="24"/>
          <w:szCs w:val="24"/>
        </w:rPr>
      </w:pPr>
      <w:r w:rsidRPr="00A6707B">
        <w:rPr>
          <w:rFonts w:ascii="Times New Roman" w:hAnsi="Times New Roman" w:cs="Times New Roman"/>
          <w:sz w:val="24"/>
          <w:szCs w:val="24"/>
        </w:rPr>
        <w:lastRenderedPageBreak/>
        <w:t>The primary issue with mercenary forces is the issue of their allegiance, primarily in regards to money</w:t>
      </w:r>
      <w:r w:rsidR="007436CD" w:rsidRPr="00A6707B">
        <w:rPr>
          <w:rFonts w:ascii="Times New Roman" w:hAnsi="Times New Roman" w:cs="Times New Roman"/>
          <w:sz w:val="24"/>
          <w:szCs w:val="24"/>
        </w:rPr>
        <w:t xml:space="preserve">. </w:t>
      </w:r>
      <w:r w:rsidR="00A71387" w:rsidRPr="00A6707B">
        <w:rPr>
          <w:rFonts w:ascii="Times New Roman" w:hAnsi="Times New Roman" w:cs="Times New Roman"/>
          <w:sz w:val="24"/>
          <w:szCs w:val="24"/>
        </w:rPr>
        <w:t xml:space="preserve">This allegiance comes as a </w:t>
      </w:r>
      <w:r w:rsidR="00C13CF8" w:rsidRPr="00A6707B">
        <w:rPr>
          <w:rFonts w:ascii="Times New Roman" w:hAnsi="Times New Roman" w:cs="Times New Roman"/>
          <w:sz w:val="24"/>
          <w:szCs w:val="24"/>
        </w:rPr>
        <w:t>double-edged</w:t>
      </w:r>
      <w:r w:rsidR="00A71387" w:rsidRPr="00A6707B">
        <w:rPr>
          <w:rFonts w:ascii="Times New Roman" w:hAnsi="Times New Roman" w:cs="Times New Roman"/>
          <w:sz w:val="24"/>
          <w:szCs w:val="24"/>
        </w:rPr>
        <w:t xml:space="preserve"> sword, </w:t>
      </w:r>
      <w:r w:rsidR="005B39BF" w:rsidRPr="00A6707B">
        <w:rPr>
          <w:rFonts w:ascii="Times New Roman" w:hAnsi="Times New Roman" w:cs="Times New Roman"/>
          <w:sz w:val="24"/>
          <w:szCs w:val="24"/>
        </w:rPr>
        <w:t>when an individual or state can afford to fund a mercenary unit they have an experienced, fully equipped force suited to their needs</w:t>
      </w:r>
      <w:r w:rsidR="00360078" w:rsidRPr="00A6707B">
        <w:rPr>
          <w:rStyle w:val="FootnoteReference"/>
          <w:rFonts w:ascii="Times New Roman" w:hAnsi="Times New Roman" w:cs="Times New Roman"/>
          <w:sz w:val="24"/>
          <w:szCs w:val="24"/>
        </w:rPr>
        <w:footnoteReference w:id="173"/>
      </w:r>
      <w:r w:rsidR="001C55FD" w:rsidRPr="00A6707B">
        <w:rPr>
          <w:rFonts w:ascii="Times New Roman" w:hAnsi="Times New Roman" w:cs="Times New Roman"/>
          <w:sz w:val="24"/>
          <w:szCs w:val="24"/>
        </w:rPr>
        <w:t>.</w:t>
      </w:r>
      <w:r w:rsidR="00360078" w:rsidRPr="00A6707B">
        <w:rPr>
          <w:rFonts w:ascii="Times New Roman" w:hAnsi="Times New Roman" w:cs="Times New Roman"/>
          <w:sz w:val="24"/>
          <w:szCs w:val="24"/>
        </w:rPr>
        <w:t xml:space="preserve"> </w:t>
      </w:r>
      <w:r w:rsidR="001C55FD" w:rsidRPr="00A6707B">
        <w:rPr>
          <w:rFonts w:ascii="Times New Roman" w:hAnsi="Times New Roman" w:cs="Times New Roman"/>
          <w:sz w:val="24"/>
          <w:szCs w:val="24"/>
        </w:rPr>
        <w:t xml:space="preserve">However, </w:t>
      </w:r>
      <w:r w:rsidR="00C13CF8" w:rsidRPr="00A6707B">
        <w:rPr>
          <w:rFonts w:ascii="Times New Roman" w:hAnsi="Times New Roman" w:cs="Times New Roman"/>
          <w:sz w:val="24"/>
          <w:szCs w:val="24"/>
        </w:rPr>
        <w:t>if</w:t>
      </w:r>
      <w:r w:rsidR="001C55FD" w:rsidRPr="00A6707B">
        <w:rPr>
          <w:rFonts w:ascii="Times New Roman" w:hAnsi="Times New Roman" w:cs="Times New Roman"/>
          <w:sz w:val="24"/>
          <w:szCs w:val="24"/>
        </w:rPr>
        <w:t xml:space="preserve"> another individual or stat</w:t>
      </w:r>
      <w:r w:rsidR="005B39BF" w:rsidRPr="00A6707B">
        <w:rPr>
          <w:rFonts w:ascii="Times New Roman" w:hAnsi="Times New Roman" w:cs="Times New Roman"/>
          <w:sz w:val="24"/>
          <w:szCs w:val="24"/>
        </w:rPr>
        <w:t>e offers more money to the soldiers</w:t>
      </w:r>
      <w:r w:rsidR="001C55FD" w:rsidRPr="00A6707B">
        <w:rPr>
          <w:rFonts w:ascii="Times New Roman" w:hAnsi="Times New Roman" w:cs="Times New Roman"/>
          <w:sz w:val="24"/>
          <w:szCs w:val="24"/>
        </w:rPr>
        <w:t xml:space="preserve">, </w:t>
      </w:r>
      <w:r w:rsidR="00C13CF8" w:rsidRPr="00A6707B">
        <w:rPr>
          <w:rFonts w:ascii="Times New Roman" w:hAnsi="Times New Roman" w:cs="Times New Roman"/>
          <w:sz w:val="24"/>
          <w:szCs w:val="24"/>
        </w:rPr>
        <w:t>their allegiance will change regardless of the defeat that may result for their original employer</w:t>
      </w:r>
      <w:r w:rsidR="00360078" w:rsidRPr="00A6707B">
        <w:rPr>
          <w:rStyle w:val="FootnoteReference"/>
          <w:rFonts w:ascii="Times New Roman" w:hAnsi="Times New Roman" w:cs="Times New Roman"/>
          <w:sz w:val="24"/>
          <w:szCs w:val="24"/>
        </w:rPr>
        <w:footnoteReference w:id="174"/>
      </w:r>
      <w:r w:rsidR="00C13CF8" w:rsidRPr="00A6707B">
        <w:rPr>
          <w:rFonts w:ascii="Times New Roman" w:hAnsi="Times New Roman" w:cs="Times New Roman"/>
          <w:sz w:val="24"/>
          <w:szCs w:val="24"/>
        </w:rPr>
        <w:t xml:space="preserve">. </w:t>
      </w:r>
    </w:p>
    <w:p w:rsidR="00D8732A" w:rsidRPr="00A6707B" w:rsidRDefault="00A6707B" w:rsidP="00A6707B">
      <w:pPr>
        <w:pStyle w:val="Heading2"/>
        <w:spacing w:line="480" w:lineRule="auto"/>
        <w:rPr>
          <w:rFonts w:ascii="Times New Roman" w:hAnsi="Times New Roman" w:cs="Times New Roman"/>
          <w:color w:val="auto"/>
          <w:sz w:val="28"/>
          <w:szCs w:val="24"/>
        </w:rPr>
      </w:pPr>
      <w:bookmarkStart w:id="18" w:name="_Toc8191347"/>
      <w:r>
        <w:rPr>
          <w:rFonts w:ascii="Times New Roman" w:hAnsi="Times New Roman" w:cs="Times New Roman"/>
          <w:color w:val="auto"/>
          <w:sz w:val="28"/>
          <w:szCs w:val="24"/>
        </w:rPr>
        <w:t>Mercenary</w:t>
      </w:r>
      <w:r w:rsidR="008A5F58" w:rsidRPr="00A6707B">
        <w:rPr>
          <w:rFonts w:ascii="Times New Roman" w:hAnsi="Times New Roman" w:cs="Times New Roman"/>
          <w:color w:val="auto"/>
          <w:sz w:val="28"/>
          <w:szCs w:val="24"/>
        </w:rPr>
        <w:t xml:space="preserve"> unethical practises</w:t>
      </w:r>
      <w:bookmarkEnd w:id="18"/>
    </w:p>
    <w:p w:rsidR="00B50485" w:rsidRDefault="008A5F58" w:rsidP="00A6707B">
      <w:pPr>
        <w:spacing w:line="480" w:lineRule="auto"/>
        <w:rPr>
          <w:rFonts w:ascii="Times New Roman" w:hAnsi="Times New Roman" w:cs="Times New Roman"/>
          <w:color w:val="FF0000"/>
          <w:sz w:val="24"/>
          <w:szCs w:val="24"/>
        </w:rPr>
      </w:pPr>
      <w:r w:rsidRPr="00A6707B">
        <w:rPr>
          <w:rFonts w:ascii="Times New Roman" w:hAnsi="Times New Roman" w:cs="Times New Roman"/>
          <w:sz w:val="24"/>
          <w:szCs w:val="24"/>
        </w:rPr>
        <w:t xml:space="preserve">Evidence of mercenary forces betraying their employers and conducting themselves without the dignity of state soldiers is </w:t>
      </w:r>
      <w:r w:rsidR="00C02BA8">
        <w:rPr>
          <w:rFonts w:ascii="Times New Roman" w:hAnsi="Times New Roman" w:cs="Times New Roman"/>
          <w:sz w:val="24"/>
          <w:szCs w:val="24"/>
        </w:rPr>
        <w:t>present</w:t>
      </w:r>
      <w:r w:rsidRPr="00A6707B">
        <w:rPr>
          <w:rFonts w:ascii="Times New Roman" w:hAnsi="Times New Roman" w:cs="Times New Roman"/>
          <w:sz w:val="24"/>
          <w:szCs w:val="24"/>
        </w:rPr>
        <w:t xml:space="preserve"> in the sou</w:t>
      </w:r>
      <w:r w:rsidR="000F0818" w:rsidRPr="00A6707B">
        <w:rPr>
          <w:rFonts w:ascii="Times New Roman" w:hAnsi="Times New Roman" w:cs="Times New Roman"/>
          <w:sz w:val="24"/>
          <w:szCs w:val="24"/>
        </w:rPr>
        <w:t>r</w:t>
      </w:r>
      <w:r w:rsidRPr="00A6707B">
        <w:rPr>
          <w:rFonts w:ascii="Times New Roman" w:hAnsi="Times New Roman" w:cs="Times New Roman"/>
          <w:sz w:val="24"/>
          <w:szCs w:val="24"/>
        </w:rPr>
        <w:t>ces</w:t>
      </w:r>
      <w:r w:rsidR="00360078" w:rsidRPr="00A6707B">
        <w:rPr>
          <w:rStyle w:val="FootnoteReference"/>
          <w:rFonts w:ascii="Times New Roman" w:hAnsi="Times New Roman" w:cs="Times New Roman"/>
          <w:sz w:val="24"/>
          <w:szCs w:val="24"/>
        </w:rPr>
        <w:footnoteReference w:id="175"/>
      </w:r>
      <w:r w:rsidRPr="00A6707B">
        <w:rPr>
          <w:rFonts w:ascii="Times New Roman" w:hAnsi="Times New Roman" w:cs="Times New Roman"/>
          <w:sz w:val="24"/>
          <w:szCs w:val="24"/>
        </w:rPr>
        <w:t>. Demosthenes records events where the placement of the mercenary detachments was as import</w:t>
      </w:r>
      <w:r w:rsidR="005D660A" w:rsidRPr="00A6707B">
        <w:rPr>
          <w:rFonts w:ascii="Times New Roman" w:hAnsi="Times New Roman" w:cs="Times New Roman"/>
          <w:sz w:val="24"/>
          <w:szCs w:val="24"/>
        </w:rPr>
        <w:t xml:space="preserve">ant as ensuring they were paid. </w:t>
      </w:r>
      <w:r w:rsidRPr="00A6707B">
        <w:rPr>
          <w:rFonts w:ascii="Times New Roman" w:hAnsi="Times New Roman" w:cs="Times New Roman"/>
          <w:sz w:val="24"/>
          <w:szCs w:val="24"/>
        </w:rPr>
        <w:t>Demosthenes discusses how when the mercenary unit was supplemented and integrated into the units made from the citizenry</w:t>
      </w:r>
      <w:r w:rsidR="000F0818" w:rsidRPr="00A6707B">
        <w:rPr>
          <w:rFonts w:ascii="Times New Roman" w:hAnsi="Times New Roman" w:cs="Times New Roman"/>
          <w:sz w:val="24"/>
          <w:szCs w:val="24"/>
        </w:rPr>
        <w:t>, it tended to result in victory for the polis whereas when the mercenary force stood independently from the citizenry it was the friends and allies of the hiring polis that suffered defeat as the mercenary units were easily corrupted and would switch allegiance to the highest paying individual</w:t>
      </w:r>
      <w:r w:rsidR="00C02BA8">
        <w:rPr>
          <w:rFonts w:ascii="Times New Roman" w:hAnsi="Times New Roman" w:cs="Times New Roman"/>
          <w:sz w:val="24"/>
          <w:szCs w:val="24"/>
        </w:rPr>
        <w:t>.</w:t>
      </w:r>
      <w:r w:rsidR="000F0818" w:rsidRPr="00A6707B">
        <w:rPr>
          <w:rStyle w:val="FootnoteReference"/>
          <w:rFonts w:ascii="Times New Roman" w:hAnsi="Times New Roman" w:cs="Times New Roman"/>
          <w:sz w:val="24"/>
          <w:szCs w:val="24"/>
        </w:rPr>
        <w:footnoteReference w:id="176"/>
      </w:r>
      <w:r w:rsidR="000F0818" w:rsidRPr="00A6707B">
        <w:rPr>
          <w:rFonts w:ascii="Times New Roman" w:hAnsi="Times New Roman" w:cs="Times New Roman"/>
          <w:sz w:val="24"/>
          <w:szCs w:val="24"/>
        </w:rPr>
        <w:t xml:space="preserve"> </w:t>
      </w:r>
      <w:r w:rsidR="00493368" w:rsidRPr="00A6707B">
        <w:rPr>
          <w:rFonts w:ascii="Times New Roman" w:hAnsi="Times New Roman" w:cs="Times New Roman"/>
          <w:sz w:val="24"/>
          <w:szCs w:val="24"/>
        </w:rPr>
        <w:t>Demosthenes also criticises the Athenian people for using the Athenian generals to marshal parades rather than leading their forces and acting as overseers for the mercenary commanders, believing that the Athenians were inviting betrayal by the mercenaries</w:t>
      </w:r>
      <w:r w:rsidR="00493368" w:rsidRPr="00A6707B">
        <w:rPr>
          <w:rStyle w:val="FootnoteReference"/>
          <w:rFonts w:ascii="Times New Roman" w:hAnsi="Times New Roman" w:cs="Times New Roman"/>
          <w:sz w:val="24"/>
          <w:szCs w:val="24"/>
        </w:rPr>
        <w:footnoteReference w:id="177"/>
      </w:r>
      <w:r w:rsidR="00493368" w:rsidRPr="00A6707B">
        <w:rPr>
          <w:rFonts w:ascii="Times New Roman" w:hAnsi="Times New Roman" w:cs="Times New Roman"/>
          <w:sz w:val="24"/>
          <w:szCs w:val="24"/>
        </w:rPr>
        <w:t xml:space="preserve"> suggesting that this was a very real threat when dealing with mercenary forces. This source speaks to the nature of the mercenary people and how they tend to follow the man who pays the highest, highlighting the perception of mercenaries questionable moral character</w:t>
      </w:r>
      <w:r w:rsidR="00070906" w:rsidRPr="00A6707B">
        <w:rPr>
          <w:rFonts w:ascii="Times New Roman" w:hAnsi="Times New Roman" w:cs="Times New Roman"/>
          <w:sz w:val="24"/>
          <w:szCs w:val="24"/>
        </w:rPr>
        <w:t xml:space="preserve"> as well as discussing that while some </w:t>
      </w:r>
      <w:r w:rsidR="00070906" w:rsidRPr="00A6707B">
        <w:rPr>
          <w:rFonts w:ascii="Times New Roman" w:hAnsi="Times New Roman" w:cs="Times New Roman"/>
          <w:sz w:val="24"/>
          <w:szCs w:val="24"/>
        </w:rPr>
        <w:lastRenderedPageBreak/>
        <w:t xml:space="preserve">mercenaries can be considered professional others were known to walk away from a job they deemed too dangerous or high risk for the money they are being paid. </w:t>
      </w:r>
    </w:p>
    <w:p w:rsidR="00676D88" w:rsidRPr="00F9094B" w:rsidRDefault="00676D88" w:rsidP="00A6707B">
      <w:pPr>
        <w:spacing w:line="480" w:lineRule="auto"/>
        <w:rPr>
          <w:rFonts w:ascii="Times New Roman" w:hAnsi="Times New Roman" w:cs="Times New Roman"/>
          <w:color w:val="FF0000"/>
          <w:sz w:val="24"/>
          <w:szCs w:val="24"/>
        </w:rPr>
      </w:pPr>
    </w:p>
    <w:p w:rsidR="00B04515" w:rsidRPr="00B50485" w:rsidRDefault="00C02BA8" w:rsidP="00C02BA8">
      <w:pPr>
        <w:pStyle w:val="Heading2"/>
        <w:spacing w:line="480" w:lineRule="auto"/>
        <w:rPr>
          <w:rFonts w:ascii="Times New Roman" w:hAnsi="Times New Roman" w:cs="Times New Roman"/>
          <w:color w:val="auto"/>
          <w:sz w:val="28"/>
          <w:szCs w:val="24"/>
        </w:rPr>
      </w:pPr>
      <w:bookmarkStart w:id="19" w:name="_Toc8191348"/>
      <w:r w:rsidRPr="00B50485">
        <w:rPr>
          <w:rFonts w:ascii="Times New Roman" w:hAnsi="Times New Roman" w:cs="Times New Roman"/>
          <w:color w:val="auto"/>
          <w:sz w:val="28"/>
          <w:szCs w:val="24"/>
        </w:rPr>
        <w:t>The</w:t>
      </w:r>
      <w:r w:rsidR="007436CD" w:rsidRPr="00B50485">
        <w:rPr>
          <w:rFonts w:ascii="Times New Roman" w:hAnsi="Times New Roman" w:cs="Times New Roman"/>
          <w:color w:val="auto"/>
          <w:sz w:val="28"/>
          <w:szCs w:val="24"/>
        </w:rPr>
        <w:t xml:space="preserve"> mercenaries place in the Greek world</w:t>
      </w:r>
      <w:bookmarkEnd w:id="19"/>
    </w:p>
    <w:p w:rsidR="00C02BA8" w:rsidRPr="00B50485" w:rsidRDefault="00C02BA8" w:rsidP="00B50485">
      <w:pPr>
        <w:spacing w:line="480" w:lineRule="auto"/>
        <w:rPr>
          <w:rFonts w:ascii="Times New Roman" w:hAnsi="Times New Roman" w:cs="Times New Roman"/>
          <w:sz w:val="24"/>
          <w:szCs w:val="24"/>
        </w:rPr>
      </w:pPr>
      <w:r w:rsidRPr="00B50485">
        <w:rPr>
          <w:rFonts w:ascii="Times New Roman" w:hAnsi="Times New Roman" w:cs="Times New Roman"/>
          <w:sz w:val="24"/>
          <w:szCs w:val="24"/>
        </w:rPr>
        <w:t>To conclude this chapter, there were a number of benefits to hiring a mercenary force. Primarily, in smaller</w:t>
      </w:r>
      <w:r w:rsidR="00111BC3">
        <w:rPr>
          <w:rFonts w:ascii="Times New Roman" w:hAnsi="Times New Roman" w:cs="Times New Roman"/>
          <w:sz w:val="24"/>
          <w:szCs w:val="24"/>
        </w:rPr>
        <w:t>, relatively wealthy,</w:t>
      </w:r>
      <w:r w:rsidRPr="00B50485">
        <w:rPr>
          <w:rFonts w:ascii="Times New Roman" w:hAnsi="Times New Roman" w:cs="Times New Roman"/>
          <w:sz w:val="24"/>
          <w:szCs w:val="24"/>
        </w:rPr>
        <w:t xml:space="preserve"> poleis where the citizen population was responsible for agricultural aspects of the society’s economy, they would not encounter hardship as a result of their citizens being away on an extended campaign. </w:t>
      </w:r>
      <w:r w:rsidR="00111BC3">
        <w:rPr>
          <w:rFonts w:ascii="Times New Roman" w:hAnsi="Times New Roman" w:cs="Times New Roman"/>
          <w:sz w:val="24"/>
          <w:szCs w:val="24"/>
        </w:rPr>
        <w:t xml:space="preserve">However, the cost of maintaining mercenary loyalty was often too great for a polis of significantly smaller size, driving them to drastic action as this work has seen in the case of Phocis. </w:t>
      </w:r>
      <w:r w:rsidRPr="00B50485">
        <w:rPr>
          <w:rFonts w:ascii="Times New Roman" w:hAnsi="Times New Roman" w:cs="Times New Roman"/>
          <w:sz w:val="24"/>
          <w:szCs w:val="24"/>
        </w:rPr>
        <w:t xml:space="preserve">Furthermore, in instances where they were at war with larger poleis or major powers such as the Persians, a mercenary force integrated into the citizen army would even the playing field in regards to force size. </w:t>
      </w:r>
    </w:p>
    <w:p w:rsidR="00B50485" w:rsidRDefault="00C02BA8" w:rsidP="00B50485">
      <w:pPr>
        <w:spacing w:line="480" w:lineRule="auto"/>
        <w:rPr>
          <w:rFonts w:ascii="Times New Roman" w:hAnsi="Times New Roman" w:cs="Times New Roman"/>
          <w:sz w:val="24"/>
          <w:szCs w:val="24"/>
        </w:rPr>
      </w:pPr>
      <w:r w:rsidRPr="00B50485">
        <w:rPr>
          <w:rFonts w:ascii="Times New Roman" w:hAnsi="Times New Roman" w:cs="Times New Roman"/>
          <w:sz w:val="24"/>
          <w:szCs w:val="24"/>
        </w:rPr>
        <w:t>This work highlights integration of these forces as a result of the evidence that the mercenary forces were unruly and they were better controlled as a part of the main army as opposed to e</w:t>
      </w:r>
      <w:r w:rsidR="00B50485">
        <w:rPr>
          <w:rFonts w:ascii="Times New Roman" w:hAnsi="Times New Roman" w:cs="Times New Roman"/>
          <w:sz w:val="24"/>
          <w:szCs w:val="24"/>
        </w:rPr>
        <w:t xml:space="preserve">xisting as an independent unit. This was due to the lack of loyalty the mercenary soldier had to his employer, as the relationship functioned purely on an employer-employee dynamic as opposed to the citizen soldier who would be loyal to his commander out of civic pride and the necessity to defend his home. </w:t>
      </w:r>
    </w:p>
    <w:p w:rsidR="00B50485" w:rsidRDefault="00B50485" w:rsidP="00B50485">
      <w:pPr>
        <w:spacing w:line="480" w:lineRule="auto"/>
        <w:rPr>
          <w:rFonts w:ascii="Times New Roman" w:hAnsi="Times New Roman" w:cs="Times New Roman"/>
          <w:sz w:val="36"/>
          <w:szCs w:val="36"/>
        </w:rPr>
      </w:pPr>
      <w:r>
        <w:rPr>
          <w:rFonts w:ascii="Times New Roman" w:hAnsi="Times New Roman" w:cs="Times New Roman"/>
          <w:sz w:val="24"/>
          <w:szCs w:val="24"/>
        </w:rPr>
        <w:t xml:space="preserve">Finally, when discussing the mercenary soldier, it is worthy to discuss the idea of the citizen soldier versus the hired sword. It is commonly accepted that a man fighting for his homeland would be more invested in the outcome of the battle beyond his own life. For his family and state would be at risk depending upon the result of the conflict. The </w:t>
      </w:r>
      <w:r>
        <w:rPr>
          <w:rFonts w:ascii="Times New Roman" w:hAnsi="Times New Roman" w:cs="Times New Roman"/>
          <w:sz w:val="24"/>
          <w:szCs w:val="24"/>
        </w:rPr>
        <w:lastRenderedPageBreak/>
        <w:t>mercenary soldier would have no such reservations, his primary aim only to survive and get paid.</w:t>
      </w:r>
      <w:r>
        <w:rPr>
          <w:rFonts w:ascii="Times New Roman" w:hAnsi="Times New Roman" w:cs="Times New Roman"/>
          <w:sz w:val="36"/>
          <w:szCs w:val="36"/>
        </w:rPr>
        <w:br w:type="page"/>
      </w:r>
    </w:p>
    <w:p w:rsidR="00800E7A" w:rsidRDefault="00B50485" w:rsidP="00800E7A">
      <w:pPr>
        <w:pStyle w:val="Heading1"/>
        <w:jc w:val="center"/>
        <w:rPr>
          <w:rFonts w:ascii="Times New Roman" w:hAnsi="Times New Roman" w:cs="Times New Roman"/>
          <w:color w:val="auto"/>
        </w:rPr>
      </w:pPr>
      <w:bookmarkStart w:id="20" w:name="_Toc8191349"/>
      <w:r w:rsidRPr="00800E7A">
        <w:rPr>
          <w:rFonts w:ascii="Times New Roman" w:hAnsi="Times New Roman" w:cs="Times New Roman"/>
          <w:color w:val="auto"/>
        </w:rPr>
        <w:lastRenderedPageBreak/>
        <w:t>Co</w:t>
      </w:r>
      <w:r w:rsidR="00CF38EC" w:rsidRPr="00800E7A">
        <w:rPr>
          <w:rFonts w:ascii="Times New Roman" w:hAnsi="Times New Roman" w:cs="Times New Roman"/>
          <w:color w:val="auto"/>
        </w:rPr>
        <w:t>nclusions</w:t>
      </w:r>
      <w:bookmarkEnd w:id="20"/>
    </w:p>
    <w:p w:rsidR="00800E7A" w:rsidRPr="00800E7A" w:rsidRDefault="00800E7A" w:rsidP="00800E7A"/>
    <w:p w:rsidR="00800E7A" w:rsidRPr="00A6707B" w:rsidRDefault="00800E7A" w:rsidP="00A6707B">
      <w:pPr>
        <w:spacing w:line="480" w:lineRule="auto"/>
        <w:rPr>
          <w:rFonts w:ascii="Times New Roman" w:hAnsi="Times New Roman" w:cs="Times New Roman"/>
          <w:sz w:val="24"/>
          <w:szCs w:val="24"/>
        </w:rPr>
      </w:pPr>
      <w:r>
        <w:rPr>
          <w:rFonts w:ascii="Times New Roman" w:hAnsi="Times New Roman" w:cs="Times New Roman"/>
          <w:sz w:val="24"/>
          <w:szCs w:val="24"/>
        </w:rPr>
        <w:t>To conclude, this work has discussed professionalism in the Classical Greek world. Drawing on the discussions of Cartledge in debate with Hodkinson, it has discussed aspects of Sparta that enabled the polis to become a major military power in the Greek world while concluding that the social structure of Sparta was, while unique, not designed for longevity. The rapid decline in citizen population as a result of its citizenship requirements as well as loss of life during the Persian and Peloponnesian wars left the Spartan state vulnerable, something the Helot population took advantage of in an attempt to escape servitude. This work also discussed poleis choosing to develop dedicated units instead of restructuring their society, the benefits of which were evident when the Argive one thousand faced the Spartan Hoplites in battle and were rewarded for their bravery. However, these forces also disappeared from Greece after a time, potentially due to the polis no longer requiring their services. This work concluded that the Theban Sacred Band show a similar decline. In relation to mercenaries, this work discussed how the mercenary forces while useful for larger poleis, appeared completely impractical for smaller poleis who would not be able to maintain a competitive wage to guarantee the mercenary loyalty. The discussion of professionalism is worthy of interest as it shows the effect of both military advancements and political upheaval, further study of the development of professionalism under the reforms of Philip of Macedon would benefit the discussion.</w:t>
      </w:r>
    </w:p>
    <w:p w:rsidR="00360078" w:rsidRPr="00A6707B" w:rsidRDefault="00360078" w:rsidP="00A6707B">
      <w:pPr>
        <w:pStyle w:val="Heading1"/>
        <w:spacing w:line="480" w:lineRule="auto"/>
        <w:rPr>
          <w:rFonts w:ascii="Times New Roman" w:hAnsi="Times New Roman" w:cs="Times New Roman"/>
          <w:color w:val="auto"/>
          <w:sz w:val="24"/>
          <w:szCs w:val="24"/>
          <w:u w:val="single"/>
        </w:rPr>
      </w:pPr>
      <w:r w:rsidRPr="00A6707B">
        <w:rPr>
          <w:rFonts w:ascii="Times New Roman" w:hAnsi="Times New Roman" w:cs="Times New Roman"/>
          <w:color w:val="auto"/>
          <w:sz w:val="24"/>
          <w:szCs w:val="24"/>
          <w:u w:val="single"/>
        </w:rPr>
        <w:br w:type="page"/>
      </w:r>
    </w:p>
    <w:p w:rsidR="000D2A88" w:rsidRPr="00D349B2" w:rsidRDefault="00A6707B" w:rsidP="00800E7A">
      <w:pPr>
        <w:pStyle w:val="Heading1"/>
        <w:spacing w:line="480" w:lineRule="auto"/>
        <w:jc w:val="center"/>
        <w:rPr>
          <w:rFonts w:ascii="Times New Roman" w:hAnsi="Times New Roman" w:cs="Times New Roman"/>
          <w:color w:val="auto"/>
          <w:szCs w:val="36"/>
        </w:rPr>
      </w:pPr>
      <w:bookmarkStart w:id="21" w:name="_Toc8191350"/>
      <w:r w:rsidRPr="00D349B2">
        <w:rPr>
          <w:rFonts w:ascii="Times New Roman" w:hAnsi="Times New Roman" w:cs="Times New Roman"/>
          <w:color w:val="auto"/>
          <w:szCs w:val="36"/>
        </w:rPr>
        <w:lastRenderedPageBreak/>
        <w:t>Bi</w:t>
      </w:r>
      <w:r w:rsidR="00F642C1" w:rsidRPr="00D349B2">
        <w:rPr>
          <w:rFonts w:ascii="Times New Roman" w:hAnsi="Times New Roman" w:cs="Times New Roman"/>
          <w:color w:val="auto"/>
          <w:szCs w:val="36"/>
        </w:rPr>
        <w:t>b</w:t>
      </w:r>
      <w:r w:rsidR="000D2A88" w:rsidRPr="00D349B2">
        <w:rPr>
          <w:rFonts w:ascii="Times New Roman" w:hAnsi="Times New Roman" w:cs="Times New Roman"/>
          <w:color w:val="auto"/>
          <w:szCs w:val="36"/>
        </w:rPr>
        <w:t>liography</w:t>
      </w:r>
      <w:bookmarkEnd w:id="21"/>
    </w:p>
    <w:p w:rsidR="00800E7A" w:rsidRPr="00770D40" w:rsidRDefault="00800E7A" w:rsidP="00800E7A">
      <w:pPr>
        <w:keepNext/>
        <w:keepLines/>
        <w:spacing w:before="40" w:after="0"/>
        <w:outlineLvl w:val="1"/>
        <w:rPr>
          <w:rFonts w:asciiTheme="majorHAnsi" w:eastAsiaTheme="majorEastAsia" w:hAnsiTheme="majorHAnsi" w:cstheme="majorBidi"/>
          <w:sz w:val="26"/>
          <w:szCs w:val="26"/>
        </w:rPr>
      </w:pPr>
      <w:bookmarkStart w:id="22" w:name="_Toc8191351"/>
      <w:r w:rsidRPr="00770D40">
        <w:rPr>
          <w:rFonts w:asciiTheme="majorHAnsi" w:eastAsiaTheme="majorEastAsia" w:hAnsiTheme="majorHAnsi" w:cstheme="majorBidi"/>
          <w:sz w:val="26"/>
          <w:szCs w:val="26"/>
        </w:rPr>
        <w:t>Ancient Sources</w:t>
      </w:r>
      <w:bookmarkEnd w:id="22"/>
    </w:p>
    <w:p w:rsidR="00800E7A" w:rsidRPr="00770D40" w:rsidRDefault="00800E7A" w:rsidP="00800E7A">
      <w:pPr>
        <w:rPr>
          <w:rFonts w:cstheme="minorHAnsi"/>
        </w:rPr>
      </w:pPr>
      <w:r w:rsidRPr="00770D40">
        <w:rPr>
          <w:rFonts w:cstheme="minorHAnsi"/>
        </w:rPr>
        <w:t xml:space="preserve">Aeneas </w:t>
      </w:r>
      <w:proofErr w:type="spellStart"/>
      <w:r w:rsidRPr="00770D40">
        <w:rPr>
          <w:rFonts w:cstheme="minorHAnsi"/>
        </w:rPr>
        <w:t>Tacticus</w:t>
      </w:r>
      <w:proofErr w:type="spellEnd"/>
      <w:r w:rsidRPr="00770D40">
        <w:rPr>
          <w:rFonts w:cstheme="minorHAnsi"/>
        </w:rPr>
        <w:t xml:space="preserve">, </w:t>
      </w:r>
      <w:proofErr w:type="spellStart"/>
      <w:r w:rsidRPr="00770D40">
        <w:rPr>
          <w:rFonts w:cstheme="minorHAnsi"/>
          <w:i/>
        </w:rPr>
        <w:t>Aineiou</w:t>
      </w:r>
      <w:proofErr w:type="spellEnd"/>
      <w:r w:rsidRPr="00770D40">
        <w:rPr>
          <w:rFonts w:cstheme="minorHAnsi"/>
          <w:i/>
        </w:rPr>
        <w:t xml:space="preserve"> </w:t>
      </w:r>
      <w:proofErr w:type="spellStart"/>
      <w:r w:rsidRPr="00770D40">
        <w:rPr>
          <w:rFonts w:cstheme="minorHAnsi"/>
          <w:i/>
        </w:rPr>
        <w:t>Poliorketika</w:t>
      </w:r>
      <w:proofErr w:type="spellEnd"/>
      <w:r w:rsidRPr="00770D40">
        <w:rPr>
          <w:rFonts w:cstheme="minorHAnsi"/>
          <w:i/>
        </w:rPr>
        <w:t>.</w:t>
      </w:r>
      <w:r w:rsidRPr="00770D40">
        <w:rPr>
          <w:rFonts w:cstheme="minorHAnsi"/>
        </w:rPr>
        <w:t xml:space="preserve"> L.W. Hunter and S.A. </w:t>
      </w:r>
      <w:proofErr w:type="spellStart"/>
      <w:r w:rsidRPr="00770D40">
        <w:rPr>
          <w:rFonts w:cstheme="minorHAnsi"/>
        </w:rPr>
        <w:t>Handford</w:t>
      </w:r>
      <w:proofErr w:type="spellEnd"/>
      <w:r w:rsidRPr="00770D40">
        <w:rPr>
          <w:rFonts w:cstheme="minorHAnsi"/>
        </w:rPr>
        <w:t xml:space="preserve"> (</w:t>
      </w:r>
      <w:proofErr w:type="gramStart"/>
      <w:r w:rsidRPr="00770D40">
        <w:rPr>
          <w:rFonts w:cstheme="minorHAnsi"/>
        </w:rPr>
        <w:t>trans</w:t>
      </w:r>
      <w:proofErr w:type="gramEnd"/>
      <w:r w:rsidRPr="00770D40">
        <w:rPr>
          <w:rFonts w:cstheme="minorHAnsi"/>
        </w:rPr>
        <w:t>.). 1927. Oxford: Clarendon Press.</w:t>
      </w:r>
    </w:p>
    <w:p w:rsidR="00800E7A" w:rsidRPr="00770D40" w:rsidRDefault="00800E7A" w:rsidP="00800E7A">
      <w:pPr>
        <w:rPr>
          <w:rFonts w:cstheme="minorHAnsi"/>
        </w:rPr>
      </w:pPr>
      <w:r w:rsidRPr="00770D40">
        <w:rPr>
          <w:rFonts w:cstheme="minorHAnsi"/>
        </w:rPr>
        <w:t xml:space="preserve">Aristotle, </w:t>
      </w:r>
      <w:r w:rsidRPr="00770D40">
        <w:rPr>
          <w:rFonts w:cstheme="minorHAnsi"/>
          <w:i/>
        </w:rPr>
        <w:t>Politics.</w:t>
      </w:r>
      <w:r w:rsidRPr="00770D40">
        <w:rPr>
          <w:rFonts w:cstheme="minorHAnsi"/>
        </w:rPr>
        <w:t xml:space="preserve"> H. Rackham (</w:t>
      </w:r>
      <w:proofErr w:type="gramStart"/>
      <w:r w:rsidRPr="00770D40">
        <w:rPr>
          <w:rFonts w:cstheme="minorHAnsi"/>
        </w:rPr>
        <w:t>trans</w:t>
      </w:r>
      <w:proofErr w:type="gramEnd"/>
      <w:r w:rsidRPr="00770D40">
        <w:rPr>
          <w:rFonts w:cstheme="minorHAnsi"/>
        </w:rPr>
        <w:t>.). 1944. London: William Heinemann.</w:t>
      </w:r>
    </w:p>
    <w:p w:rsidR="00800E7A" w:rsidRPr="00770D40" w:rsidRDefault="00800E7A" w:rsidP="00800E7A">
      <w:pPr>
        <w:rPr>
          <w:rFonts w:cstheme="minorHAnsi"/>
        </w:rPr>
      </w:pPr>
      <w:r w:rsidRPr="00770D40">
        <w:rPr>
          <w:rFonts w:cstheme="minorHAnsi"/>
        </w:rPr>
        <w:t xml:space="preserve">Aristotle, </w:t>
      </w:r>
      <w:proofErr w:type="gramStart"/>
      <w:r w:rsidRPr="00770D40">
        <w:rPr>
          <w:rFonts w:cstheme="minorHAnsi"/>
          <w:i/>
        </w:rPr>
        <w:t>The</w:t>
      </w:r>
      <w:proofErr w:type="gramEnd"/>
      <w:r w:rsidRPr="00770D40">
        <w:rPr>
          <w:rFonts w:cstheme="minorHAnsi"/>
          <w:i/>
        </w:rPr>
        <w:t xml:space="preserve"> Athenian Constitution.</w:t>
      </w:r>
      <w:r w:rsidRPr="00770D40">
        <w:rPr>
          <w:rFonts w:cstheme="minorHAnsi"/>
        </w:rPr>
        <w:t xml:space="preserve"> H. Rackham (</w:t>
      </w:r>
      <w:proofErr w:type="gramStart"/>
      <w:r w:rsidRPr="00770D40">
        <w:rPr>
          <w:rFonts w:cstheme="minorHAnsi"/>
        </w:rPr>
        <w:t>trans</w:t>
      </w:r>
      <w:proofErr w:type="gramEnd"/>
      <w:r w:rsidRPr="00770D40">
        <w:rPr>
          <w:rFonts w:cstheme="minorHAnsi"/>
        </w:rPr>
        <w:t>.). 1952. London: William Heinemann.</w:t>
      </w:r>
    </w:p>
    <w:p w:rsidR="00800E7A" w:rsidRPr="00770D40" w:rsidRDefault="00800E7A" w:rsidP="00800E7A">
      <w:pPr>
        <w:spacing w:before="240"/>
        <w:rPr>
          <w:rFonts w:cstheme="minorHAnsi"/>
        </w:rPr>
      </w:pPr>
      <w:r w:rsidRPr="00770D40">
        <w:rPr>
          <w:rFonts w:cstheme="minorHAnsi"/>
        </w:rPr>
        <w:t xml:space="preserve">Demosthenes, </w:t>
      </w:r>
      <w:r w:rsidRPr="00770D40">
        <w:rPr>
          <w:rFonts w:cstheme="minorHAnsi"/>
          <w:i/>
        </w:rPr>
        <w:t xml:space="preserve">On the Navy. </w:t>
      </w:r>
      <w:r w:rsidRPr="00770D40">
        <w:rPr>
          <w:rFonts w:cstheme="minorHAnsi"/>
        </w:rPr>
        <w:t>C.A. Vince (</w:t>
      </w:r>
      <w:proofErr w:type="gramStart"/>
      <w:r w:rsidRPr="00770D40">
        <w:rPr>
          <w:rFonts w:cstheme="minorHAnsi"/>
        </w:rPr>
        <w:t>trans</w:t>
      </w:r>
      <w:proofErr w:type="gramEnd"/>
      <w:r w:rsidRPr="00770D40">
        <w:rPr>
          <w:rFonts w:cstheme="minorHAnsi"/>
        </w:rPr>
        <w:t xml:space="preserve">.). 1926. London: William Heinemann. </w:t>
      </w:r>
    </w:p>
    <w:p w:rsidR="00800E7A" w:rsidRPr="00770D40" w:rsidRDefault="00800E7A" w:rsidP="00800E7A">
      <w:pPr>
        <w:rPr>
          <w:rFonts w:cstheme="minorHAnsi"/>
        </w:rPr>
      </w:pPr>
      <w:r w:rsidRPr="00770D40">
        <w:rPr>
          <w:rFonts w:cstheme="minorHAnsi"/>
        </w:rPr>
        <w:t xml:space="preserve">Demosthenes, </w:t>
      </w:r>
      <w:r w:rsidRPr="00770D40">
        <w:rPr>
          <w:rFonts w:cstheme="minorHAnsi"/>
          <w:i/>
        </w:rPr>
        <w:t>Philippic 1.</w:t>
      </w:r>
      <w:r w:rsidRPr="00770D40">
        <w:rPr>
          <w:rFonts w:cstheme="minorHAnsi"/>
        </w:rPr>
        <w:t xml:space="preserve"> J.H. Vince (</w:t>
      </w:r>
      <w:proofErr w:type="gramStart"/>
      <w:r w:rsidRPr="00770D40">
        <w:rPr>
          <w:rFonts w:cstheme="minorHAnsi"/>
        </w:rPr>
        <w:t>trans</w:t>
      </w:r>
      <w:proofErr w:type="gramEnd"/>
      <w:r w:rsidRPr="00770D40">
        <w:rPr>
          <w:rFonts w:cstheme="minorHAnsi"/>
        </w:rPr>
        <w:t>.). 1930. London: William Heinemann.</w:t>
      </w:r>
    </w:p>
    <w:p w:rsidR="00800E7A" w:rsidRPr="00770D40" w:rsidRDefault="00800E7A" w:rsidP="00800E7A">
      <w:pPr>
        <w:jc w:val="both"/>
        <w:rPr>
          <w:rFonts w:cstheme="minorHAnsi"/>
        </w:rPr>
      </w:pPr>
      <w:r w:rsidRPr="00770D40">
        <w:rPr>
          <w:rFonts w:cstheme="minorHAnsi"/>
        </w:rPr>
        <w:t xml:space="preserve">Diodorus </w:t>
      </w:r>
      <w:proofErr w:type="spellStart"/>
      <w:r w:rsidRPr="00770D40">
        <w:rPr>
          <w:rFonts w:cstheme="minorHAnsi"/>
        </w:rPr>
        <w:t>Siculus</w:t>
      </w:r>
      <w:proofErr w:type="spellEnd"/>
      <w:r w:rsidRPr="00770D40">
        <w:rPr>
          <w:rFonts w:cstheme="minorHAnsi"/>
        </w:rPr>
        <w:t xml:space="preserve">, </w:t>
      </w:r>
      <w:r w:rsidRPr="00770D40">
        <w:rPr>
          <w:rFonts w:cstheme="minorHAnsi"/>
          <w:i/>
        </w:rPr>
        <w:t>Library</w:t>
      </w:r>
      <w:r w:rsidRPr="00770D40">
        <w:rPr>
          <w:rFonts w:cstheme="minorHAnsi"/>
        </w:rPr>
        <w:t xml:space="preserve">. C.H. </w:t>
      </w:r>
      <w:proofErr w:type="spellStart"/>
      <w:r w:rsidRPr="00770D40">
        <w:rPr>
          <w:rFonts w:cstheme="minorHAnsi"/>
        </w:rPr>
        <w:t>Oldfather</w:t>
      </w:r>
      <w:proofErr w:type="spellEnd"/>
      <w:r w:rsidRPr="00770D40">
        <w:rPr>
          <w:rFonts w:cstheme="minorHAnsi"/>
        </w:rPr>
        <w:t xml:space="preserve"> (</w:t>
      </w:r>
      <w:proofErr w:type="gramStart"/>
      <w:r w:rsidRPr="00770D40">
        <w:rPr>
          <w:rFonts w:cstheme="minorHAnsi"/>
        </w:rPr>
        <w:t>trans</w:t>
      </w:r>
      <w:proofErr w:type="gramEnd"/>
      <w:r w:rsidRPr="00770D40">
        <w:rPr>
          <w:rFonts w:cstheme="minorHAnsi"/>
        </w:rPr>
        <w:t xml:space="preserve">.). 1989. London: William Heinemann </w:t>
      </w:r>
    </w:p>
    <w:p w:rsidR="00800E7A" w:rsidRPr="00770D40" w:rsidRDefault="00800E7A" w:rsidP="00800E7A">
      <w:pPr>
        <w:rPr>
          <w:rFonts w:cstheme="minorHAnsi"/>
        </w:rPr>
      </w:pPr>
      <w:r w:rsidRPr="00770D40">
        <w:rPr>
          <w:rFonts w:cstheme="minorHAnsi"/>
        </w:rPr>
        <w:t xml:space="preserve">Herodotus, </w:t>
      </w:r>
      <w:proofErr w:type="gramStart"/>
      <w:r w:rsidRPr="00770D40">
        <w:rPr>
          <w:rFonts w:cstheme="minorHAnsi"/>
          <w:i/>
        </w:rPr>
        <w:t>The</w:t>
      </w:r>
      <w:proofErr w:type="gramEnd"/>
      <w:r w:rsidRPr="00770D40">
        <w:rPr>
          <w:rFonts w:cstheme="minorHAnsi"/>
          <w:i/>
        </w:rPr>
        <w:t xml:space="preserve"> Histories.</w:t>
      </w:r>
      <w:r w:rsidRPr="00770D40">
        <w:rPr>
          <w:rFonts w:cstheme="minorHAnsi"/>
        </w:rPr>
        <w:t xml:space="preserve"> A.D. Godley. (</w:t>
      </w:r>
      <w:proofErr w:type="gramStart"/>
      <w:r w:rsidRPr="00770D40">
        <w:rPr>
          <w:rFonts w:cstheme="minorHAnsi"/>
        </w:rPr>
        <w:t>trans</w:t>
      </w:r>
      <w:proofErr w:type="gramEnd"/>
      <w:r w:rsidRPr="00770D40">
        <w:rPr>
          <w:rFonts w:cstheme="minorHAnsi"/>
        </w:rPr>
        <w:t>.). 1920. Cambridge: Harvard University Press.</w:t>
      </w:r>
    </w:p>
    <w:p w:rsidR="00800E7A" w:rsidRPr="00770D40" w:rsidRDefault="00800E7A" w:rsidP="00800E7A">
      <w:pPr>
        <w:rPr>
          <w:rFonts w:cstheme="minorHAnsi"/>
        </w:rPr>
      </w:pPr>
      <w:r w:rsidRPr="00770D40">
        <w:rPr>
          <w:rFonts w:cstheme="minorHAnsi"/>
        </w:rPr>
        <w:t xml:space="preserve">Pausanias, </w:t>
      </w:r>
      <w:r w:rsidRPr="00770D40">
        <w:rPr>
          <w:rFonts w:cstheme="minorHAnsi"/>
          <w:i/>
        </w:rPr>
        <w:t xml:space="preserve">Description of Greece. </w:t>
      </w:r>
      <w:r w:rsidRPr="00770D40">
        <w:rPr>
          <w:rFonts w:cstheme="minorHAnsi"/>
        </w:rPr>
        <w:t xml:space="preserve">W.H.S. Jones, D. </w:t>
      </w:r>
      <w:proofErr w:type="spellStart"/>
      <w:r w:rsidRPr="00770D40">
        <w:rPr>
          <w:rFonts w:cstheme="minorHAnsi"/>
        </w:rPr>
        <w:t>Litt</w:t>
      </w:r>
      <w:proofErr w:type="spellEnd"/>
      <w:r w:rsidRPr="00770D40">
        <w:rPr>
          <w:rFonts w:cstheme="minorHAnsi"/>
        </w:rPr>
        <w:t xml:space="preserve"> and H.A. </w:t>
      </w:r>
      <w:proofErr w:type="spellStart"/>
      <w:r w:rsidRPr="00770D40">
        <w:rPr>
          <w:rFonts w:cstheme="minorHAnsi"/>
        </w:rPr>
        <w:t>Ormerod</w:t>
      </w:r>
      <w:proofErr w:type="spellEnd"/>
      <w:r w:rsidRPr="00770D40">
        <w:rPr>
          <w:rFonts w:cstheme="minorHAnsi"/>
        </w:rPr>
        <w:t xml:space="preserve"> (</w:t>
      </w:r>
      <w:proofErr w:type="gramStart"/>
      <w:r w:rsidRPr="00770D40">
        <w:rPr>
          <w:rFonts w:cstheme="minorHAnsi"/>
        </w:rPr>
        <w:t>trans</w:t>
      </w:r>
      <w:proofErr w:type="gramEnd"/>
      <w:r w:rsidRPr="00770D40">
        <w:rPr>
          <w:rFonts w:cstheme="minorHAnsi"/>
        </w:rPr>
        <w:t>.). 1918. London: William Heinemann.</w:t>
      </w:r>
    </w:p>
    <w:p w:rsidR="00800E7A" w:rsidRPr="00770D40" w:rsidRDefault="00800E7A" w:rsidP="00800E7A">
      <w:pPr>
        <w:rPr>
          <w:rFonts w:cstheme="minorHAnsi"/>
        </w:rPr>
      </w:pPr>
      <w:r w:rsidRPr="00770D40">
        <w:rPr>
          <w:rFonts w:cstheme="minorHAnsi"/>
        </w:rPr>
        <w:t xml:space="preserve">Plato, </w:t>
      </w:r>
      <w:r w:rsidRPr="00770D40">
        <w:rPr>
          <w:rFonts w:cstheme="minorHAnsi"/>
          <w:i/>
        </w:rPr>
        <w:t>Republic.</w:t>
      </w:r>
      <w:r w:rsidRPr="00770D40">
        <w:rPr>
          <w:rFonts w:cstheme="minorHAnsi"/>
        </w:rPr>
        <w:t xml:space="preserve"> P. </w:t>
      </w:r>
      <w:proofErr w:type="spellStart"/>
      <w:r w:rsidRPr="00770D40">
        <w:rPr>
          <w:rFonts w:cstheme="minorHAnsi"/>
        </w:rPr>
        <w:t>Shorey</w:t>
      </w:r>
      <w:proofErr w:type="spellEnd"/>
      <w:r w:rsidRPr="00770D40">
        <w:rPr>
          <w:rFonts w:cstheme="minorHAnsi"/>
        </w:rPr>
        <w:t xml:space="preserve"> (</w:t>
      </w:r>
      <w:proofErr w:type="gramStart"/>
      <w:r w:rsidRPr="00770D40">
        <w:rPr>
          <w:rFonts w:cstheme="minorHAnsi"/>
        </w:rPr>
        <w:t>trans</w:t>
      </w:r>
      <w:proofErr w:type="gramEnd"/>
      <w:r w:rsidRPr="00770D40">
        <w:rPr>
          <w:rFonts w:cstheme="minorHAnsi"/>
        </w:rPr>
        <w:t>.). 1969. London: William Heinemann.</w:t>
      </w:r>
    </w:p>
    <w:p w:rsidR="00800E7A" w:rsidRPr="00770D40" w:rsidRDefault="00800E7A" w:rsidP="00800E7A">
      <w:pPr>
        <w:rPr>
          <w:rFonts w:cstheme="minorHAnsi"/>
        </w:rPr>
      </w:pPr>
      <w:r w:rsidRPr="00770D40">
        <w:rPr>
          <w:rFonts w:cstheme="minorHAnsi"/>
        </w:rPr>
        <w:t xml:space="preserve">Plutarch, </w:t>
      </w:r>
      <w:r w:rsidRPr="00770D40">
        <w:rPr>
          <w:rFonts w:cstheme="minorHAnsi"/>
          <w:i/>
        </w:rPr>
        <w:t>Agesilaus.</w:t>
      </w:r>
      <w:r w:rsidRPr="00770D40">
        <w:rPr>
          <w:rFonts w:cstheme="minorHAnsi"/>
        </w:rPr>
        <w:t xml:space="preserve"> B. Perrin (</w:t>
      </w:r>
      <w:proofErr w:type="gramStart"/>
      <w:r w:rsidRPr="00770D40">
        <w:rPr>
          <w:rFonts w:cstheme="minorHAnsi"/>
        </w:rPr>
        <w:t>trans</w:t>
      </w:r>
      <w:proofErr w:type="gramEnd"/>
      <w:r w:rsidRPr="00770D40">
        <w:rPr>
          <w:rFonts w:cstheme="minorHAnsi"/>
        </w:rPr>
        <w:t>.). 1917. London: William Heinemann.</w:t>
      </w:r>
    </w:p>
    <w:p w:rsidR="00800E7A" w:rsidRPr="00770D40" w:rsidRDefault="00800E7A" w:rsidP="00800E7A">
      <w:pPr>
        <w:rPr>
          <w:rFonts w:cstheme="minorHAnsi"/>
        </w:rPr>
      </w:pPr>
      <w:r w:rsidRPr="00770D40">
        <w:rPr>
          <w:rFonts w:cstheme="minorHAnsi"/>
        </w:rPr>
        <w:t xml:space="preserve">Plutarch, </w:t>
      </w:r>
      <w:r w:rsidRPr="00770D40">
        <w:rPr>
          <w:rFonts w:cstheme="minorHAnsi"/>
          <w:i/>
        </w:rPr>
        <w:t>Agis.</w:t>
      </w:r>
      <w:r w:rsidRPr="00770D40">
        <w:rPr>
          <w:rFonts w:cstheme="minorHAnsi"/>
        </w:rPr>
        <w:t xml:space="preserve"> B. Perrin (</w:t>
      </w:r>
      <w:proofErr w:type="gramStart"/>
      <w:r w:rsidRPr="00770D40">
        <w:rPr>
          <w:rFonts w:cstheme="minorHAnsi"/>
        </w:rPr>
        <w:t>trans</w:t>
      </w:r>
      <w:proofErr w:type="gramEnd"/>
      <w:r w:rsidRPr="00770D40">
        <w:rPr>
          <w:rFonts w:cstheme="minorHAnsi"/>
        </w:rPr>
        <w:t>.). 1921. London: William Heinemann.</w:t>
      </w:r>
    </w:p>
    <w:p w:rsidR="00800E7A" w:rsidRPr="00770D40" w:rsidRDefault="00800E7A" w:rsidP="00800E7A">
      <w:pPr>
        <w:rPr>
          <w:rFonts w:cstheme="minorHAnsi"/>
        </w:rPr>
      </w:pPr>
      <w:r w:rsidRPr="00770D40">
        <w:rPr>
          <w:rFonts w:cstheme="minorHAnsi"/>
        </w:rPr>
        <w:t xml:space="preserve">Plutarch, </w:t>
      </w:r>
      <w:r w:rsidRPr="00770D40">
        <w:rPr>
          <w:rFonts w:cstheme="minorHAnsi"/>
          <w:i/>
        </w:rPr>
        <w:t xml:space="preserve">Alcibiades. </w:t>
      </w:r>
      <w:r w:rsidRPr="00770D40">
        <w:rPr>
          <w:rFonts w:cstheme="minorHAnsi"/>
        </w:rPr>
        <w:t>B. Perrin (</w:t>
      </w:r>
      <w:proofErr w:type="gramStart"/>
      <w:r w:rsidRPr="00770D40">
        <w:rPr>
          <w:rFonts w:cstheme="minorHAnsi"/>
        </w:rPr>
        <w:t>trans</w:t>
      </w:r>
      <w:proofErr w:type="gramEnd"/>
      <w:r w:rsidRPr="00770D40">
        <w:rPr>
          <w:rFonts w:cstheme="minorHAnsi"/>
        </w:rPr>
        <w:t>.). 1916. London: William Heinemann.</w:t>
      </w:r>
    </w:p>
    <w:p w:rsidR="00800E7A" w:rsidRPr="00770D40" w:rsidRDefault="00800E7A" w:rsidP="00800E7A">
      <w:pPr>
        <w:rPr>
          <w:rFonts w:cstheme="minorHAnsi"/>
        </w:rPr>
      </w:pPr>
      <w:r w:rsidRPr="00770D40">
        <w:rPr>
          <w:rFonts w:cstheme="minorHAnsi"/>
        </w:rPr>
        <w:t xml:space="preserve">Plutarch, </w:t>
      </w:r>
      <w:r w:rsidRPr="00770D40">
        <w:rPr>
          <w:rFonts w:cstheme="minorHAnsi"/>
          <w:i/>
        </w:rPr>
        <w:t xml:space="preserve">Lycurgus. </w:t>
      </w:r>
      <w:r w:rsidRPr="00770D40">
        <w:rPr>
          <w:rFonts w:cstheme="minorHAnsi"/>
        </w:rPr>
        <w:t>B. Perrin (</w:t>
      </w:r>
      <w:proofErr w:type="gramStart"/>
      <w:r w:rsidRPr="00770D40">
        <w:rPr>
          <w:rFonts w:cstheme="minorHAnsi"/>
        </w:rPr>
        <w:t>trans</w:t>
      </w:r>
      <w:proofErr w:type="gramEnd"/>
      <w:r w:rsidRPr="00770D40">
        <w:rPr>
          <w:rFonts w:cstheme="minorHAnsi"/>
        </w:rPr>
        <w:t>.). 1914. London: William Heinemann.</w:t>
      </w:r>
    </w:p>
    <w:p w:rsidR="00800E7A" w:rsidRPr="00770D40" w:rsidRDefault="00800E7A" w:rsidP="00800E7A">
      <w:pPr>
        <w:rPr>
          <w:rFonts w:cstheme="minorHAnsi"/>
        </w:rPr>
      </w:pPr>
      <w:r w:rsidRPr="00770D40">
        <w:rPr>
          <w:rFonts w:cstheme="minorHAnsi"/>
        </w:rPr>
        <w:t xml:space="preserve">Plutarch, </w:t>
      </w:r>
      <w:r w:rsidRPr="00770D40">
        <w:rPr>
          <w:rFonts w:cstheme="minorHAnsi"/>
          <w:i/>
        </w:rPr>
        <w:t>Lysander.</w:t>
      </w:r>
      <w:r w:rsidRPr="00770D40">
        <w:rPr>
          <w:rFonts w:cstheme="minorHAnsi"/>
        </w:rPr>
        <w:t xml:space="preserve"> B. Perrin (</w:t>
      </w:r>
      <w:proofErr w:type="gramStart"/>
      <w:r w:rsidRPr="00770D40">
        <w:rPr>
          <w:rFonts w:cstheme="minorHAnsi"/>
        </w:rPr>
        <w:t>trans</w:t>
      </w:r>
      <w:proofErr w:type="gramEnd"/>
      <w:r w:rsidRPr="00770D40">
        <w:rPr>
          <w:rFonts w:cstheme="minorHAnsi"/>
        </w:rPr>
        <w:t xml:space="preserve">.). 1916. London: William Heinemann. </w:t>
      </w:r>
    </w:p>
    <w:p w:rsidR="00800E7A" w:rsidRPr="00770D40" w:rsidRDefault="00800E7A" w:rsidP="00800E7A">
      <w:pPr>
        <w:rPr>
          <w:rFonts w:cstheme="minorHAnsi"/>
        </w:rPr>
      </w:pPr>
      <w:r w:rsidRPr="00770D40">
        <w:rPr>
          <w:rFonts w:cstheme="minorHAnsi"/>
        </w:rPr>
        <w:t xml:space="preserve">Plutarch, </w:t>
      </w:r>
      <w:r w:rsidRPr="00770D40">
        <w:rPr>
          <w:rFonts w:cstheme="minorHAnsi"/>
          <w:i/>
        </w:rPr>
        <w:t>Pericles.</w:t>
      </w:r>
      <w:r w:rsidRPr="00770D40">
        <w:rPr>
          <w:rFonts w:cstheme="minorHAnsi"/>
        </w:rPr>
        <w:t xml:space="preserve"> B. Perrin (</w:t>
      </w:r>
      <w:proofErr w:type="gramStart"/>
      <w:r w:rsidRPr="00770D40">
        <w:rPr>
          <w:rFonts w:cstheme="minorHAnsi"/>
        </w:rPr>
        <w:t>trans</w:t>
      </w:r>
      <w:proofErr w:type="gramEnd"/>
      <w:r w:rsidRPr="00770D40">
        <w:rPr>
          <w:rFonts w:cstheme="minorHAnsi"/>
        </w:rPr>
        <w:t xml:space="preserve">.). 1916. London: William Heinemann. </w:t>
      </w:r>
    </w:p>
    <w:p w:rsidR="00800E7A" w:rsidRPr="00770D40" w:rsidRDefault="00800E7A" w:rsidP="00800E7A">
      <w:pPr>
        <w:rPr>
          <w:rFonts w:cstheme="minorHAnsi"/>
        </w:rPr>
      </w:pPr>
      <w:r w:rsidRPr="00770D40">
        <w:rPr>
          <w:rFonts w:cstheme="minorHAnsi"/>
        </w:rPr>
        <w:t xml:space="preserve">Thucydides, </w:t>
      </w:r>
      <w:r w:rsidRPr="00770D40">
        <w:rPr>
          <w:rFonts w:cstheme="minorHAnsi"/>
          <w:i/>
        </w:rPr>
        <w:t>History of the Peloponnesian War.</w:t>
      </w:r>
      <w:r w:rsidRPr="00770D40">
        <w:rPr>
          <w:rFonts w:cstheme="minorHAnsi"/>
        </w:rPr>
        <w:t xml:space="preserve"> B. Jowett (</w:t>
      </w:r>
      <w:proofErr w:type="gramStart"/>
      <w:r w:rsidRPr="00770D40">
        <w:rPr>
          <w:rFonts w:cstheme="minorHAnsi"/>
        </w:rPr>
        <w:t>trans</w:t>
      </w:r>
      <w:proofErr w:type="gramEnd"/>
      <w:r w:rsidRPr="00770D40">
        <w:rPr>
          <w:rFonts w:cstheme="minorHAnsi"/>
        </w:rPr>
        <w:t>.). 1881. Oxford: Clarendon Press.</w:t>
      </w:r>
    </w:p>
    <w:p w:rsidR="00800E7A" w:rsidRPr="00770D40" w:rsidRDefault="00800E7A" w:rsidP="00800E7A">
      <w:pPr>
        <w:rPr>
          <w:rFonts w:cstheme="minorHAnsi"/>
        </w:rPr>
      </w:pPr>
      <w:proofErr w:type="spellStart"/>
      <w:r w:rsidRPr="00770D40">
        <w:rPr>
          <w:rFonts w:cstheme="minorHAnsi"/>
        </w:rPr>
        <w:t>Tyrtaeus</w:t>
      </w:r>
      <w:proofErr w:type="spellEnd"/>
      <w:r w:rsidRPr="00770D40">
        <w:rPr>
          <w:rFonts w:cstheme="minorHAnsi"/>
        </w:rPr>
        <w:t>, ‘</w:t>
      </w:r>
      <w:proofErr w:type="spellStart"/>
      <w:r w:rsidRPr="00770D40">
        <w:rPr>
          <w:rFonts w:cstheme="minorHAnsi"/>
        </w:rPr>
        <w:t>Tyrtaeus</w:t>
      </w:r>
      <w:proofErr w:type="spellEnd"/>
      <w:r w:rsidRPr="00770D40">
        <w:rPr>
          <w:rFonts w:cstheme="minorHAnsi"/>
        </w:rPr>
        <w:t>’,</w:t>
      </w:r>
      <w:r w:rsidRPr="00770D40">
        <w:rPr>
          <w:rFonts w:cstheme="minorHAnsi"/>
          <w:i/>
        </w:rPr>
        <w:t xml:space="preserve"> </w:t>
      </w:r>
      <w:r w:rsidRPr="00770D40">
        <w:rPr>
          <w:rFonts w:cstheme="minorHAnsi"/>
        </w:rPr>
        <w:t>T. Campbell (trans.). J.H. Wright (</w:t>
      </w:r>
      <w:proofErr w:type="gramStart"/>
      <w:r w:rsidRPr="00770D40">
        <w:rPr>
          <w:rFonts w:cstheme="minorHAnsi"/>
        </w:rPr>
        <w:t>ed</w:t>
      </w:r>
      <w:proofErr w:type="gramEnd"/>
      <w:r w:rsidRPr="00770D40">
        <w:rPr>
          <w:rFonts w:cstheme="minorHAnsi"/>
        </w:rPr>
        <w:t xml:space="preserve">.). 1902. </w:t>
      </w:r>
      <w:r w:rsidRPr="00770D40">
        <w:rPr>
          <w:rFonts w:cstheme="minorHAnsi"/>
          <w:i/>
        </w:rPr>
        <w:t>Masterpieces of Greek Literature.</w:t>
      </w:r>
      <w:r w:rsidRPr="00770D40">
        <w:rPr>
          <w:rFonts w:cstheme="minorHAnsi"/>
        </w:rPr>
        <w:t xml:space="preserve"> Cambridge: Riverside Press.</w:t>
      </w:r>
    </w:p>
    <w:p w:rsidR="00800E7A" w:rsidRPr="00770D40" w:rsidRDefault="00800E7A" w:rsidP="00800E7A">
      <w:pPr>
        <w:rPr>
          <w:rFonts w:cstheme="minorHAnsi"/>
          <w:iCs/>
        </w:rPr>
      </w:pPr>
      <w:r w:rsidRPr="00770D40">
        <w:rPr>
          <w:rFonts w:cstheme="minorHAnsi"/>
        </w:rPr>
        <w:t xml:space="preserve">Xenophon, </w:t>
      </w:r>
      <w:r w:rsidRPr="00770D40">
        <w:rPr>
          <w:rFonts w:cstheme="minorHAnsi"/>
          <w:i/>
          <w:iCs/>
        </w:rPr>
        <w:t xml:space="preserve">Anabasis. C.L </w:t>
      </w:r>
      <w:proofErr w:type="spellStart"/>
      <w:r w:rsidRPr="00770D40">
        <w:rPr>
          <w:rFonts w:cstheme="minorHAnsi"/>
          <w:i/>
          <w:iCs/>
        </w:rPr>
        <w:t>Brownson</w:t>
      </w:r>
      <w:proofErr w:type="spellEnd"/>
      <w:r w:rsidRPr="00770D40">
        <w:rPr>
          <w:rFonts w:cstheme="minorHAnsi"/>
          <w:i/>
          <w:iCs/>
        </w:rPr>
        <w:t xml:space="preserve"> (</w:t>
      </w:r>
      <w:proofErr w:type="gramStart"/>
      <w:r w:rsidRPr="00770D40">
        <w:rPr>
          <w:rFonts w:cstheme="minorHAnsi"/>
          <w:i/>
          <w:iCs/>
        </w:rPr>
        <w:t>trans</w:t>
      </w:r>
      <w:proofErr w:type="gramEnd"/>
      <w:r w:rsidRPr="00770D40">
        <w:rPr>
          <w:rFonts w:cstheme="minorHAnsi"/>
          <w:i/>
          <w:iCs/>
        </w:rPr>
        <w:t>.). 1922. London: William Heinemann.</w:t>
      </w:r>
    </w:p>
    <w:p w:rsidR="00800E7A" w:rsidRPr="00770D40" w:rsidRDefault="00800E7A" w:rsidP="00800E7A">
      <w:pPr>
        <w:rPr>
          <w:rFonts w:cstheme="minorHAnsi"/>
          <w:iCs/>
        </w:rPr>
      </w:pPr>
      <w:r w:rsidRPr="00770D40">
        <w:rPr>
          <w:rFonts w:cstheme="minorHAnsi"/>
          <w:i/>
          <w:iCs/>
        </w:rPr>
        <w:t xml:space="preserve">Xenophon, Constitution of the </w:t>
      </w:r>
      <w:proofErr w:type="spellStart"/>
      <w:r w:rsidRPr="00770D40">
        <w:rPr>
          <w:rFonts w:cstheme="minorHAnsi"/>
          <w:i/>
          <w:iCs/>
        </w:rPr>
        <w:t>Lacedaimonians</w:t>
      </w:r>
      <w:proofErr w:type="spellEnd"/>
      <w:r w:rsidRPr="00770D40">
        <w:rPr>
          <w:rFonts w:cstheme="minorHAnsi"/>
          <w:i/>
          <w:iCs/>
        </w:rPr>
        <w:t xml:space="preserve">. E.C. Marchant and G.W. </w:t>
      </w:r>
      <w:proofErr w:type="spellStart"/>
      <w:r w:rsidRPr="00770D40">
        <w:rPr>
          <w:rFonts w:cstheme="minorHAnsi"/>
          <w:i/>
          <w:iCs/>
        </w:rPr>
        <w:t>Bowersock</w:t>
      </w:r>
      <w:proofErr w:type="spellEnd"/>
      <w:r w:rsidRPr="00770D40">
        <w:rPr>
          <w:rFonts w:cstheme="minorHAnsi"/>
          <w:i/>
          <w:iCs/>
        </w:rPr>
        <w:t xml:space="preserve"> (</w:t>
      </w:r>
      <w:proofErr w:type="gramStart"/>
      <w:r w:rsidRPr="00770D40">
        <w:rPr>
          <w:rFonts w:cstheme="minorHAnsi"/>
          <w:i/>
          <w:iCs/>
        </w:rPr>
        <w:t>trans</w:t>
      </w:r>
      <w:proofErr w:type="gramEnd"/>
      <w:r w:rsidRPr="00770D40">
        <w:rPr>
          <w:rFonts w:cstheme="minorHAnsi"/>
          <w:i/>
          <w:iCs/>
        </w:rPr>
        <w:t>.). 1925. Oxford: Harvard University Press.</w:t>
      </w:r>
    </w:p>
    <w:p w:rsidR="00800E7A" w:rsidRDefault="00800E7A" w:rsidP="00800E7A">
      <w:pPr>
        <w:rPr>
          <w:rFonts w:cstheme="minorHAnsi"/>
          <w:i/>
          <w:iCs/>
        </w:rPr>
      </w:pPr>
      <w:r w:rsidRPr="00770D40">
        <w:rPr>
          <w:rFonts w:cstheme="minorHAnsi"/>
        </w:rPr>
        <w:t xml:space="preserve">Xenophon, </w:t>
      </w:r>
      <w:r w:rsidRPr="00770D40">
        <w:rPr>
          <w:rFonts w:cstheme="minorHAnsi"/>
          <w:i/>
        </w:rPr>
        <w:t>Hellenica</w:t>
      </w:r>
      <w:r w:rsidRPr="00770D40">
        <w:rPr>
          <w:rFonts w:cstheme="minorHAnsi"/>
          <w:i/>
          <w:iCs/>
        </w:rPr>
        <w:t xml:space="preserve">. C.L </w:t>
      </w:r>
      <w:proofErr w:type="spellStart"/>
      <w:r w:rsidRPr="00770D40">
        <w:rPr>
          <w:rFonts w:cstheme="minorHAnsi"/>
          <w:i/>
          <w:iCs/>
        </w:rPr>
        <w:t>Brownson</w:t>
      </w:r>
      <w:proofErr w:type="spellEnd"/>
      <w:r w:rsidRPr="00770D40">
        <w:rPr>
          <w:rFonts w:cstheme="minorHAnsi"/>
          <w:i/>
          <w:iCs/>
        </w:rPr>
        <w:t xml:space="preserve"> (</w:t>
      </w:r>
      <w:proofErr w:type="gramStart"/>
      <w:r w:rsidRPr="00770D40">
        <w:rPr>
          <w:rFonts w:cstheme="minorHAnsi"/>
          <w:i/>
          <w:iCs/>
        </w:rPr>
        <w:t>trans</w:t>
      </w:r>
      <w:proofErr w:type="gramEnd"/>
      <w:r w:rsidRPr="00770D40">
        <w:rPr>
          <w:rFonts w:cstheme="minorHAnsi"/>
          <w:i/>
          <w:iCs/>
        </w:rPr>
        <w:t>.). 1921. London: William Heinemann.</w:t>
      </w:r>
    </w:p>
    <w:p w:rsidR="00800E7A" w:rsidRDefault="00800E7A" w:rsidP="00800E7A">
      <w:pPr>
        <w:rPr>
          <w:rFonts w:cstheme="minorHAnsi"/>
          <w:i/>
          <w:iCs/>
        </w:rPr>
      </w:pPr>
    </w:p>
    <w:p w:rsidR="00800E7A" w:rsidRDefault="00800E7A" w:rsidP="00800E7A">
      <w:pPr>
        <w:rPr>
          <w:rFonts w:cstheme="minorHAnsi"/>
          <w:i/>
          <w:iCs/>
        </w:rPr>
      </w:pPr>
    </w:p>
    <w:p w:rsidR="00800E7A" w:rsidRDefault="00800E7A" w:rsidP="00800E7A">
      <w:pPr>
        <w:rPr>
          <w:rFonts w:cstheme="minorHAnsi"/>
          <w:i/>
          <w:iCs/>
        </w:rPr>
      </w:pPr>
    </w:p>
    <w:p w:rsidR="00800E7A" w:rsidRDefault="00800E7A" w:rsidP="00800E7A">
      <w:pPr>
        <w:rPr>
          <w:rFonts w:cstheme="minorHAnsi"/>
          <w:i/>
          <w:iCs/>
        </w:rPr>
      </w:pPr>
    </w:p>
    <w:p w:rsidR="00800E7A" w:rsidRPr="00770D40" w:rsidRDefault="00800E7A" w:rsidP="00800E7A">
      <w:pPr>
        <w:keepNext/>
        <w:keepLines/>
        <w:spacing w:before="40" w:after="0"/>
        <w:outlineLvl w:val="1"/>
        <w:rPr>
          <w:rFonts w:asciiTheme="majorHAnsi" w:eastAsiaTheme="majorEastAsia" w:hAnsiTheme="majorHAnsi" w:cstheme="majorBidi"/>
          <w:sz w:val="26"/>
          <w:szCs w:val="26"/>
        </w:rPr>
      </w:pPr>
      <w:bookmarkStart w:id="23" w:name="_Toc8191352"/>
      <w:r w:rsidRPr="00770D40">
        <w:rPr>
          <w:rFonts w:asciiTheme="majorHAnsi" w:eastAsiaTheme="majorEastAsia" w:hAnsiTheme="majorHAnsi" w:cstheme="majorBidi"/>
          <w:sz w:val="26"/>
          <w:szCs w:val="26"/>
        </w:rPr>
        <w:lastRenderedPageBreak/>
        <w:t>Modern Scholarship</w:t>
      </w:r>
      <w:bookmarkEnd w:id="23"/>
    </w:p>
    <w:p w:rsidR="00800E7A" w:rsidRDefault="00800E7A" w:rsidP="00800E7A">
      <w:pPr>
        <w:rPr>
          <w:rFonts w:cstheme="minorHAnsi"/>
        </w:rPr>
      </w:pPr>
      <w:r>
        <w:rPr>
          <w:rFonts w:cstheme="minorHAnsi"/>
        </w:rPr>
        <w:t xml:space="preserve">Africa, T. W. 1968. ‘Cleomenes III and the Helots’, </w:t>
      </w:r>
      <w:r>
        <w:rPr>
          <w:rFonts w:cstheme="minorHAnsi"/>
          <w:i/>
        </w:rPr>
        <w:t xml:space="preserve">California Studies in Classical Antiquity. </w:t>
      </w:r>
      <w:r>
        <w:rPr>
          <w:rFonts w:cstheme="minorHAnsi"/>
        </w:rPr>
        <w:t>Vol 1. 1-11.</w:t>
      </w:r>
    </w:p>
    <w:p w:rsidR="00800E7A" w:rsidRPr="005251BB" w:rsidRDefault="00800E7A" w:rsidP="00800E7A">
      <w:pPr>
        <w:rPr>
          <w:rFonts w:cstheme="minorHAnsi"/>
        </w:rPr>
      </w:pPr>
      <w:r>
        <w:rPr>
          <w:rFonts w:cstheme="minorHAnsi"/>
        </w:rPr>
        <w:t xml:space="preserve">Armstrong, C. J. ‘Reminders of Ancient Warfare’, </w:t>
      </w:r>
      <w:proofErr w:type="gramStart"/>
      <w:r>
        <w:rPr>
          <w:rFonts w:cstheme="minorHAnsi"/>
          <w:i/>
        </w:rPr>
        <w:t>The</w:t>
      </w:r>
      <w:proofErr w:type="gramEnd"/>
      <w:r>
        <w:rPr>
          <w:rFonts w:cstheme="minorHAnsi"/>
          <w:i/>
        </w:rPr>
        <w:t xml:space="preserve"> Classical Weekly.</w:t>
      </w:r>
      <w:r>
        <w:rPr>
          <w:rFonts w:cstheme="minorHAnsi"/>
        </w:rPr>
        <w:t xml:space="preserve"> Vol. 37. 6. 63.</w:t>
      </w:r>
    </w:p>
    <w:p w:rsidR="00800E7A" w:rsidRPr="00770D40" w:rsidRDefault="00800E7A" w:rsidP="00800E7A">
      <w:pPr>
        <w:rPr>
          <w:rFonts w:cstheme="minorHAnsi"/>
        </w:rPr>
      </w:pPr>
      <w:r w:rsidRPr="00770D40">
        <w:rPr>
          <w:rFonts w:cstheme="minorHAnsi"/>
        </w:rPr>
        <w:t xml:space="preserve">Ashley, J.R. 1998. </w:t>
      </w:r>
      <w:r w:rsidRPr="00770D40">
        <w:rPr>
          <w:rFonts w:cstheme="minorHAnsi"/>
          <w:i/>
        </w:rPr>
        <w:t xml:space="preserve">The Macedonian Empire. </w:t>
      </w:r>
      <w:r w:rsidRPr="00770D40">
        <w:rPr>
          <w:rFonts w:cstheme="minorHAnsi"/>
        </w:rPr>
        <w:t>North Carolina: McFarland &amp; Company Ltd.</w:t>
      </w:r>
    </w:p>
    <w:p w:rsidR="00800E7A" w:rsidRDefault="00800E7A" w:rsidP="00800E7A">
      <w:pPr>
        <w:rPr>
          <w:rFonts w:cstheme="minorHAnsi"/>
        </w:rPr>
      </w:pPr>
      <w:r w:rsidRPr="00770D40">
        <w:rPr>
          <w:rFonts w:cstheme="minorHAnsi"/>
        </w:rPr>
        <w:t>Best, J. G. P. 1969. </w:t>
      </w:r>
      <w:r w:rsidRPr="00770D40">
        <w:rPr>
          <w:rFonts w:cstheme="minorHAnsi"/>
          <w:i/>
          <w:iCs/>
        </w:rPr>
        <w:t>Thracian peltasts and their influence on Greek Warfare</w:t>
      </w:r>
      <w:r w:rsidRPr="00770D40">
        <w:rPr>
          <w:rFonts w:cstheme="minorHAnsi"/>
        </w:rPr>
        <w:t>. Groningen: Wolters-</w:t>
      </w:r>
      <w:proofErr w:type="spellStart"/>
      <w:r w:rsidRPr="00770D40">
        <w:rPr>
          <w:rFonts w:cstheme="minorHAnsi"/>
        </w:rPr>
        <w:t>Noordhoff</w:t>
      </w:r>
      <w:proofErr w:type="spellEnd"/>
      <w:r w:rsidRPr="00770D40">
        <w:rPr>
          <w:rFonts w:cstheme="minorHAnsi"/>
        </w:rPr>
        <w:t>.</w:t>
      </w:r>
    </w:p>
    <w:p w:rsidR="00800E7A" w:rsidRPr="00770D40" w:rsidRDefault="00800E7A" w:rsidP="00800E7A">
      <w:pPr>
        <w:rPr>
          <w:rFonts w:cstheme="minorHAnsi"/>
        </w:rPr>
      </w:pPr>
      <w:r>
        <w:t xml:space="preserve">Brinton, C, Christopher, J.B., and Wolff, R.L. 1960. </w:t>
      </w:r>
      <w:r w:rsidRPr="006265CC">
        <w:rPr>
          <w:i/>
        </w:rPr>
        <w:t>A history of civilization</w:t>
      </w:r>
      <w:r>
        <w:t>. Vol. 1. 2. New Jersey: Prentice-Hall.</w:t>
      </w:r>
    </w:p>
    <w:p w:rsidR="00800E7A" w:rsidRDefault="00800E7A" w:rsidP="00800E7A">
      <w:pPr>
        <w:rPr>
          <w:rFonts w:cstheme="minorHAnsi"/>
        </w:rPr>
      </w:pPr>
      <w:proofErr w:type="spellStart"/>
      <w:r w:rsidRPr="00770D40">
        <w:rPr>
          <w:rFonts w:cstheme="minorHAnsi"/>
        </w:rPr>
        <w:t>Burliga</w:t>
      </w:r>
      <w:proofErr w:type="spellEnd"/>
      <w:r w:rsidRPr="00770D40">
        <w:rPr>
          <w:rFonts w:cstheme="minorHAnsi"/>
        </w:rPr>
        <w:t xml:space="preserve">, B. and </w:t>
      </w:r>
      <w:proofErr w:type="spellStart"/>
      <w:r w:rsidRPr="00770D40">
        <w:rPr>
          <w:rFonts w:cstheme="minorHAnsi"/>
        </w:rPr>
        <w:t>Sekunda</w:t>
      </w:r>
      <w:proofErr w:type="spellEnd"/>
      <w:r w:rsidRPr="00770D40">
        <w:rPr>
          <w:rFonts w:cstheme="minorHAnsi"/>
        </w:rPr>
        <w:t xml:space="preserve">, N.V. 2014. </w:t>
      </w:r>
      <w:proofErr w:type="spellStart"/>
      <w:r w:rsidRPr="00770D40">
        <w:rPr>
          <w:rFonts w:cstheme="minorHAnsi"/>
          <w:i/>
        </w:rPr>
        <w:t>Iphicrates</w:t>
      </w:r>
      <w:proofErr w:type="spellEnd"/>
      <w:r w:rsidRPr="00770D40">
        <w:rPr>
          <w:rFonts w:cstheme="minorHAnsi"/>
          <w:i/>
        </w:rPr>
        <w:t xml:space="preserve">, Peltasts and </w:t>
      </w:r>
      <w:proofErr w:type="spellStart"/>
      <w:r w:rsidRPr="00770D40">
        <w:rPr>
          <w:rFonts w:cstheme="minorHAnsi"/>
          <w:i/>
        </w:rPr>
        <w:t>Lechaeum</w:t>
      </w:r>
      <w:proofErr w:type="spellEnd"/>
      <w:r w:rsidRPr="00770D40">
        <w:rPr>
          <w:rFonts w:cstheme="minorHAnsi"/>
          <w:i/>
        </w:rPr>
        <w:t xml:space="preserve">. </w:t>
      </w:r>
      <w:proofErr w:type="spellStart"/>
      <w:r w:rsidRPr="00770D40">
        <w:rPr>
          <w:rFonts w:cstheme="minorHAnsi"/>
        </w:rPr>
        <w:t>Gdańsk</w:t>
      </w:r>
      <w:proofErr w:type="spellEnd"/>
      <w:r w:rsidRPr="00770D40">
        <w:rPr>
          <w:rFonts w:cstheme="minorHAnsi"/>
        </w:rPr>
        <w:t xml:space="preserve">: Foundation for the Development of </w:t>
      </w:r>
      <w:proofErr w:type="spellStart"/>
      <w:r w:rsidRPr="00770D40">
        <w:rPr>
          <w:rFonts w:cstheme="minorHAnsi"/>
        </w:rPr>
        <w:t>Gdańsk</w:t>
      </w:r>
      <w:proofErr w:type="spellEnd"/>
      <w:r w:rsidRPr="00770D40">
        <w:rPr>
          <w:rFonts w:cstheme="minorHAnsi"/>
        </w:rPr>
        <w:t xml:space="preserve"> University.</w:t>
      </w:r>
    </w:p>
    <w:p w:rsidR="00800E7A" w:rsidRPr="000506C4" w:rsidRDefault="00800E7A" w:rsidP="00800E7A">
      <w:pPr>
        <w:rPr>
          <w:rFonts w:cstheme="minorHAnsi"/>
        </w:rPr>
      </w:pPr>
      <w:r>
        <w:rPr>
          <w:rFonts w:cstheme="minorHAnsi"/>
        </w:rPr>
        <w:t xml:space="preserve">Cartledge, P. 2001. </w:t>
      </w:r>
      <w:r>
        <w:rPr>
          <w:rFonts w:cstheme="minorHAnsi"/>
          <w:i/>
        </w:rPr>
        <w:t>Spartan Reflections.</w:t>
      </w:r>
      <w:r>
        <w:rPr>
          <w:rFonts w:cstheme="minorHAnsi"/>
        </w:rPr>
        <w:t xml:space="preserve"> Berkeley: University of California Press.</w:t>
      </w:r>
    </w:p>
    <w:p w:rsidR="00800E7A" w:rsidRDefault="00800E7A" w:rsidP="00800E7A">
      <w:pPr>
        <w:rPr>
          <w:rFonts w:cstheme="minorHAnsi"/>
        </w:rPr>
      </w:pPr>
      <w:r w:rsidRPr="00770D40">
        <w:rPr>
          <w:rFonts w:cstheme="minorHAnsi"/>
        </w:rPr>
        <w:t xml:space="preserve">Cartledge, P. and </w:t>
      </w:r>
      <w:proofErr w:type="spellStart"/>
      <w:r w:rsidRPr="00770D40">
        <w:rPr>
          <w:rFonts w:cstheme="minorHAnsi"/>
        </w:rPr>
        <w:t>Spawforth</w:t>
      </w:r>
      <w:proofErr w:type="spellEnd"/>
      <w:r w:rsidRPr="00770D40">
        <w:rPr>
          <w:rFonts w:cstheme="minorHAnsi"/>
        </w:rPr>
        <w:t xml:space="preserve">, A. 2002. </w:t>
      </w:r>
      <w:r w:rsidRPr="00770D40">
        <w:rPr>
          <w:rFonts w:cstheme="minorHAnsi"/>
          <w:i/>
        </w:rPr>
        <w:t xml:space="preserve">Sparta and </w:t>
      </w:r>
      <w:proofErr w:type="spellStart"/>
      <w:r w:rsidRPr="00770D40">
        <w:rPr>
          <w:rFonts w:cstheme="minorHAnsi"/>
          <w:i/>
        </w:rPr>
        <w:t>Lakonia</w:t>
      </w:r>
      <w:proofErr w:type="spellEnd"/>
      <w:r w:rsidRPr="00770D40">
        <w:rPr>
          <w:rFonts w:cstheme="minorHAnsi"/>
          <w:i/>
        </w:rPr>
        <w:t xml:space="preserve"> &amp; Hellenistic and Roman Sparta, </w:t>
      </w:r>
      <w:r w:rsidRPr="00770D40">
        <w:rPr>
          <w:rFonts w:cstheme="minorHAnsi"/>
        </w:rPr>
        <w:t>2. Hoboken: Taylor and Francis.</w:t>
      </w:r>
    </w:p>
    <w:p w:rsidR="00800E7A" w:rsidRPr="00E14332" w:rsidRDefault="00800E7A" w:rsidP="00800E7A">
      <w:pPr>
        <w:rPr>
          <w:rFonts w:cstheme="minorHAnsi"/>
        </w:rPr>
      </w:pPr>
      <w:r>
        <w:rPr>
          <w:rFonts w:cstheme="minorHAnsi"/>
        </w:rPr>
        <w:t xml:space="preserve">Cartledge, P. 2011. ‘The Helots: A contemporary review’, </w:t>
      </w:r>
      <w:r>
        <w:rPr>
          <w:rFonts w:cstheme="minorHAnsi"/>
          <w:i/>
        </w:rPr>
        <w:t xml:space="preserve">The Cambridge World History of Slavery. </w:t>
      </w:r>
      <w:r>
        <w:rPr>
          <w:rFonts w:cstheme="minorHAnsi"/>
        </w:rPr>
        <w:t>Cambridge: Cambridge University Press. 74-90.</w:t>
      </w:r>
    </w:p>
    <w:p w:rsidR="00800E7A" w:rsidRDefault="00800E7A" w:rsidP="00800E7A">
      <w:pPr>
        <w:rPr>
          <w:rFonts w:cstheme="minorHAnsi"/>
        </w:rPr>
      </w:pPr>
      <w:r w:rsidRPr="00770D40">
        <w:rPr>
          <w:rFonts w:cstheme="minorHAnsi"/>
        </w:rPr>
        <w:t xml:space="preserve">Cawkwell, G.L. 1984. ‘Athenian Naval power in the fourth century’. </w:t>
      </w:r>
      <w:r w:rsidRPr="00770D40">
        <w:rPr>
          <w:rFonts w:cstheme="minorHAnsi"/>
          <w:i/>
        </w:rPr>
        <w:t>Classical Quarterly.</w:t>
      </w:r>
      <w:r w:rsidRPr="00770D40">
        <w:rPr>
          <w:rFonts w:cstheme="minorHAnsi"/>
        </w:rPr>
        <w:t xml:space="preserve"> 34, 334-345.</w:t>
      </w:r>
    </w:p>
    <w:p w:rsidR="00800E7A" w:rsidRPr="005251BB" w:rsidRDefault="00800E7A" w:rsidP="00800E7A">
      <w:pPr>
        <w:rPr>
          <w:rFonts w:cstheme="minorHAnsi"/>
        </w:rPr>
      </w:pPr>
      <w:r>
        <w:rPr>
          <w:rFonts w:cstheme="minorHAnsi"/>
        </w:rPr>
        <w:t xml:space="preserve">David, E. 1978. ‘The Spartan Syssitia and Plato’s Laws’, </w:t>
      </w:r>
      <w:r>
        <w:rPr>
          <w:rFonts w:cstheme="minorHAnsi"/>
          <w:i/>
        </w:rPr>
        <w:t xml:space="preserve">The American Journal of Philology. </w:t>
      </w:r>
      <w:r>
        <w:rPr>
          <w:rFonts w:cstheme="minorHAnsi"/>
        </w:rPr>
        <w:t>Vol 99. 4. 486-495.</w:t>
      </w:r>
    </w:p>
    <w:p w:rsidR="00800E7A" w:rsidRPr="00770D40" w:rsidRDefault="00800E7A" w:rsidP="00800E7A">
      <w:pPr>
        <w:rPr>
          <w:rFonts w:cstheme="minorHAnsi"/>
        </w:rPr>
      </w:pPr>
      <w:proofErr w:type="spellStart"/>
      <w:r w:rsidRPr="00770D40">
        <w:rPr>
          <w:rFonts w:cstheme="minorHAnsi"/>
        </w:rPr>
        <w:t>Doyne</w:t>
      </w:r>
      <w:proofErr w:type="spellEnd"/>
      <w:r w:rsidRPr="00770D40">
        <w:rPr>
          <w:rFonts w:cstheme="minorHAnsi"/>
        </w:rPr>
        <w:t xml:space="preserve">, D. 1996. </w:t>
      </w:r>
      <w:r w:rsidRPr="00770D40">
        <w:rPr>
          <w:rFonts w:cstheme="minorHAnsi"/>
          <w:i/>
        </w:rPr>
        <w:t>The origins of western warfare: militarism and morality in the ancient world.</w:t>
      </w:r>
      <w:r w:rsidRPr="00770D40">
        <w:rPr>
          <w:rFonts w:cstheme="minorHAnsi"/>
        </w:rPr>
        <w:t xml:space="preserve"> Oxford: </w:t>
      </w:r>
      <w:proofErr w:type="spellStart"/>
      <w:r w:rsidRPr="00770D40">
        <w:rPr>
          <w:rFonts w:cstheme="minorHAnsi"/>
        </w:rPr>
        <w:t>WestviewPress</w:t>
      </w:r>
      <w:proofErr w:type="spellEnd"/>
      <w:r w:rsidRPr="00770D40">
        <w:rPr>
          <w:rFonts w:cstheme="minorHAnsi"/>
        </w:rPr>
        <w:t xml:space="preserve">. </w:t>
      </w:r>
    </w:p>
    <w:p w:rsidR="00800E7A" w:rsidRDefault="00800E7A" w:rsidP="00800E7A">
      <w:pPr>
        <w:rPr>
          <w:rFonts w:cstheme="minorHAnsi"/>
        </w:rPr>
      </w:pPr>
      <w:proofErr w:type="spellStart"/>
      <w:r w:rsidRPr="00770D40">
        <w:rPr>
          <w:rFonts w:cstheme="minorHAnsi"/>
        </w:rPr>
        <w:t>Errington</w:t>
      </w:r>
      <w:proofErr w:type="spellEnd"/>
      <w:r w:rsidRPr="00770D40">
        <w:rPr>
          <w:rFonts w:cstheme="minorHAnsi"/>
        </w:rPr>
        <w:t xml:space="preserve">, M.R. 2008. </w:t>
      </w:r>
      <w:r w:rsidRPr="00770D40">
        <w:rPr>
          <w:rFonts w:cstheme="minorHAnsi"/>
          <w:i/>
        </w:rPr>
        <w:t xml:space="preserve">A History of the Hellenistic World 323-30BC. </w:t>
      </w:r>
      <w:r w:rsidRPr="00770D40">
        <w:rPr>
          <w:rFonts w:cstheme="minorHAnsi"/>
        </w:rPr>
        <w:t>Oxford: Blackwell Publishing.</w:t>
      </w:r>
    </w:p>
    <w:p w:rsidR="00800E7A" w:rsidRDefault="00800E7A" w:rsidP="00800E7A">
      <w:pPr>
        <w:rPr>
          <w:rFonts w:cstheme="minorHAnsi"/>
        </w:rPr>
      </w:pPr>
      <w:r>
        <w:rPr>
          <w:rFonts w:cstheme="minorHAnsi"/>
        </w:rPr>
        <w:t xml:space="preserve">French, A. 1955. ‘The Spartan Earthquake’, </w:t>
      </w:r>
      <w:r>
        <w:rPr>
          <w:rFonts w:cstheme="minorHAnsi"/>
          <w:i/>
        </w:rPr>
        <w:t xml:space="preserve">Greece and Rome. </w:t>
      </w:r>
      <w:r>
        <w:rPr>
          <w:rFonts w:cstheme="minorHAnsi"/>
        </w:rPr>
        <w:t>Vol 2. 3. 108-118</w:t>
      </w:r>
    </w:p>
    <w:p w:rsidR="00800E7A" w:rsidRPr="00341D28" w:rsidRDefault="00800E7A" w:rsidP="00800E7A">
      <w:pPr>
        <w:rPr>
          <w:rFonts w:cstheme="minorHAnsi"/>
        </w:rPr>
      </w:pPr>
      <w:r>
        <w:rPr>
          <w:rFonts w:cstheme="minorHAnsi"/>
        </w:rPr>
        <w:t xml:space="preserve">Gabriel, R. A. 2010. </w:t>
      </w:r>
      <w:r>
        <w:rPr>
          <w:rFonts w:cstheme="minorHAnsi"/>
          <w:i/>
        </w:rPr>
        <w:t>Philip of Macedonia: greater than Macedon.</w:t>
      </w:r>
      <w:r>
        <w:rPr>
          <w:rFonts w:cstheme="minorHAnsi"/>
        </w:rPr>
        <w:t xml:space="preserve"> Lincoln: Potomac books.</w:t>
      </w:r>
    </w:p>
    <w:p w:rsidR="00800E7A" w:rsidRPr="00770D40" w:rsidRDefault="00800E7A" w:rsidP="00800E7A">
      <w:pPr>
        <w:rPr>
          <w:rFonts w:cstheme="minorHAnsi"/>
        </w:rPr>
      </w:pPr>
      <w:r w:rsidRPr="00770D40">
        <w:rPr>
          <w:rFonts w:cstheme="minorHAnsi"/>
        </w:rPr>
        <w:t>Garlan, Y. and Lloyd, J. (</w:t>
      </w:r>
      <w:proofErr w:type="gramStart"/>
      <w:r w:rsidRPr="00770D40">
        <w:rPr>
          <w:rFonts w:cstheme="minorHAnsi"/>
        </w:rPr>
        <w:t>trans</w:t>
      </w:r>
      <w:proofErr w:type="gramEnd"/>
      <w:r w:rsidRPr="00770D40">
        <w:rPr>
          <w:rFonts w:cstheme="minorHAnsi"/>
        </w:rPr>
        <w:t xml:space="preserve">.). </w:t>
      </w:r>
      <w:r w:rsidRPr="00770D40">
        <w:rPr>
          <w:rFonts w:cstheme="minorHAnsi"/>
          <w:i/>
        </w:rPr>
        <w:t xml:space="preserve">War in the Ancient World. </w:t>
      </w:r>
      <w:r w:rsidRPr="00770D40">
        <w:rPr>
          <w:rFonts w:cstheme="minorHAnsi"/>
        </w:rPr>
        <w:t xml:space="preserve">London: </w:t>
      </w:r>
      <w:proofErr w:type="spellStart"/>
      <w:r w:rsidRPr="00770D40">
        <w:rPr>
          <w:rFonts w:cstheme="minorHAnsi"/>
        </w:rPr>
        <w:t>Chatto</w:t>
      </w:r>
      <w:proofErr w:type="spellEnd"/>
      <w:r w:rsidRPr="00770D40">
        <w:rPr>
          <w:rFonts w:cstheme="minorHAnsi"/>
        </w:rPr>
        <w:t xml:space="preserve"> &amp; </w:t>
      </w:r>
      <w:proofErr w:type="spellStart"/>
      <w:r w:rsidRPr="00770D40">
        <w:rPr>
          <w:rFonts w:cstheme="minorHAnsi"/>
        </w:rPr>
        <w:t>Windus</w:t>
      </w:r>
      <w:proofErr w:type="spellEnd"/>
      <w:r w:rsidRPr="00770D40">
        <w:rPr>
          <w:rFonts w:cstheme="minorHAnsi"/>
        </w:rPr>
        <w:t>.</w:t>
      </w:r>
    </w:p>
    <w:p w:rsidR="00800E7A" w:rsidRDefault="00800E7A" w:rsidP="00800E7A">
      <w:pPr>
        <w:rPr>
          <w:rFonts w:cstheme="minorHAnsi"/>
        </w:rPr>
      </w:pPr>
      <w:r w:rsidRPr="00770D40">
        <w:rPr>
          <w:rFonts w:cstheme="minorHAnsi"/>
        </w:rPr>
        <w:t xml:space="preserve">Gibson, B.J. 2013. ‘Polybius and Xenophon: the mercenary’, </w:t>
      </w:r>
      <w:r w:rsidRPr="00770D40">
        <w:rPr>
          <w:rFonts w:cstheme="minorHAnsi"/>
          <w:i/>
        </w:rPr>
        <w:t xml:space="preserve">Polybius and his world: essays in memory of </w:t>
      </w:r>
      <w:proofErr w:type="spellStart"/>
      <w:r w:rsidRPr="00770D40">
        <w:rPr>
          <w:rFonts w:cstheme="minorHAnsi"/>
          <w:i/>
        </w:rPr>
        <w:t>F.W.Walbank</w:t>
      </w:r>
      <w:proofErr w:type="spellEnd"/>
      <w:r w:rsidRPr="00770D40">
        <w:rPr>
          <w:rFonts w:cstheme="minorHAnsi"/>
          <w:i/>
        </w:rPr>
        <w:t xml:space="preserve">, </w:t>
      </w:r>
      <w:r w:rsidRPr="00770D40">
        <w:rPr>
          <w:rFonts w:cstheme="minorHAnsi"/>
        </w:rPr>
        <w:t xml:space="preserve">XVI-416, </w:t>
      </w:r>
      <w:proofErr w:type="gramStart"/>
      <w:r w:rsidRPr="00770D40">
        <w:rPr>
          <w:rFonts w:cstheme="minorHAnsi"/>
        </w:rPr>
        <w:t>159</w:t>
      </w:r>
      <w:proofErr w:type="gramEnd"/>
      <w:r w:rsidRPr="00770D40">
        <w:rPr>
          <w:rFonts w:cstheme="minorHAnsi"/>
        </w:rPr>
        <w:t>-179.</w:t>
      </w:r>
    </w:p>
    <w:p w:rsidR="00800E7A" w:rsidRPr="00947F55" w:rsidRDefault="00800E7A" w:rsidP="00800E7A">
      <w:pPr>
        <w:rPr>
          <w:rFonts w:cstheme="minorHAnsi"/>
        </w:rPr>
      </w:pPr>
      <w:r>
        <w:rPr>
          <w:rFonts w:cstheme="minorHAnsi"/>
        </w:rPr>
        <w:t xml:space="preserve">Gilbert, E. J. and Brooks, T. N. 1896. ‘Greek Constitutional Antiquities’, </w:t>
      </w:r>
      <w:proofErr w:type="gramStart"/>
      <w:r>
        <w:rPr>
          <w:rFonts w:cstheme="minorHAnsi"/>
          <w:i/>
        </w:rPr>
        <w:t>The</w:t>
      </w:r>
      <w:proofErr w:type="gramEnd"/>
      <w:r>
        <w:rPr>
          <w:rFonts w:cstheme="minorHAnsi"/>
          <w:i/>
        </w:rPr>
        <w:t xml:space="preserve"> Classical Review. </w:t>
      </w:r>
      <w:r>
        <w:rPr>
          <w:rFonts w:cstheme="minorHAnsi"/>
        </w:rPr>
        <w:t>Vol. 10. 4. 197-202.</w:t>
      </w:r>
    </w:p>
    <w:p w:rsidR="00800E7A" w:rsidRPr="00C901D2" w:rsidRDefault="00800E7A" w:rsidP="00800E7A">
      <w:pPr>
        <w:rPr>
          <w:rFonts w:cstheme="minorHAnsi"/>
        </w:rPr>
      </w:pPr>
      <w:r>
        <w:rPr>
          <w:rFonts w:cstheme="minorHAnsi"/>
        </w:rPr>
        <w:t xml:space="preserve">Hall, J. M. 2007. </w:t>
      </w:r>
      <w:r>
        <w:rPr>
          <w:rFonts w:cstheme="minorHAnsi"/>
          <w:i/>
        </w:rPr>
        <w:t>A history of the archaic Greek world.</w:t>
      </w:r>
      <w:r>
        <w:rPr>
          <w:rFonts w:cstheme="minorHAnsi"/>
        </w:rPr>
        <w:t xml:space="preserve"> Oxford: Blackwell. </w:t>
      </w:r>
    </w:p>
    <w:p w:rsidR="00800E7A" w:rsidRPr="00340F96" w:rsidRDefault="00800E7A" w:rsidP="00800E7A">
      <w:pPr>
        <w:rPr>
          <w:rFonts w:cstheme="minorHAnsi"/>
        </w:rPr>
      </w:pPr>
      <w:r>
        <w:rPr>
          <w:rFonts w:cstheme="minorHAnsi"/>
        </w:rPr>
        <w:t xml:space="preserve">Hamilton, C. D. 1970. ‘Spartan Politics and Policy’, </w:t>
      </w:r>
      <w:proofErr w:type="gramStart"/>
      <w:r>
        <w:rPr>
          <w:rFonts w:cstheme="minorHAnsi"/>
          <w:i/>
        </w:rPr>
        <w:t>The</w:t>
      </w:r>
      <w:proofErr w:type="gramEnd"/>
      <w:r>
        <w:rPr>
          <w:rFonts w:cstheme="minorHAnsi"/>
          <w:i/>
        </w:rPr>
        <w:t xml:space="preserve"> American Journal of Philology. </w:t>
      </w:r>
      <w:r>
        <w:rPr>
          <w:rFonts w:cstheme="minorHAnsi"/>
        </w:rPr>
        <w:t>Vol. 91. 3. 294-314.</w:t>
      </w:r>
    </w:p>
    <w:p w:rsidR="00800E7A" w:rsidRDefault="00800E7A" w:rsidP="00800E7A">
      <w:pPr>
        <w:rPr>
          <w:rFonts w:cstheme="minorHAnsi"/>
        </w:rPr>
      </w:pPr>
      <w:r>
        <w:rPr>
          <w:rFonts w:cstheme="minorHAnsi"/>
        </w:rPr>
        <w:t xml:space="preserve">Hawkins, C. 2011. ‘Spartans and </w:t>
      </w:r>
      <w:r>
        <w:rPr>
          <w:rFonts w:cstheme="minorHAnsi"/>
          <w:i/>
        </w:rPr>
        <w:t>Perioikoi</w:t>
      </w:r>
      <w:r>
        <w:rPr>
          <w:rFonts w:cstheme="minorHAnsi"/>
        </w:rPr>
        <w:t xml:space="preserve">: The Organization and Ideology of the </w:t>
      </w:r>
      <w:proofErr w:type="spellStart"/>
      <w:r>
        <w:rPr>
          <w:rFonts w:cstheme="minorHAnsi"/>
        </w:rPr>
        <w:t>Lakedaimonian</w:t>
      </w:r>
      <w:proofErr w:type="spellEnd"/>
      <w:r>
        <w:rPr>
          <w:rFonts w:cstheme="minorHAnsi"/>
        </w:rPr>
        <w:t xml:space="preserve"> Army in the Fourth Century B.C.E.’,</w:t>
      </w:r>
      <w:r>
        <w:rPr>
          <w:rFonts w:cstheme="minorHAnsi"/>
          <w:i/>
        </w:rPr>
        <w:t xml:space="preserve"> Greek, Roman and Byzantine Studies.</w:t>
      </w:r>
      <w:r>
        <w:rPr>
          <w:rFonts w:cstheme="minorHAnsi"/>
        </w:rPr>
        <w:t xml:space="preserve"> Vol. 51. 401-434.</w:t>
      </w:r>
    </w:p>
    <w:p w:rsidR="00800E7A" w:rsidRPr="00C901D2" w:rsidRDefault="00800E7A" w:rsidP="00800E7A">
      <w:pPr>
        <w:rPr>
          <w:rFonts w:cstheme="minorHAnsi"/>
        </w:rPr>
      </w:pPr>
      <w:r>
        <w:rPr>
          <w:rFonts w:cstheme="minorHAnsi"/>
        </w:rPr>
        <w:lastRenderedPageBreak/>
        <w:t xml:space="preserve">Hodkinson, S. and Powell, A. 2002. </w:t>
      </w:r>
      <w:r>
        <w:rPr>
          <w:rFonts w:cstheme="minorHAnsi"/>
          <w:i/>
        </w:rPr>
        <w:t xml:space="preserve">Sparta: Beyond the mirage. </w:t>
      </w:r>
      <w:r>
        <w:rPr>
          <w:rFonts w:cstheme="minorHAnsi"/>
        </w:rPr>
        <w:t>London: Classical Press of wales and Duckworth.</w:t>
      </w:r>
    </w:p>
    <w:p w:rsidR="00800E7A" w:rsidRPr="00340F96" w:rsidRDefault="00800E7A" w:rsidP="00800E7A">
      <w:pPr>
        <w:rPr>
          <w:rFonts w:cstheme="minorHAnsi"/>
        </w:rPr>
      </w:pPr>
      <w:r>
        <w:rPr>
          <w:rFonts w:cstheme="minorHAnsi"/>
        </w:rPr>
        <w:t xml:space="preserve">Hodkinson, S. 2014. ‘Transforming Sparta: New Approaches to the Study of Spartan Society’, </w:t>
      </w:r>
      <w:r>
        <w:rPr>
          <w:rFonts w:cstheme="minorHAnsi"/>
          <w:i/>
        </w:rPr>
        <w:t>Ancient History</w:t>
      </w:r>
      <w:r>
        <w:rPr>
          <w:rFonts w:cstheme="minorHAnsi"/>
        </w:rPr>
        <w:t>. Vol. 41-44. 1-40.</w:t>
      </w:r>
    </w:p>
    <w:p w:rsidR="00800E7A" w:rsidRPr="00770D40" w:rsidRDefault="00800E7A" w:rsidP="00800E7A">
      <w:pPr>
        <w:rPr>
          <w:rFonts w:cstheme="minorHAnsi"/>
        </w:rPr>
      </w:pPr>
      <w:r w:rsidRPr="00770D40">
        <w:rPr>
          <w:rFonts w:cstheme="minorHAnsi"/>
        </w:rPr>
        <w:t xml:space="preserve">Hornblower, S. 2010. </w:t>
      </w:r>
      <w:r w:rsidRPr="00770D40">
        <w:rPr>
          <w:rFonts w:cstheme="minorHAnsi"/>
          <w:i/>
        </w:rPr>
        <w:t xml:space="preserve">Thucydidean Themes. </w:t>
      </w:r>
      <w:r w:rsidRPr="00770D40">
        <w:rPr>
          <w:rFonts w:cstheme="minorHAnsi"/>
        </w:rPr>
        <w:t>Oxford: Oxford Scholarship online.</w:t>
      </w:r>
    </w:p>
    <w:p w:rsidR="00800E7A" w:rsidRPr="00003384" w:rsidRDefault="00800E7A" w:rsidP="00800E7A">
      <w:pPr>
        <w:rPr>
          <w:rFonts w:cstheme="minorHAnsi"/>
        </w:rPr>
      </w:pPr>
      <w:r>
        <w:rPr>
          <w:rFonts w:cstheme="minorHAnsi"/>
        </w:rPr>
        <w:t xml:space="preserve">Hunt, P. 1997. ‘Helots at the Battle of Plataea’ </w:t>
      </w:r>
      <w:proofErr w:type="spellStart"/>
      <w:r>
        <w:rPr>
          <w:rFonts w:cstheme="minorHAnsi"/>
          <w:i/>
        </w:rPr>
        <w:t>Historia</w:t>
      </w:r>
      <w:proofErr w:type="spellEnd"/>
      <w:r>
        <w:rPr>
          <w:rFonts w:cstheme="minorHAnsi"/>
          <w:i/>
        </w:rPr>
        <w:t xml:space="preserve">: </w:t>
      </w:r>
      <w:proofErr w:type="spellStart"/>
      <w:r>
        <w:rPr>
          <w:rFonts w:cstheme="minorHAnsi"/>
          <w:i/>
        </w:rPr>
        <w:t>Zeitschrift</w:t>
      </w:r>
      <w:proofErr w:type="spellEnd"/>
      <w:r>
        <w:rPr>
          <w:rFonts w:cstheme="minorHAnsi"/>
          <w:i/>
        </w:rPr>
        <w:t xml:space="preserve"> </w:t>
      </w:r>
      <w:proofErr w:type="spellStart"/>
      <w:r>
        <w:rPr>
          <w:rFonts w:cstheme="minorHAnsi"/>
          <w:i/>
        </w:rPr>
        <w:t>für</w:t>
      </w:r>
      <w:proofErr w:type="spellEnd"/>
      <w:r>
        <w:rPr>
          <w:rFonts w:cstheme="minorHAnsi"/>
          <w:i/>
        </w:rPr>
        <w:t xml:space="preserve"> </w:t>
      </w:r>
      <w:proofErr w:type="spellStart"/>
      <w:r>
        <w:rPr>
          <w:rFonts w:cstheme="minorHAnsi"/>
          <w:i/>
        </w:rPr>
        <w:t>Alte</w:t>
      </w:r>
      <w:proofErr w:type="spellEnd"/>
      <w:r>
        <w:rPr>
          <w:rFonts w:cstheme="minorHAnsi"/>
          <w:i/>
        </w:rPr>
        <w:t xml:space="preserve"> Geschichte.</w:t>
      </w:r>
      <w:r>
        <w:rPr>
          <w:rFonts w:cstheme="minorHAnsi"/>
        </w:rPr>
        <w:t xml:space="preserve"> Vol. 46. 2. 129-144.</w:t>
      </w:r>
    </w:p>
    <w:p w:rsidR="00800E7A" w:rsidRPr="00770D40" w:rsidRDefault="00800E7A" w:rsidP="00800E7A">
      <w:pPr>
        <w:rPr>
          <w:rFonts w:cstheme="minorHAnsi"/>
        </w:rPr>
      </w:pPr>
      <w:r w:rsidRPr="00770D40">
        <w:rPr>
          <w:rFonts w:cstheme="minorHAnsi"/>
        </w:rPr>
        <w:t xml:space="preserve">Hunt, P. 2002. </w:t>
      </w:r>
      <w:r w:rsidRPr="00770D40">
        <w:rPr>
          <w:rFonts w:cstheme="minorHAnsi"/>
          <w:i/>
        </w:rPr>
        <w:t xml:space="preserve">Slaves, Warfare and ideology in the Greek historians. </w:t>
      </w:r>
      <w:r w:rsidRPr="00770D40">
        <w:rPr>
          <w:rFonts w:cstheme="minorHAnsi"/>
        </w:rPr>
        <w:t>Cambridge: Cambridge University Press.</w:t>
      </w:r>
    </w:p>
    <w:p w:rsidR="00800E7A" w:rsidRPr="00770D40" w:rsidRDefault="00800E7A" w:rsidP="00800E7A">
      <w:pPr>
        <w:rPr>
          <w:rFonts w:cstheme="minorHAnsi"/>
        </w:rPr>
      </w:pPr>
      <w:r w:rsidRPr="00770D40">
        <w:rPr>
          <w:rFonts w:cstheme="minorHAnsi"/>
        </w:rPr>
        <w:t xml:space="preserve">Jones, N.F. 1987. </w:t>
      </w:r>
      <w:r w:rsidRPr="00770D40">
        <w:rPr>
          <w:rFonts w:cstheme="minorHAnsi"/>
          <w:i/>
        </w:rPr>
        <w:t xml:space="preserve">Public Organisation in Ancient Greece A Documentary Study. </w:t>
      </w:r>
      <w:r w:rsidRPr="00770D40">
        <w:rPr>
          <w:rFonts w:cstheme="minorHAnsi"/>
        </w:rPr>
        <w:t xml:space="preserve">Philadelphia: American Philosophical Society. </w:t>
      </w:r>
    </w:p>
    <w:p w:rsidR="00800E7A" w:rsidRPr="00770D40" w:rsidRDefault="00800E7A" w:rsidP="00800E7A">
      <w:pPr>
        <w:rPr>
          <w:rFonts w:cstheme="minorHAnsi"/>
        </w:rPr>
      </w:pPr>
      <w:r w:rsidRPr="00770D40">
        <w:rPr>
          <w:rFonts w:cstheme="minorHAnsi"/>
        </w:rPr>
        <w:t>Jordan, B. 2001. ‘</w:t>
      </w:r>
      <w:proofErr w:type="spellStart"/>
      <w:r w:rsidRPr="00770D40">
        <w:rPr>
          <w:rFonts w:cstheme="minorHAnsi"/>
        </w:rPr>
        <w:t>Metic</w:t>
      </w:r>
      <w:proofErr w:type="spellEnd"/>
      <w:r w:rsidRPr="00770D40">
        <w:rPr>
          <w:rFonts w:cstheme="minorHAnsi"/>
        </w:rPr>
        <w:t xml:space="preserve"> </w:t>
      </w:r>
      <w:proofErr w:type="spellStart"/>
      <w:r w:rsidRPr="00770D40">
        <w:rPr>
          <w:rFonts w:cstheme="minorHAnsi"/>
        </w:rPr>
        <w:t>tierarchs</w:t>
      </w:r>
      <w:proofErr w:type="spellEnd"/>
      <w:r w:rsidRPr="00770D40">
        <w:rPr>
          <w:rFonts w:cstheme="minorHAnsi"/>
        </w:rPr>
        <w:t>’.</w:t>
      </w:r>
      <w:r w:rsidRPr="00770D40">
        <w:rPr>
          <w:rFonts w:cstheme="minorHAnsi"/>
          <w:i/>
        </w:rPr>
        <w:t xml:space="preserve"> The Ancient History Bulletin, </w:t>
      </w:r>
      <w:r w:rsidRPr="00770D40">
        <w:rPr>
          <w:rFonts w:cstheme="minorHAnsi"/>
        </w:rPr>
        <w:t>15, 3, 131-134.</w:t>
      </w:r>
    </w:p>
    <w:p w:rsidR="00800E7A" w:rsidRDefault="00800E7A" w:rsidP="00800E7A">
      <w:pPr>
        <w:rPr>
          <w:rFonts w:cstheme="minorHAnsi"/>
        </w:rPr>
      </w:pPr>
      <w:r w:rsidRPr="00770D40">
        <w:rPr>
          <w:rFonts w:cstheme="minorHAnsi"/>
        </w:rPr>
        <w:t xml:space="preserve">Jordan, B. 1975. </w:t>
      </w:r>
      <w:r w:rsidRPr="00770D40">
        <w:rPr>
          <w:rFonts w:cstheme="minorHAnsi"/>
          <w:i/>
        </w:rPr>
        <w:t>The Athenian navy in the Classical Period: a study of Athenian naval administration and military organisation in the fifth and fourth centuries B.C.</w:t>
      </w:r>
      <w:r w:rsidRPr="00770D40">
        <w:rPr>
          <w:rFonts w:cstheme="minorHAnsi"/>
        </w:rPr>
        <w:t xml:space="preserve"> London: University of California Press.</w:t>
      </w:r>
    </w:p>
    <w:p w:rsidR="00800E7A" w:rsidRDefault="00800E7A" w:rsidP="00800E7A">
      <w:pPr>
        <w:rPr>
          <w:rFonts w:cstheme="minorHAnsi"/>
        </w:rPr>
      </w:pPr>
      <w:r>
        <w:rPr>
          <w:rFonts w:cstheme="minorHAnsi"/>
        </w:rPr>
        <w:t xml:space="preserve">Kagan, D. 1962. ‘Argive Politics and Policy after the Peace of Nicias’, </w:t>
      </w:r>
      <w:r>
        <w:rPr>
          <w:rFonts w:cstheme="minorHAnsi"/>
          <w:i/>
        </w:rPr>
        <w:t>Classical Philology.</w:t>
      </w:r>
      <w:r>
        <w:rPr>
          <w:rFonts w:cstheme="minorHAnsi"/>
        </w:rPr>
        <w:t xml:space="preserve"> Vol. 57. 4. 2019-218.</w:t>
      </w:r>
    </w:p>
    <w:p w:rsidR="00800E7A" w:rsidRPr="005251BB" w:rsidRDefault="00800E7A" w:rsidP="00800E7A">
      <w:pPr>
        <w:rPr>
          <w:rFonts w:cstheme="minorHAnsi"/>
        </w:rPr>
      </w:pPr>
      <w:r>
        <w:rPr>
          <w:rFonts w:cstheme="minorHAnsi"/>
        </w:rPr>
        <w:t xml:space="preserve">Kelly, T. 1970. ‘Did the Argives Defeat the Spartans at </w:t>
      </w:r>
      <w:proofErr w:type="spellStart"/>
      <w:r>
        <w:rPr>
          <w:rFonts w:cstheme="minorHAnsi"/>
        </w:rPr>
        <w:t>Hysiae</w:t>
      </w:r>
      <w:proofErr w:type="spellEnd"/>
      <w:r>
        <w:rPr>
          <w:rFonts w:cstheme="minorHAnsi"/>
        </w:rPr>
        <w:t xml:space="preserve"> in 669 B.C?’ </w:t>
      </w:r>
      <w:r>
        <w:rPr>
          <w:rFonts w:cstheme="minorHAnsi"/>
          <w:i/>
        </w:rPr>
        <w:t xml:space="preserve">The American Journal of Philology. </w:t>
      </w:r>
      <w:r>
        <w:rPr>
          <w:rFonts w:cstheme="minorHAnsi"/>
        </w:rPr>
        <w:t>91. 1. 31-42.</w:t>
      </w:r>
    </w:p>
    <w:p w:rsidR="00800E7A" w:rsidRDefault="00800E7A" w:rsidP="00800E7A">
      <w:pPr>
        <w:rPr>
          <w:rFonts w:cstheme="minorHAnsi"/>
        </w:rPr>
      </w:pPr>
      <w:r>
        <w:rPr>
          <w:rFonts w:cstheme="minorHAnsi"/>
        </w:rPr>
        <w:t xml:space="preserve">Kelly, T. 1974. ‘Argive foreign policy in the Fifth Century BC’, </w:t>
      </w:r>
      <w:r>
        <w:rPr>
          <w:rFonts w:cstheme="minorHAnsi"/>
          <w:i/>
        </w:rPr>
        <w:t>Classical Philology.</w:t>
      </w:r>
      <w:r>
        <w:rPr>
          <w:rFonts w:cstheme="minorHAnsi"/>
        </w:rPr>
        <w:t xml:space="preserve"> Vol. 69. 2. 81-99.</w:t>
      </w:r>
    </w:p>
    <w:p w:rsidR="00800E7A" w:rsidRPr="00C901D2" w:rsidRDefault="00800E7A" w:rsidP="00800E7A">
      <w:pPr>
        <w:rPr>
          <w:rFonts w:cstheme="minorHAnsi"/>
        </w:rPr>
      </w:pPr>
      <w:r>
        <w:rPr>
          <w:rFonts w:cstheme="minorHAnsi"/>
        </w:rPr>
        <w:t xml:space="preserve">Lazenby, J. F. 1985. </w:t>
      </w:r>
      <w:r>
        <w:rPr>
          <w:rFonts w:cstheme="minorHAnsi"/>
          <w:i/>
        </w:rPr>
        <w:t>‘</w:t>
      </w:r>
      <w:r>
        <w:rPr>
          <w:rFonts w:cstheme="minorHAnsi"/>
        </w:rPr>
        <w:t xml:space="preserve">The Spartan Army’, </w:t>
      </w:r>
      <w:proofErr w:type="gramStart"/>
      <w:r>
        <w:rPr>
          <w:rFonts w:cstheme="minorHAnsi"/>
          <w:i/>
        </w:rPr>
        <w:t>The</w:t>
      </w:r>
      <w:proofErr w:type="gramEnd"/>
      <w:r>
        <w:rPr>
          <w:rFonts w:cstheme="minorHAnsi"/>
          <w:i/>
        </w:rPr>
        <w:t xml:space="preserve"> Classical Review. </w:t>
      </w:r>
      <w:r>
        <w:rPr>
          <w:rFonts w:cstheme="minorHAnsi"/>
        </w:rPr>
        <w:t>36.</w:t>
      </w:r>
    </w:p>
    <w:p w:rsidR="00800E7A" w:rsidRPr="00770D40" w:rsidRDefault="00800E7A" w:rsidP="00800E7A">
      <w:pPr>
        <w:rPr>
          <w:rFonts w:cstheme="minorHAnsi"/>
          <w:iCs/>
        </w:rPr>
      </w:pPr>
      <w:proofErr w:type="spellStart"/>
      <w:r w:rsidRPr="00770D40">
        <w:rPr>
          <w:rFonts w:cstheme="minorHAnsi"/>
        </w:rPr>
        <w:t>Luraghi</w:t>
      </w:r>
      <w:proofErr w:type="spellEnd"/>
      <w:r w:rsidRPr="00770D40">
        <w:rPr>
          <w:rFonts w:cstheme="minorHAnsi"/>
        </w:rPr>
        <w:t>, N. 2006. 'Traders, Pirates, Warriors: The Proto-History of Greek Mercenary Soldiers in the Eastern Mediterranean'. </w:t>
      </w:r>
      <w:r w:rsidRPr="00770D40">
        <w:rPr>
          <w:rFonts w:cstheme="minorHAnsi"/>
          <w:i/>
          <w:iCs/>
        </w:rPr>
        <w:t>Phoenix, </w:t>
      </w:r>
      <w:r w:rsidRPr="00770D40">
        <w:rPr>
          <w:rFonts w:cstheme="minorHAnsi"/>
          <w:iCs/>
        </w:rPr>
        <w:t>60. 1, 21.</w:t>
      </w:r>
    </w:p>
    <w:p w:rsidR="00800E7A" w:rsidRDefault="00800E7A" w:rsidP="00800E7A">
      <w:pPr>
        <w:rPr>
          <w:rFonts w:cstheme="minorHAnsi"/>
          <w:iCs/>
        </w:rPr>
      </w:pPr>
      <w:r w:rsidRPr="00770D40">
        <w:rPr>
          <w:rFonts w:cstheme="minorHAnsi"/>
          <w:iCs/>
        </w:rPr>
        <w:t xml:space="preserve">MacDowell, D.M. 1986. </w:t>
      </w:r>
      <w:r w:rsidRPr="00770D40">
        <w:rPr>
          <w:rFonts w:cstheme="minorHAnsi"/>
          <w:i/>
          <w:iCs/>
        </w:rPr>
        <w:t xml:space="preserve">Spartan Law. </w:t>
      </w:r>
      <w:r w:rsidRPr="00770D40">
        <w:rPr>
          <w:rFonts w:cstheme="minorHAnsi"/>
          <w:iCs/>
        </w:rPr>
        <w:t>Edinburgh: Scottish Academic Press.</w:t>
      </w:r>
    </w:p>
    <w:p w:rsidR="00800E7A" w:rsidRPr="00003384" w:rsidRDefault="00800E7A" w:rsidP="00800E7A">
      <w:pPr>
        <w:rPr>
          <w:rFonts w:cstheme="minorHAnsi"/>
          <w:iCs/>
        </w:rPr>
      </w:pPr>
      <w:r>
        <w:rPr>
          <w:rFonts w:cstheme="minorHAnsi"/>
          <w:iCs/>
        </w:rPr>
        <w:t>Middleton, D. F. 1982. ‘</w:t>
      </w:r>
      <w:proofErr w:type="spellStart"/>
      <w:r>
        <w:rPr>
          <w:rFonts w:cstheme="minorHAnsi"/>
          <w:iCs/>
        </w:rPr>
        <w:t>Thrasyboulos</w:t>
      </w:r>
      <w:proofErr w:type="spellEnd"/>
      <w:r>
        <w:rPr>
          <w:rFonts w:cstheme="minorHAnsi"/>
          <w:iCs/>
        </w:rPr>
        <w:t xml:space="preserve">’ Thracian Support’, </w:t>
      </w:r>
      <w:proofErr w:type="gramStart"/>
      <w:r>
        <w:rPr>
          <w:rFonts w:cstheme="minorHAnsi"/>
          <w:i/>
          <w:iCs/>
        </w:rPr>
        <w:t>The</w:t>
      </w:r>
      <w:proofErr w:type="gramEnd"/>
      <w:r>
        <w:rPr>
          <w:rFonts w:cstheme="minorHAnsi"/>
          <w:i/>
          <w:iCs/>
        </w:rPr>
        <w:t xml:space="preserve"> Classical Quarterly. </w:t>
      </w:r>
      <w:r>
        <w:rPr>
          <w:rFonts w:cstheme="minorHAnsi"/>
          <w:iCs/>
        </w:rPr>
        <w:t>Vol 32. 2. 298-303.</w:t>
      </w:r>
    </w:p>
    <w:p w:rsidR="00800E7A" w:rsidRPr="00770D40" w:rsidRDefault="00800E7A" w:rsidP="00800E7A">
      <w:pPr>
        <w:rPr>
          <w:rFonts w:cstheme="minorHAnsi"/>
        </w:rPr>
      </w:pPr>
      <w:r w:rsidRPr="00770D40">
        <w:rPr>
          <w:rFonts w:cstheme="minorHAnsi"/>
        </w:rPr>
        <w:t>Miller, H. F. 1984. 'The Practical and Economic Background to the Greek Mercenary Explosion'. </w:t>
      </w:r>
      <w:r w:rsidRPr="00770D40">
        <w:rPr>
          <w:rFonts w:cstheme="minorHAnsi"/>
          <w:i/>
          <w:iCs/>
        </w:rPr>
        <w:t>Greece &amp; Rome, </w:t>
      </w:r>
      <w:r w:rsidRPr="00770D40">
        <w:rPr>
          <w:rFonts w:cstheme="minorHAnsi"/>
          <w:iCs/>
        </w:rPr>
        <w:t>31</w:t>
      </w:r>
      <w:r w:rsidRPr="00770D40">
        <w:rPr>
          <w:rFonts w:cstheme="minorHAnsi"/>
          <w:i/>
          <w:iCs/>
        </w:rPr>
        <w:t>, </w:t>
      </w:r>
      <w:r w:rsidRPr="00770D40">
        <w:rPr>
          <w:rFonts w:cstheme="minorHAnsi"/>
        </w:rPr>
        <w:t>2, 153-160.</w:t>
      </w:r>
    </w:p>
    <w:p w:rsidR="00800E7A" w:rsidRPr="00770D40" w:rsidRDefault="00800E7A" w:rsidP="00800E7A">
      <w:pPr>
        <w:rPr>
          <w:rFonts w:cstheme="minorHAnsi"/>
        </w:rPr>
      </w:pPr>
      <w:r w:rsidRPr="00770D40">
        <w:rPr>
          <w:rFonts w:cstheme="minorHAnsi"/>
        </w:rPr>
        <w:t xml:space="preserve">Miller, M. C. 1997. </w:t>
      </w:r>
      <w:r w:rsidRPr="00770D40">
        <w:rPr>
          <w:rFonts w:cstheme="minorHAnsi"/>
          <w:i/>
        </w:rPr>
        <w:t>Athens and Persia in the fifth century BC.</w:t>
      </w:r>
      <w:r w:rsidRPr="00770D40">
        <w:rPr>
          <w:rFonts w:cstheme="minorHAnsi"/>
        </w:rPr>
        <w:t xml:space="preserve"> New York: Cambridge University Press.</w:t>
      </w:r>
    </w:p>
    <w:p w:rsidR="00800E7A" w:rsidRDefault="00800E7A" w:rsidP="00800E7A">
      <w:pPr>
        <w:rPr>
          <w:rFonts w:cstheme="minorHAnsi"/>
        </w:rPr>
      </w:pPr>
      <w:r w:rsidRPr="00770D40">
        <w:rPr>
          <w:rFonts w:cstheme="minorHAnsi"/>
        </w:rPr>
        <w:t xml:space="preserve">Morrison, J., Coates, J. and </w:t>
      </w:r>
      <w:proofErr w:type="spellStart"/>
      <w:r w:rsidRPr="00770D40">
        <w:rPr>
          <w:rFonts w:cstheme="minorHAnsi"/>
        </w:rPr>
        <w:t>Rankov</w:t>
      </w:r>
      <w:proofErr w:type="spellEnd"/>
      <w:r w:rsidRPr="00770D40">
        <w:rPr>
          <w:rFonts w:cstheme="minorHAnsi"/>
        </w:rPr>
        <w:t xml:space="preserve">, N. 2001. </w:t>
      </w:r>
      <w:r w:rsidRPr="00770D40">
        <w:rPr>
          <w:rFonts w:cstheme="minorHAnsi"/>
          <w:i/>
        </w:rPr>
        <w:t xml:space="preserve">The Athenian Trireme. </w:t>
      </w:r>
      <w:r w:rsidRPr="00770D40">
        <w:rPr>
          <w:rFonts w:cstheme="minorHAnsi"/>
        </w:rPr>
        <w:t>Cambridge: Cambridge University Press.</w:t>
      </w:r>
    </w:p>
    <w:p w:rsidR="00800E7A" w:rsidRPr="00E61681" w:rsidRDefault="00800E7A" w:rsidP="00800E7A">
      <w:pPr>
        <w:rPr>
          <w:rFonts w:cstheme="minorHAnsi"/>
        </w:rPr>
      </w:pPr>
      <w:r>
        <w:rPr>
          <w:rFonts w:cstheme="minorHAnsi"/>
        </w:rPr>
        <w:t xml:space="preserve">Ogden, D. 1996. </w:t>
      </w:r>
      <w:r>
        <w:rPr>
          <w:rFonts w:cstheme="minorHAnsi"/>
          <w:i/>
        </w:rPr>
        <w:t xml:space="preserve">Greek Bastardy in the Classical and Hellenistic </w:t>
      </w:r>
      <w:proofErr w:type="spellStart"/>
      <w:r>
        <w:rPr>
          <w:rFonts w:cstheme="minorHAnsi"/>
          <w:i/>
        </w:rPr>
        <w:t>Perdiods</w:t>
      </w:r>
      <w:proofErr w:type="spellEnd"/>
      <w:r>
        <w:rPr>
          <w:rFonts w:cstheme="minorHAnsi"/>
          <w:i/>
        </w:rPr>
        <w:t>.</w:t>
      </w:r>
      <w:r>
        <w:rPr>
          <w:rFonts w:cstheme="minorHAnsi"/>
        </w:rPr>
        <w:t xml:space="preserve"> Oxford: Clarendon Press.</w:t>
      </w:r>
    </w:p>
    <w:p w:rsidR="00800E7A" w:rsidRPr="00770D40" w:rsidRDefault="00800E7A" w:rsidP="00800E7A">
      <w:pPr>
        <w:rPr>
          <w:rFonts w:cstheme="minorHAnsi"/>
        </w:rPr>
      </w:pPr>
      <w:r w:rsidRPr="00770D40">
        <w:rPr>
          <w:rFonts w:cstheme="minorHAnsi"/>
        </w:rPr>
        <w:t>Osborne, R. 2014. ‘Men of Bronze: Hoplite Warfare in Ancient Greece’,</w:t>
      </w:r>
      <w:r w:rsidRPr="00770D40">
        <w:rPr>
          <w:rFonts w:cstheme="minorHAnsi"/>
          <w:i/>
        </w:rPr>
        <w:t xml:space="preserve"> </w:t>
      </w:r>
      <w:proofErr w:type="gramStart"/>
      <w:r w:rsidRPr="00770D40">
        <w:rPr>
          <w:rFonts w:cstheme="minorHAnsi"/>
          <w:i/>
        </w:rPr>
        <w:t>The</w:t>
      </w:r>
      <w:proofErr w:type="gramEnd"/>
      <w:r w:rsidRPr="00770D40">
        <w:rPr>
          <w:rFonts w:cstheme="minorHAnsi"/>
          <w:i/>
        </w:rPr>
        <w:t xml:space="preserve"> Classical Journal,</w:t>
      </w:r>
      <w:r w:rsidRPr="00770D40">
        <w:rPr>
          <w:rFonts w:cstheme="minorHAnsi"/>
        </w:rPr>
        <w:t xml:space="preserve"> 109. 3, 364-366.</w:t>
      </w:r>
    </w:p>
    <w:p w:rsidR="00800E7A" w:rsidRPr="00770D40" w:rsidRDefault="00800E7A" w:rsidP="00800E7A">
      <w:pPr>
        <w:rPr>
          <w:rFonts w:cstheme="minorHAnsi"/>
        </w:rPr>
      </w:pPr>
      <w:r w:rsidRPr="00770D40">
        <w:rPr>
          <w:rFonts w:cstheme="minorHAnsi"/>
        </w:rPr>
        <w:lastRenderedPageBreak/>
        <w:t xml:space="preserve">Parke, H. 1981. </w:t>
      </w:r>
      <w:r w:rsidRPr="00770D40">
        <w:rPr>
          <w:rFonts w:cstheme="minorHAnsi"/>
          <w:i/>
        </w:rPr>
        <w:t>Greek Mercenary Soldiers.</w:t>
      </w:r>
      <w:r w:rsidRPr="00770D40">
        <w:rPr>
          <w:rFonts w:cstheme="minorHAnsi"/>
        </w:rPr>
        <w:t xml:space="preserve"> Chicago: Ares.</w:t>
      </w:r>
    </w:p>
    <w:p w:rsidR="00800E7A" w:rsidRDefault="00800E7A" w:rsidP="00800E7A">
      <w:pPr>
        <w:rPr>
          <w:rFonts w:cstheme="minorHAnsi"/>
        </w:rPr>
      </w:pPr>
      <w:proofErr w:type="spellStart"/>
      <w:r w:rsidRPr="00770D40">
        <w:rPr>
          <w:rFonts w:cstheme="minorHAnsi"/>
        </w:rPr>
        <w:t>Papalas</w:t>
      </w:r>
      <w:proofErr w:type="spellEnd"/>
      <w:r w:rsidRPr="00770D40">
        <w:rPr>
          <w:rFonts w:cstheme="minorHAnsi"/>
        </w:rPr>
        <w:t xml:space="preserve">, A.J. 2000. ‘The Parian expedition and the development of the Athenian Navy’, </w:t>
      </w:r>
      <w:r w:rsidRPr="00770D40">
        <w:rPr>
          <w:rFonts w:cstheme="minorHAnsi"/>
          <w:i/>
        </w:rPr>
        <w:t xml:space="preserve">The Ancient History Bulletin, </w:t>
      </w:r>
      <w:r w:rsidRPr="00770D40">
        <w:rPr>
          <w:rFonts w:cstheme="minorHAnsi"/>
        </w:rPr>
        <w:t>14, 3, 107-119.</w:t>
      </w:r>
    </w:p>
    <w:p w:rsidR="00800E7A" w:rsidRDefault="00800E7A" w:rsidP="00800E7A">
      <w:pPr>
        <w:rPr>
          <w:rFonts w:cstheme="minorHAnsi"/>
        </w:rPr>
      </w:pPr>
      <w:r>
        <w:rPr>
          <w:rFonts w:cstheme="minorHAnsi"/>
        </w:rPr>
        <w:t xml:space="preserve">Pomeroy, S. B. 1999. </w:t>
      </w:r>
      <w:r>
        <w:rPr>
          <w:rFonts w:cstheme="minorHAnsi"/>
          <w:i/>
        </w:rPr>
        <w:t>Ancient Greece: a political, social and cultural history.</w:t>
      </w:r>
      <w:r>
        <w:rPr>
          <w:rFonts w:cstheme="minorHAnsi"/>
        </w:rPr>
        <w:t xml:space="preserve"> Oxford: Oxford University Press.</w:t>
      </w:r>
    </w:p>
    <w:p w:rsidR="00800E7A" w:rsidRPr="000323C2" w:rsidRDefault="00800E7A" w:rsidP="00800E7A">
      <w:pPr>
        <w:rPr>
          <w:rFonts w:cstheme="minorHAnsi"/>
        </w:rPr>
      </w:pPr>
      <w:r>
        <w:rPr>
          <w:rFonts w:cstheme="minorHAnsi"/>
        </w:rPr>
        <w:t xml:space="preserve">Pomeroy, S. 2002. </w:t>
      </w:r>
      <w:r>
        <w:rPr>
          <w:rFonts w:cstheme="minorHAnsi"/>
          <w:i/>
        </w:rPr>
        <w:t>Spartan Women.</w:t>
      </w:r>
      <w:r>
        <w:rPr>
          <w:rFonts w:cstheme="minorHAnsi"/>
        </w:rPr>
        <w:t xml:space="preserve"> Oxford: Oxford University Press.</w:t>
      </w:r>
    </w:p>
    <w:p w:rsidR="00800E7A" w:rsidRPr="00770D40" w:rsidRDefault="00800E7A" w:rsidP="00800E7A">
      <w:pPr>
        <w:rPr>
          <w:rFonts w:cstheme="minorHAnsi"/>
        </w:rPr>
      </w:pPr>
      <w:r w:rsidRPr="00770D40">
        <w:rPr>
          <w:rFonts w:cstheme="minorHAnsi"/>
        </w:rPr>
        <w:t xml:space="preserve">Pritchard, D.M. 2015. ‘Public finance and war in ancient Greece’, </w:t>
      </w:r>
      <w:r w:rsidRPr="00770D40">
        <w:rPr>
          <w:rFonts w:cstheme="minorHAnsi"/>
          <w:i/>
        </w:rPr>
        <w:t>Greece and Rome</w:t>
      </w:r>
      <w:r w:rsidRPr="00770D40">
        <w:rPr>
          <w:rFonts w:cstheme="minorHAnsi"/>
        </w:rPr>
        <w:t>, 62, 1, 48-59.</w:t>
      </w:r>
    </w:p>
    <w:p w:rsidR="00800E7A" w:rsidRPr="00770D40" w:rsidRDefault="00800E7A" w:rsidP="00800E7A">
      <w:pPr>
        <w:rPr>
          <w:rFonts w:cstheme="minorHAnsi"/>
        </w:rPr>
      </w:pPr>
      <w:r w:rsidRPr="00770D40">
        <w:rPr>
          <w:rFonts w:cstheme="minorHAnsi"/>
        </w:rPr>
        <w:t xml:space="preserve">Pritchett, W.K. 1974. </w:t>
      </w:r>
      <w:r w:rsidRPr="00770D40">
        <w:rPr>
          <w:rFonts w:cstheme="minorHAnsi"/>
          <w:i/>
        </w:rPr>
        <w:t xml:space="preserve">The Greek State at War, </w:t>
      </w:r>
      <w:r w:rsidRPr="00770D40">
        <w:rPr>
          <w:rFonts w:cstheme="minorHAnsi"/>
        </w:rPr>
        <w:t>1. London: University of California Press.</w:t>
      </w:r>
    </w:p>
    <w:p w:rsidR="00800E7A" w:rsidRPr="00770D40" w:rsidRDefault="00800E7A" w:rsidP="00800E7A">
      <w:pPr>
        <w:rPr>
          <w:rFonts w:cstheme="minorHAnsi"/>
        </w:rPr>
      </w:pPr>
      <w:r w:rsidRPr="00770D40">
        <w:rPr>
          <w:rFonts w:cstheme="minorHAnsi"/>
        </w:rPr>
        <w:t xml:space="preserve">Pritchett, W.K. 1974. </w:t>
      </w:r>
      <w:r w:rsidRPr="00770D40">
        <w:rPr>
          <w:rFonts w:cstheme="minorHAnsi"/>
          <w:i/>
        </w:rPr>
        <w:t xml:space="preserve">The Greek State at War, </w:t>
      </w:r>
      <w:r w:rsidRPr="00770D40">
        <w:rPr>
          <w:rFonts w:cstheme="minorHAnsi"/>
        </w:rPr>
        <w:t>2. London: University of California Press.</w:t>
      </w:r>
    </w:p>
    <w:p w:rsidR="00800E7A" w:rsidRPr="00770D40" w:rsidRDefault="00800E7A" w:rsidP="00800E7A">
      <w:pPr>
        <w:rPr>
          <w:rFonts w:cstheme="minorHAnsi"/>
        </w:rPr>
      </w:pPr>
      <w:r w:rsidRPr="00770D40">
        <w:rPr>
          <w:rFonts w:cstheme="minorHAnsi"/>
        </w:rPr>
        <w:t xml:space="preserve">Pritchett, W.K. 1979. </w:t>
      </w:r>
      <w:r w:rsidRPr="00770D40">
        <w:rPr>
          <w:rFonts w:cstheme="minorHAnsi"/>
          <w:i/>
        </w:rPr>
        <w:t xml:space="preserve">The Greek State at War, </w:t>
      </w:r>
      <w:r w:rsidRPr="00770D40">
        <w:rPr>
          <w:rFonts w:cstheme="minorHAnsi"/>
        </w:rPr>
        <w:t>3. London: University of California Press.</w:t>
      </w:r>
    </w:p>
    <w:p w:rsidR="00800E7A" w:rsidRPr="00770D40" w:rsidRDefault="00800E7A" w:rsidP="00800E7A">
      <w:pPr>
        <w:rPr>
          <w:rFonts w:cstheme="minorHAnsi"/>
        </w:rPr>
      </w:pPr>
      <w:r w:rsidRPr="00770D40">
        <w:rPr>
          <w:rFonts w:cstheme="minorHAnsi"/>
        </w:rPr>
        <w:t xml:space="preserve">Pritchett, W.K. 1985. </w:t>
      </w:r>
      <w:r w:rsidRPr="00770D40">
        <w:rPr>
          <w:rFonts w:cstheme="minorHAnsi"/>
          <w:i/>
        </w:rPr>
        <w:t xml:space="preserve">The Greek State at War, </w:t>
      </w:r>
      <w:r w:rsidRPr="00770D40">
        <w:rPr>
          <w:rFonts w:cstheme="minorHAnsi"/>
        </w:rPr>
        <w:t>4. London: University of California Press.</w:t>
      </w:r>
    </w:p>
    <w:p w:rsidR="00800E7A" w:rsidRDefault="00800E7A" w:rsidP="00800E7A">
      <w:pPr>
        <w:rPr>
          <w:rFonts w:cstheme="minorHAnsi"/>
        </w:rPr>
      </w:pPr>
      <w:r w:rsidRPr="00770D40">
        <w:rPr>
          <w:rFonts w:cstheme="minorHAnsi"/>
        </w:rPr>
        <w:t xml:space="preserve">Pritchett, W.K. 1991. </w:t>
      </w:r>
      <w:r w:rsidRPr="00770D40">
        <w:rPr>
          <w:rFonts w:cstheme="minorHAnsi"/>
          <w:i/>
        </w:rPr>
        <w:t xml:space="preserve">The Greek State at War, </w:t>
      </w:r>
      <w:r w:rsidRPr="00770D40">
        <w:rPr>
          <w:rFonts w:cstheme="minorHAnsi"/>
        </w:rPr>
        <w:t>5. Oxford: University of California Press.</w:t>
      </w:r>
    </w:p>
    <w:p w:rsidR="00800E7A" w:rsidRPr="005251BB" w:rsidRDefault="00800E7A" w:rsidP="00800E7A">
      <w:pPr>
        <w:rPr>
          <w:rFonts w:cstheme="minorHAnsi"/>
        </w:rPr>
      </w:pPr>
      <w:proofErr w:type="spellStart"/>
      <w:r>
        <w:rPr>
          <w:rFonts w:cstheme="minorHAnsi"/>
        </w:rPr>
        <w:t>Radin</w:t>
      </w:r>
      <w:proofErr w:type="spellEnd"/>
      <w:r>
        <w:rPr>
          <w:rFonts w:cstheme="minorHAnsi"/>
        </w:rPr>
        <w:t>, M. 1911. ‘Xenophon’s Ten Thousand’,</w:t>
      </w:r>
      <w:r>
        <w:rPr>
          <w:rFonts w:cstheme="minorHAnsi"/>
          <w:i/>
        </w:rPr>
        <w:t xml:space="preserve"> The Classical Journal. </w:t>
      </w:r>
      <w:r>
        <w:rPr>
          <w:rFonts w:cstheme="minorHAnsi"/>
        </w:rPr>
        <w:t xml:space="preserve">Vol. 7. 2. 51-60. </w:t>
      </w:r>
    </w:p>
    <w:p w:rsidR="00800E7A" w:rsidRPr="00770D40" w:rsidRDefault="00800E7A" w:rsidP="00800E7A">
      <w:pPr>
        <w:rPr>
          <w:rFonts w:cstheme="minorHAnsi"/>
        </w:rPr>
      </w:pPr>
      <w:proofErr w:type="spellStart"/>
      <w:r w:rsidRPr="00770D40">
        <w:rPr>
          <w:rFonts w:cstheme="minorHAnsi"/>
        </w:rPr>
        <w:t>Rahe</w:t>
      </w:r>
      <w:proofErr w:type="spellEnd"/>
      <w:r w:rsidRPr="00770D40">
        <w:rPr>
          <w:rFonts w:cstheme="minorHAnsi"/>
        </w:rPr>
        <w:t xml:space="preserve">, P.A. 2015. </w:t>
      </w:r>
      <w:r w:rsidRPr="00770D40">
        <w:rPr>
          <w:rFonts w:cstheme="minorHAnsi"/>
          <w:i/>
        </w:rPr>
        <w:t xml:space="preserve">The grand strategy of classical Sparta: the Persian challenge. </w:t>
      </w:r>
      <w:r w:rsidRPr="00770D40">
        <w:rPr>
          <w:rFonts w:cstheme="minorHAnsi"/>
        </w:rPr>
        <w:t xml:space="preserve">New Haven: Yale University Press. </w:t>
      </w:r>
    </w:p>
    <w:p w:rsidR="00800E7A" w:rsidRPr="00770D40" w:rsidRDefault="00800E7A" w:rsidP="00800E7A">
      <w:pPr>
        <w:rPr>
          <w:rFonts w:cstheme="minorHAnsi"/>
        </w:rPr>
      </w:pPr>
      <w:r w:rsidRPr="00770D40">
        <w:rPr>
          <w:rFonts w:cstheme="minorHAnsi"/>
        </w:rPr>
        <w:t xml:space="preserve">Rich, J and Shipley, G. 1993. </w:t>
      </w:r>
      <w:r w:rsidRPr="00770D40">
        <w:rPr>
          <w:rFonts w:cstheme="minorHAnsi"/>
          <w:i/>
        </w:rPr>
        <w:t>War and Society in the Greek world.</w:t>
      </w:r>
      <w:r w:rsidRPr="00770D40">
        <w:rPr>
          <w:rFonts w:cstheme="minorHAnsi"/>
        </w:rPr>
        <w:t xml:space="preserve"> London: Routledge.</w:t>
      </w:r>
    </w:p>
    <w:p w:rsidR="00800E7A" w:rsidRPr="00770D40" w:rsidRDefault="00800E7A" w:rsidP="00800E7A">
      <w:pPr>
        <w:rPr>
          <w:rFonts w:cstheme="minorHAnsi"/>
        </w:rPr>
      </w:pPr>
      <w:proofErr w:type="spellStart"/>
      <w:r w:rsidRPr="00770D40">
        <w:rPr>
          <w:rFonts w:cstheme="minorHAnsi"/>
        </w:rPr>
        <w:t>Rosivach</w:t>
      </w:r>
      <w:proofErr w:type="spellEnd"/>
      <w:r w:rsidRPr="00770D40">
        <w:rPr>
          <w:rFonts w:cstheme="minorHAnsi"/>
        </w:rPr>
        <w:t>, V. 2005. '</w:t>
      </w:r>
      <w:proofErr w:type="spellStart"/>
      <w:r w:rsidRPr="00770D40">
        <w:rPr>
          <w:rFonts w:cstheme="minorHAnsi"/>
        </w:rPr>
        <w:t>Astyphilos</w:t>
      </w:r>
      <w:proofErr w:type="spellEnd"/>
      <w:r w:rsidRPr="00770D40">
        <w:rPr>
          <w:rFonts w:cstheme="minorHAnsi"/>
        </w:rPr>
        <w:t xml:space="preserve"> the Mercenary'. </w:t>
      </w:r>
      <w:r w:rsidRPr="00770D40">
        <w:rPr>
          <w:rFonts w:cstheme="minorHAnsi"/>
          <w:i/>
          <w:iCs/>
        </w:rPr>
        <w:t xml:space="preserve">Greece &amp; Rome, </w:t>
      </w:r>
      <w:r w:rsidRPr="00770D40">
        <w:rPr>
          <w:rFonts w:cstheme="minorHAnsi"/>
          <w:iCs/>
        </w:rPr>
        <w:t>52</w:t>
      </w:r>
      <w:r w:rsidRPr="00770D40">
        <w:rPr>
          <w:rFonts w:cstheme="minorHAnsi"/>
          <w:i/>
          <w:iCs/>
        </w:rPr>
        <w:t>, </w:t>
      </w:r>
      <w:r w:rsidRPr="00770D40">
        <w:rPr>
          <w:rFonts w:cstheme="minorHAnsi"/>
        </w:rPr>
        <w:t>2, 195-204.</w:t>
      </w:r>
    </w:p>
    <w:p w:rsidR="00800E7A" w:rsidRDefault="00800E7A" w:rsidP="00800E7A">
      <w:pPr>
        <w:rPr>
          <w:rFonts w:cstheme="minorHAnsi"/>
        </w:rPr>
      </w:pPr>
      <w:proofErr w:type="spellStart"/>
      <w:r w:rsidRPr="00770D40">
        <w:rPr>
          <w:rFonts w:cstheme="minorHAnsi"/>
        </w:rPr>
        <w:t>Rosivach</w:t>
      </w:r>
      <w:proofErr w:type="spellEnd"/>
      <w:r w:rsidRPr="00770D40">
        <w:rPr>
          <w:rFonts w:cstheme="minorHAnsi"/>
        </w:rPr>
        <w:t xml:space="preserve">, V. 2011. ‘State pay as war relief in Peloponnesian-war Athens’, </w:t>
      </w:r>
      <w:r w:rsidRPr="00770D40">
        <w:rPr>
          <w:rFonts w:cstheme="minorHAnsi"/>
          <w:i/>
        </w:rPr>
        <w:t xml:space="preserve">Greece &amp; Rome, </w:t>
      </w:r>
      <w:r w:rsidRPr="00770D40">
        <w:rPr>
          <w:rFonts w:cstheme="minorHAnsi"/>
        </w:rPr>
        <w:t>58. 2, 176-183.</w:t>
      </w:r>
    </w:p>
    <w:p w:rsidR="00800E7A" w:rsidRPr="005251BB" w:rsidRDefault="00800E7A" w:rsidP="00800E7A">
      <w:pPr>
        <w:rPr>
          <w:rFonts w:cstheme="minorHAnsi"/>
        </w:rPr>
      </w:pPr>
      <w:r>
        <w:rPr>
          <w:rFonts w:cstheme="minorHAnsi"/>
        </w:rPr>
        <w:t xml:space="preserve">Roy, J. 1967. ‘The Mercenaries of Cyrus’, </w:t>
      </w:r>
      <w:proofErr w:type="spellStart"/>
      <w:r>
        <w:rPr>
          <w:rFonts w:cstheme="minorHAnsi"/>
          <w:i/>
        </w:rPr>
        <w:t>Historia</w:t>
      </w:r>
      <w:proofErr w:type="spellEnd"/>
      <w:r>
        <w:rPr>
          <w:rFonts w:cstheme="minorHAnsi"/>
          <w:i/>
        </w:rPr>
        <w:t xml:space="preserve">: </w:t>
      </w:r>
      <w:proofErr w:type="spellStart"/>
      <w:r>
        <w:rPr>
          <w:rFonts w:cstheme="minorHAnsi"/>
          <w:i/>
        </w:rPr>
        <w:t>Zeitschrift</w:t>
      </w:r>
      <w:proofErr w:type="spellEnd"/>
      <w:r>
        <w:rPr>
          <w:rFonts w:cstheme="minorHAnsi"/>
          <w:i/>
        </w:rPr>
        <w:t xml:space="preserve"> </w:t>
      </w:r>
      <w:proofErr w:type="spellStart"/>
      <w:r>
        <w:rPr>
          <w:rFonts w:cstheme="minorHAnsi"/>
          <w:i/>
        </w:rPr>
        <w:t>für</w:t>
      </w:r>
      <w:proofErr w:type="spellEnd"/>
      <w:r>
        <w:rPr>
          <w:rFonts w:cstheme="minorHAnsi"/>
          <w:i/>
        </w:rPr>
        <w:t xml:space="preserve"> </w:t>
      </w:r>
      <w:proofErr w:type="spellStart"/>
      <w:r>
        <w:rPr>
          <w:rFonts w:cstheme="minorHAnsi"/>
          <w:i/>
        </w:rPr>
        <w:t>Alte</w:t>
      </w:r>
      <w:proofErr w:type="spellEnd"/>
      <w:r>
        <w:rPr>
          <w:rFonts w:cstheme="minorHAnsi"/>
          <w:i/>
        </w:rPr>
        <w:t xml:space="preserve"> Geschichte.</w:t>
      </w:r>
      <w:r>
        <w:rPr>
          <w:rFonts w:cstheme="minorHAnsi"/>
        </w:rPr>
        <w:t xml:space="preserve"> Vol. 16. 3. 287-323.</w:t>
      </w:r>
    </w:p>
    <w:p w:rsidR="00800E7A" w:rsidRPr="00770D40" w:rsidRDefault="00800E7A" w:rsidP="00800E7A">
      <w:pPr>
        <w:rPr>
          <w:rFonts w:cstheme="minorHAnsi"/>
        </w:rPr>
      </w:pPr>
      <w:r w:rsidRPr="00770D40">
        <w:rPr>
          <w:rFonts w:cstheme="minorHAnsi"/>
        </w:rPr>
        <w:t xml:space="preserve">Roy, J. 2004. ‘The ambitions of a mercenary’, </w:t>
      </w:r>
      <w:proofErr w:type="gramStart"/>
      <w:r w:rsidRPr="00770D40">
        <w:rPr>
          <w:rFonts w:cstheme="minorHAnsi"/>
          <w:i/>
        </w:rPr>
        <w:t>The</w:t>
      </w:r>
      <w:proofErr w:type="gramEnd"/>
      <w:r w:rsidRPr="00770D40">
        <w:rPr>
          <w:rFonts w:cstheme="minorHAnsi"/>
          <w:i/>
        </w:rPr>
        <w:t xml:space="preserve"> long march: Xenophon and the ten thousand, </w:t>
      </w:r>
      <w:r w:rsidRPr="00770D40">
        <w:rPr>
          <w:rFonts w:cstheme="minorHAnsi"/>
        </w:rPr>
        <w:t>XI-351, 264-288.</w:t>
      </w:r>
    </w:p>
    <w:p w:rsidR="00800E7A" w:rsidRPr="00770D40" w:rsidRDefault="00800E7A" w:rsidP="00800E7A">
      <w:pPr>
        <w:rPr>
          <w:rFonts w:cstheme="minorHAnsi"/>
        </w:rPr>
      </w:pPr>
      <w:r w:rsidRPr="00770D40">
        <w:rPr>
          <w:rFonts w:cstheme="minorHAnsi"/>
        </w:rPr>
        <w:t xml:space="preserve">Sabin, P., Wees, H.V. and Whitby, M. 2007. </w:t>
      </w:r>
      <w:r w:rsidRPr="00770D40">
        <w:rPr>
          <w:rFonts w:cstheme="minorHAnsi"/>
          <w:i/>
        </w:rPr>
        <w:t xml:space="preserve">The Cambridge History of Greek and Roman Warfare, </w:t>
      </w:r>
      <w:r w:rsidRPr="00770D40">
        <w:rPr>
          <w:rFonts w:cstheme="minorHAnsi"/>
        </w:rPr>
        <w:t>1. Cambridge: Cambridge /’ Press.</w:t>
      </w:r>
    </w:p>
    <w:p w:rsidR="00800E7A" w:rsidRDefault="00800E7A" w:rsidP="00800E7A">
      <w:pPr>
        <w:rPr>
          <w:rFonts w:cstheme="minorHAnsi"/>
        </w:rPr>
      </w:pPr>
      <w:r w:rsidRPr="00770D40">
        <w:rPr>
          <w:rFonts w:cstheme="minorHAnsi"/>
        </w:rPr>
        <w:t xml:space="preserve">Sage, M.M. 1996. </w:t>
      </w:r>
      <w:r w:rsidRPr="00770D40">
        <w:rPr>
          <w:rFonts w:cstheme="minorHAnsi"/>
          <w:i/>
        </w:rPr>
        <w:t>Warfare in Ancient Greece a sourcebook.</w:t>
      </w:r>
      <w:r w:rsidRPr="00770D40">
        <w:rPr>
          <w:rFonts w:cstheme="minorHAnsi"/>
        </w:rPr>
        <w:t xml:space="preserve"> London: Routledge.</w:t>
      </w:r>
    </w:p>
    <w:p w:rsidR="00800E7A" w:rsidRPr="005251BB" w:rsidRDefault="00800E7A" w:rsidP="00800E7A">
      <w:pPr>
        <w:rPr>
          <w:rFonts w:cstheme="minorHAnsi"/>
        </w:rPr>
      </w:pPr>
      <w:r>
        <w:rPr>
          <w:rFonts w:cstheme="minorHAnsi"/>
        </w:rPr>
        <w:t xml:space="preserve">Seymour, P. A. 1922. ‘Note on the Boeotian League’, </w:t>
      </w:r>
      <w:r>
        <w:rPr>
          <w:rFonts w:cstheme="minorHAnsi"/>
          <w:i/>
        </w:rPr>
        <w:t xml:space="preserve">The Classical Review. </w:t>
      </w:r>
      <w:r>
        <w:rPr>
          <w:rFonts w:cstheme="minorHAnsi"/>
        </w:rPr>
        <w:t>Vol. 36. 3-4. 70.</w:t>
      </w:r>
    </w:p>
    <w:p w:rsidR="00800E7A" w:rsidRPr="00003384" w:rsidRDefault="00800E7A" w:rsidP="00800E7A">
      <w:pPr>
        <w:rPr>
          <w:rFonts w:cstheme="minorHAnsi"/>
        </w:rPr>
      </w:pPr>
      <w:proofErr w:type="spellStart"/>
      <w:r>
        <w:rPr>
          <w:rFonts w:cstheme="minorHAnsi"/>
        </w:rPr>
        <w:t>Sihler</w:t>
      </w:r>
      <w:proofErr w:type="spellEnd"/>
      <w:r>
        <w:rPr>
          <w:rFonts w:cstheme="minorHAnsi"/>
        </w:rPr>
        <w:t>, E. G. 1893. ‘Aristotle’s criticisms of the Spartan Government’,</w:t>
      </w:r>
      <w:r>
        <w:rPr>
          <w:rFonts w:cstheme="minorHAnsi"/>
          <w:i/>
        </w:rPr>
        <w:t xml:space="preserve"> The Classical Review.</w:t>
      </w:r>
      <w:r>
        <w:rPr>
          <w:rFonts w:cstheme="minorHAnsi"/>
        </w:rPr>
        <w:t xml:space="preserve"> Vol 7. 10. 439-443.</w:t>
      </w:r>
    </w:p>
    <w:p w:rsidR="00800E7A" w:rsidRDefault="00800E7A" w:rsidP="00800E7A">
      <w:pPr>
        <w:rPr>
          <w:rFonts w:cstheme="minorHAnsi"/>
        </w:rPr>
      </w:pPr>
      <w:r w:rsidRPr="00770D40">
        <w:rPr>
          <w:rFonts w:cstheme="minorHAnsi"/>
        </w:rPr>
        <w:t>Sullivan, B. M. (October 01, 2011). 'Paying archaic Greek mercenaries: Views from Egypt and the Near East'. </w:t>
      </w:r>
      <w:r w:rsidRPr="00770D40">
        <w:rPr>
          <w:rFonts w:cstheme="minorHAnsi"/>
          <w:i/>
          <w:iCs/>
        </w:rPr>
        <w:t>Classical Journal, </w:t>
      </w:r>
      <w:r w:rsidRPr="00770D40">
        <w:rPr>
          <w:rFonts w:cstheme="minorHAnsi"/>
          <w:iCs/>
        </w:rPr>
        <w:t>107.</w:t>
      </w:r>
      <w:r w:rsidRPr="00770D40">
        <w:rPr>
          <w:rFonts w:cstheme="minorHAnsi"/>
          <w:i/>
          <w:iCs/>
        </w:rPr>
        <w:t> </w:t>
      </w:r>
      <w:r w:rsidRPr="00770D40">
        <w:rPr>
          <w:rFonts w:cstheme="minorHAnsi"/>
        </w:rPr>
        <w:t>1, 31-61.</w:t>
      </w:r>
    </w:p>
    <w:p w:rsidR="00800E7A" w:rsidRPr="00003384" w:rsidRDefault="00800E7A" w:rsidP="00800E7A">
      <w:pPr>
        <w:rPr>
          <w:rFonts w:cstheme="minorHAnsi"/>
        </w:rPr>
      </w:pPr>
      <w:r>
        <w:rPr>
          <w:rFonts w:cstheme="minorHAnsi"/>
        </w:rPr>
        <w:t>Talbert, R. J. A. 1989. ‘The Role of the Helots in the Class Struggle at Sparta’,</w:t>
      </w:r>
      <w:r>
        <w:rPr>
          <w:rFonts w:cstheme="minorHAnsi"/>
          <w:i/>
        </w:rPr>
        <w:t xml:space="preserve"> </w:t>
      </w:r>
      <w:proofErr w:type="spellStart"/>
      <w:r>
        <w:rPr>
          <w:rFonts w:cstheme="minorHAnsi"/>
          <w:i/>
        </w:rPr>
        <w:t>Historia</w:t>
      </w:r>
      <w:proofErr w:type="spellEnd"/>
      <w:r>
        <w:rPr>
          <w:rFonts w:cstheme="minorHAnsi"/>
          <w:i/>
        </w:rPr>
        <w:t xml:space="preserve">: </w:t>
      </w:r>
      <w:proofErr w:type="spellStart"/>
      <w:r>
        <w:rPr>
          <w:rFonts w:cstheme="minorHAnsi"/>
          <w:i/>
        </w:rPr>
        <w:t>Zeitschrift</w:t>
      </w:r>
      <w:proofErr w:type="spellEnd"/>
      <w:r>
        <w:rPr>
          <w:rFonts w:cstheme="minorHAnsi"/>
          <w:i/>
        </w:rPr>
        <w:t xml:space="preserve"> </w:t>
      </w:r>
      <w:proofErr w:type="spellStart"/>
      <w:r>
        <w:rPr>
          <w:rFonts w:cstheme="minorHAnsi"/>
          <w:i/>
        </w:rPr>
        <w:t>für</w:t>
      </w:r>
      <w:proofErr w:type="spellEnd"/>
      <w:r>
        <w:rPr>
          <w:rFonts w:cstheme="minorHAnsi"/>
          <w:i/>
        </w:rPr>
        <w:t xml:space="preserve"> </w:t>
      </w:r>
      <w:proofErr w:type="spellStart"/>
      <w:r>
        <w:rPr>
          <w:rFonts w:cstheme="minorHAnsi"/>
          <w:i/>
        </w:rPr>
        <w:t>Alte</w:t>
      </w:r>
      <w:proofErr w:type="spellEnd"/>
      <w:r>
        <w:rPr>
          <w:rFonts w:cstheme="minorHAnsi"/>
          <w:i/>
        </w:rPr>
        <w:t xml:space="preserve"> Geschichte.</w:t>
      </w:r>
      <w:r>
        <w:rPr>
          <w:rFonts w:cstheme="minorHAnsi"/>
        </w:rPr>
        <w:t xml:space="preserve"> Vol. 38. 1. 22-40.</w:t>
      </w:r>
    </w:p>
    <w:p w:rsidR="00800E7A" w:rsidRPr="00770D40" w:rsidRDefault="00800E7A" w:rsidP="00800E7A">
      <w:pPr>
        <w:rPr>
          <w:rFonts w:cstheme="minorHAnsi"/>
        </w:rPr>
      </w:pPr>
      <w:r w:rsidRPr="00770D40">
        <w:rPr>
          <w:rFonts w:cstheme="minorHAnsi"/>
        </w:rPr>
        <w:lastRenderedPageBreak/>
        <w:t xml:space="preserve">Trundle, M. 2004. </w:t>
      </w:r>
      <w:r w:rsidRPr="00770D40">
        <w:rPr>
          <w:rFonts w:cstheme="minorHAnsi"/>
          <w:i/>
        </w:rPr>
        <w:t xml:space="preserve">Greek Mercenaries. From the Late Archaic Period to Alexander. </w:t>
      </w:r>
      <w:r w:rsidRPr="00770D40">
        <w:rPr>
          <w:rFonts w:cstheme="minorHAnsi"/>
        </w:rPr>
        <w:t>London: Routledge.</w:t>
      </w:r>
    </w:p>
    <w:p w:rsidR="00800E7A" w:rsidRPr="00770D40" w:rsidRDefault="00800E7A" w:rsidP="00800E7A">
      <w:pPr>
        <w:rPr>
          <w:rFonts w:cstheme="minorHAnsi"/>
        </w:rPr>
      </w:pPr>
      <w:r w:rsidRPr="00770D40">
        <w:rPr>
          <w:rFonts w:cstheme="minorHAnsi"/>
        </w:rPr>
        <w:t xml:space="preserve">Trundle, M. 2010. ‘Coinage and the transformation of Greek warfare’. </w:t>
      </w:r>
      <w:r w:rsidRPr="00770D40">
        <w:rPr>
          <w:rFonts w:cstheme="minorHAnsi"/>
          <w:i/>
        </w:rPr>
        <w:t xml:space="preserve">New perspectives on Ancient warfare, history of warfare, </w:t>
      </w:r>
      <w:r w:rsidRPr="00770D40">
        <w:rPr>
          <w:rFonts w:cstheme="minorHAnsi"/>
        </w:rPr>
        <w:t>59, 227-252.</w:t>
      </w:r>
    </w:p>
    <w:p w:rsidR="00800E7A" w:rsidRPr="00770D40" w:rsidRDefault="00800E7A" w:rsidP="00800E7A">
      <w:pPr>
        <w:rPr>
          <w:rFonts w:cstheme="minorHAnsi"/>
        </w:rPr>
      </w:pPr>
      <w:r w:rsidRPr="00770D40">
        <w:rPr>
          <w:rFonts w:cstheme="minorHAnsi"/>
        </w:rPr>
        <w:t xml:space="preserve">Wees, H. 2014. </w:t>
      </w:r>
      <w:r w:rsidRPr="00770D40">
        <w:rPr>
          <w:rFonts w:cstheme="minorHAnsi"/>
          <w:i/>
        </w:rPr>
        <w:t>Greek Warfare myths and realities.</w:t>
      </w:r>
      <w:r w:rsidRPr="00770D40">
        <w:rPr>
          <w:rFonts w:cstheme="minorHAnsi"/>
        </w:rPr>
        <w:t xml:space="preserve"> London: Duckworth.</w:t>
      </w:r>
    </w:p>
    <w:p w:rsidR="00800E7A" w:rsidRDefault="00800E7A" w:rsidP="00800E7A">
      <w:pPr>
        <w:rPr>
          <w:rFonts w:cstheme="minorHAnsi"/>
        </w:rPr>
      </w:pPr>
      <w:r w:rsidRPr="00770D40">
        <w:rPr>
          <w:rFonts w:cstheme="minorHAnsi"/>
        </w:rPr>
        <w:t xml:space="preserve">Wees, H. 2009. </w:t>
      </w:r>
      <w:r w:rsidRPr="00770D40">
        <w:rPr>
          <w:rFonts w:cstheme="minorHAnsi"/>
          <w:i/>
        </w:rPr>
        <w:t xml:space="preserve">War and Violence in Ancient Greece. </w:t>
      </w:r>
      <w:r w:rsidRPr="00770D40">
        <w:rPr>
          <w:rFonts w:cstheme="minorHAnsi"/>
        </w:rPr>
        <w:t>Swansea: The classical press of Wales.</w:t>
      </w:r>
    </w:p>
    <w:p w:rsidR="00800E7A" w:rsidRDefault="00800E7A" w:rsidP="00800E7A">
      <w:pPr>
        <w:rPr>
          <w:rFonts w:cstheme="minorHAnsi"/>
        </w:rPr>
      </w:pPr>
      <w:r>
        <w:rPr>
          <w:rFonts w:cstheme="minorHAnsi"/>
        </w:rPr>
        <w:t>Westlake, H. D. 1938. ‘Alcibiades, Agis and Spartan Policy’,</w:t>
      </w:r>
      <w:r>
        <w:rPr>
          <w:rFonts w:cstheme="minorHAnsi"/>
          <w:i/>
        </w:rPr>
        <w:t xml:space="preserve"> </w:t>
      </w:r>
      <w:proofErr w:type="gramStart"/>
      <w:r>
        <w:rPr>
          <w:rFonts w:cstheme="minorHAnsi"/>
          <w:i/>
        </w:rPr>
        <w:t>The</w:t>
      </w:r>
      <w:proofErr w:type="gramEnd"/>
      <w:r>
        <w:rPr>
          <w:rFonts w:cstheme="minorHAnsi"/>
          <w:i/>
        </w:rPr>
        <w:t xml:space="preserve"> Journal of Hellenic Studies.</w:t>
      </w:r>
      <w:r>
        <w:rPr>
          <w:rFonts w:cstheme="minorHAnsi"/>
        </w:rPr>
        <w:t xml:space="preserve"> Vol 58. Part 1. 31-40.</w:t>
      </w:r>
    </w:p>
    <w:p w:rsidR="00800E7A" w:rsidRPr="005251BB" w:rsidRDefault="00800E7A" w:rsidP="00800E7A">
      <w:pPr>
        <w:rPr>
          <w:rFonts w:cstheme="minorHAnsi"/>
        </w:rPr>
      </w:pPr>
      <w:r>
        <w:rPr>
          <w:rFonts w:cstheme="minorHAnsi"/>
        </w:rPr>
        <w:t xml:space="preserve">Whitehead, D. 1991. ‘Who </w:t>
      </w:r>
      <w:proofErr w:type="spellStart"/>
      <w:r>
        <w:rPr>
          <w:rFonts w:cstheme="minorHAnsi"/>
        </w:rPr>
        <w:t>eequipped</w:t>
      </w:r>
      <w:proofErr w:type="spellEnd"/>
      <w:r>
        <w:rPr>
          <w:rFonts w:cstheme="minorHAnsi"/>
        </w:rPr>
        <w:t xml:space="preserve"> Mercenary Troops in Classical Greece?</w:t>
      </w:r>
      <w:proofErr w:type="gramStart"/>
      <w:r>
        <w:rPr>
          <w:rFonts w:cstheme="minorHAnsi"/>
        </w:rPr>
        <w:t>’,</w:t>
      </w:r>
      <w:proofErr w:type="gramEnd"/>
      <w:r>
        <w:rPr>
          <w:rFonts w:cstheme="minorHAnsi"/>
          <w:i/>
        </w:rPr>
        <w:t xml:space="preserve"> </w:t>
      </w:r>
      <w:proofErr w:type="spellStart"/>
      <w:r>
        <w:rPr>
          <w:rFonts w:cstheme="minorHAnsi"/>
          <w:i/>
        </w:rPr>
        <w:t>Historia</w:t>
      </w:r>
      <w:proofErr w:type="spellEnd"/>
      <w:r>
        <w:rPr>
          <w:rFonts w:cstheme="minorHAnsi"/>
          <w:i/>
        </w:rPr>
        <w:t xml:space="preserve">: </w:t>
      </w:r>
      <w:proofErr w:type="spellStart"/>
      <w:r>
        <w:rPr>
          <w:rFonts w:cstheme="minorHAnsi"/>
          <w:i/>
        </w:rPr>
        <w:t>Zeitschrift</w:t>
      </w:r>
      <w:proofErr w:type="spellEnd"/>
      <w:r>
        <w:rPr>
          <w:rFonts w:cstheme="minorHAnsi"/>
          <w:i/>
        </w:rPr>
        <w:t xml:space="preserve"> </w:t>
      </w:r>
      <w:proofErr w:type="spellStart"/>
      <w:r>
        <w:rPr>
          <w:rFonts w:cstheme="minorHAnsi"/>
          <w:i/>
        </w:rPr>
        <w:t>für</w:t>
      </w:r>
      <w:proofErr w:type="spellEnd"/>
      <w:r>
        <w:rPr>
          <w:rFonts w:cstheme="minorHAnsi"/>
          <w:i/>
        </w:rPr>
        <w:t xml:space="preserve"> </w:t>
      </w:r>
      <w:proofErr w:type="spellStart"/>
      <w:r>
        <w:rPr>
          <w:rFonts w:cstheme="minorHAnsi"/>
          <w:i/>
        </w:rPr>
        <w:t>Alte</w:t>
      </w:r>
      <w:proofErr w:type="spellEnd"/>
      <w:r>
        <w:rPr>
          <w:rFonts w:cstheme="minorHAnsi"/>
          <w:i/>
        </w:rPr>
        <w:t xml:space="preserve"> Geschichte. </w:t>
      </w:r>
      <w:r>
        <w:rPr>
          <w:rFonts w:cstheme="minorHAnsi"/>
        </w:rPr>
        <w:t>Vol. 40. 1. 105-113.</w:t>
      </w:r>
    </w:p>
    <w:p w:rsidR="00800E7A" w:rsidRPr="00003384" w:rsidRDefault="00800E7A" w:rsidP="00800E7A">
      <w:pPr>
        <w:rPr>
          <w:rFonts w:cstheme="minorHAnsi"/>
        </w:rPr>
      </w:pPr>
      <w:r>
        <w:rPr>
          <w:rFonts w:cstheme="minorHAnsi"/>
        </w:rPr>
        <w:t>Williams, M. F. 2004. ‘</w:t>
      </w:r>
      <w:proofErr w:type="spellStart"/>
      <w:r>
        <w:rPr>
          <w:rFonts w:cstheme="minorHAnsi"/>
        </w:rPr>
        <w:t>Philopoemen’s</w:t>
      </w:r>
      <w:proofErr w:type="spellEnd"/>
      <w:r>
        <w:rPr>
          <w:rFonts w:cstheme="minorHAnsi"/>
        </w:rPr>
        <w:t xml:space="preserve"> Special Forces: Peltasts and a New kind of Greek Light-Armed Warfare (Livy 35.27)’, </w:t>
      </w:r>
      <w:proofErr w:type="spellStart"/>
      <w:r>
        <w:rPr>
          <w:rFonts w:cstheme="minorHAnsi"/>
          <w:i/>
        </w:rPr>
        <w:t>Historia</w:t>
      </w:r>
      <w:proofErr w:type="spellEnd"/>
      <w:r>
        <w:rPr>
          <w:rFonts w:cstheme="minorHAnsi"/>
          <w:i/>
        </w:rPr>
        <w:t xml:space="preserve">: </w:t>
      </w:r>
      <w:proofErr w:type="spellStart"/>
      <w:r>
        <w:rPr>
          <w:rFonts w:cstheme="minorHAnsi"/>
          <w:i/>
        </w:rPr>
        <w:t>Zeitschrift</w:t>
      </w:r>
      <w:proofErr w:type="spellEnd"/>
      <w:r>
        <w:rPr>
          <w:rFonts w:cstheme="minorHAnsi"/>
          <w:i/>
        </w:rPr>
        <w:t xml:space="preserve"> </w:t>
      </w:r>
      <w:proofErr w:type="spellStart"/>
      <w:r>
        <w:rPr>
          <w:rFonts w:cstheme="minorHAnsi"/>
          <w:i/>
        </w:rPr>
        <w:t>für</w:t>
      </w:r>
      <w:proofErr w:type="spellEnd"/>
      <w:r>
        <w:rPr>
          <w:rFonts w:cstheme="minorHAnsi"/>
          <w:i/>
        </w:rPr>
        <w:t xml:space="preserve"> </w:t>
      </w:r>
      <w:proofErr w:type="spellStart"/>
      <w:r>
        <w:rPr>
          <w:rFonts w:cstheme="minorHAnsi"/>
          <w:i/>
        </w:rPr>
        <w:t>Alte</w:t>
      </w:r>
      <w:proofErr w:type="spellEnd"/>
      <w:r>
        <w:rPr>
          <w:rFonts w:cstheme="minorHAnsi"/>
          <w:i/>
        </w:rPr>
        <w:t xml:space="preserve"> Geschichte. </w:t>
      </w:r>
      <w:r>
        <w:rPr>
          <w:rFonts w:cstheme="minorHAnsi"/>
        </w:rPr>
        <w:t>Vol. 53. 3. 257-277.</w:t>
      </w:r>
    </w:p>
    <w:p w:rsidR="00800E7A" w:rsidRPr="00770D40" w:rsidRDefault="00800E7A" w:rsidP="00800E7A">
      <w:pPr>
        <w:rPr>
          <w:rFonts w:cstheme="minorHAnsi"/>
          <w:iCs/>
        </w:rPr>
      </w:pPr>
    </w:p>
    <w:p w:rsidR="00F642C1" w:rsidRPr="00F642C1" w:rsidRDefault="00F642C1" w:rsidP="00F642C1"/>
    <w:p w:rsidR="000D2A88" w:rsidRPr="00A6707B" w:rsidRDefault="000D2A88" w:rsidP="00A6707B">
      <w:pPr>
        <w:spacing w:line="480" w:lineRule="auto"/>
        <w:rPr>
          <w:rFonts w:ascii="Times New Roman" w:hAnsi="Times New Roman" w:cs="Times New Roman"/>
          <w:sz w:val="24"/>
          <w:szCs w:val="24"/>
        </w:rPr>
      </w:pPr>
    </w:p>
    <w:sectPr w:rsidR="000D2A88" w:rsidRPr="00A6707B" w:rsidSect="00F642C1">
      <w:headerReference w:type="default" r:id="rId9"/>
      <w:footerReference w:type="default" r:id="rId10"/>
      <w:footerReference w:type="first" r:id="rId11"/>
      <w:pgSz w:w="11906" w:h="16838"/>
      <w:pgMar w:top="1440" w:right="1134" w:bottom="1440" w:left="226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457C" w:rsidRDefault="005E457C" w:rsidP="00E512BC">
      <w:pPr>
        <w:spacing w:after="0" w:line="240" w:lineRule="auto"/>
      </w:pPr>
      <w:r>
        <w:separator/>
      </w:r>
    </w:p>
  </w:endnote>
  <w:endnote w:type="continuationSeparator" w:id="0">
    <w:p w:rsidR="005E457C" w:rsidRDefault="005E457C" w:rsidP="00E512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7010472"/>
      <w:docPartObj>
        <w:docPartGallery w:val="Page Numbers (Bottom of Page)"/>
        <w:docPartUnique/>
      </w:docPartObj>
    </w:sdtPr>
    <w:sdtEndPr>
      <w:rPr>
        <w:noProof/>
      </w:rPr>
    </w:sdtEndPr>
    <w:sdtContent>
      <w:p w:rsidR="005E457C" w:rsidRDefault="005E457C">
        <w:pPr>
          <w:pStyle w:val="Footer"/>
          <w:jc w:val="right"/>
        </w:pPr>
        <w:r>
          <w:fldChar w:fldCharType="begin"/>
        </w:r>
        <w:r>
          <w:instrText xml:space="preserve"> PAGE   \* MERGEFORMAT </w:instrText>
        </w:r>
        <w:r>
          <w:fldChar w:fldCharType="separate"/>
        </w:r>
        <w:r w:rsidR="008D2454">
          <w:rPr>
            <w:noProof/>
          </w:rPr>
          <w:t>47</w:t>
        </w:r>
        <w:r>
          <w:rPr>
            <w:noProof/>
          </w:rPr>
          <w:fldChar w:fldCharType="end"/>
        </w:r>
      </w:p>
    </w:sdtContent>
  </w:sdt>
  <w:p w:rsidR="005E457C" w:rsidRDefault="005E45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57C" w:rsidRDefault="005E457C">
    <w:pPr>
      <w:pStyle w:val="Footer"/>
      <w:jc w:val="right"/>
    </w:pPr>
  </w:p>
  <w:p w:rsidR="005E457C" w:rsidRDefault="005E45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457C" w:rsidRDefault="005E457C" w:rsidP="00E512BC">
      <w:pPr>
        <w:spacing w:after="0" w:line="240" w:lineRule="auto"/>
      </w:pPr>
      <w:r>
        <w:separator/>
      </w:r>
    </w:p>
  </w:footnote>
  <w:footnote w:type="continuationSeparator" w:id="0">
    <w:p w:rsidR="005E457C" w:rsidRDefault="005E457C" w:rsidP="00E512BC">
      <w:pPr>
        <w:spacing w:after="0" w:line="240" w:lineRule="auto"/>
      </w:pPr>
      <w:r>
        <w:continuationSeparator/>
      </w:r>
    </w:p>
  </w:footnote>
  <w:footnote w:id="1">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Rich, J and Shipley, G. 1993. 1.</w:t>
      </w:r>
    </w:p>
  </w:footnote>
  <w:footnote w:id="2">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Plat. </w:t>
      </w:r>
      <w:r w:rsidRPr="00692EDC">
        <w:rPr>
          <w:rFonts w:ascii="Times New Roman" w:hAnsi="Times New Roman" w:cs="Times New Roman"/>
          <w:i/>
        </w:rPr>
        <w:t>Rep</w:t>
      </w:r>
      <w:r w:rsidRPr="00692EDC">
        <w:rPr>
          <w:rFonts w:ascii="Times New Roman" w:hAnsi="Times New Roman" w:cs="Times New Roman"/>
        </w:rPr>
        <w:t>. 1.341b</w:t>
      </w:r>
    </w:p>
  </w:footnote>
  <w:footnote w:id="3">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Plat. </w:t>
      </w:r>
      <w:r w:rsidRPr="00692EDC">
        <w:rPr>
          <w:rFonts w:ascii="Times New Roman" w:hAnsi="Times New Roman" w:cs="Times New Roman"/>
          <w:i/>
        </w:rPr>
        <w:t>Rep</w:t>
      </w:r>
      <w:r w:rsidRPr="00692EDC">
        <w:rPr>
          <w:rFonts w:ascii="Times New Roman" w:hAnsi="Times New Roman" w:cs="Times New Roman"/>
        </w:rPr>
        <w:t>. 1.341b</w:t>
      </w:r>
    </w:p>
  </w:footnote>
  <w:footnote w:id="4">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Plat. </w:t>
      </w:r>
      <w:r w:rsidRPr="00692EDC">
        <w:rPr>
          <w:rFonts w:ascii="Times New Roman" w:hAnsi="Times New Roman" w:cs="Times New Roman"/>
          <w:i/>
        </w:rPr>
        <w:t>Rep</w:t>
      </w:r>
      <w:r w:rsidRPr="00692EDC">
        <w:rPr>
          <w:rFonts w:ascii="Times New Roman" w:hAnsi="Times New Roman" w:cs="Times New Roman"/>
        </w:rPr>
        <w:t>. 1.341b</w:t>
      </w:r>
    </w:p>
  </w:footnote>
  <w:footnote w:id="5">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Plat. </w:t>
      </w:r>
      <w:r w:rsidRPr="00692EDC">
        <w:rPr>
          <w:rFonts w:ascii="Times New Roman" w:hAnsi="Times New Roman" w:cs="Times New Roman"/>
          <w:i/>
        </w:rPr>
        <w:t>Rep</w:t>
      </w:r>
      <w:r w:rsidRPr="00692EDC">
        <w:rPr>
          <w:rFonts w:ascii="Times New Roman" w:hAnsi="Times New Roman" w:cs="Times New Roman"/>
        </w:rPr>
        <w:t>. 1.341b</w:t>
      </w:r>
    </w:p>
  </w:footnote>
  <w:footnote w:id="6">
    <w:p w:rsidR="005E457C" w:rsidRPr="00692EDC" w:rsidRDefault="005E457C" w:rsidP="000B26D4">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Wees, H. 2014. 2.</w:t>
      </w:r>
    </w:p>
  </w:footnote>
  <w:footnote w:id="7">
    <w:p w:rsidR="005E457C" w:rsidRPr="00692EDC" w:rsidRDefault="005E457C" w:rsidP="000B26D4">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Wees, H. 2014. 2.</w:t>
      </w:r>
    </w:p>
  </w:footnote>
  <w:footnote w:id="8">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https://www.thefreedictionary.com/professionalism</w:t>
      </w:r>
    </w:p>
  </w:footnote>
  <w:footnote w:id="9">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Parke, 1933. </w:t>
      </w:r>
    </w:p>
  </w:footnote>
  <w:footnote w:id="10">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 </w:t>
      </w:r>
      <w:r w:rsidRPr="00692EDC">
        <w:rPr>
          <w:rFonts w:ascii="Times New Roman" w:hAnsi="Times New Roman" w:cs="Times New Roman"/>
          <w:i/>
        </w:rPr>
        <w:t>Lyc</w:t>
      </w:r>
      <w:r w:rsidRPr="00692EDC">
        <w:rPr>
          <w:rFonts w:ascii="Times New Roman" w:hAnsi="Times New Roman" w:cs="Times New Roman"/>
        </w:rPr>
        <w:t>. 4.1</w:t>
      </w:r>
    </w:p>
  </w:footnote>
  <w:footnote w:id="11">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 </w:t>
      </w:r>
      <w:r w:rsidRPr="00692EDC">
        <w:rPr>
          <w:rFonts w:ascii="Times New Roman" w:hAnsi="Times New Roman" w:cs="Times New Roman"/>
          <w:i/>
        </w:rPr>
        <w:t>Pel</w:t>
      </w:r>
      <w:r w:rsidRPr="00692EDC">
        <w:rPr>
          <w:rFonts w:ascii="Times New Roman" w:hAnsi="Times New Roman" w:cs="Times New Roman"/>
        </w:rPr>
        <w:t>. 18. Plutarch does not give an original date for the Sacred Band however, discusses they were unbeaten until the battle of Chaeronea of 338BC.</w:t>
      </w:r>
    </w:p>
  </w:footnote>
  <w:footnote w:id="12">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Thuc. 5.67.2. The Thousand were documented to have been maintained at public expense in Argos.</w:t>
      </w:r>
    </w:p>
  </w:footnote>
  <w:footnote w:id="13">
    <w:p w:rsidR="005E457C" w:rsidRPr="00692EDC" w:rsidRDefault="005E457C" w:rsidP="00316399">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 </w:t>
      </w:r>
      <w:r w:rsidRPr="00692EDC">
        <w:rPr>
          <w:rFonts w:ascii="Times New Roman" w:hAnsi="Times New Roman" w:cs="Times New Roman"/>
          <w:i/>
        </w:rPr>
        <w:t xml:space="preserve">Lyc. </w:t>
      </w:r>
      <w:r w:rsidRPr="00692EDC">
        <w:rPr>
          <w:rFonts w:ascii="Times New Roman" w:hAnsi="Times New Roman" w:cs="Times New Roman"/>
        </w:rPr>
        <w:t>3.1.</w:t>
      </w:r>
    </w:p>
  </w:footnote>
  <w:footnote w:id="14">
    <w:p w:rsidR="005E457C" w:rsidRPr="00692EDC" w:rsidRDefault="005E457C" w:rsidP="00316399">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w:t>
      </w:r>
      <w:r w:rsidRPr="00692EDC">
        <w:rPr>
          <w:rFonts w:ascii="Times New Roman" w:hAnsi="Times New Roman" w:cs="Times New Roman"/>
          <w:i/>
        </w:rPr>
        <w:t>Lyc</w:t>
      </w:r>
      <w:r w:rsidRPr="00692EDC">
        <w:rPr>
          <w:rFonts w:ascii="Times New Roman" w:hAnsi="Times New Roman" w:cs="Times New Roman"/>
        </w:rPr>
        <w:t>.3.1.</w:t>
      </w:r>
    </w:p>
  </w:footnote>
  <w:footnote w:id="15">
    <w:p w:rsidR="005E457C" w:rsidRPr="00692EDC" w:rsidRDefault="005E457C" w:rsidP="00316399">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w:t>
      </w:r>
      <w:r w:rsidRPr="00692EDC">
        <w:rPr>
          <w:rFonts w:ascii="Times New Roman" w:hAnsi="Times New Roman" w:cs="Times New Roman"/>
          <w:i/>
        </w:rPr>
        <w:t>Lyc.</w:t>
      </w:r>
      <w:r w:rsidRPr="00692EDC">
        <w:rPr>
          <w:rFonts w:ascii="Times New Roman" w:hAnsi="Times New Roman" w:cs="Times New Roman"/>
        </w:rPr>
        <w:t>3.4.</w:t>
      </w:r>
    </w:p>
  </w:footnote>
  <w:footnote w:id="16">
    <w:p w:rsidR="005E457C" w:rsidRPr="00692EDC" w:rsidRDefault="005E457C" w:rsidP="00316399">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 </w:t>
      </w:r>
      <w:r w:rsidRPr="00692EDC">
        <w:rPr>
          <w:rFonts w:ascii="Times New Roman" w:hAnsi="Times New Roman" w:cs="Times New Roman"/>
          <w:i/>
        </w:rPr>
        <w:t>Lyc</w:t>
      </w:r>
      <w:r w:rsidRPr="00692EDC">
        <w:rPr>
          <w:rFonts w:ascii="Times New Roman" w:hAnsi="Times New Roman" w:cs="Times New Roman"/>
        </w:rPr>
        <w:t>. 3.5.</w:t>
      </w:r>
    </w:p>
  </w:footnote>
  <w:footnote w:id="17">
    <w:p w:rsidR="005E457C" w:rsidRPr="00692EDC" w:rsidRDefault="005E457C" w:rsidP="00316399">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 </w:t>
      </w:r>
      <w:r w:rsidRPr="00692EDC">
        <w:rPr>
          <w:rFonts w:ascii="Times New Roman" w:hAnsi="Times New Roman" w:cs="Times New Roman"/>
          <w:i/>
        </w:rPr>
        <w:t>Lyc</w:t>
      </w:r>
      <w:r w:rsidRPr="00692EDC">
        <w:rPr>
          <w:rFonts w:ascii="Times New Roman" w:hAnsi="Times New Roman" w:cs="Times New Roman"/>
        </w:rPr>
        <w:t>. 4.1</w:t>
      </w:r>
    </w:p>
  </w:footnote>
  <w:footnote w:id="18">
    <w:p w:rsidR="005E457C" w:rsidRPr="00692EDC" w:rsidRDefault="005E457C" w:rsidP="00316399">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 </w:t>
      </w:r>
      <w:r w:rsidRPr="00692EDC">
        <w:rPr>
          <w:rFonts w:ascii="Times New Roman" w:hAnsi="Times New Roman" w:cs="Times New Roman"/>
          <w:i/>
        </w:rPr>
        <w:t>Lyc</w:t>
      </w:r>
      <w:r w:rsidRPr="00692EDC">
        <w:rPr>
          <w:rFonts w:ascii="Times New Roman" w:hAnsi="Times New Roman" w:cs="Times New Roman"/>
        </w:rPr>
        <w:t>. 5.1</w:t>
      </w:r>
    </w:p>
  </w:footnote>
  <w:footnote w:id="19">
    <w:p w:rsidR="005E457C" w:rsidRPr="00692EDC" w:rsidRDefault="005E457C" w:rsidP="00316399">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 </w:t>
      </w:r>
      <w:r w:rsidRPr="00692EDC">
        <w:rPr>
          <w:rFonts w:ascii="Times New Roman" w:hAnsi="Times New Roman" w:cs="Times New Roman"/>
          <w:i/>
        </w:rPr>
        <w:t>Lyc.</w:t>
      </w:r>
      <w:r w:rsidRPr="00692EDC">
        <w:rPr>
          <w:rFonts w:ascii="Times New Roman" w:hAnsi="Times New Roman" w:cs="Times New Roman"/>
        </w:rPr>
        <w:t xml:space="preserve"> 7.1</w:t>
      </w:r>
    </w:p>
  </w:footnote>
  <w:footnote w:id="20">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B75857" w:rsidRPr="00692EDC">
        <w:rPr>
          <w:rFonts w:ascii="Times New Roman" w:hAnsi="Times New Roman" w:cs="Times New Roman"/>
        </w:rPr>
        <w:t xml:space="preserve">Plut. </w:t>
      </w:r>
      <w:r w:rsidR="00B75857" w:rsidRPr="00692EDC">
        <w:rPr>
          <w:rFonts w:ascii="Times New Roman" w:hAnsi="Times New Roman" w:cs="Times New Roman"/>
          <w:i/>
        </w:rPr>
        <w:t>Lyc</w:t>
      </w:r>
      <w:r w:rsidR="00B75857" w:rsidRPr="00692EDC">
        <w:rPr>
          <w:rFonts w:ascii="Times New Roman" w:hAnsi="Times New Roman" w:cs="Times New Roman"/>
        </w:rPr>
        <w:t>. 1.</w:t>
      </w:r>
    </w:p>
  </w:footnote>
  <w:footnote w:id="21">
    <w:p w:rsidR="00B75857" w:rsidRPr="00692EDC" w:rsidRDefault="00B75857">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Brinton and Wolff, 1960. 60</w:t>
      </w:r>
    </w:p>
  </w:footnote>
  <w:footnote w:id="22">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B75857" w:rsidRPr="00692EDC">
        <w:rPr>
          <w:rFonts w:ascii="Times New Roman" w:hAnsi="Times New Roman" w:cs="Times New Roman"/>
        </w:rPr>
        <w:t xml:space="preserve">Plut. </w:t>
      </w:r>
      <w:r w:rsidR="00B75857" w:rsidRPr="00692EDC">
        <w:rPr>
          <w:rFonts w:ascii="Times New Roman" w:hAnsi="Times New Roman" w:cs="Times New Roman"/>
          <w:i/>
        </w:rPr>
        <w:t>Agis</w:t>
      </w:r>
      <w:r w:rsidR="00B75857" w:rsidRPr="00692EDC">
        <w:rPr>
          <w:rFonts w:ascii="Times New Roman" w:hAnsi="Times New Roman" w:cs="Times New Roman"/>
        </w:rPr>
        <w:t xml:space="preserve"> 19. It is important to note that Plutarch will write </w:t>
      </w:r>
      <w:r w:rsidR="00B75857" w:rsidRPr="00692EDC">
        <w:rPr>
          <w:rFonts w:ascii="Times New Roman" w:hAnsi="Times New Roman" w:cs="Times New Roman"/>
          <w:i/>
        </w:rPr>
        <w:t>Agis</w:t>
      </w:r>
      <w:r w:rsidR="00B75857" w:rsidRPr="00692EDC">
        <w:rPr>
          <w:rFonts w:ascii="Times New Roman" w:hAnsi="Times New Roman" w:cs="Times New Roman"/>
        </w:rPr>
        <w:t xml:space="preserve"> based on his previous belief that Lycurgus did exist.</w:t>
      </w:r>
    </w:p>
  </w:footnote>
  <w:footnote w:id="23">
    <w:p w:rsidR="005E457C" w:rsidRPr="00692EDC" w:rsidRDefault="005E457C" w:rsidP="00316399">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Hodkinson and Powell, 2002; Pomeroy, 1999; Hall, 2007.</w:t>
      </w:r>
    </w:p>
  </w:footnote>
  <w:footnote w:id="24">
    <w:p w:rsidR="005E457C" w:rsidRPr="00692EDC" w:rsidRDefault="005E457C" w:rsidP="00316399">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Cartledge, 2001. 26; de Laix. 1974.</w:t>
      </w:r>
    </w:p>
  </w:footnote>
  <w:footnote w:id="25">
    <w:p w:rsidR="005E457C" w:rsidRPr="00692EDC" w:rsidRDefault="005E457C" w:rsidP="00316399">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Cartledge, 2001. 26.</w:t>
      </w:r>
    </w:p>
  </w:footnote>
  <w:footnote w:id="26">
    <w:p w:rsidR="005E457C" w:rsidRPr="00692EDC" w:rsidRDefault="005E457C" w:rsidP="00316399">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Cartledge, 2001. 26.</w:t>
      </w:r>
    </w:p>
  </w:footnote>
  <w:footnote w:id="27">
    <w:p w:rsidR="005E457C" w:rsidRPr="00692EDC" w:rsidRDefault="005E457C" w:rsidP="00316399">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Hilbert, 2018. 11.</w:t>
      </w:r>
    </w:p>
  </w:footnote>
  <w:footnote w:id="28">
    <w:p w:rsidR="005E457C" w:rsidRPr="00692EDC" w:rsidRDefault="005E457C" w:rsidP="00316399">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Paus. 3.6-7</w:t>
      </w:r>
    </w:p>
  </w:footnote>
  <w:footnote w:id="29">
    <w:p w:rsidR="005E457C" w:rsidRPr="00692EDC" w:rsidRDefault="005E457C" w:rsidP="00316399">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Diod. 11.6</w:t>
      </w:r>
    </w:p>
  </w:footnote>
  <w:footnote w:id="30">
    <w:p w:rsidR="005E457C" w:rsidRPr="00692EDC" w:rsidRDefault="005E457C" w:rsidP="00316399">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Thuc. 3.54</w:t>
      </w:r>
    </w:p>
  </w:footnote>
  <w:footnote w:id="31">
    <w:p w:rsidR="005E457C" w:rsidRPr="00692EDC" w:rsidRDefault="005E457C">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 2001.</w:t>
      </w:r>
      <w:r w:rsidR="00E05CDF">
        <w:rPr>
          <w:rFonts w:ascii="Times New Roman" w:hAnsi="Times New Roman" w:cs="Times New Roman"/>
        </w:rPr>
        <w:t xml:space="preserve"> 22-23.</w:t>
      </w:r>
    </w:p>
  </w:footnote>
  <w:footnote w:id="32">
    <w:p w:rsidR="005E457C" w:rsidRPr="00692EDC" w:rsidRDefault="005E457C">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 2001.</w:t>
      </w:r>
      <w:r w:rsidR="00E05CDF">
        <w:rPr>
          <w:rFonts w:ascii="Times New Roman" w:hAnsi="Times New Roman" w:cs="Times New Roman"/>
        </w:rPr>
        <w:t xml:space="preserve"> 22-24. </w:t>
      </w:r>
    </w:p>
  </w:footnote>
  <w:footnote w:id="33">
    <w:p w:rsidR="005E457C" w:rsidRPr="00692EDC" w:rsidRDefault="005E457C">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 2001.</w:t>
      </w:r>
      <w:r w:rsidR="00E05CDF">
        <w:rPr>
          <w:rFonts w:ascii="Times New Roman" w:hAnsi="Times New Roman" w:cs="Times New Roman"/>
        </w:rPr>
        <w:t xml:space="preserve"> 23.</w:t>
      </w:r>
    </w:p>
  </w:footnote>
  <w:footnote w:id="34">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proofErr w:type="spellStart"/>
      <w:r w:rsidRPr="00692EDC">
        <w:rPr>
          <w:rFonts w:ascii="Times New Roman" w:hAnsi="Times New Roman" w:cs="Times New Roman"/>
        </w:rPr>
        <w:t>Arist</w:t>
      </w:r>
      <w:proofErr w:type="spellEnd"/>
      <w:r w:rsidRPr="00692EDC">
        <w:rPr>
          <w:rFonts w:ascii="Times New Roman" w:hAnsi="Times New Roman" w:cs="Times New Roman"/>
        </w:rPr>
        <w:t xml:space="preserve">. </w:t>
      </w:r>
      <w:r w:rsidRPr="00692EDC">
        <w:rPr>
          <w:rFonts w:ascii="Times New Roman" w:hAnsi="Times New Roman" w:cs="Times New Roman"/>
          <w:i/>
        </w:rPr>
        <w:t>Pol</w:t>
      </w:r>
      <w:r w:rsidRPr="00692EDC">
        <w:rPr>
          <w:rFonts w:ascii="Times New Roman" w:hAnsi="Times New Roman" w:cs="Times New Roman"/>
        </w:rPr>
        <w:t>. 2.1270b; See later discussion of the agoge in section 2.</w:t>
      </w:r>
    </w:p>
  </w:footnote>
  <w:footnote w:id="35">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Lazenby, 1985. 17.</w:t>
      </w:r>
    </w:p>
  </w:footnote>
  <w:footnote w:id="36">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Hawkins, 2011. </w:t>
      </w:r>
      <w:r w:rsidR="00F9094B" w:rsidRPr="00692EDC">
        <w:rPr>
          <w:rFonts w:ascii="Times New Roman" w:hAnsi="Times New Roman" w:cs="Times New Roman"/>
        </w:rPr>
        <w:t>428.</w:t>
      </w:r>
    </w:p>
  </w:footnote>
  <w:footnote w:id="37">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Arist.</w:t>
      </w:r>
      <w:r w:rsidRPr="00692EDC">
        <w:rPr>
          <w:rFonts w:ascii="Times New Roman" w:hAnsi="Times New Roman" w:cs="Times New Roman"/>
          <w:i/>
        </w:rPr>
        <w:t>Pol.</w:t>
      </w:r>
      <w:r w:rsidRPr="00692EDC">
        <w:rPr>
          <w:rFonts w:ascii="Times New Roman" w:hAnsi="Times New Roman" w:cs="Times New Roman"/>
        </w:rPr>
        <w:t>1270a15, 1270b6; Lazenby, 1985. 17.</w:t>
      </w:r>
    </w:p>
  </w:footnote>
  <w:footnote w:id="38">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Hawkins, 2011 423.</w:t>
      </w:r>
    </w:p>
  </w:footnote>
  <w:footnote w:id="39">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Hawkins, 2011. 423.</w:t>
      </w:r>
    </w:p>
  </w:footnote>
  <w:footnote w:id="40">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7508D8" w:rsidRPr="00692EDC">
        <w:rPr>
          <w:rFonts w:ascii="Times New Roman" w:hAnsi="Times New Roman" w:cs="Times New Roman"/>
        </w:rPr>
        <w:t>Hawkins, 2011. 424. Odgen, 1996. 218-224.</w:t>
      </w:r>
    </w:p>
  </w:footnote>
  <w:footnote w:id="41">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Lazenby, 1985 argues that it was more likely the </w:t>
      </w:r>
      <w:r w:rsidRPr="00692EDC">
        <w:rPr>
          <w:rFonts w:ascii="Times New Roman" w:hAnsi="Times New Roman" w:cs="Times New Roman"/>
          <w:i/>
        </w:rPr>
        <w:t>hypomeiones</w:t>
      </w:r>
      <w:r w:rsidRPr="00692EDC">
        <w:rPr>
          <w:rFonts w:ascii="Times New Roman" w:hAnsi="Times New Roman" w:cs="Times New Roman"/>
        </w:rPr>
        <w:t xml:space="preserve"> that were drawn into the Spartan </w:t>
      </w:r>
      <w:r w:rsidRPr="00692EDC">
        <w:rPr>
          <w:rFonts w:ascii="Times New Roman" w:hAnsi="Times New Roman" w:cs="Times New Roman"/>
          <w:i/>
        </w:rPr>
        <w:t>morai</w:t>
      </w:r>
      <w:r w:rsidRPr="00692EDC">
        <w:rPr>
          <w:rFonts w:ascii="Times New Roman" w:hAnsi="Times New Roman" w:cs="Times New Roman"/>
        </w:rPr>
        <w:t xml:space="preserve"> due to the likelihood they had received the same public training over the Perioikoi.</w:t>
      </w:r>
    </w:p>
  </w:footnote>
  <w:footnote w:id="42">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See section 3 on Governance.</w:t>
      </w:r>
    </w:p>
  </w:footnote>
  <w:footnote w:id="43">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Diod. 14.83</w:t>
      </w:r>
    </w:p>
  </w:footnote>
  <w:footnote w:id="44">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Xen.</w:t>
      </w:r>
      <w:r w:rsidRPr="00692EDC">
        <w:rPr>
          <w:rFonts w:ascii="Times New Roman" w:hAnsi="Times New Roman" w:cs="Times New Roman"/>
          <w:i/>
        </w:rPr>
        <w:t>Hell.</w:t>
      </w:r>
      <w:r w:rsidRPr="00692EDC">
        <w:rPr>
          <w:rFonts w:ascii="Times New Roman" w:hAnsi="Times New Roman" w:cs="Times New Roman"/>
        </w:rPr>
        <w:t>4.2.16.</w:t>
      </w:r>
    </w:p>
  </w:footnote>
  <w:footnote w:id="45">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Hawkins, 2011. 426</w:t>
      </w:r>
    </w:p>
  </w:footnote>
  <w:footnote w:id="46">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Xen.</w:t>
      </w:r>
      <w:r w:rsidRPr="00692EDC">
        <w:rPr>
          <w:rFonts w:ascii="Times New Roman" w:hAnsi="Times New Roman" w:cs="Times New Roman"/>
          <w:i/>
        </w:rPr>
        <w:t>Hell.</w:t>
      </w:r>
      <w:r w:rsidRPr="00692EDC">
        <w:rPr>
          <w:rFonts w:ascii="Times New Roman" w:hAnsi="Times New Roman" w:cs="Times New Roman"/>
        </w:rPr>
        <w:t xml:space="preserve">6.5.25; Hawkins discusses the work of David, 1980 </w:t>
      </w:r>
      <w:r w:rsidRPr="00692EDC">
        <w:rPr>
          <w:rFonts w:ascii="Times New Roman" w:hAnsi="Times New Roman" w:cs="Times New Roman"/>
          <w:i/>
        </w:rPr>
        <w:t xml:space="preserve">Athenaeum. </w:t>
      </w:r>
      <w:r w:rsidRPr="00692EDC">
        <w:rPr>
          <w:rFonts w:ascii="Times New Roman" w:hAnsi="Times New Roman" w:cs="Times New Roman"/>
        </w:rPr>
        <w:t>301. To suggest evidence for organised resistance.</w:t>
      </w:r>
    </w:p>
  </w:footnote>
  <w:footnote w:id="47">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Hdt. 7.234.2</w:t>
      </w:r>
    </w:p>
  </w:footnote>
  <w:footnote w:id="48">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Hdt. 7.234.2</w:t>
      </w:r>
    </w:p>
  </w:footnote>
  <w:footnote w:id="49">
    <w:p w:rsidR="005E457C" w:rsidRPr="00692EDC" w:rsidRDefault="005E457C" w:rsidP="00F909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B75857" w:rsidRPr="00692EDC">
        <w:rPr>
          <w:rFonts w:ascii="Times New Roman" w:hAnsi="Times New Roman" w:cs="Times New Roman"/>
        </w:rPr>
        <w:t>Cartledge, 200</w:t>
      </w:r>
      <w:r w:rsidR="007C26B8" w:rsidRPr="00692EDC">
        <w:rPr>
          <w:rFonts w:ascii="Times New Roman" w:hAnsi="Times New Roman" w:cs="Times New Roman"/>
        </w:rPr>
        <w:t>1.</w:t>
      </w:r>
      <w:r w:rsidR="00F9094B" w:rsidRPr="00692EDC">
        <w:rPr>
          <w:rFonts w:ascii="Times New Roman" w:hAnsi="Times New Roman" w:cs="Times New Roman"/>
        </w:rPr>
        <w:t xml:space="preserve"> </w:t>
      </w:r>
      <w:r w:rsidR="00E05CDF">
        <w:rPr>
          <w:rFonts w:ascii="Times New Roman" w:hAnsi="Times New Roman" w:cs="Times New Roman"/>
        </w:rPr>
        <w:t>23.</w:t>
      </w:r>
    </w:p>
  </w:footnote>
  <w:footnote w:id="50">
    <w:p w:rsidR="005E457C" w:rsidRPr="00692EDC" w:rsidRDefault="005E457C" w:rsidP="00531DB4">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Xen. Const. Lac. 5.2</w:t>
      </w:r>
    </w:p>
  </w:footnote>
  <w:footnote w:id="51">
    <w:p w:rsidR="005E457C" w:rsidRPr="00692EDC" w:rsidRDefault="005E457C" w:rsidP="00531DB4">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B75857" w:rsidRPr="00692EDC">
        <w:rPr>
          <w:rFonts w:ascii="Times New Roman" w:hAnsi="Times New Roman" w:cs="Times New Roman"/>
        </w:rPr>
        <w:t xml:space="preserve">Cartledge, 2001. </w:t>
      </w:r>
    </w:p>
  </w:footnote>
  <w:footnote w:id="52">
    <w:p w:rsidR="005E457C" w:rsidRPr="00692EDC" w:rsidRDefault="005E457C" w:rsidP="00531DB4">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C2715F" w:rsidRPr="00692EDC">
        <w:rPr>
          <w:rFonts w:ascii="Times New Roman" w:hAnsi="Times New Roman" w:cs="Times New Roman"/>
        </w:rPr>
        <w:t xml:space="preserve">Hodkinson, </w:t>
      </w:r>
      <w:r w:rsidR="00B75857" w:rsidRPr="00692EDC">
        <w:rPr>
          <w:rFonts w:ascii="Times New Roman" w:hAnsi="Times New Roman" w:cs="Times New Roman"/>
        </w:rPr>
        <w:t>2014. 23. The hoplites would remain in barracks until thirty years old when they were considered full citizens and able to take up a residential home with their families.</w:t>
      </w:r>
    </w:p>
  </w:footnote>
  <w:footnote w:id="53">
    <w:p w:rsidR="005E457C" w:rsidRPr="00692EDC" w:rsidRDefault="005E457C" w:rsidP="00531DB4">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7C26B8" w:rsidRPr="00692EDC">
        <w:rPr>
          <w:rFonts w:ascii="Times New Roman" w:hAnsi="Times New Roman" w:cs="Times New Roman"/>
        </w:rPr>
        <w:t>Hawkins, 2011. 423.</w:t>
      </w:r>
    </w:p>
  </w:footnote>
  <w:footnote w:id="54">
    <w:p w:rsidR="005E457C" w:rsidRPr="00692EDC" w:rsidRDefault="005E457C" w:rsidP="00531DB4">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 Ages. 1</w:t>
      </w:r>
    </w:p>
  </w:footnote>
  <w:footnote w:id="55">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Hdt. 5.39</w:t>
      </w:r>
    </w:p>
  </w:footnote>
  <w:footnote w:id="56">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Hdt. 6.75</w:t>
      </w:r>
    </w:p>
  </w:footnote>
  <w:footnote w:id="57">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David, 1978. 486.</w:t>
      </w:r>
    </w:p>
  </w:footnote>
  <w:footnote w:id="58">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David, 1978. 487; Plato.</w:t>
      </w:r>
      <w:r w:rsidRPr="00692EDC">
        <w:rPr>
          <w:rFonts w:ascii="Times New Roman" w:hAnsi="Times New Roman" w:cs="Times New Roman"/>
          <w:i/>
        </w:rPr>
        <w:t>Leg.</w:t>
      </w:r>
      <w:r w:rsidRPr="00692EDC">
        <w:rPr>
          <w:rFonts w:ascii="Times New Roman" w:hAnsi="Times New Roman" w:cs="Times New Roman"/>
        </w:rPr>
        <w:t>762.</w:t>
      </w:r>
    </w:p>
  </w:footnote>
  <w:footnote w:id="59">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David, 1978. 486.</w:t>
      </w:r>
    </w:p>
  </w:footnote>
  <w:footnote w:id="60">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David, 1978. 486.</w:t>
      </w:r>
    </w:p>
  </w:footnote>
  <w:footnote w:id="61">
    <w:p w:rsidR="005E457C" w:rsidRPr="00692EDC" w:rsidRDefault="005E457C">
      <w:pPr>
        <w:pStyle w:val="FootnoteText"/>
        <w:rPr>
          <w:rFonts w:ascii="Times New Roman" w:hAnsi="Times New Roman" w:cs="Times New Roman"/>
          <w:u w:val="single"/>
        </w:rPr>
      </w:pPr>
      <w:r w:rsidRPr="00692EDC">
        <w:rPr>
          <w:rStyle w:val="FootnoteReference"/>
          <w:rFonts w:ascii="Times New Roman" w:hAnsi="Times New Roman" w:cs="Times New Roman"/>
        </w:rPr>
        <w:footnoteRef/>
      </w:r>
      <w:r w:rsidRPr="00692EDC">
        <w:rPr>
          <w:rFonts w:ascii="Times New Roman" w:hAnsi="Times New Roman" w:cs="Times New Roman"/>
        </w:rPr>
        <w:t xml:space="preserve"> Arist.</w:t>
      </w:r>
      <w:r w:rsidRPr="00692EDC">
        <w:rPr>
          <w:rFonts w:ascii="Times New Roman" w:hAnsi="Times New Roman" w:cs="Times New Roman"/>
          <w:i/>
        </w:rPr>
        <w:t>Pol.</w:t>
      </w:r>
      <w:r w:rsidRPr="00692EDC">
        <w:rPr>
          <w:rFonts w:ascii="Times New Roman" w:hAnsi="Times New Roman" w:cs="Times New Roman"/>
        </w:rPr>
        <w:t>1271a. 28.</w:t>
      </w:r>
    </w:p>
  </w:footnote>
  <w:footnote w:id="62">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Plato.</w:t>
      </w:r>
      <w:r w:rsidRPr="00692EDC">
        <w:rPr>
          <w:rFonts w:ascii="Times New Roman" w:hAnsi="Times New Roman" w:cs="Times New Roman"/>
          <w:i/>
        </w:rPr>
        <w:t>Leg</w:t>
      </w:r>
      <w:r w:rsidRPr="00692EDC">
        <w:rPr>
          <w:rFonts w:ascii="Times New Roman" w:hAnsi="Times New Roman" w:cs="Times New Roman"/>
        </w:rPr>
        <w:t>.625c; 633a; 636a; Arist.</w:t>
      </w:r>
      <w:r w:rsidRPr="00692EDC">
        <w:rPr>
          <w:rFonts w:ascii="Times New Roman" w:hAnsi="Times New Roman" w:cs="Times New Roman"/>
          <w:i/>
        </w:rPr>
        <w:t>Pol.</w:t>
      </w:r>
      <w:r w:rsidRPr="00692EDC">
        <w:rPr>
          <w:rFonts w:ascii="Times New Roman" w:hAnsi="Times New Roman" w:cs="Times New Roman"/>
        </w:rPr>
        <w:t>1272a.16; 1263b.40.</w:t>
      </w:r>
    </w:p>
  </w:footnote>
  <w:footnote w:id="63">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7C26B8" w:rsidRPr="00692EDC">
        <w:rPr>
          <w:rFonts w:ascii="Times New Roman" w:hAnsi="Times New Roman" w:cs="Times New Roman"/>
        </w:rPr>
        <w:t>Cartledge, 20</w:t>
      </w:r>
      <w:r w:rsidR="00F929F2" w:rsidRPr="00692EDC">
        <w:rPr>
          <w:rFonts w:ascii="Times New Roman" w:hAnsi="Times New Roman" w:cs="Times New Roman"/>
        </w:rPr>
        <w:t>0</w:t>
      </w:r>
      <w:r w:rsidR="007C26B8" w:rsidRPr="00692EDC">
        <w:rPr>
          <w:rFonts w:ascii="Times New Roman" w:hAnsi="Times New Roman" w:cs="Times New Roman"/>
        </w:rPr>
        <w:t>1.</w:t>
      </w:r>
      <w:r w:rsidR="00F9094B" w:rsidRPr="00E05CDF">
        <w:rPr>
          <w:rFonts w:ascii="Times New Roman" w:hAnsi="Times New Roman" w:cs="Times New Roman"/>
        </w:rPr>
        <w:t xml:space="preserve"> </w:t>
      </w:r>
      <w:r w:rsidR="00E05CDF" w:rsidRPr="00E05CDF">
        <w:rPr>
          <w:rFonts w:ascii="Times New Roman" w:hAnsi="Times New Roman" w:cs="Times New Roman"/>
        </w:rPr>
        <w:t>81.</w:t>
      </w:r>
    </w:p>
  </w:footnote>
  <w:footnote w:id="64">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w:t>
      </w:r>
      <w:r w:rsidR="00F929F2" w:rsidRPr="00692EDC">
        <w:rPr>
          <w:rFonts w:ascii="Times New Roman" w:hAnsi="Times New Roman" w:cs="Times New Roman"/>
        </w:rPr>
        <w:t>, 2001</w:t>
      </w:r>
      <w:r w:rsidR="00E05CDF">
        <w:rPr>
          <w:rFonts w:ascii="Times New Roman" w:hAnsi="Times New Roman" w:cs="Times New Roman"/>
        </w:rPr>
        <w:t>. 81, 84</w:t>
      </w:r>
      <w:r w:rsidRPr="00692EDC">
        <w:rPr>
          <w:rFonts w:ascii="Times New Roman" w:hAnsi="Times New Roman" w:cs="Times New Roman"/>
        </w:rPr>
        <w:t>; Beck, 1993</w:t>
      </w:r>
    </w:p>
  </w:footnote>
  <w:footnote w:id="65">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Hodkinson, 2014. 26.</w:t>
      </w:r>
    </w:p>
  </w:footnote>
  <w:footnote w:id="66">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Hodkinson, 2014. 25.</w:t>
      </w:r>
    </w:p>
  </w:footnote>
  <w:footnote w:id="67">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Hodkinson, 2014. 25.</w:t>
      </w:r>
    </w:p>
  </w:footnote>
  <w:footnote w:id="68">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Hawkins, 2011. 423; See earlier discussion of the Perioikoi in Lacedamonia.</w:t>
      </w:r>
    </w:p>
  </w:footnote>
  <w:footnote w:id="69">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Hodkinson, 2014. </w:t>
      </w:r>
    </w:p>
  </w:footnote>
  <w:footnote w:id="70">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 2001.</w:t>
      </w:r>
      <w:r w:rsidRPr="00E05CDF">
        <w:rPr>
          <w:rFonts w:ascii="Times New Roman" w:hAnsi="Times New Roman" w:cs="Times New Roman"/>
        </w:rPr>
        <w:t xml:space="preserve"> </w:t>
      </w:r>
      <w:r w:rsidR="00E05CDF" w:rsidRPr="00E05CDF">
        <w:rPr>
          <w:rFonts w:ascii="Times New Roman" w:hAnsi="Times New Roman" w:cs="Times New Roman"/>
        </w:rPr>
        <w:t>85.</w:t>
      </w:r>
    </w:p>
  </w:footnote>
  <w:footnote w:id="71">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 2001. 86.</w:t>
      </w:r>
    </w:p>
  </w:footnote>
  <w:footnote w:id="72">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 2001. 89.</w:t>
      </w:r>
    </w:p>
  </w:footnote>
  <w:footnote w:id="73">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See earlier discussion of Perioikoi and the integration of the Perioikoi into Spartan </w:t>
      </w:r>
      <w:r w:rsidRPr="00692EDC">
        <w:rPr>
          <w:rFonts w:ascii="Times New Roman" w:hAnsi="Times New Roman" w:cs="Times New Roman"/>
          <w:i/>
        </w:rPr>
        <w:t>morai.</w:t>
      </w:r>
    </w:p>
  </w:footnote>
  <w:footnote w:id="74">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Hamilton, 1970. 295.</w:t>
      </w:r>
    </w:p>
  </w:footnote>
  <w:footnote w:id="75">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BD379D" w:rsidRPr="00692EDC">
        <w:rPr>
          <w:rFonts w:ascii="Times New Roman" w:hAnsi="Times New Roman" w:cs="Times New Roman"/>
        </w:rPr>
        <w:t>Diod. 11.50</w:t>
      </w:r>
      <w:r w:rsidR="00F9094B" w:rsidRPr="00692EDC">
        <w:rPr>
          <w:rFonts w:ascii="Times New Roman" w:hAnsi="Times New Roman" w:cs="Times New Roman"/>
        </w:rPr>
        <w:t>; Hamilton, 1970. 295.</w:t>
      </w:r>
    </w:p>
  </w:footnote>
  <w:footnote w:id="76">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BD379D" w:rsidRPr="00692EDC">
        <w:rPr>
          <w:rFonts w:ascii="Times New Roman" w:hAnsi="Times New Roman" w:cs="Times New Roman"/>
        </w:rPr>
        <w:t>Gilbert, 1896. 47.</w:t>
      </w:r>
    </w:p>
  </w:footnote>
  <w:footnote w:id="77">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Hamilton, 1970. 295; Thuc.5.36.</w:t>
      </w:r>
    </w:p>
  </w:footnote>
  <w:footnote w:id="78">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7B71B5" w:rsidRPr="00692EDC">
        <w:rPr>
          <w:rFonts w:ascii="Times New Roman" w:hAnsi="Times New Roman" w:cs="Times New Roman"/>
        </w:rPr>
        <w:t>Hall, 2007. 129.</w:t>
      </w:r>
    </w:p>
  </w:footnote>
  <w:footnote w:id="79">
    <w:p w:rsidR="005E457C" w:rsidRPr="00692EDC" w:rsidRDefault="005E457C">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F929F2" w:rsidRPr="00692EDC">
        <w:rPr>
          <w:rFonts w:ascii="Times New Roman" w:hAnsi="Times New Roman" w:cs="Times New Roman"/>
        </w:rPr>
        <w:t>Cartledge, 200</w:t>
      </w:r>
      <w:r w:rsidR="007C26B8" w:rsidRPr="00692EDC">
        <w:rPr>
          <w:rFonts w:ascii="Times New Roman" w:hAnsi="Times New Roman" w:cs="Times New Roman"/>
        </w:rPr>
        <w:t>1.</w:t>
      </w:r>
      <w:r w:rsidR="00E05CDF">
        <w:rPr>
          <w:rFonts w:ascii="Times New Roman" w:hAnsi="Times New Roman" w:cs="Times New Roman"/>
        </w:rPr>
        <w:t xml:space="preserve"> 23.</w:t>
      </w:r>
    </w:p>
  </w:footnote>
  <w:footnote w:id="80">
    <w:p w:rsidR="005E457C" w:rsidRPr="00692EDC" w:rsidRDefault="005E457C" w:rsidP="00356AD5">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692EDC">
        <w:rPr>
          <w:rFonts w:ascii="Times New Roman" w:hAnsi="Times New Roman" w:cs="Times New Roman"/>
        </w:rPr>
        <w:t>Pomeroy, 2002.</w:t>
      </w:r>
    </w:p>
  </w:footnote>
  <w:footnote w:id="81">
    <w:p w:rsidR="005E457C" w:rsidRPr="00692EDC" w:rsidRDefault="005E457C" w:rsidP="00356AD5">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692EDC">
        <w:rPr>
          <w:rFonts w:ascii="Times New Roman" w:hAnsi="Times New Roman" w:cs="Times New Roman"/>
        </w:rPr>
        <w:t>Pomeroy, 2002.</w:t>
      </w:r>
    </w:p>
  </w:footnote>
  <w:footnote w:id="82">
    <w:p w:rsidR="005E457C" w:rsidRPr="00692EDC" w:rsidRDefault="005E457C" w:rsidP="00356AD5">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F929F2" w:rsidRPr="00692EDC">
        <w:rPr>
          <w:rFonts w:ascii="Times New Roman" w:hAnsi="Times New Roman" w:cs="Times New Roman"/>
        </w:rPr>
        <w:t>Cartledge, 2011. 76.</w:t>
      </w:r>
    </w:p>
  </w:footnote>
  <w:footnote w:id="83">
    <w:p w:rsidR="005E457C" w:rsidRPr="00692EDC" w:rsidRDefault="005E457C" w:rsidP="00356AD5">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Plat. </w:t>
      </w:r>
      <w:r w:rsidRPr="00692EDC">
        <w:rPr>
          <w:rFonts w:ascii="Times New Roman" w:hAnsi="Times New Roman" w:cs="Times New Roman"/>
          <w:i/>
        </w:rPr>
        <w:t>Rep</w:t>
      </w:r>
      <w:r w:rsidRPr="00692EDC">
        <w:rPr>
          <w:rFonts w:ascii="Times New Roman" w:hAnsi="Times New Roman" w:cs="Times New Roman"/>
        </w:rPr>
        <w:t>. 1.341b</w:t>
      </w:r>
    </w:p>
  </w:footnote>
  <w:footnote w:id="84">
    <w:p w:rsidR="005E457C" w:rsidRPr="00692EDC" w:rsidRDefault="005E457C" w:rsidP="00356AD5">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 1979. 139</w:t>
      </w:r>
    </w:p>
  </w:footnote>
  <w:footnote w:id="85">
    <w:p w:rsidR="005E457C" w:rsidRPr="00692EDC" w:rsidRDefault="005E457C" w:rsidP="00356AD5">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 1979. 140</w:t>
      </w:r>
    </w:p>
  </w:footnote>
  <w:footnote w:id="86">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Thuc. 2.27</w:t>
      </w:r>
    </w:p>
  </w:footnote>
  <w:footnote w:id="87">
    <w:p w:rsidR="005E457C" w:rsidRPr="00692EDC" w:rsidRDefault="005E457C" w:rsidP="00B346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w:t>
      </w:r>
      <w:r w:rsidRPr="00692EDC">
        <w:rPr>
          <w:rFonts w:ascii="Times New Roman" w:hAnsi="Times New Roman" w:cs="Times New Roman"/>
          <w:i/>
        </w:rPr>
        <w:t>Cimon.</w:t>
      </w:r>
      <w:r w:rsidRPr="00692EDC">
        <w:rPr>
          <w:rFonts w:ascii="Times New Roman" w:hAnsi="Times New Roman" w:cs="Times New Roman"/>
        </w:rPr>
        <w:t>16-17; Diod.11.63-64; Paus.1.29.8-9, 4.24.5-7.</w:t>
      </w:r>
    </w:p>
  </w:footnote>
  <w:footnote w:id="88">
    <w:p w:rsidR="005E457C" w:rsidRPr="00692EDC" w:rsidRDefault="005E457C" w:rsidP="00B346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French, 1955.113.</w:t>
      </w:r>
    </w:p>
  </w:footnote>
  <w:footnote w:id="89">
    <w:p w:rsidR="005E457C" w:rsidRPr="00692EDC" w:rsidRDefault="005E457C" w:rsidP="00B346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Diod. 11.64</w:t>
      </w:r>
    </w:p>
  </w:footnote>
  <w:footnote w:id="90">
    <w:p w:rsidR="005E457C" w:rsidRPr="00692EDC" w:rsidRDefault="005E457C" w:rsidP="00B3464B">
      <w:pPr>
        <w:pStyle w:val="FootnoteText"/>
        <w:rPr>
          <w:rFonts w:ascii="Times New Roman" w:hAnsi="Times New Roman" w:cs="Times New Roman"/>
          <w:color w:val="FF0000"/>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676D88" w:rsidRPr="00692EDC">
        <w:rPr>
          <w:rFonts w:ascii="Times New Roman" w:hAnsi="Times New Roman" w:cs="Times New Roman"/>
        </w:rPr>
        <w:t xml:space="preserve">Plut. </w:t>
      </w:r>
      <w:r w:rsidR="00676D88" w:rsidRPr="00692EDC">
        <w:rPr>
          <w:rFonts w:ascii="Times New Roman" w:hAnsi="Times New Roman" w:cs="Times New Roman"/>
          <w:i/>
        </w:rPr>
        <w:t>Lyc</w:t>
      </w:r>
      <w:r w:rsidR="00676D88" w:rsidRPr="00692EDC">
        <w:rPr>
          <w:rFonts w:ascii="Times New Roman" w:hAnsi="Times New Roman" w:cs="Times New Roman"/>
        </w:rPr>
        <w:t>. 28.2.</w:t>
      </w:r>
    </w:p>
  </w:footnote>
  <w:footnote w:id="91">
    <w:p w:rsidR="005E457C" w:rsidRPr="00692EDC" w:rsidRDefault="005E457C" w:rsidP="00B346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676D88" w:rsidRPr="00692EDC">
        <w:rPr>
          <w:rFonts w:ascii="Times New Roman" w:hAnsi="Times New Roman" w:cs="Times New Roman"/>
        </w:rPr>
        <w:t xml:space="preserve">Plut. </w:t>
      </w:r>
      <w:r w:rsidR="00676D88" w:rsidRPr="00692EDC">
        <w:rPr>
          <w:rFonts w:ascii="Times New Roman" w:hAnsi="Times New Roman" w:cs="Times New Roman"/>
          <w:i/>
        </w:rPr>
        <w:t>Lyc</w:t>
      </w:r>
      <w:r w:rsidR="00676D88" w:rsidRPr="00692EDC">
        <w:rPr>
          <w:rFonts w:ascii="Times New Roman" w:hAnsi="Times New Roman" w:cs="Times New Roman"/>
        </w:rPr>
        <w:t>. 28.4. The ephors would annually declare war on the Helots to avoid the impiety that came with murder.</w:t>
      </w:r>
    </w:p>
  </w:footnote>
  <w:footnote w:id="92">
    <w:p w:rsidR="005E457C" w:rsidRPr="00692EDC" w:rsidRDefault="005E457C" w:rsidP="00B346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Welwei, 1974, 63, 120-6</w:t>
      </w:r>
    </w:p>
  </w:footnote>
  <w:footnote w:id="93">
    <w:p w:rsidR="005E457C" w:rsidRPr="00692EDC" w:rsidRDefault="005E457C" w:rsidP="00B346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 1979, 140.</w:t>
      </w:r>
    </w:p>
  </w:footnote>
  <w:footnote w:id="94">
    <w:p w:rsidR="005E457C" w:rsidRPr="00692EDC" w:rsidRDefault="005E457C" w:rsidP="00B346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Cartledge, 1979. 210; Thuc. 5.34.</w:t>
      </w:r>
    </w:p>
  </w:footnote>
  <w:footnote w:id="95">
    <w:p w:rsidR="005E457C" w:rsidRPr="00692EDC" w:rsidRDefault="005E457C" w:rsidP="00C360E1">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Welwei, 1974, 63, 120-6</w:t>
      </w:r>
    </w:p>
  </w:footnote>
  <w:footnote w:id="96">
    <w:p w:rsidR="005E457C" w:rsidRPr="00692EDC" w:rsidRDefault="005E457C" w:rsidP="00C360E1">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8C1882" w:rsidRPr="00692EDC">
        <w:rPr>
          <w:rFonts w:ascii="Times New Roman" w:hAnsi="Times New Roman" w:cs="Times New Roman"/>
        </w:rPr>
        <w:t>Thuc. 5.34</w:t>
      </w:r>
      <w:r w:rsidR="00DD3531" w:rsidRPr="00692EDC">
        <w:rPr>
          <w:rFonts w:ascii="Times New Roman" w:hAnsi="Times New Roman" w:cs="Times New Roman"/>
        </w:rPr>
        <w:t>; Hdt. 6. 80; 8. 25. The latter provides evidence of Helots accompanying Cleomenes on campaign.</w:t>
      </w:r>
    </w:p>
  </w:footnote>
  <w:footnote w:id="97">
    <w:p w:rsidR="005E457C" w:rsidRPr="00692EDC" w:rsidRDefault="005E457C" w:rsidP="00C360E1">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Plut. </w:t>
      </w:r>
      <w:r w:rsidRPr="00692EDC">
        <w:rPr>
          <w:rFonts w:ascii="Times New Roman" w:hAnsi="Times New Roman" w:cs="Times New Roman"/>
          <w:i/>
        </w:rPr>
        <w:t>Lyc.</w:t>
      </w:r>
      <w:r w:rsidRPr="00692EDC">
        <w:rPr>
          <w:rFonts w:ascii="Times New Roman" w:hAnsi="Times New Roman" w:cs="Times New Roman"/>
        </w:rPr>
        <w:t xml:space="preserve"> 5.1, Xen. </w:t>
      </w:r>
      <w:r w:rsidRPr="00692EDC">
        <w:rPr>
          <w:rFonts w:ascii="Times New Roman" w:hAnsi="Times New Roman" w:cs="Times New Roman"/>
          <w:i/>
        </w:rPr>
        <w:t>Const. Lac.</w:t>
      </w:r>
      <w:r w:rsidRPr="00692EDC">
        <w:rPr>
          <w:rFonts w:ascii="Times New Roman" w:hAnsi="Times New Roman" w:cs="Times New Roman"/>
        </w:rPr>
        <w:t xml:space="preserve"> 7.3</w:t>
      </w:r>
    </w:p>
  </w:footnote>
  <w:footnote w:id="98">
    <w:p w:rsidR="005E457C" w:rsidRPr="00692EDC" w:rsidRDefault="005E457C" w:rsidP="00C360E1">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7C26B8" w:rsidRPr="00692EDC">
        <w:rPr>
          <w:rFonts w:ascii="Times New Roman" w:hAnsi="Times New Roman" w:cs="Times New Roman"/>
        </w:rPr>
        <w:t>Cartledge, 1979. 210; Thuc. 5.34.</w:t>
      </w:r>
    </w:p>
  </w:footnote>
  <w:footnote w:id="99">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David, 1978. 486</w:t>
      </w:r>
    </w:p>
  </w:footnote>
  <w:footnote w:id="100">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David, 1978. 486.</w:t>
      </w:r>
    </w:p>
  </w:footnote>
  <w:footnote w:id="101">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902E1C" w:rsidRPr="00692EDC">
        <w:rPr>
          <w:rFonts w:ascii="Times New Roman" w:hAnsi="Times New Roman" w:cs="Times New Roman"/>
        </w:rPr>
        <w:t>Hilbert, 2018. 67; Xen.</w:t>
      </w:r>
      <w:r w:rsidR="00902E1C" w:rsidRPr="00692EDC">
        <w:rPr>
          <w:rFonts w:ascii="Times New Roman" w:hAnsi="Times New Roman" w:cs="Times New Roman"/>
          <w:i/>
        </w:rPr>
        <w:t>Hell.</w:t>
      </w:r>
      <w:r w:rsidR="00902E1C" w:rsidRPr="00692EDC">
        <w:rPr>
          <w:rFonts w:ascii="Times New Roman" w:hAnsi="Times New Roman" w:cs="Times New Roman"/>
        </w:rPr>
        <w:t>5.2.27</w:t>
      </w:r>
    </w:p>
  </w:footnote>
  <w:footnote w:id="102">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902E1C" w:rsidRPr="00692EDC">
        <w:rPr>
          <w:rFonts w:ascii="Times New Roman" w:hAnsi="Times New Roman" w:cs="Times New Roman"/>
        </w:rPr>
        <w:t>Kennel, 2010. 139.</w:t>
      </w:r>
    </w:p>
  </w:footnote>
  <w:footnote w:id="103">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Hilbert, 2018. 91</w:t>
      </w:r>
    </w:p>
  </w:footnote>
  <w:footnote w:id="104">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Hilbert, 2018. 91</w:t>
      </w:r>
    </w:p>
  </w:footnote>
  <w:footnote w:id="105">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902E1C" w:rsidRPr="00692EDC">
        <w:rPr>
          <w:rFonts w:ascii="Times New Roman" w:hAnsi="Times New Roman" w:cs="Times New Roman"/>
        </w:rPr>
        <w:t>Hilbert, 2018. 91.</w:t>
      </w:r>
    </w:p>
  </w:footnote>
  <w:footnote w:id="106">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902E1C" w:rsidRPr="00692EDC">
        <w:rPr>
          <w:rFonts w:ascii="Times New Roman" w:hAnsi="Times New Roman" w:cs="Times New Roman"/>
        </w:rPr>
        <w:t>Diod. 11.6</w:t>
      </w:r>
    </w:p>
  </w:footnote>
  <w:footnote w:id="107">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Diod.7.70.1.</w:t>
      </w:r>
    </w:p>
  </w:footnote>
  <w:footnote w:id="108">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Hdt.1.82. Herodotus records how the commanders of the armies of Sparta and Argos agreed to choose three hundred of their best fighters, or ‘champions’, to fight a duel type battle in order to spare the lives of their armies. </w:t>
      </w:r>
    </w:p>
  </w:footnote>
  <w:footnote w:id="109">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Hilbert, 2018. 91; Plato, 1932. 178.</w:t>
      </w:r>
    </w:p>
  </w:footnote>
  <w:footnote w:id="110">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902E1C" w:rsidRPr="00692EDC">
        <w:rPr>
          <w:rFonts w:ascii="Times New Roman" w:hAnsi="Times New Roman" w:cs="Times New Roman"/>
        </w:rPr>
        <w:t>Hilbert, 2018. 92.</w:t>
      </w:r>
    </w:p>
  </w:footnote>
  <w:footnote w:id="111">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902E1C" w:rsidRPr="00692EDC">
        <w:rPr>
          <w:rFonts w:ascii="Times New Roman" w:hAnsi="Times New Roman" w:cs="Times New Roman"/>
        </w:rPr>
        <w:t>Hilbert, 2018.92.</w:t>
      </w:r>
    </w:p>
  </w:footnote>
  <w:footnote w:id="112">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092B3F" w:rsidRPr="00692EDC">
        <w:rPr>
          <w:rFonts w:ascii="Times New Roman" w:hAnsi="Times New Roman" w:cs="Times New Roman"/>
        </w:rPr>
        <w:t>Hilbert, 2018. 92.</w:t>
      </w:r>
    </w:p>
  </w:footnote>
  <w:footnote w:id="113">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092B3F" w:rsidRPr="00692EDC">
        <w:rPr>
          <w:rFonts w:ascii="Times New Roman" w:hAnsi="Times New Roman" w:cs="Times New Roman"/>
        </w:rPr>
        <w:t>Hilbert, 2018. 91.</w:t>
      </w:r>
    </w:p>
  </w:footnote>
  <w:footnote w:id="114">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Hilbert, 2018. </w:t>
      </w:r>
      <w:r w:rsidR="008C1882" w:rsidRPr="00692EDC">
        <w:rPr>
          <w:rFonts w:ascii="Times New Roman" w:hAnsi="Times New Roman" w:cs="Times New Roman"/>
        </w:rPr>
        <w:t>92.</w:t>
      </w:r>
    </w:p>
  </w:footnote>
  <w:footnote w:id="115">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Hilbert, 2018. </w:t>
      </w:r>
      <w:r w:rsidR="008C1882" w:rsidRPr="00692EDC">
        <w:rPr>
          <w:rFonts w:ascii="Times New Roman" w:hAnsi="Times New Roman" w:cs="Times New Roman"/>
        </w:rPr>
        <w:t>92.</w:t>
      </w:r>
    </w:p>
  </w:footnote>
  <w:footnote w:id="116">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Kelly, 1974. 81.</w:t>
      </w:r>
    </w:p>
  </w:footnote>
  <w:footnote w:id="117">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Kelly, 1974. 82.</w:t>
      </w:r>
    </w:p>
  </w:footnote>
  <w:footnote w:id="118">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Kelly, 1974. 85.</w:t>
      </w:r>
    </w:p>
  </w:footnote>
  <w:footnote w:id="119">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Kelly, 1974. 85.</w:t>
      </w:r>
    </w:p>
  </w:footnote>
  <w:footnote w:id="120">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Kagan, 1962. 210.</w:t>
      </w:r>
    </w:p>
  </w:footnote>
  <w:footnote w:id="121">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Thuc.4.42.3.</w:t>
      </w:r>
    </w:p>
  </w:footnote>
  <w:footnote w:id="122">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Kagan, 1962. 210.</w:t>
      </w:r>
    </w:p>
  </w:footnote>
  <w:footnote w:id="123">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Kagan, 1962. 210.</w:t>
      </w:r>
    </w:p>
  </w:footnote>
  <w:footnote w:id="124">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Kagan, 1962. 210.</w:t>
      </w:r>
    </w:p>
  </w:footnote>
  <w:footnote w:id="125">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Kagan, 1962. 211.</w:t>
      </w:r>
    </w:p>
  </w:footnote>
  <w:footnote w:id="126">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Diod.12.75.7; Kagan, 1962. 211.</w:t>
      </w:r>
    </w:p>
  </w:footnote>
  <w:footnote w:id="127">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Kagan, 1962. 211.</w:t>
      </w:r>
    </w:p>
  </w:footnote>
  <w:footnote w:id="128">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Kagan, 1962. 211.</w:t>
      </w:r>
    </w:p>
  </w:footnote>
  <w:footnote w:id="129">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Thuc.5.72.3-4.</w:t>
      </w:r>
    </w:p>
  </w:footnote>
  <w:footnote w:id="130">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Kagan, 1962. 216. Diod.12.79.6.</w:t>
      </w:r>
    </w:p>
  </w:footnote>
  <w:footnote w:id="131">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Thuc.5.73.4.</w:t>
      </w:r>
    </w:p>
  </w:footnote>
  <w:footnote w:id="132">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Kagan, 1962. 216.</w:t>
      </w:r>
    </w:p>
  </w:footnote>
  <w:footnote w:id="133">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 xml:space="preserve">Best, 1969. 4. </w:t>
      </w:r>
    </w:p>
  </w:footnote>
  <w:footnote w:id="134">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Parke, 1933. </w:t>
      </w:r>
      <w:r w:rsidRPr="00692EDC">
        <w:rPr>
          <w:rFonts w:ascii="Times New Roman" w:hAnsi="Times New Roman" w:cs="Times New Roman"/>
          <w:lang w:val="en-US"/>
        </w:rPr>
        <w:t>45.</w:t>
      </w:r>
    </w:p>
  </w:footnote>
  <w:footnote w:id="135">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Xen.</w:t>
      </w:r>
      <w:r w:rsidRPr="00692EDC">
        <w:rPr>
          <w:rFonts w:ascii="Times New Roman" w:hAnsi="Times New Roman" w:cs="Times New Roman"/>
          <w:i/>
          <w:lang w:val="en-US"/>
        </w:rPr>
        <w:t>Hell.</w:t>
      </w:r>
      <w:r w:rsidRPr="00692EDC">
        <w:rPr>
          <w:rFonts w:ascii="Times New Roman" w:hAnsi="Times New Roman" w:cs="Times New Roman"/>
          <w:lang w:val="en-US"/>
        </w:rPr>
        <w:t>4.1.21.</w:t>
      </w:r>
    </w:p>
  </w:footnote>
  <w:footnote w:id="136">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Best, 1969. 14.</w:t>
      </w:r>
    </w:p>
  </w:footnote>
  <w:footnote w:id="137">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Hdt.3.90.2, 7.75; Thuc.4.75.2; Xen.</w:t>
      </w:r>
      <w:r w:rsidRPr="00692EDC">
        <w:rPr>
          <w:rFonts w:ascii="Times New Roman" w:hAnsi="Times New Roman" w:cs="Times New Roman"/>
          <w:i/>
          <w:lang w:val="en-US"/>
        </w:rPr>
        <w:t>An</w:t>
      </w:r>
      <w:r w:rsidR="007B71B5" w:rsidRPr="00692EDC">
        <w:rPr>
          <w:rFonts w:ascii="Times New Roman" w:hAnsi="Times New Roman" w:cs="Times New Roman"/>
          <w:i/>
          <w:lang w:val="en-US"/>
        </w:rPr>
        <w:t>ab</w:t>
      </w:r>
      <w:r w:rsidRPr="00692EDC">
        <w:rPr>
          <w:rFonts w:ascii="Times New Roman" w:hAnsi="Times New Roman" w:cs="Times New Roman"/>
          <w:i/>
          <w:lang w:val="en-US"/>
        </w:rPr>
        <w:t>.</w:t>
      </w:r>
      <w:r w:rsidRPr="00692EDC">
        <w:rPr>
          <w:rFonts w:ascii="Times New Roman" w:hAnsi="Times New Roman" w:cs="Times New Roman"/>
          <w:lang w:val="en-US"/>
        </w:rPr>
        <w:t>6.2.17-18, 4.1-2; Xen.</w:t>
      </w:r>
      <w:r w:rsidRPr="00692EDC">
        <w:rPr>
          <w:rFonts w:ascii="Times New Roman" w:hAnsi="Times New Roman" w:cs="Times New Roman"/>
          <w:i/>
          <w:lang w:val="en-US"/>
        </w:rPr>
        <w:t>Hell.</w:t>
      </w:r>
      <w:r w:rsidRPr="00692EDC">
        <w:rPr>
          <w:rFonts w:ascii="Times New Roman" w:hAnsi="Times New Roman" w:cs="Times New Roman"/>
          <w:lang w:val="en-US"/>
        </w:rPr>
        <w:t>1.3.2, 3.2.2; Strabo.7.3.2.</w:t>
      </w:r>
    </w:p>
  </w:footnote>
  <w:footnote w:id="138">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Hdt.7.73. Specifically referencing the Mysians and Phrygians.</w:t>
      </w:r>
    </w:p>
  </w:footnote>
  <w:footnote w:id="139">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proofErr w:type="gramStart"/>
      <w:r w:rsidRPr="00692EDC">
        <w:rPr>
          <w:rFonts w:ascii="Times New Roman" w:hAnsi="Times New Roman" w:cs="Times New Roman"/>
          <w:lang w:val="en-US"/>
        </w:rPr>
        <w:t>Best ,1969</w:t>
      </w:r>
      <w:proofErr w:type="gramEnd"/>
      <w:r w:rsidRPr="00692EDC">
        <w:rPr>
          <w:rFonts w:ascii="Times New Roman" w:hAnsi="Times New Roman" w:cs="Times New Roman"/>
          <w:lang w:val="en-US"/>
        </w:rPr>
        <w:t>. 5; Xen.</w:t>
      </w:r>
      <w:r w:rsidRPr="00692EDC">
        <w:rPr>
          <w:rFonts w:ascii="Times New Roman" w:hAnsi="Times New Roman" w:cs="Times New Roman"/>
          <w:i/>
          <w:lang w:val="en-US"/>
        </w:rPr>
        <w:t>An</w:t>
      </w:r>
      <w:r w:rsidR="007B71B5" w:rsidRPr="00692EDC">
        <w:rPr>
          <w:rFonts w:ascii="Times New Roman" w:hAnsi="Times New Roman" w:cs="Times New Roman"/>
          <w:i/>
          <w:lang w:val="en-US"/>
        </w:rPr>
        <w:t>ab</w:t>
      </w:r>
      <w:r w:rsidRPr="00692EDC">
        <w:rPr>
          <w:rFonts w:ascii="Times New Roman" w:hAnsi="Times New Roman" w:cs="Times New Roman"/>
          <w:i/>
          <w:lang w:val="en-US"/>
        </w:rPr>
        <w:t>.</w:t>
      </w:r>
      <w:r w:rsidRPr="00692EDC">
        <w:rPr>
          <w:rFonts w:ascii="Times New Roman" w:hAnsi="Times New Roman" w:cs="Times New Roman"/>
          <w:lang w:val="en-US"/>
        </w:rPr>
        <w:t>7.8.15. Where peltasts from Parthenion and Apollonia are mentioned as two Greek cities in Mysia under Persian rule. (Best, 1969. 15)</w:t>
      </w:r>
    </w:p>
  </w:footnote>
  <w:footnote w:id="140">
    <w:p w:rsidR="005E457C" w:rsidRPr="00692EDC" w:rsidRDefault="005E457C" w:rsidP="00B346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092B3F" w:rsidRPr="00692EDC">
        <w:rPr>
          <w:rFonts w:ascii="Times New Roman" w:hAnsi="Times New Roman" w:cs="Times New Roman"/>
        </w:rPr>
        <w:t xml:space="preserve">Best, 1969. </w:t>
      </w:r>
    </w:p>
  </w:footnote>
  <w:footnote w:id="141">
    <w:p w:rsidR="005E457C" w:rsidRPr="00692EDC" w:rsidRDefault="005E457C" w:rsidP="00B346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092B3F" w:rsidRPr="00692EDC">
        <w:rPr>
          <w:rFonts w:ascii="Times New Roman" w:hAnsi="Times New Roman" w:cs="Times New Roman"/>
        </w:rPr>
        <w:t>Best, 1969. 18.</w:t>
      </w:r>
    </w:p>
  </w:footnote>
  <w:footnote w:id="142">
    <w:p w:rsidR="005E457C" w:rsidRPr="00692EDC" w:rsidRDefault="005E457C" w:rsidP="00B346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092B3F" w:rsidRPr="00692EDC">
        <w:rPr>
          <w:rFonts w:ascii="Times New Roman" w:hAnsi="Times New Roman" w:cs="Times New Roman"/>
        </w:rPr>
        <w:t xml:space="preserve">Best, 1969. </w:t>
      </w:r>
      <w:r w:rsidR="008F361C" w:rsidRPr="00692EDC">
        <w:rPr>
          <w:rFonts w:ascii="Times New Roman" w:hAnsi="Times New Roman" w:cs="Times New Roman"/>
        </w:rPr>
        <w:t>23.</w:t>
      </w:r>
    </w:p>
  </w:footnote>
  <w:footnote w:id="143">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Best, 1969. 17; Thuc.3.94.3</w:t>
      </w:r>
    </w:p>
  </w:footnote>
  <w:footnote w:id="144">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Thuc.3.94.4.</w:t>
      </w:r>
    </w:p>
  </w:footnote>
  <w:footnote w:id="145">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Thuc.3.97.3.</w:t>
      </w:r>
    </w:p>
  </w:footnote>
  <w:footnote w:id="146">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Best, 1969. 18.</w:t>
      </w:r>
    </w:p>
  </w:footnote>
  <w:footnote w:id="147">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Best, 1969. 18.</w:t>
      </w:r>
    </w:p>
  </w:footnote>
  <w:footnote w:id="148">
    <w:p w:rsidR="005E457C" w:rsidRPr="00692EDC" w:rsidRDefault="005E457C" w:rsidP="00B3464B">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Best, 1969. 19.</w:t>
      </w:r>
    </w:p>
  </w:footnote>
  <w:footnote w:id="149">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See Chapter 2, sections on the Perioikoi and self-sufficiency</w:t>
      </w:r>
    </w:p>
  </w:footnote>
  <w:footnote w:id="150">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 xml:space="preserve">Miller, 1984. 153. </w:t>
      </w:r>
    </w:p>
  </w:footnote>
  <w:footnote w:id="151">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Miller, 1984. 153.</w:t>
      </w:r>
    </w:p>
  </w:footnote>
  <w:footnote w:id="152">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 xml:space="preserve">Miller, 1984. 153. </w:t>
      </w:r>
    </w:p>
  </w:footnote>
  <w:footnote w:id="153">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Miller, 1984. 154; Garlan, 1975. 17 ‘Peace was understood in a negative form, simply as an absence of war’</w:t>
      </w:r>
    </w:p>
  </w:footnote>
  <w:footnote w:id="154">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Miller, 1984. 154. Xen.</w:t>
      </w:r>
      <w:r w:rsidRPr="00692EDC">
        <w:rPr>
          <w:rFonts w:ascii="Times New Roman" w:hAnsi="Times New Roman" w:cs="Times New Roman"/>
          <w:i/>
          <w:lang w:val="en-US"/>
        </w:rPr>
        <w:t>Oec.</w:t>
      </w:r>
      <w:r w:rsidRPr="00692EDC">
        <w:rPr>
          <w:rFonts w:ascii="Times New Roman" w:hAnsi="Times New Roman" w:cs="Times New Roman"/>
          <w:lang w:val="en-US"/>
        </w:rPr>
        <w:t>3.6, 2.1.</w:t>
      </w:r>
    </w:p>
  </w:footnote>
  <w:footnote w:id="155">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Miller, 1884. 154; Demosthenes. 20.32, 56.7.</w:t>
      </w:r>
    </w:p>
  </w:footnote>
  <w:footnote w:id="156">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Miller, 1984. 154; Isocrates.5.121; Dem.14.31.</w:t>
      </w:r>
    </w:p>
  </w:footnote>
  <w:footnote w:id="157">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Parke, 1933.</w:t>
      </w:r>
    </w:p>
  </w:footnote>
  <w:footnote w:id="158">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Miller, 1984. 155.</w:t>
      </w:r>
    </w:p>
  </w:footnote>
  <w:footnote w:id="159">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Diod.20.40.6-7.</w:t>
      </w:r>
    </w:p>
  </w:footnote>
  <w:footnote w:id="160">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Miller, 1984. 155.</w:t>
      </w:r>
    </w:p>
  </w:footnote>
  <w:footnote w:id="161">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Miller, 1984. 159. Miller discusses how the likely locations for these marketplaces would be conveniently placed cities such as Corinth or Athens in the fourth century, Aspendus and Ephesus in the third and second. </w:t>
      </w:r>
    </w:p>
  </w:footnote>
  <w:footnote w:id="162">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Miller, 1984. 159; Isoc. 5.96.</w:t>
      </w:r>
    </w:p>
  </w:footnote>
  <w:footnote w:id="163">
    <w:p w:rsidR="005E457C" w:rsidRPr="00692EDC" w:rsidRDefault="005E457C" w:rsidP="00680E61">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Miller, 1984. 159.</w:t>
      </w:r>
    </w:p>
  </w:footnote>
  <w:footnote w:id="164">
    <w:p w:rsidR="005F78B3" w:rsidRPr="00692EDC" w:rsidRDefault="005F78B3">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See Chapter 5 on the ethical issues of mercenaries.</w:t>
      </w:r>
    </w:p>
  </w:footnote>
  <w:footnote w:id="165">
    <w:p w:rsidR="005F78B3" w:rsidRPr="00692EDC" w:rsidRDefault="005F78B3">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Gabriel, 2010. 158.</w:t>
      </w:r>
    </w:p>
  </w:footnote>
  <w:footnote w:id="166">
    <w:p w:rsidR="005F78B3" w:rsidRPr="00692EDC" w:rsidRDefault="005F78B3">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Diod.16.25.</w:t>
      </w:r>
    </w:p>
  </w:footnote>
  <w:footnote w:id="167">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F9094B" w:rsidRPr="00692EDC">
        <w:rPr>
          <w:rFonts w:ascii="Times New Roman" w:hAnsi="Times New Roman" w:cs="Times New Roman"/>
        </w:rPr>
        <w:t xml:space="preserve">Xen. </w:t>
      </w:r>
      <w:proofErr w:type="spellStart"/>
      <w:r w:rsidR="00F9094B" w:rsidRPr="00692EDC">
        <w:rPr>
          <w:rFonts w:ascii="Times New Roman" w:hAnsi="Times New Roman" w:cs="Times New Roman"/>
          <w:i/>
        </w:rPr>
        <w:t>Anab</w:t>
      </w:r>
      <w:proofErr w:type="spellEnd"/>
      <w:r w:rsidR="00F9094B" w:rsidRPr="00692EDC">
        <w:rPr>
          <w:rFonts w:ascii="Times New Roman" w:hAnsi="Times New Roman" w:cs="Times New Roman"/>
        </w:rPr>
        <w:t>. 1.1</w:t>
      </w:r>
    </w:p>
  </w:footnote>
  <w:footnote w:id="168">
    <w:p w:rsidR="00F9094B" w:rsidRPr="00692EDC" w:rsidRDefault="00F9094B">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Xen. </w:t>
      </w:r>
      <w:proofErr w:type="spellStart"/>
      <w:r w:rsidRPr="00692EDC">
        <w:rPr>
          <w:rFonts w:ascii="Times New Roman" w:hAnsi="Times New Roman" w:cs="Times New Roman"/>
          <w:i/>
        </w:rPr>
        <w:t>Anab</w:t>
      </w:r>
      <w:proofErr w:type="spellEnd"/>
      <w:r w:rsidRPr="00692EDC">
        <w:rPr>
          <w:rFonts w:ascii="Times New Roman" w:hAnsi="Times New Roman" w:cs="Times New Roman"/>
        </w:rPr>
        <w:t>. 1.3</w:t>
      </w:r>
    </w:p>
  </w:footnote>
  <w:footnote w:id="169">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F9094B" w:rsidRPr="00692EDC">
        <w:rPr>
          <w:rFonts w:ascii="Times New Roman" w:hAnsi="Times New Roman" w:cs="Times New Roman"/>
        </w:rPr>
        <w:t xml:space="preserve">Xen. </w:t>
      </w:r>
      <w:proofErr w:type="spellStart"/>
      <w:r w:rsidR="00F9094B" w:rsidRPr="00692EDC">
        <w:rPr>
          <w:rFonts w:ascii="Times New Roman" w:hAnsi="Times New Roman" w:cs="Times New Roman"/>
          <w:i/>
        </w:rPr>
        <w:t>Anab</w:t>
      </w:r>
      <w:proofErr w:type="spellEnd"/>
      <w:r w:rsidR="00F9094B" w:rsidRPr="00692EDC">
        <w:rPr>
          <w:rFonts w:ascii="Times New Roman" w:hAnsi="Times New Roman" w:cs="Times New Roman"/>
        </w:rPr>
        <w:t>. 4.4</w:t>
      </w:r>
    </w:p>
  </w:footnote>
  <w:footnote w:id="170">
    <w:p w:rsidR="005E457C" w:rsidRPr="00692EDC" w:rsidRDefault="005E457C">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Tact.</w:t>
      </w:r>
      <w:r w:rsidRPr="00692EDC">
        <w:rPr>
          <w:rFonts w:ascii="Times New Roman" w:hAnsi="Times New Roman" w:cs="Times New Roman"/>
          <w:i/>
          <w:lang w:val="en-US"/>
        </w:rPr>
        <w:t>Aineiou</w:t>
      </w:r>
      <w:r w:rsidRPr="00692EDC">
        <w:rPr>
          <w:rFonts w:ascii="Times New Roman" w:hAnsi="Times New Roman" w:cs="Times New Roman"/>
          <w:lang w:val="en-US"/>
        </w:rPr>
        <w:t xml:space="preserve">.13. 73. </w:t>
      </w:r>
    </w:p>
  </w:footnote>
  <w:footnote w:id="171">
    <w:p w:rsidR="005E457C" w:rsidRPr="00692EDC" w:rsidRDefault="005E457C">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Tact.</w:t>
      </w:r>
      <w:r w:rsidRPr="00692EDC">
        <w:rPr>
          <w:rFonts w:ascii="Times New Roman" w:hAnsi="Times New Roman" w:cs="Times New Roman"/>
          <w:i/>
          <w:lang w:val="en-US"/>
        </w:rPr>
        <w:t>Aineiou.</w:t>
      </w:r>
      <w:r w:rsidRPr="00692EDC">
        <w:rPr>
          <w:rFonts w:ascii="Times New Roman" w:hAnsi="Times New Roman" w:cs="Times New Roman"/>
          <w:lang w:val="en-US"/>
        </w:rPr>
        <w:t>13. 73</w:t>
      </w:r>
      <w:r w:rsidRPr="00692EDC">
        <w:rPr>
          <w:rFonts w:ascii="Times New Roman" w:hAnsi="Times New Roman" w:cs="Times New Roman"/>
          <w:i/>
          <w:lang w:val="en-US"/>
        </w:rPr>
        <w:t>.</w:t>
      </w:r>
    </w:p>
  </w:footnote>
  <w:footnote w:id="172">
    <w:p w:rsidR="005E457C" w:rsidRPr="00692EDC" w:rsidRDefault="005E457C">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Xen.</w:t>
      </w:r>
      <w:r w:rsidRPr="00692EDC">
        <w:rPr>
          <w:rFonts w:ascii="Times New Roman" w:hAnsi="Times New Roman" w:cs="Times New Roman"/>
          <w:i/>
          <w:lang w:val="en-US"/>
        </w:rPr>
        <w:t>Hell.</w:t>
      </w:r>
      <w:r w:rsidRPr="00692EDC">
        <w:rPr>
          <w:rFonts w:ascii="Times New Roman" w:hAnsi="Times New Roman" w:cs="Times New Roman"/>
          <w:lang w:val="en-US"/>
        </w:rPr>
        <w:t xml:space="preserve">6.1.4-7. </w:t>
      </w:r>
    </w:p>
  </w:footnote>
  <w:footnote w:id="173">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DD3531" w:rsidRPr="00692EDC">
        <w:rPr>
          <w:rFonts w:ascii="Times New Roman" w:hAnsi="Times New Roman" w:cs="Times New Roman"/>
        </w:rPr>
        <w:t xml:space="preserve">Whitehead, 1991. 106. </w:t>
      </w:r>
    </w:p>
  </w:footnote>
  <w:footnote w:id="174">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00676D88" w:rsidRPr="00692EDC">
        <w:rPr>
          <w:rFonts w:ascii="Times New Roman" w:hAnsi="Times New Roman" w:cs="Times New Roman"/>
        </w:rPr>
        <w:t xml:space="preserve"> Plut. Lys. 4.4 The example of Cyrus increasing the pay of the sailors under Lysander.</w:t>
      </w:r>
    </w:p>
  </w:footnote>
  <w:footnote w:id="175">
    <w:p w:rsidR="005E457C" w:rsidRPr="00692EDC" w:rsidRDefault="005E457C">
      <w:pPr>
        <w:pStyle w:val="FootnoteText"/>
        <w:rPr>
          <w:rFonts w:ascii="Times New Roman" w:hAnsi="Times New Roman" w:cs="Times New Roman"/>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007B71B5" w:rsidRPr="00692EDC">
        <w:rPr>
          <w:rFonts w:ascii="Times New Roman" w:hAnsi="Times New Roman" w:cs="Times New Roman"/>
        </w:rPr>
        <w:t xml:space="preserve">Demos, </w:t>
      </w:r>
      <w:r w:rsidR="007B71B5" w:rsidRPr="00692EDC">
        <w:rPr>
          <w:rFonts w:ascii="Times New Roman" w:hAnsi="Times New Roman" w:cs="Times New Roman"/>
          <w:i/>
        </w:rPr>
        <w:t>Philippic 1.</w:t>
      </w:r>
    </w:p>
  </w:footnote>
  <w:footnote w:id="176">
    <w:p w:rsidR="005E457C" w:rsidRPr="00692EDC" w:rsidRDefault="005E457C">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 xml:space="preserve">Demos, </w:t>
      </w:r>
      <w:r w:rsidRPr="00692EDC">
        <w:rPr>
          <w:rFonts w:ascii="Times New Roman" w:hAnsi="Times New Roman" w:cs="Times New Roman"/>
          <w:i/>
          <w:lang w:val="en-US"/>
        </w:rPr>
        <w:t xml:space="preserve">Philippic 1. </w:t>
      </w:r>
      <w:r w:rsidRPr="00692EDC">
        <w:rPr>
          <w:rFonts w:ascii="Times New Roman" w:hAnsi="Times New Roman" w:cs="Times New Roman"/>
          <w:lang w:val="en-US"/>
        </w:rPr>
        <w:t>24-28.</w:t>
      </w:r>
    </w:p>
  </w:footnote>
  <w:footnote w:id="177">
    <w:p w:rsidR="005E457C" w:rsidRPr="00692EDC" w:rsidRDefault="005E457C">
      <w:pPr>
        <w:pStyle w:val="FootnoteText"/>
        <w:rPr>
          <w:rFonts w:ascii="Times New Roman" w:hAnsi="Times New Roman" w:cs="Times New Roman"/>
          <w:lang w:val="en-US"/>
        </w:rPr>
      </w:pPr>
      <w:r w:rsidRPr="00692EDC">
        <w:rPr>
          <w:rStyle w:val="FootnoteReference"/>
          <w:rFonts w:ascii="Times New Roman" w:hAnsi="Times New Roman" w:cs="Times New Roman"/>
        </w:rPr>
        <w:footnoteRef/>
      </w:r>
      <w:r w:rsidRPr="00692EDC">
        <w:rPr>
          <w:rFonts w:ascii="Times New Roman" w:hAnsi="Times New Roman" w:cs="Times New Roman"/>
        </w:rPr>
        <w:t xml:space="preserve"> </w:t>
      </w:r>
      <w:r w:rsidRPr="00692EDC">
        <w:rPr>
          <w:rFonts w:ascii="Times New Roman" w:hAnsi="Times New Roman" w:cs="Times New Roman"/>
          <w:lang w:val="en-US"/>
        </w:rPr>
        <w:t>Demos.</w:t>
      </w:r>
      <w:r w:rsidRPr="00692EDC">
        <w:rPr>
          <w:rFonts w:ascii="Times New Roman" w:hAnsi="Times New Roman" w:cs="Times New Roman"/>
          <w:i/>
          <w:lang w:val="en-US"/>
        </w:rPr>
        <w:t xml:space="preserve"> Philippic 1.</w:t>
      </w:r>
      <w:r w:rsidRPr="00692EDC">
        <w:rPr>
          <w:rFonts w:ascii="Times New Roman" w:hAnsi="Times New Roman" w:cs="Times New Roman"/>
          <w:lang w:val="en-US"/>
        </w:rPr>
        <w:t xml:space="preserve"> 26-28.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57C" w:rsidRPr="007158FB" w:rsidRDefault="005E457C" w:rsidP="007158FB">
    <w:pPr>
      <w:pStyle w:val="Header"/>
      <w:jc w:val="center"/>
      <w:rPr>
        <w:rFonts w:ascii="Times New Roman" w:hAnsi="Times New Roman" w:cs="Times New Roman"/>
        <w:i/>
        <w:sz w:val="24"/>
      </w:rPr>
    </w:pPr>
    <w:r w:rsidRPr="007158FB">
      <w:rPr>
        <w:rFonts w:ascii="Times New Roman" w:hAnsi="Times New Roman" w:cs="Times New Roman"/>
        <w:i/>
        <w:sz w:val="24"/>
      </w:rPr>
      <w:t>The Road to Professionalism: How Greek States supported professional forces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F17A81"/>
    <w:multiLevelType w:val="hybridMultilevel"/>
    <w:tmpl w:val="31363490"/>
    <w:lvl w:ilvl="0" w:tplc="22CE8C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69B"/>
    <w:rsid w:val="00006F09"/>
    <w:rsid w:val="00041659"/>
    <w:rsid w:val="00065985"/>
    <w:rsid w:val="00070906"/>
    <w:rsid w:val="00082035"/>
    <w:rsid w:val="00092B3F"/>
    <w:rsid w:val="000A100F"/>
    <w:rsid w:val="000A6F79"/>
    <w:rsid w:val="000B0E7F"/>
    <w:rsid w:val="000B26D4"/>
    <w:rsid w:val="000D2A88"/>
    <w:rsid w:val="000E3641"/>
    <w:rsid w:val="000F0818"/>
    <w:rsid w:val="00111BC3"/>
    <w:rsid w:val="00116A6A"/>
    <w:rsid w:val="00116C0A"/>
    <w:rsid w:val="00172005"/>
    <w:rsid w:val="001844EF"/>
    <w:rsid w:val="00184E2C"/>
    <w:rsid w:val="00187952"/>
    <w:rsid w:val="001A10D3"/>
    <w:rsid w:val="001C1BBA"/>
    <w:rsid w:val="001C50FF"/>
    <w:rsid w:val="001C55FD"/>
    <w:rsid w:val="001C66D9"/>
    <w:rsid w:val="00203203"/>
    <w:rsid w:val="00214A76"/>
    <w:rsid w:val="002223DB"/>
    <w:rsid w:val="0022344D"/>
    <w:rsid w:val="002249F5"/>
    <w:rsid w:val="00236341"/>
    <w:rsid w:val="00250EA8"/>
    <w:rsid w:val="002939A1"/>
    <w:rsid w:val="002B7BC1"/>
    <w:rsid w:val="002C6EA2"/>
    <w:rsid w:val="002D1262"/>
    <w:rsid w:val="002E171D"/>
    <w:rsid w:val="002F6BA5"/>
    <w:rsid w:val="00310208"/>
    <w:rsid w:val="0031223D"/>
    <w:rsid w:val="003130A3"/>
    <w:rsid w:val="00316399"/>
    <w:rsid w:val="00317251"/>
    <w:rsid w:val="0032148C"/>
    <w:rsid w:val="00337843"/>
    <w:rsid w:val="00351336"/>
    <w:rsid w:val="0035658F"/>
    <w:rsid w:val="00356AD5"/>
    <w:rsid w:val="00360078"/>
    <w:rsid w:val="00373A19"/>
    <w:rsid w:val="00375CC7"/>
    <w:rsid w:val="00393BEA"/>
    <w:rsid w:val="003A7C67"/>
    <w:rsid w:val="003B0EE9"/>
    <w:rsid w:val="003B3445"/>
    <w:rsid w:val="003B35EA"/>
    <w:rsid w:val="003D289A"/>
    <w:rsid w:val="003F2903"/>
    <w:rsid w:val="003F5F7D"/>
    <w:rsid w:val="00403E25"/>
    <w:rsid w:val="004049C6"/>
    <w:rsid w:val="00404D98"/>
    <w:rsid w:val="00430869"/>
    <w:rsid w:val="004363B3"/>
    <w:rsid w:val="00444C24"/>
    <w:rsid w:val="00450DC1"/>
    <w:rsid w:val="00460047"/>
    <w:rsid w:val="004647E9"/>
    <w:rsid w:val="00464C5A"/>
    <w:rsid w:val="00473D5F"/>
    <w:rsid w:val="00493368"/>
    <w:rsid w:val="0049756D"/>
    <w:rsid w:val="004D1FE9"/>
    <w:rsid w:val="004D254D"/>
    <w:rsid w:val="004D7D62"/>
    <w:rsid w:val="0050250C"/>
    <w:rsid w:val="005037CD"/>
    <w:rsid w:val="00507FC5"/>
    <w:rsid w:val="00531DB4"/>
    <w:rsid w:val="00532282"/>
    <w:rsid w:val="00534A21"/>
    <w:rsid w:val="0054029D"/>
    <w:rsid w:val="005408E0"/>
    <w:rsid w:val="005541E6"/>
    <w:rsid w:val="0057021C"/>
    <w:rsid w:val="00574106"/>
    <w:rsid w:val="00575162"/>
    <w:rsid w:val="005908D2"/>
    <w:rsid w:val="0059785F"/>
    <w:rsid w:val="005B1FBE"/>
    <w:rsid w:val="005B39BF"/>
    <w:rsid w:val="005C24A0"/>
    <w:rsid w:val="005D660A"/>
    <w:rsid w:val="005D7E0D"/>
    <w:rsid w:val="005E457C"/>
    <w:rsid w:val="005F78B3"/>
    <w:rsid w:val="00606487"/>
    <w:rsid w:val="00606AEC"/>
    <w:rsid w:val="00607CD1"/>
    <w:rsid w:val="00614519"/>
    <w:rsid w:val="00627710"/>
    <w:rsid w:val="006401AF"/>
    <w:rsid w:val="00672A2B"/>
    <w:rsid w:val="006766FF"/>
    <w:rsid w:val="00676D88"/>
    <w:rsid w:val="00680E61"/>
    <w:rsid w:val="00685215"/>
    <w:rsid w:val="00692EDC"/>
    <w:rsid w:val="006B0624"/>
    <w:rsid w:val="006B170B"/>
    <w:rsid w:val="006B2C55"/>
    <w:rsid w:val="006D10AA"/>
    <w:rsid w:val="006D200D"/>
    <w:rsid w:val="006D2FC7"/>
    <w:rsid w:val="006E4766"/>
    <w:rsid w:val="006E7DBA"/>
    <w:rsid w:val="007069D2"/>
    <w:rsid w:val="007158FB"/>
    <w:rsid w:val="007234AB"/>
    <w:rsid w:val="007436CD"/>
    <w:rsid w:val="007508D8"/>
    <w:rsid w:val="00777AC0"/>
    <w:rsid w:val="00782337"/>
    <w:rsid w:val="007B71B5"/>
    <w:rsid w:val="007C069B"/>
    <w:rsid w:val="007C26B8"/>
    <w:rsid w:val="007D2E65"/>
    <w:rsid w:val="007E4F52"/>
    <w:rsid w:val="007E6ED7"/>
    <w:rsid w:val="00800E7A"/>
    <w:rsid w:val="00801955"/>
    <w:rsid w:val="008051E9"/>
    <w:rsid w:val="0082441D"/>
    <w:rsid w:val="0082673B"/>
    <w:rsid w:val="00890C0E"/>
    <w:rsid w:val="00894B9D"/>
    <w:rsid w:val="008A18B2"/>
    <w:rsid w:val="008A5F58"/>
    <w:rsid w:val="008B10AE"/>
    <w:rsid w:val="008C0F4A"/>
    <w:rsid w:val="008C1882"/>
    <w:rsid w:val="008D2454"/>
    <w:rsid w:val="008D2F3C"/>
    <w:rsid w:val="008D3541"/>
    <w:rsid w:val="008D60C6"/>
    <w:rsid w:val="008E4CB1"/>
    <w:rsid w:val="008F361C"/>
    <w:rsid w:val="00902E1C"/>
    <w:rsid w:val="00907BB3"/>
    <w:rsid w:val="00924370"/>
    <w:rsid w:val="00946912"/>
    <w:rsid w:val="00947137"/>
    <w:rsid w:val="009648D9"/>
    <w:rsid w:val="00964C49"/>
    <w:rsid w:val="0097156C"/>
    <w:rsid w:val="00991698"/>
    <w:rsid w:val="009964E7"/>
    <w:rsid w:val="009B0191"/>
    <w:rsid w:val="009E0AB8"/>
    <w:rsid w:val="00A00DD0"/>
    <w:rsid w:val="00A1167F"/>
    <w:rsid w:val="00A254B3"/>
    <w:rsid w:val="00A4227F"/>
    <w:rsid w:val="00A6707B"/>
    <w:rsid w:val="00A71387"/>
    <w:rsid w:val="00AC5D9A"/>
    <w:rsid w:val="00AE0F51"/>
    <w:rsid w:val="00AE1159"/>
    <w:rsid w:val="00B0162B"/>
    <w:rsid w:val="00B04515"/>
    <w:rsid w:val="00B17939"/>
    <w:rsid w:val="00B22828"/>
    <w:rsid w:val="00B3464B"/>
    <w:rsid w:val="00B50485"/>
    <w:rsid w:val="00B55004"/>
    <w:rsid w:val="00B626BA"/>
    <w:rsid w:val="00B63314"/>
    <w:rsid w:val="00B67520"/>
    <w:rsid w:val="00B73AE8"/>
    <w:rsid w:val="00B75857"/>
    <w:rsid w:val="00B81880"/>
    <w:rsid w:val="00B9189C"/>
    <w:rsid w:val="00B9362E"/>
    <w:rsid w:val="00B9551A"/>
    <w:rsid w:val="00BA2225"/>
    <w:rsid w:val="00BB205A"/>
    <w:rsid w:val="00BC79D7"/>
    <w:rsid w:val="00BD379D"/>
    <w:rsid w:val="00BD6024"/>
    <w:rsid w:val="00BF31D9"/>
    <w:rsid w:val="00C02BA8"/>
    <w:rsid w:val="00C13CF8"/>
    <w:rsid w:val="00C16C3A"/>
    <w:rsid w:val="00C2447A"/>
    <w:rsid w:val="00C2715F"/>
    <w:rsid w:val="00C34DB5"/>
    <w:rsid w:val="00C360E1"/>
    <w:rsid w:val="00C36529"/>
    <w:rsid w:val="00C45EBD"/>
    <w:rsid w:val="00C62D11"/>
    <w:rsid w:val="00C87CBA"/>
    <w:rsid w:val="00C905FA"/>
    <w:rsid w:val="00CC597D"/>
    <w:rsid w:val="00CD28F6"/>
    <w:rsid w:val="00CE715F"/>
    <w:rsid w:val="00CF38EC"/>
    <w:rsid w:val="00CF5556"/>
    <w:rsid w:val="00D07717"/>
    <w:rsid w:val="00D12282"/>
    <w:rsid w:val="00D1671C"/>
    <w:rsid w:val="00D2647B"/>
    <w:rsid w:val="00D349B2"/>
    <w:rsid w:val="00D403D3"/>
    <w:rsid w:val="00D853FD"/>
    <w:rsid w:val="00D8732A"/>
    <w:rsid w:val="00D96E55"/>
    <w:rsid w:val="00DD3531"/>
    <w:rsid w:val="00DF096B"/>
    <w:rsid w:val="00DF202F"/>
    <w:rsid w:val="00E01D61"/>
    <w:rsid w:val="00E05CDF"/>
    <w:rsid w:val="00E12EE3"/>
    <w:rsid w:val="00E14EFB"/>
    <w:rsid w:val="00E16E3E"/>
    <w:rsid w:val="00E40B14"/>
    <w:rsid w:val="00E512BC"/>
    <w:rsid w:val="00E83B0C"/>
    <w:rsid w:val="00E91B9C"/>
    <w:rsid w:val="00EA102B"/>
    <w:rsid w:val="00EB4FB0"/>
    <w:rsid w:val="00EB5EA0"/>
    <w:rsid w:val="00EE46AE"/>
    <w:rsid w:val="00EF2FB5"/>
    <w:rsid w:val="00F0781E"/>
    <w:rsid w:val="00F1409F"/>
    <w:rsid w:val="00F3256A"/>
    <w:rsid w:val="00F44820"/>
    <w:rsid w:val="00F61BD3"/>
    <w:rsid w:val="00F642C1"/>
    <w:rsid w:val="00F77C22"/>
    <w:rsid w:val="00F9094B"/>
    <w:rsid w:val="00F929F2"/>
    <w:rsid w:val="00FB3BD4"/>
    <w:rsid w:val="00FC7FC5"/>
    <w:rsid w:val="00FD0235"/>
    <w:rsid w:val="00FD7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19EB4"/>
  <w15:chartTrackingRefBased/>
  <w15:docId w15:val="{D68C5B5C-F9F9-47F8-B33E-BE7B29757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F38E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E364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31725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317251"/>
    <w:rPr>
      <w:i/>
      <w:iCs/>
      <w:color w:val="5B9BD5" w:themeColor="accent1"/>
    </w:rPr>
  </w:style>
  <w:style w:type="paragraph" w:customStyle="1" w:styleId="Default">
    <w:name w:val="Default"/>
    <w:rsid w:val="00E512BC"/>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semiHidden/>
    <w:unhideWhenUsed/>
    <w:rsid w:val="00E512B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12BC"/>
    <w:rPr>
      <w:sz w:val="20"/>
      <w:szCs w:val="20"/>
    </w:rPr>
  </w:style>
  <w:style w:type="character" w:styleId="FootnoteReference">
    <w:name w:val="footnote reference"/>
    <w:basedOn w:val="DefaultParagraphFont"/>
    <w:uiPriority w:val="99"/>
    <w:semiHidden/>
    <w:unhideWhenUsed/>
    <w:rsid w:val="00E512BC"/>
    <w:rPr>
      <w:vertAlign w:val="superscript"/>
    </w:rPr>
  </w:style>
  <w:style w:type="paragraph" w:styleId="Header">
    <w:name w:val="header"/>
    <w:basedOn w:val="Normal"/>
    <w:link w:val="HeaderChar"/>
    <w:uiPriority w:val="99"/>
    <w:unhideWhenUsed/>
    <w:rsid w:val="006B2C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2C55"/>
  </w:style>
  <w:style w:type="paragraph" w:styleId="Footer">
    <w:name w:val="footer"/>
    <w:basedOn w:val="Normal"/>
    <w:link w:val="FooterChar"/>
    <w:uiPriority w:val="99"/>
    <w:unhideWhenUsed/>
    <w:rsid w:val="006B2C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2C55"/>
  </w:style>
  <w:style w:type="character" w:customStyle="1" w:styleId="hvr">
    <w:name w:val="hvr"/>
    <w:basedOn w:val="DefaultParagraphFont"/>
    <w:rsid w:val="00310208"/>
  </w:style>
  <w:style w:type="paragraph" w:styleId="ListParagraph">
    <w:name w:val="List Paragraph"/>
    <w:basedOn w:val="Normal"/>
    <w:uiPriority w:val="34"/>
    <w:qFormat/>
    <w:rsid w:val="002249F5"/>
    <w:pPr>
      <w:ind w:left="720"/>
      <w:contextualSpacing/>
    </w:pPr>
  </w:style>
  <w:style w:type="character" w:customStyle="1" w:styleId="Heading1Char">
    <w:name w:val="Heading 1 Char"/>
    <w:basedOn w:val="DefaultParagraphFont"/>
    <w:link w:val="Heading1"/>
    <w:uiPriority w:val="9"/>
    <w:rsid w:val="00CF38EC"/>
    <w:rPr>
      <w:rFonts w:asciiTheme="majorHAnsi" w:eastAsiaTheme="majorEastAsia" w:hAnsiTheme="majorHAnsi" w:cstheme="majorBidi"/>
      <w:color w:val="2E74B5" w:themeColor="accent1" w:themeShade="BF"/>
      <w:sz w:val="32"/>
      <w:szCs w:val="32"/>
    </w:rPr>
  </w:style>
  <w:style w:type="paragraph" w:styleId="Subtitle">
    <w:name w:val="Subtitle"/>
    <w:basedOn w:val="Normal"/>
    <w:next w:val="Normal"/>
    <w:link w:val="SubtitleChar"/>
    <w:uiPriority w:val="11"/>
    <w:qFormat/>
    <w:rsid w:val="000E364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E3641"/>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0E364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61451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3D289A"/>
    <w:rPr>
      <w:color w:val="0000FF"/>
      <w:u w:val="single"/>
    </w:rPr>
  </w:style>
  <w:style w:type="paragraph" w:customStyle="1" w:styleId="xmsolistparagraph">
    <w:name w:val="x_msolistparagraph"/>
    <w:basedOn w:val="Normal"/>
    <w:rsid w:val="003D28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normal">
    <w:name w:val="x_msonormal"/>
    <w:basedOn w:val="Normal"/>
    <w:rsid w:val="003D28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itle1">
    <w:name w:val="title1"/>
    <w:basedOn w:val="DefaultParagraphFont"/>
    <w:rsid w:val="00360078"/>
    <w:rPr>
      <w:i/>
      <w:iCs/>
    </w:rPr>
  </w:style>
  <w:style w:type="character" w:styleId="FollowedHyperlink">
    <w:name w:val="FollowedHyperlink"/>
    <w:basedOn w:val="DefaultParagraphFont"/>
    <w:uiPriority w:val="99"/>
    <w:semiHidden/>
    <w:unhideWhenUsed/>
    <w:rsid w:val="00116A6A"/>
    <w:rPr>
      <w:color w:val="954F72" w:themeColor="followedHyperlink"/>
      <w:u w:val="single"/>
    </w:rPr>
  </w:style>
  <w:style w:type="paragraph" w:styleId="TOCHeading">
    <w:name w:val="TOC Heading"/>
    <w:basedOn w:val="Heading1"/>
    <w:next w:val="Normal"/>
    <w:uiPriority w:val="39"/>
    <w:unhideWhenUsed/>
    <w:qFormat/>
    <w:rsid w:val="00EE46AE"/>
    <w:pPr>
      <w:outlineLvl w:val="9"/>
    </w:pPr>
    <w:rPr>
      <w:lang w:val="en-US"/>
    </w:rPr>
  </w:style>
  <w:style w:type="paragraph" w:styleId="TOC1">
    <w:name w:val="toc 1"/>
    <w:basedOn w:val="Normal"/>
    <w:next w:val="Normal"/>
    <w:autoRedefine/>
    <w:uiPriority w:val="39"/>
    <w:unhideWhenUsed/>
    <w:rsid w:val="00EE46AE"/>
    <w:pPr>
      <w:spacing w:after="100"/>
    </w:pPr>
  </w:style>
  <w:style w:type="paragraph" w:styleId="TOC2">
    <w:name w:val="toc 2"/>
    <w:basedOn w:val="Normal"/>
    <w:next w:val="Normal"/>
    <w:autoRedefine/>
    <w:uiPriority w:val="39"/>
    <w:unhideWhenUsed/>
    <w:rsid w:val="00EE46AE"/>
    <w:pPr>
      <w:spacing w:after="100"/>
      <w:ind w:left="220"/>
    </w:pPr>
  </w:style>
  <w:style w:type="paragraph" w:styleId="BalloonText">
    <w:name w:val="Balloon Text"/>
    <w:basedOn w:val="Normal"/>
    <w:link w:val="BalloonTextChar"/>
    <w:uiPriority w:val="99"/>
    <w:semiHidden/>
    <w:unhideWhenUsed/>
    <w:rsid w:val="001C50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50FF"/>
    <w:rPr>
      <w:rFonts w:ascii="Segoe UI" w:hAnsi="Segoe UI" w:cs="Segoe UI"/>
      <w:sz w:val="18"/>
      <w:szCs w:val="18"/>
    </w:rPr>
  </w:style>
  <w:style w:type="paragraph" w:styleId="NoSpacing">
    <w:name w:val="No Spacing"/>
    <w:uiPriority w:val="1"/>
    <w:qFormat/>
    <w:rsid w:val="009E0AB8"/>
    <w:pPr>
      <w:spacing w:after="0" w:line="240" w:lineRule="auto"/>
    </w:pPr>
  </w:style>
  <w:style w:type="paragraph" w:styleId="Title">
    <w:name w:val="Title"/>
    <w:basedOn w:val="Normal"/>
    <w:next w:val="Normal"/>
    <w:link w:val="TitleChar"/>
    <w:uiPriority w:val="10"/>
    <w:qFormat/>
    <w:rsid w:val="006D20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00D"/>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6D20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492433">
      <w:bodyDiv w:val="1"/>
      <w:marLeft w:val="0"/>
      <w:marRight w:val="0"/>
      <w:marTop w:val="0"/>
      <w:marBottom w:val="0"/>
      <w:divBdr>
        <w:top w:val="none" w:sz="0" w:space="0" w:color="auto"/>
        <w:left w:val="none" w:sz="0" w:space="0" w:color="auto"/>
        <w:bottom w:val="none" w:sz="0" w:space="0" w:color="auto"/>
        <w:right w:val="none" w:sz="0" w:space="0" w:color="auto"/>
      </w:divBdr>
      <w:divsChild>
        <w:div w:id="1040084039">
          <w:marLeft w:val="0"/>
          <w:marRight w:val="0"/>
          <w:marTop w:val="0"/>
          <w:marBottom w:val="0"/>
          <w:divBdr>
            <w:top w:val="none" w:sz="0" w:space="0" w:color="auto"/>
            <w:left w:val="none" w:sz="0" w:space="0" w:color="auto"/>
            <w:bottom w:val="none" w:sz="0" w:space="0" w:color="auto"/>
            <w:right w:val="none" w:sz="0" w:space="0" w:color="auto"/>
          </w:divBdr>
          <w:divsChild>
            <w:div w:id="2098406604">
              <w:marLeft w:val="0"/>
              <w:marRight w:val="0"/>
              <w:marTop w:val="0"/>
              <w:marBottom w:val="0"/>
              <w:divBdr>
                <w:top w:val="none" w:sz="0" w:space="0" w:color="auto"/>
                <w:left w:val="none" w:sz="0" w:space="0" w:color="auto"/>
                <w:bottom w:val="none" w:sz="0" w:space="0" w:color="auto"/>
                <w:right w:val="none" w:sz="0" w:space="0" w:color="auto"/>
              </w:divBdr>
              <w:divsChild>
                <w:div w:id="532157628">
                  <w:marLeft w:val="0"/>
                  <w:marRight w:val="0"/>
                  <w:marTop w:val="0"/>
                  <w:marBottom w:val="0"/>
                  <w:divBdr>
                    <w:top w:val="none" w:sz="0" w:space="0" w:color="auto"/>
                    <w:left w:val="none" w:sz="0" w:space="0" w:color="auto"/>
                    <w:bottom w:val="none" w:sz="0" w:space="0" w:color="auto"/>
                    <w:right w:val="none" w:sz="0" w:space="0" w:color="auto"/>
                  </w:divBdr>
                  <w:divsChild>
                    <w:div w:id="2046370058">
                      <w:marLeft w:val="0"/>
                      <w:marRight w:val="0"/>
                      <w:marTop w:val="0"/>
                      <w:marBottom w:val="0"/>
                      <w:divBdr>
                        <w:top w:val="none" w:sz="0" w:space="0" w:color="auto"/>
                        <w:left w:val="none" w:sz="0" w:space="0" w:color="auto"/>
                        <w:bottom w:val="none" w:sz="0" w:space="0" w:color="auto"/>
                        <w:right w:val="none" w:sz="0" w:space="0" w:color="auto"/>
                      </w:divBdr>
                      <w:divsChild>
                        <w:div w:id="1934321494">
                          <w:marLeft w:val="0"/>
                          <w:marRight w:val="0"/>
                          <w:marTop w:val="0"/>
                          <w:marBottom w:val="0"/>
                          <w:divBdr>
                            <w:top w:val="none" w:sz="0" w:space="0" w:color="auto"/>
                            <w:left w:val="none" w:sz="0" w:space="0" w:color="auto"/>
                            <w:bottom w:val="none" w:sz="0" w:space="0" w:color="auto"/>
                            <w:right w:val="none" w:sz="0" w:space="0" w:color="auto"/>
                          </w:divBdr>
                          <w:divsChild>
                            <w:div w:id="1604413313">
                              <w:marLeft w:val="0"/>
                              <w:marRight w:val="0"/>
                              <w:marTop w:val="0"/>
                              <w:marBottom w:val="0"/>
                              <w:divBdr>
                                <w:top w:val="none" w:sz="0" w:space="0" w:color="auto"/>
                                <w:left w:val="none" w:sz="0" w:space="0" w:color="auto"/>
                                <w:bottom w:val="none" w:sz="0" w:space="0" w:color="auto"/>
                                <w:right w:val="none" w:sz="0" w:space="0" w:color="auto"/>
                              </w:divBdr>
                              <w:divsChild>
                                <w:div w:id="1367289521">
                                  <w:marLeft w:val="0"/>
                                  <w:marRight w:val="0"/>
                                  <w:marTop w:val="0"/>
                                  <w:marBottom w:val="0"/>
                                  <w:divBdr>
                                    <w:top w:val="none" w:sz="0" w:space="0" w:color="auto"/>
                                    <w:left w:val="none" w:sz="0" w:space="0" w:color="auto"/>
                                    <w:bottom w:val="none" w:sz="0" w:space="0" w:color="auto"/>
                                    <w:right w:val="none" w:sz="0" w:space="0" w:color="auto"/>
                                  </w:divBdr>
                                  <w:divsChild>
                                    <w:div w:id="543181121">
                                      <w:marLeft w:val="0"/>
                                      <w:marRight w:val="0"/>
                                      <w:marTop w:val="0"/>
                                      <w:marBottom w:val="0"/>
                                      <w:divBdr>
                                        <w:top w:val="none" w:sz="0" w:space="0" w:color="auto"/>
                                        <w:left w:val="none" w:sz="0" w:space="0" w:color="auto"/>
                                        <w:bottom w:val="none" w:sz="0" w:space="0" w:color="auto"/>
                                        <w:right w:val="none" w:sz="0" w:space="0" w:color="auto"/>
                                      </w:divBdr>
                                      <w:divsChild>
                                        <w:div w:id="537743423">
                                          <w:marLeft w:val="0"/>
                                          <w:marRight w:val="0"/>
                                          <w:marTop w:val="0"/>
                                          <w:marBottom w:val="0"/>
                                          <w:divBdr>
                                            <w:top w:val="none" w:sz="0" w:space="0" w:color="auto"/>
                                            <w:left w:val="none" w:sz="0" w:space="0" w:color="auto"/>
                                            <w:bottom w:val="none" w:sz="0" w:space="0" w:color="auto"/>
                                            <w:right w:val="none" w:sz="0" w:space="0" w:color="auto"/>
                                          </w:divBdr>
                                          <w:divsChild>
                                            <w:div w:id="1291860907">
                                              <w:marLeft w:val="0"/>
                                              <w:marRight w:val="0"/>
                                              <w:marTop w:val="0"/>
                                              <w:marBottom w:val="0"/>
                                              <w:divBdr>
                                                <w:top w:val="none" w:sz="0" w:space="0" w:color="auto"/>
                                                <w:left w:val="none" w:sz="0" w:space="0" w:color="auto"/>
                                                <w:bottom w:val="none" w:sz="0" w:space="0" w:color="auto"/>
                                                <w:right w:val="none" w:sz="0" w:space="0" w:color="auto"/>
                                              </w:divBdr>
                                              <w:divsChild>
                                                <w:div w:id="540628029">
                                                  <w:marLeft w:val="0"/>
                                                  <w:marRight w:val="0"/>
                                                  <w:marTop w:val="0"/>
                                                  <w:marBottom w:val="0"/>
                                                  <w:divBdr>
                                                    <w:top w:val="none" w:sz="0" w:space="0" w:color="auto"/>
                                                    <w:left w:val="none" w:sz="0" w:space="0" w:color="auto"/>
                                                    <w:bottom w:val="none" w:sz="0" w:space="0" w:color="auto"/>
                                                    <w:right w:val="none" w:sz="0" w:space="0" w:color="auto"/>
                                                  </w:divBdr>
                                                  <w:divsChild>
                                                    <w:div w:id="1752314020">
                                                      <w:marLeft w:val="0"/>
                                                      <w:marRight w:val="0"/>
                                                      <w:marTop w:val="0"/>
                                                      <w:marBottom w:val="0"/>
                                                      <w:divBdr>
                                                        <w:top w:val="none" w:sz="0" w:space="0" w:color="auto"/>
                                                        <w:left w:val="none" w:sz="0" w:space="0" w:color="auto"/>
                                                        <w:bottom w:val="none" w:sz="0" w:space="0" w:color="auto"/>
                                                        <w:right w:val="none" w:sz="0" w:space="0" w:color="auto"/>
                                                      </w:divBdr>
                                                      <w:divsChild>
                                                        <w:div w:id="1214537661">
                                                          <w:marLeft w:val="0"/>
                                                          <w:marRight w:val="0"/>
                                                          <w:marTop w:val="0"/>
                                                          <w:marBottom w:val="0"/>
                                                          <w:divBdr>
                                                            <w:top w:val="none" w:sz="0" w:space="0" w:color="auto"/>
                                                            <w:left w:val="none" w:sz="0" w:space="0" w:color="auto"/>
                                                            <w:bottom w:val="none" w:sz="0" w:space="0" w:color="auto"/>
                                                            <w:right w:val="none" w:sz="0" w:space="0" w:color="auto"/>
                                                          </w:divBdr>
                                                          <w:divsChild>
                                                            <w:div w:id="1357535120">
                                                              <w:marLeft w:val="0"/>
                                                              <w:marRight w:val="0"/>
                                                              <w:marTop w:val="0"/>
                                                              <w:marBottom w:val="0"/>
                                                              <w:divBdr>
                                                                <w:top w:val="none" w:sz="0" w:space="0" w:color="auto"/>
                                                                <w:left w:val="none" w:sz="0" w:space="0" w:color="auto"/>
                                                                <w:bottom w:val="none" w:sz="0" w:space="0" w:color="auto"/>
                                                                <w:right w:val="none" w:sz="0" w:space="0" w:color="auto"/>
                                                              </w:divBdr>
                                                              <w:divsChild>
                                                                <w:div w:id="1622960558">
                                                                  <w:marLeft w:val="0"/>
                                                                  <w:marRight w:val="0"/>
                                                                  <w:marTop w:val="0"/>
                                                                  <w:marBottom w:val="0"/>
                                                                  <w:divBdr>
                                                                    <w:top w:val="none" w:sz="0" w:space="0" w:color="auto"/>
                                                                    <w:left w:val="none" w:sz="0" w:space="0" w:color="auto"/>
                                                                    <w:bottom w:val="none" w:sz="0" w:space="0" w:color="auto"/>
                                                                    <w:right w:val="none" w:sz="0" w:space="0" w:color="auto"/>
                                                                  </w:divBdr>
                                                                  <w:divsChild>
                                                                    <w:div w:id="2014792818">
                                                                      <w:marLeft w:val="0"/>
                                                                      <w:marRight w:val="0"/>
                                                                      <w:marTop w:val="0"/>
                                                                      <w:marBottom w:val="0"/>
                                                                      <w:divBdr>
                                                                        <w:top w:val="none" w:sz="0" w:space="0" w:color="auto"/>
                                                                        <w:left w:val="none" w:sz="0" w:space="0" w:color="auto"/>
                                                                        <w:bottom w:val="none" w:sz="0" w:space="0" w:color="auto"/>
                                                                        <w:right w:val="none" w:sz="0" w:space="0" w:color="auto"/>
                                                                      </w:divBdr>
                                                                      <w:divsChild>
                                                                        <w:div w:id="2098748068">
                                                                          <w:marLeft w:val="0"/>
                                                                          <w:marRight w:val="0"/>
                                                                          <w:marTop w:val="0"/>
                                                                          <w:marBottom w:val="0"/>
                                                                          <w:divBdr>
                                                                            <w:top w:val="none" w:sz="0" w:space="0" w:color="auto"/>
                                                                            <w:left w:val="none" w:sz="0" w:space="0" w:color="auto"/>
                                                                            <w:bottom w:val="none" w:sz="0" w:space="0" w:color="auto"/>
                                                                            <w:right w:val="none" w:sz="0" w:space="0" w:color="auto"/>
                                                                          </w:divBdr>
                                                                          <w:divsChild>
                                                                            <w:div w:id="853420281">
                                                                              <w:marLeft w:val="0"/>
                                                                              <w:marRight w:val="0"/>
                                                                              <w:marTop w:val="0"/>
                                                                              <w:marBottom w:val="0"/>
                                                                              <w:divBdr>
                                                                                <w:top w:val="none" w:sz="0" w:space="0" w:color="auto"/>
                                                                                <w:left w:val="none" w:sz="0" w:space="0" w:color="auto"/>
                                                                                <w:bottom w:val="none" w:sz="0" w:space="0" w:color="auto"/>
                                                                                <w:right w:val="none" w:sz="0" w:space="0" w:color="auto"/>
                                                                              </w:divBdr>
                                                                              <w:divsChild>
                                                                                <w:div w:id="493492007">
                                                                                  <w:marLeft w:val="0"/>
                                                                                  <w:marRight w:val="0"/>
                                                                                  <w:marTop w:val="0"/>
                                                                                  <w:marBottom w:val="0"/>
                                                                                  <w:divBdr>
                                                                                    <w:top w:val="none" w:sz="0" w:space="0" w:color="auto"/>
                                                                                    <w:left w:val="none" w:sz="0" w:space="0" w:color="auto"/>
                                                                                    <w:bottom w:val="none" w:sz="0" w:space="0" w:color="auto"/>
                                                                                    <w:right w:val="none" w:sz="0" w:space="0" w:color="auto"/>
                                                                                  </w:divBdr>
                                                                                  <w:divsChild>
                                                                                    <w:div w:id="462891942">
                                                                                      <w:marLeft w:val="0"/>
                                                                                      <w:marRight w:val="0"/>
                                                                                      <w:marTop w:val="0"/>
                                                                                      <w:marBottom w:val="0"/>
                                                                                      <w:divBdr>
                                                                                        <w:top w:val="none" w:sz="0" w:space="0" w:color="auto"/>
                                                                                        <w:left w:val="none" w:sz="0" w:space="0" w:color="auto"/>
                                                                                        <w:bottom w:val="none" w:sz="0" w:space="0" w:color="auto"/>
                                                                                        <w:right w:val="none" w:sz="0" w:space="0" w:color="auto"/>
                                                                                      </w:divBdr>
                                                                                      <w:divsChild>
                                                                                        <w:div w:id="1453284376">
                                                                                          <w:marLeft w:val="0"/>
                                                                                          <w:marRight w:val="0"/>
                                                                                          <w:marTop w:val="0"/>
                                                                                          <w:marBottom w:val="0"/>
                                                                                          <w:divBdr>
                                                                                            <w:top w:val="none" w:sz="0" w:space="0" w:color="auto"/>
                                                                                            <w:left w:val="none" w:sz="0" w:space="0" w:color="auto"/>
                                                                                            <w:bottom w:val="none" w:sz="0" w:space="0" w:color="auto"/>
                                                                                            <w:right w:val="none" w:sz="0" w:space="0" w:color="auto"/>
                                                                                          </w:divBdr>
                                                                                          <w:divsChild>
                                                                                            <w:div w:id="44530732">
                                                                                              <w:marLeft w:val="0"/>
                                                                                              <w:marRight w:val="0"/>
                                                                                              <w:marTop w:val="0"/>
                                                                                              <w:marBottom w:val="0"/>
                                                                                              <w:divBdr>
                                                                                                <w:top w:val="none" w:sz="0" w:space="0" w:color="auto"/>
                                                                                                <w:left w:val="none" w:sz="0" w:space="0" w:color="auto"/>
                                                                                                <w:bottom w:val="none" w:sz="0" w:space="0" w:color="auto"/>
                                                                                                <w:right w:val="none" w:sz="0" w:space="0" w:color="auto"/>
                                                                                              </w:divBdr>
                                                                                              <w:divsChild>
                                                                                                <w:div w:id="1157383276">
                                                                                                  <w:marLeft w:val="0"/>
                                                                                                  <w:marRight w:val="0"/>
                                                                                                  <w:marTop w:val="0"/>
                                                                                                  <w:marBottom w:val="0"/>
                                                                                                  <w:divBdr>
                                                                                                    <w:top w:val="none" w:sz="0" w:space="0" w:color="auto"/>
                                                                                                    <w:left w:val="none" w:sz="0" w:space="0" w:color="auto"/>
                                                                                                    <w:bottom w:val="none" w:sz="0" w:space="0" w:color="auto"/>
                                                                                                    <w:right w:val="none" w:sz="0" w:space="0" w:color="auto"/>
                                                                                                  </w:divBdr>
                                                                                                  <w:divsChild>
                                                                                                    <w:div w:id="1474786544">
                                                                                                      <w:marLeft w:val="0"/>
                                                                                                      <w:marRight w:val="0"/>
                                                                                                      <w:marTop w:val="0"/>
                                                                                                      <w:marBottom w:val="0"/>
                                                                                                      <w:divBdr>
                                                                                                        <w:top w:val="none" w:sz="0" w:space="0" w:color="auto"/>
                                                                                                        <w:left w:val="none" w:sz="0" w:space="0" w:color="auto"/>
                                                                                                        <w:bottom w:val="none" w:sz="0" w:space="0" w:color="auto"/>
                                                                                                        <w:right w:val="none" w:sz="0" w:space="0" w:color="auto"/>
                                                                                                      </w:divBdr>
                                                                                                      <w:divsChild>
                                                                                                        <w:div w:id="30782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80592873">
      <w:bodyDiv w:val="1"/>
      <w:marLeft w:val="0"/>
      <w:marRight w:val="0"/>
      <w:marTop w:val="0"/>
      <w:marBottom w:val="0"/>
      <w:divBdr>
        <w:top w:val="none" w:sz="0" w:space="0" w:color="auto"/>
        <w:left w:val="none" w:sz="0" w:space="0" w:color="auto"/>
        <w:bottom w:val="none" w:sz="0" w:space="0" w:color="auto"/>
        <w:right w:val="none" w:sz="0" w:space="0" w:color="auto"/>
      </w:divBdr>
    </w:div>
    <w:div w:id="696008185">
      <w:bodyDiv w:val="1"/>
      <w:marLeft w:val="0"/>
      <w:marRight w:val="0"/>
      <w:marTop w:val="0"/>
      <w:marBottom w:val="0"/>
      <w:divBdr>
        <w:top w:val="none" w:sz="0" w:space="0" w:color="auto"/>
        <w:left w:val="none" w:sz="0" w:space="0" w:color="auto"/>
        <w:bottom w:val="none" w:sz="0" w:space="0" w:color="auto"/>
        <w:right w:val="none" w:sz="0" w:space="0" w:color="auto"/>
      </w:divBdr>
    </w:div>
    <w:div w:id="823663233">
      <w:bodyDiv w:val="1"/>
      <w:marLeft w:val="0"/>
      <w:marRight w:val="0"/>
      <w:marTop w:val="0"/>
      <w:marBottom w:val="0"/>
      <w:divBdr>
        <w:top w:val="none" w:sz="0" w:space="0" w:color="auto"/>
        <w:left w:val="none" w:sz="0" w:space="0" w:color="auto"/>
        <w:bottom w:val="none" w:sz="0" w:space="0" w:color="auto"/>
        <w:right w:val="none" w:sz="0" w:space="0" w:color="auto"/>
      </w:divBdr>
    </w:div>
    <w:div w:id="1142426075">
      <w:bodyDiv w:val="1"/>
      <w:marLeft w:val="0"/>
      <w:marRight w:val="0"/>
      <w:marTop w:val="0"/>
      <w:marBottom w:val="0"/>
      <w:divBdr>
        <w:top w:val="none" w:sz="0" w:space="0" w:color="auto"/>
        <w:left w:val="none" w:sz="0" w:space="0" w:color="auto"/>
        <w:bottom w:val="none" w:sz="0" w:space="0" w:color="auto"/>
        <w:right w:val="none" w:sz="0" w:space="0" w:color="auto"/>
      </w:divBdr>
    </w:div>
    <w:div w:id="1196771203">
      <w:bodyDiv w:val="1"/>
      <w:marLeft w:val="0"/>
      <w:marRight w:val="0"/>
      <w:marTop w:val="0"/>
      <w:marBottom w:val="0"/>
      <w:divBdr>
        <w:top w:val="none" w:sz="0" w:space="0" w:color="auto"/>
        <w:left w:val="none" w:sz="0" w:space="0" w:color="auto"/>
        <w:bottom w:val="none" w:sz="0" w:space="0" w:color="auto"/>
        <w:right w:val="none" w:sz="0" w:space="0" w:color="auto"/>
      </w:divBdr>
    </w:div>
    <w:div w:id="1263805554">
      <w:bodyDiv w:val="1"/>
      <w:marLeft w:val="0"/>
      <w:marRight w:val="0"/>
      <w:marTop w:val="0"/>
      <w:marBottom w:val="0"/>
      <w:divBdr>
        <w:top w:val="none" w:sz="0" w:space="0" w:color="auto"/>
        <w:left w:val="none" w:sz="0" w:space="0" w:color="auto"/>
        <w:bottom w:val="none" w:sz="0" w:space="0" w:color="auto"/>
        <w:right w:val="none" w:sz="0" w:space="0" w:color="auto"/>
      </w:divBdr>
    </w:div>
    <w:div w:id="1452482179">
      <w:bodyDiv w:val="1"/>
      <w:marLeft w:val="0"/>
      <w:marRight w:val="0"/>
      <w:marTop w:val="0"/>
      <w:marBottom w:val="0"/>
      <w:divBdr>
        <w:top w:val="none" w:sz="0" w:space="0" w:color="auto"/>
        <w:left w:val="none" w:sz="0" w:space="0" w:color="auto"/>
        <w:bottom w:val="none" w:sz="0" w:space="0" w:color="auto"/>
        <w:right w:val="none" w:sz="0" w:space="0" w:color="auto"/>
      </w:divBdr>
    </w:div>
    <w:div w:id="1497571978">
      <w:bodyDiv w:val="1"/>
      <w:marLeft w:val="0"/>
      <w:marRight w:val="0"/>
      <w:marTop w:val="0"/>
      <w:marBottom w:val="0"/>
      <w:divBdr>
        <w:top w:val="none" w:sz="0" w:space="0" w:color="auto"/>
        <w:left w:val="none" w:sz="0" w:space="0" w:color="auto"/>
        <w:bottom w:val="none" w:sz="0" w:space="0" w:color="auto"/>
        <w:right w:val="none" w:sz="0" w:space="0" w:color="auto"/>
      </w:divBdr>
    </w:div>
    <w:div w:id="1518276552">
      <w:bodyDiv w:val="1"/>
      <w:marLeft w:val="0"/>
      <w:marRight w:val="0"/>
      <w:marTop w:val="0"/>
      <w:marBottom w:val="0"/>
      <w:divBdr>
        <w:top w:val="none" w:sz="0" w:space="0" w:color="auto"/>
        <w:left w:val="none" w:sz="0" w:space="0" w:color="auto"/>
        <w:bottom w:val="none" w:sz="0" w:space="0" w:color="auto"/>
        <w:right w:val="none" w:sz="0" w:space="0" w:color="auto"/>
      </w:divBdr>
    </w:div>
    <w:div w:id="1941183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837B4-1F95-47D3-8E25-AA13236DA9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47</Pages>
  <Words>11076</Words>
  <Characters>63136</Characters>
  <Application>Microsoft Office Word</Application>
  <DocSecurity>0</DocSecurity>
  <Lines>526</Lines>
  <Paragraphs>148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Bowie (1601293)</dc:creator>
  <cp:keywords/>
  <dc:description/>
  <cp:lastModifiedBy>Tamara Bowie (1601293)</cp:lastModifiedBy>
  <cp:revision>51</cp:revision>
  <cp:lastPrinted>2019-05-08T08:17:00Z</cp:lastPrinted>
  <dcterms:created xsi:type="dcterms:W3CDTF">2019-05-07T01:13:00Z</dcterms:created>
  <dcterms:modified xsi:type="dcterms:W3CDTF">2019-05-08T08:21:00Z</dcterms:modified>
</cp:coreProperties>
</file>