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6AB36A" w14:textId="77777777" w:rsidR="0032012E" w:rsidRDefault="0032012E" w:rsidP="0062656B">
      <w:pPr>
        <w:rPr>
          <w:rFonts w:eastAsia="Times New Roman" w:cs="Times New Roman"/>
          <w:b/>
          <w:bCs/>
          <w:sz w:val="28"/>
          <w:szCs w:val="28"/>
          <w:u w:val="single"/>
        </w:rPr>
      </w:pPr>
    </w:p>
    <w:p w14:paraId="3E71E451" w14:textId="3BA7763C" w:rsidR="0062656B" w:rsidRPr="00045344" w:rsidRDefault="00F75794" w:rsidP="00045344">
      <w:pPr>
        <w:jc w:val="center"/>
        <w:rPr>
          <w:rFonts w:eastAsia="Times New Roman" w:cs="Times New Roman"/>
          <w:b/>
          <w:bCs/>
          <w:sz w:val="28"/>
          <w:szCs w:val="28"/>
          <w:u w:val="single"/>
        </w:rPr>
      </w:pPr>
      <w:r>
        <w:rPr>
          <w:rFonts w:eastAsia="Times New Roman" w:cs="Times New Roman"/>
          <w:b/>
          <w:bCs/>
          <w:sz w:val="28"/>
          <w:szCs w:val="28"/>
          <w:u w:val="single"/>
        </w:rPr>
        <w:t>SUMMARY</w:t>
      </w:r>
    </w:p>
    <w:p w14:paraId="3250C61A" w14:textId="77777777" w:rsidR="00E04AEF" w:rsidRPr="00045344" w:rsidRDefault="00E04AEF" w:rsidP="00E04AEF">
      <w:pPr>
        <w:rPr>
          <w:rFonts w:eastAsia="Times New Roman" w:cs="Times New Roman"/>
          <w:sz w:val="28"/>
          <w:szCs w:val="28"/>
        </w:rPr>
      </w:pPr>
    </w:p>
    <w:p w14:paraId="5FCCA2A5" w14:textId="304ABA66" w:rsidR="00E04AEF" w:rsidRPr="00045344" w:rsidRDefault="00045344" w:rsidP="00E04AEF">
      <w:pPr>
        <w:rPr>
          <w:sz w:val="28"/>
          <w:szCs w:val="28"/>
        </w:rPr>
      </w:pPr>
      <w:r w:rsidRPr="00045344">
        <w:rPr>
          <w:sz w:val="28"/>
          <w:szCs w:val="28"/>
        </w:rPr>
        <w:t>I begin</w:t>
      </w:r>
      <w:r w:rsidR="00E04AEF" w:rsidRPr="00045344">
        <w:rPr>
          <w:sz w:val="28"/>
          <w:szCs w:val="28"/>
        </w:rPr>
        <w:t xml:space="preserve"> by developing the point I have highlighted </w:t>
      </w:r>
      <w:r w:rsidR="00E04AEF" w:rsidRPr="00045344">
        <w:rPr>
          <w:color w:val="FF0000"/>
          <w:sz w:val="28"/>
          <w:szCs w:val="28"/>
        </w:rPr>
        <w:t xml:space="preserve">in red </w:t>
      </w:r>
      <w:r w:rsidR="00E04AEF" w:rsidRPr="00045344">
        <w:rPr>
          <w:sz w:val="28"/>
          <w:szCs w:val="28"/>
        </w:rPr>
        <w:t>below, and then apply this to interaction (both positive a</w:t>
      </w:r>
      <w:r w:rsidR="00B224FC" w:rsidRPr="00045344">
        <w:rPr>
          <w:sz w:val="28"/>
          <w:szCs w:val="28"/>
        </w:rPr>
        <w:t xml:space="preserve">nd negative) between the visual/material </w:t>
      </w:r>
      <w:r w:rsidR="00E04AEF" w:rsidRPr="00045344">
        <w:rPr>
          <w:sz w:val="28"/>
          <w:szCs w:val="28"/>
        </w:rPr>
        <w:t>cultures of the three faiths: Judaism, Christianity and Islam.</w:t>
      </w:r>
    </w:p>
    <w:p w14:paraId="48886D8E" w14:textId="77777777" w:rsidR="0062656B" w:rsidRPr="00045344" w:rsidRDefault="0062656B" w:rsidP="0062656B">
      <w:pPr>
        <w:rPr>
          <w:rFonts w:ascii="Times New Roman" w:eastAsia="Times New Roman" w:hAnsi="Times New Roman" w:cs="Times New Roman"/>
          <w:sz w:val="28"/>
          <w:szCs w:val="28"/>
        </w:rPr>
      </w:pPr>
    </w:p>
    <w:p w14:paraId="21BB67E3" w14:textId="77777777" w:rsidR="00B1232F" w:rsidRPr="00045344" w:rsidRDefault="0062656B" w:rsidP="0062656B">
      <w:pPr>
        <w:rPr>
          <w:rFonts w:eastAsia="Times New Roman" w:cs="Times New Roman"/>
          <w:sz w:val="28"/>
          <w:szCs w:val="28"/>
        </w:rPr>
      </w:pPr>
      <w:r w:rsidRPr="00045344">
        <w:rPr>
          <w:rFonts w:eastAsia="Times New Roman" w:cs="Times New Roman"/>
          <w:b/>
          <w:bCs/>
          <w:sz w:val="28"/>
          <w:szCs w:val="28"/>
        </w:rPr>
        <w:t>“</w:t>
      </w:r>
      <w:r w:rsidRPr="00045344">
        <w:rPr>
          <w:rFonts w:eastAsia="Times New Roman" w:cs="Times New Roman"/>
          <w:sz w:val="28"/>
          <w:szCs w:val="28"/>
        </w:rPr>
        <w:t>Hermeneutic aesthetics makes a distinction between the broad subject matter of a work and the very particular way a painting interprets it; it discloses how the subject matter an art work brings to mind is larger than what is shown and, at the same time, reveals the individuality of a work, its particular way of contributing towards its expression (Davey 1999: 14-17). When an art work brings its subject matter to mind, it will bring to mind more than what is initially seen.</w:t>
      </w:r>
    </w:p>
    <w:p w14:paraId="167E6A38" w14:textId="77777777" w:rsidR="00B1232F" w:rsidRPr="00045344" w:rsidRDefault="00B1232F" w:rsidP="0062656B">
      <w:pPr>
        <w:rPr>
          <w:rFonts w:eastAsia="Times New Roman" w:cs="Times New Roman"/>
          <w:sz w:val="28"/>
          <w:szCs w:val="28"/>
        </w:rPr>
      </w:pPr>
    </w:p>
    <w:p w14:paraId="1AF2642E" w14:textId="77777777" w:rsidR="00B1232F" w:rsidRPr="00045344" w:rsidRDefault="0062656B" w:rsidP="0062656B">
      <w:pPr>
        <w:rPr>
          <w:rFonts w:eastAsia="Times New Roman" w:cs="Times New Roman"/>
          <w:sz w:val="28"/>
          <w:szCs w:val="28"/>
        </w:rPr>
      </w:pPr>
      <w:r w:rsidRPr="00045344">
        <w:rPr>
          <w:rFonts w:eastAsia="Times New Roman" w:cs="Times New Roman"/>
          <w:sz w:val="28"/>
          <w:szCs w:val="28"/>
        </w:rPr>
        <w:t xml:space="preserve"> </w:t>
      </w:r>
      <w:r w:rsidRPr="00045344">
        <w:rPr>
          <w:rFonts w:eastAsia="Times New Roman" w:cs="Times New Roman"/>
          <w:b/>
          <w:bCs/>
          <w:color w:val="FF0000"/>
          <w:sz w:val="28"/>
          <w:szCs w:val="28"/>
        </w:rPr>
        <w:t>We are led out of the immediacy of our own horizon and brought to consider other ways of seeing and thinking; re-acquainting ourselves with previous interpretations of a subject frees us from being compelled to think and feel solely in terms of our present horizon. By recognizing different traditions of art practice and history, hermeneutical experience exposes the (subjective) limitations of our ways of seeing and opens us to a greater objectivity (Davey 1999: 3).</w:t>
      </w:r>
      <w:r w:rsidRPr="00045344">
        <w:rPr>
          <w:rFonts w:eastAsia="Times New Roman" w:cs="Times New Roman"/>
          <w:sz w:val="28"/>
          <w:szCs w:val="28"/>
        </w:rPr>
        <w:t xml:space="preserve"> </w:t>
      </w:r>
    </w:p>
    <w:p w14:paraId="0ABD9BD9" w14:textId="77777777" w:rsidR="00B1232F" w:rsidRPr="00045344" w:rsidRDefault="00B1232F" w:rsidP="0062656B">
      <w:pPr>
        <w:rPr>
          <w:rFonts w:eastAsia="Times New Roman" w:cs="Times New Roman"/>
          <w:sz w:val="28"/>
          <w:szCs w:val="28"/>
        </w:rPr>
      </w:pPr>
    </w:p>
    <w:p w14:paraId="34DFC3B8" w14:textId="5FFA0AD5" w:rsidR="0062656B" w:rsidRPr="00045344" w:rsidRDefault="0062656B" w:rsidP="0062656B">
      <w:pPr>
        <w:rPr>
          <w:rFonts w:eastAsia="Times New Roman" w:cs="Times New Roman"/>
          <w:b/>
          <w:bCs/>
          <w:sz w:val="28"/>
          <w:szCs w:val="28"/>
        </w:rPr>
      </w:pPr>
      <w:r w:rsidRPr="00045344">
        <w:rPr>
          <w:rFonts w:eastAsia="Times New Roman" w:cs="Times New Roman"/>
          <w:sz w:val="28"/>
          <w:szCs w:val="28"/>
        </w:rPr>
        <w:t xml:space="preserve">The subject matter (Sache) that a painting expresses can never be exhausted by its particular exemplifications; it always remains more than any individual expression of it and is always susceptible to extension by further interpretation so that no art work can ever do full justice to the visualization of the subject. Gadamer's notion of Darstellung emphasizes that aesthetic understanding is inseparable from its instances: Only by looking at the singular image, do we begin to see and engage with what it brings forth (darstellen); namely the whole field of meaning which informs it. The particular art work allows us to gain sight ofthat which without art's mediation, we could never come to see. Though aesthetics and aesthetic revelation must focus on the particular instance, the value of aesthetic experience resides in its ability to illuminate, re-interpret and develop previous experience... Finitude and partiality of vision are a condition of being able to see more (Davey 1999: 24). </w:t>
      </w:r>
      <w:r w:rsidRPr="00045344">
        <w:rPr>
          <w:rFonts w:eastAsia="Times New Roman" w:cs="Times New Roman"/>
          <w:b/>
          <w:bCs/>
          <w:sz w:val="28"/>
          <w:szCs w:val="28"/>
        </w:rPr>
        <w:t>“</w:t>
      </w:r>
    </w:p>
    <w:p w14:paraId="0764293D" w14:textId="77777777" w:rsidR="0062656B" w:rsidRPr="00045344" w:rsidRDefault="0062656B" w:rsidP="0062656B">
      <w:pPr>
        <w:jc w:val="right"/>
        <w:rPr>
          <w:rFonts w:ascii="Times New Roman" w:eastAsia="Times New Roman" w:hAnsi="Times New Roman" w:cs="Times New Roman"/>
          <w:color w:val="0070C0"/>
          <w:sz w:val="28"/>
          <w:szCs w:val="28"/>
        </w:rPr>
      </w:pPr>
      <w:r w:rsidRPr="00045344">
        <w:rPr>
          <w:rFonts w:ascii="Times New Roman" w:eastAsia="Times New Roman" w:hAnsi="Times New Roman" w:cs="Times New Roman"/>
          <w:color w:val="0070C0"/>
          <w:sz w:val="28"/>
          <w:szCs w:val="28"/>
        </w:rPr>
        <w:t xml:space="preserve">Extract from my JSNT article </w:t>
      </w:r>
    </w:p>
    <w:p w14:paraId="36742EB6" w14:textId="77777777" w:rsidR="00045344" w:rsidRDefault="00045344">
      <w:pPr>
        <w:rPr>
          <w:b/>
          <w:bCs/>
          <w:sz w:val="28"/>
          <w:szCs w:val="28"/>
          <w:u w:val="single"/>
        </w:rPr>
      </w:pPr>
    </w:p>
    <w:p w14:paraId="42E0F3F7" w14:textId="77777777" w:rsidR="00045344" w:rsidRDefault="00045344">
      <w:pPr>
        <w:rPr>
          <w:b/>
          <w:bCs/>
          <w:sz w:val="28"/>
          <w:szCs w:val="28"/>
          <w:u w:val="single"/>
        </w:rPr>
      </w:pPr>
    </w:p>
    <w:p w14:paraId="46BD5F15" w14:textId="77777777" w:rsidR="00045344" w:rsidRDefault="00045344">
      <w:pPr>
        <w:rPr>
          <w:b/>
          <w:bCs/>
          <w:sz w:val="28"/>
          <w:szCs w:val="28"/>
          <w:u w:val="single"/>
        </w:rPr>
      </w:pPr>
    </w:p>
    <w:p w14:paraId="288EAFE6" w14:textId="3E6D23DD" w:rsidR="0062656B" w:rsidRPr="00045344" w:rsidRDefault="0062656B">
      <w:pPr>
        <w:rPr>
          <w:b/>
          <w:bCs/>
          <w:sz w:val="28"/>
          <w:szCs w:val="28"/>
          <w:u w:val="single"/>
        </w:rPr>
      </w:pPr>
      <w:r w:rsidRPr="00045344">
        <w:rPr>
          <w:b/>
          <w:bCs/>
          <w:sz w:val="28"/>
          <w:szCs w:val="28"/>
          <w:u w:val="single"/>
        </w:rPr>
        <w:lastRenderedPageBreak/>
        <w:t>Main points</w:t>
      </w:r>
      <w:r w:rsidR="00F75794">
        <w:rPr>
          <w:b/>
          <w:bCs/>
          <w:sz w:val="28"/>
          <w:szCs w:val="28"/>
          <w:u w:val="single"/>
        </w:rPr>
        <w:t>:</w:t>
      </w:r>
    </w:p>
    <w:p w14:paraId="04FEE0E0" w14:textId="77777777" w:rsidR="00E04AEF" w:rsidRPr="00045344" w:rsidRDefault="00E04AEF">
      <w:pPr>
        <w:rPr>
          <w:b/>
          <w:bCs/>
          <w:sz w:val="28"/>
          <w:szCs w:val="28"/>
          <w:u w:val="single"/>
        </w:rPr>
      </w:pPr>
    </w:p>
    <w:p w14:paraId="4105AE71" w14:textId="4FB9C8DF" w:rsidR="00E04AEF" w:rsidRPr="00045344" w:rsidRDefault="00E04AEF">
      <w:pPr>
        <w:rPr>
          <w:sz w:val="28"/>
          <w:szCs w:val="28"/>
        </w:rPr>
      </w:pPr>
      <w:r w:rsidRPr="00045344">
        <w:rPr>
          <w:sz w:val="28"/>
          <w:szCs w:val="28"/>
        </w:rPr>
        <w:t xml:space="preserve">I </w:t>
      </w:r>
      <w:r w:rsidR="00F75794">
        <w:rPr>
          <w:sz w:val="28"/>
          <w:szCs w:val="28"/>
        </w:rPr>
        <w:t xml:space="preserve">then </w:t>
      </w:r>
      <w:bookmarkStart w:id="0" w:name="_GoBack"/>
      <w:bookmarkEnd w:id="0"/>
      <w:r w:rsidRPr="00045344">
        <w:rPr>
          <w:sz w:val="28"/>
          <w:szCs w:val="28"/>
        </w:rPr>
        <w:t xml:space="preserve">deal with a number of </w:t>
      </w:r>
      <w:r w:rsidR="0032012E" w:rsidRPr="00045344">
        <w:rPr>
          <w:sz w:val="28"/>
          <w:szCs w:val="28"/>
        </w:rPr>
        <w:t>aspects/</w:t>
      </w:r>
      <w:r w:rsidRPr="00045344">
        <w:rPr>
          <w:sz w:val="28"/>
          <w:szCs w:val="28"/>
        </w:rPr>
        <w:t>periods/movements where visual culture either facilitated, or emphatically prevented, interfaith co-operation:</w:t>
      </w:r>
    </w:p>
    <w:p w14:paraId="12020051" w14:textId="77777777" w:rsidR="0062656B" w:rsidRPr="00045344" w:rsidRDefault="0062656B">
      <w:pPr>
        <w:rPr>
          <w:b/>
          <w:bCs/>
          <w:sz w:val="28"/>
          <w:szCs w:val="28"/>
          <w:u w:val="single"/>
        </w:rPr>
      </w:pPr>
    </w:p>
    <w:p w14:paraId="71D2E00A" w14:textId="77777777" w:rsidR="0062656B" w:rsidRPr="00045344" w:rsidRDefault="0062656B" w:rsidP="0032012E">
      <w:pPr>
        <w:pStyle w:val="ListParagraph"/>
        <w:numPr>
          <w:ilvl w:val="0"/>
          <w:numId w:val="1"/>
        </w:numPr>
        <w:rPr>
          <w:sz w:val="28"/>
          <w:szCs w:val="28"/>
        </w:rPr>
      </w:pPr>
      <w:r w:rsidRPr="00045344">
        <w:rPr>
          <w:b/>
          <w:bCs/>
          <w:sz w:val="28"/>
          <w:szCs w:val="28"/>
          <w:u w:val="single"/>
        </w:rPr>
        <w:t>Jewish</w:t>
      </w:r>
      <w:r w:rsidRPr="00045344">
        <w:rPr>
          <w:sz w:val="28"/>
          <w:szCs w:val="28"/>
        </w:rPr>
        <w:t xml:space="preserve"> and </w:t>
      </w:r>
      <w:r w:rsidRPr="00045344">
        <w:rPr>
          <w:b/>
          <w:bCs/>
          <w:sz w:val="28"/>
          <w:szCs w:val="28"/>
          <w:u w:val="single"/>
        </w:rPr>
        <w:t>Islamic</w:t>
      </w:r>
      <w:r w:rsidRPr="00045344">
        <w:rPr>
          <w:sz w:val="28"/>
          <w:szCs w:val="28"/>
        </w:rPr>
        <w:t xml:space="preserve"> attitudes to the prohibition of images;</w:t>
      </w:r>
    </w:p>
    <w:p w14:paraId="41E9DDD0" w14:textId="77777777" w:rsidR="0062656B" w:rsidRPr="00045344" w:rsidRDefault="0062656B">
      <w:pPr>
        <w:rPr>
          <w:sz w:val="28"/>
          <w:szCs w:val="28"/>
        </w:rPr>
      </w:pPr>
    </w:p>
    <w:p w14:paraId="43EF49E8" w14:textId="77777777" w:rsidR="0062656B" w:rsidRPr="00045344" w:rsidRDefault="0062656B" w:rsidP="0032012E">
      <w:pPr>
        <w:pStyle w:val="ListParagraph"/>
        <w:numPr>
          <w:ilvl w:val="0"/>
          <w:numId w:val="1"/>
        </w:numPr>
        <w:rPr>
          <w:sz w:val="28"/>
          <w:szCs w:val="28"/>
        </w:rPr>
      </w:pPr>
      <w:r w:rsidRPr="00045344">
        <w:rPr>
          <w:sz w:val="28"/>
          <w:szCs w:val="28"/>
        </w:rPr>
        <w:t>Visual representations of</w:t>
      </w:r>
      <w:r w:rsidRPr="00045344">
        <w:rPr>
          <w:color w:val="000000" w:themeColor="text1"/>
          <w:sz w:val="28"/>
          <w:szCs w:val="28"/>
        </w:rPr>
        <w:t xml:space="preserve"> </w:t>
      </w:r>
      <w:r w:rsidRPr="00045344">
        <w:rPr>
          <w:b/>
          <w:bCs/>
          <w:color w:val="000000" w:themeColor="text1"/>
          <w:sz w:val="28"/>
          <w:szCs w:val="28"/>
          <w:u w:val="single"/>
        </w:rPr>
        <w:t>Jews</w:t>
      </w:r>
      <w:r w:rsidRPr="00045344">
        <w:rPr>
          <w:color w:val="000000" w:themeColor="text1"/>
          <w:sz w:val="28"/>
          <w:szCs w:val="28"/>
        </w:rPr>
        <w:t xml:space="preserve"> </w:t>
      </w:r>
      <w:r w:rsidRPr="00045344">
        <w:rPr>
          <w:sz w:val="28"/>
          <w:szCs w:val="28"/>
        </w:rPr>
        <w:t xml:space="preserve">in </w:t>
      </w:r>
      <w:r w:rsidRPr="00045344">
        <w:rPr>
          <w:b/>
          <w:bCs/>
          <w:sz w:val="28"/>
          <w:szCs w:val="28"/>
          <w:u w:val="single"/>
        </w:rPr>
        <w:t>Christian</w:t>
      </w:r>
      <w:r w:rsidRPr="00045344">
        <w:rPr>
          <w:sz w:val="28"/>
          <w:szCs w:val="28"/>
        </w:rPr>
        <w:t xml:space="preserve"> manuscripts;</w:t>
      </w:r>
    </w:p>
    <w:p w14:paraId="4DF31ED9" w14:textId="77777777" w:rsidR="00E04AEF" w:rsidRPr="00045344" w:rsidRDefault="00E04AEF" w:rsidP="0062656B">
      <w:pPr>
        <w:rPr>
          <w:sz w:val="28"/>
          <w:szCs w:val="28"/>
        </w:rPr>
      </w:pPr>
    </w:p>
    <w:p w14:paraId="02F3554F" w14:textId="2EAFB721" w:rsidR="00E04AEF" w:rsidRPr="00045344" w:rsidRDefault="00E04AEF" w:rsidP="0032012E">
      <w:pPr>
        <w:pStyle w:val="ListParagraph"/>
        <w:numPr>
          <w:ilvl w:val="0"/>
          <w:numId w:val="1"/>
        </w:numPr>
        <w:rPr>
          <w:sz w:val="28"/>
          <w:szCs w:val="28"/>
        </w:rPr>
      </w:pPr>
      <w:r w:rsidRPr="00045344">
        <w:rPr>
          <w:sz w:val="28"/>
          <w:szCs w:val="28"/>
        </w:rPr>
        <w:t xml:space="preserve">Co-operation between </w:t>
      </w:r>
      <w:r w:rsidRPr="00045344">
        <w:rPr>
          <w:b/>
          <w:bCs/>
          <w:sz w:val="28"/>
          <w:szCs w:val="28"/>
          <w:u w:val="single"/>
        </w:rPr>
        <w:t>Jewish</w:t>
      </w:r>
      <w:r w:rsidRPr="00045344">
        <w:rPr>
          <w:sz w:val="28"/>
          <w:szCs w:val="28"/>
        </w:rPr>
        <w:t xml:space="preserve"> and </w:t>
      </w:r>
      <w:r w:rsidRPr="00045344">
        <w:rPr>
          <w:b/>
          <w:bCs/>
          <w:sz w:val="28"/>
          <w:szCs w:val="28"/>
          <w:u w:val="single"/>
        </w:rPr>
        <w:t>Muslims</w:t>
      </w:r>
      <w:r w:rsidRPr="00045344">
        <w:rPr>
          <w:sz w:val="28"/>
          <w:szCs w:val="28"/>
        </w:rPr>
        <w:t xml:space="preserve"> artists in depicting religious topics, traditions not shared by </w:t>
      </w:r>
      <w:r w:rsidRPr="00045344">
        <w:rPr>
          <w:b/>
          <w:bCs/>
          <w:sz w:val="28"/>
          <w:szCs w:val="28"/>
          <w:u w:val="single"/>
        </w:rPr>
        <w:t>Christians</w:t>
      </w:r>
      <w:r w:rsidR="00F75794">
        <w:rPr>
          <w:sz w:val="28"/>
          <w:szCs w:val="28"/>
        </w:rPr>
        <w:t>;</w:t>
      </w:r>
    </w:p>
    <w:p w14:paraId="4C1C6F72" w14:textId="77777777" w:rsidR="00E04AEF" w:rsidRPr="00045344" w:rsidRDefault="00E04AEF" w:rsidP="00E04AEF">
      <w:pPr>
        <w:rPr>
          <w:sz w:val="28"/>
          <w:szCs w:val="28"/>
        </w:rPr>
      </w:pPr>
    </w:p>
    <w:p w14:paraId="79EC47A6" w14:textId="77777777" w:rsidR="00E04AEF" w:rsidRPr="00045344" w:rsidRDefault="00E04AEF" w:rsidP="0032012E">
      <w:pPr>
        <w:pStyle w:val="ListParagraph"/>
        <w:numPr>
          <w:ilvl w:val="0"/>
          <w:numId w:val="1"/>
        </w:numPr>
        <w:rPr>
          <w:sz w:val="28"/>
          <w:szCs w:val="28"/>
        </w:rPr>
      </w:pPr>
      <w:r w:rsidRPr="00045344">
        <w:rPr>
          <w:sz w:val="28"/>
          <w:szCs w:val="28"/>
        </w:rPr>
        <w:t xml:space="preserve">Engagement between </w:t>
      </w:r>
      <w:r w:rsidRPr="00045344">
        <w:rPr>
          <w:b/>
          <w:bCs/>
          <w:sz w:val="28"/>
          <w:szCs w:val="28"/>
          <w:u w:val="single"/>
        </w:rPr>
        <w:t>Christian</w:t>
      </w:r>
      <w:r w:rsidRPr="00045344">
        <w:rPr>
          <w:sz w:val="28"/>
          <w:szCs w:val="28"/>
        </w:rPr>
        <w:t xml:space="preserve"> artists in Venice and </w:t>
      </w:r>
      <w:r w:rsidRPr="00045344">
        <w:rPr>
          <w:b/>
          <w:bCs/>
          <w:sz w:val="28"/>
          <w:szCs w:val="28"/>
          <w:u w:val="single"/>
        </w:rPr>
        <w:t>Muslim</w:t>
      </w:r>
      <w:r w:rsidRPr="00045344">
        <w:rPr>
          <w:sz w:val="28"/>
          <w:szCs w:val="28"/>
        </w:rPr>
        <w:t xml:space="preserve"> artists in Istanbul during the period of the so-called ‘Oriental mode’;</w:t>
      </w:r>
    </w:p>
    <w:p w14:paraId="788596F9" w14:textId="77777777" w:rsidR="0032012E" w:rsidRPr="00045344" w:rsidRDefault="0032012E" w:rsidP="0032012E">
      <w:pPr>
        <w:rPr>
          <w:sz w:val="28"/>
          <w:szCs w:val="28"/>
        </w:rPr>
      </w:pPr>
    </w:p>
    <w:p w14:paraId="37FDCF69" w14:textId="77777777" w:rsidR="0032012E" w:rsidRPr="00045344" w:rsidRDefault="0032012E" w:rsidP="0032012E">
      <w:pPr>
        <w:pStyle w:val="ListParagraph"/>
        <w:numPr>
          <w:ilvl w:val="0"/>
          <w:numId w:val="1"/>
        </w:numPr>
        <w:rPr>
          <w:sz w:val="28"/>
          <w:szCs w:val="28"/>
        </w:rPr>
      </w:pPr>
      <w:r w:rsidRPr="00045344">
        <w:rPr>
          <w:sz w:val="28"/>
          <w:szCs w:val="28"/>
        </w:rPr>
        <w:t xml:space="preserve">Shared </w:t>
      </w:r>
      <w:r w:rsidRPr="00045344">
        <w:rPr>
          <w:b/>
          <w:bCs/>
          <w:sz w:val="28"/>
          <w:szCs w:val="28"/>
          <w:u w:val="single"/>
        </w:rPr>
        <w:t>Jewish</w:t>
      </w:r>
      <w:r w:rsidRPr="00045344">
        <w:rPr>
          <w:sz w:val="28"/>
          <w:szCs w:val="28"/>
        </w:rPr>
        <w:t xml:space="preserve"> and </w:t>
      </w:r>
      <w:r w:rsidRPr="00045344">
        <w:rPr>
          <w:b/>
          <w:bCs/>
          <w:sz w:val="28"/>
          <w:szCs w:val="28"/>
          <w:u w:val="single"/>
        </w:rPr>
        <w:t>Muslim</w:t>
      </w:r>
      <w:r w:rsidRPr="00045344">
        <w:rPr>
          <w:sz w:val="28"/>
          <w:szCs w:val="28"/>
        </w:rPr>
        <w:t xml:space="preserve"> visual traditions in Andalucía;</w:t>
      </w:r>
    </w:p>
    <w:p w14:paraId="1F0AB9DA" w14:textId="77777777" w:rsidR="00E04AEF" w:rsidRPr="00045344" w:rsidRDefault="00E04AEF" w:rsidP="00E04AEF">
      <w:pPr>
        <w:rPr>
          <w:sz w:val="28"/>
          <w:szCs w:val="28"/>
        </w:rPr>
      </w:pPr>
    </w:p>
    <w:p w14:paraId="79889757" w14:textId="77777777" w:rsidR="00E04AEF" w:rsidRPr="00045344" w:rsidRDefault="00E04AEF" w:rsidP="0032012E">
      <w:pPr>
        <w:pStyle w:val="ListParagraph"/>
        <w:numPr>
          <w:ilvl w:val="0"/>
          <w:numId w:val="1"/>
        </w:numPr>
        <w:rPr>
          <w:sz w:val="28"/>
          <w:szCs w:val="28"/>
        </w:rPr>
      </w:pPr>
      <w:r w:rsidRPr="00045344">
        <w:rPr>
          <w:sz w:val="28"/>
          <w:szCs w:val="28"/>
        </w:rPr>
        <w:t xml:space="preserve">The negative portrayal of </w:t>
      </w:r>
      <w:r w:rsidRPr="00045344">
        <w:rPr>
          <w:b/>
          <w:bCs/>
          <w:sz w:val="28"/>
          <w:szCs w:val="28"/>
          <w:u w:val="single"/>
        </w:rPr>
        <w:t>Muslims</w:t>
      </w:r>
      <w:r w:rsidRPr="00045344">
        <w:rPr>
          <w:sz w:val="28"/>
          <w:szCs w:val="28"/>
        </w:rPr>
        <w:t xml:space="preserve"> by Orientalist artists in biblical paintings of the nineteenth century;  </w:t>
      </w:r>
    </w:p>
    <w:p w14:paraId="0822D8D3" w14:textId="77777777" w:rsidR="00E04AEF" w:rsidRPr="00045344" w:rsidRDefault="00E04AEF" w:rsidP="00E04AEF">
      <w:pPr>
        <w:rPr>
          <w:sz w:val="28"/>
          <w:szCs w:val="28"/>
        </w:rPr>
      </w:pPr>
    </w:p>
    <w:p w14:paraId="3BE4BFA4" w14:textId="77777777" w:rsidR="00E04AEF" w:rsidRPr="00045344" w:rsidRDefault="00E04AEF" w:rsidP="0032012E">
      <w:pPr>
        <w:pStyle w:val="ListParagraph"/>
        <w:numPr>
          <w:ilvl w:val="0"/>
          <w:numId w:val="1"/>
        </w:numPr>
        <w:rPr>
          <w:sz w:val="28"/>
          <w:szCs w:val="28"/>
        </w:rPr>
      </w:pPr>
      <w:r w:rsidRPr="00045344">
        <w:rPr>
          <w:sz w:val="28"/>
          <w:szCs w:val="28"/>
        </w:rPr>
        <w:t xml:space="preserve">The Holocaust and the visual arts:  how </w:t>
      </w:r>
      <w:r w:rsidRPr="00045344">
        <w:rPr>
          <w:b/>
          <w:bCs/>
          <w:sz w:val="28"/>
          <w:szCs w:val="28"/>
          <w:u w:val="single"/>
        </w:rPr>
        <w:t>Jewish</w:t>
      </w:r>
      <w:r w:rsidRPr="00045344">
        <w:rPr>
          <w:sz w:val="28"/>
          <w:szCs w:val="28"/>
        </w:rPr>
        <w:t xml:space="preserve"> artists used specifically </w:t>
      </w:r>
      <w:r w:rsidRPr="00045344">
        <w:rPr>
          <w:b/>
          <w:bCs/>
          <w:sz w:val="28"/>
          <w:szCs w:val="28"/>
          <w:u w:val="single"/>
        </w:rPr>
        <w:t>Christian</w:t>
      </w:r>
      <w:r w:rsidRPr="00045344">
        <w:rPr>
          <w:sz w:val="28"/>
          <w:szCs w:val="28"/>
        </w:rPr>
        <w:t xml:space="preserve"> symbols to portray vividly the plight of European Jewry – in a visual language easily understood by a largely </w:t>
      </w:r>
      <w:r w:rsidRPr="00045344">
        <w:rPr>
          <w:b/>
          <w:bCs/>
          <w:sz w:val="28"/>
          <w:szCs w:val="28"/>
          <w:u w:val="single"/>
        </w:rPr>
        <w:t>Christian</w:t>
      </w:r>
      <w:r w:rsidRPr="00045344">
        <w:rPr>
          <w:sz w:val="28"/>
          <w:szCs w:val="28"/>
        </w:rPr>
        <w:t xml:space="preserve"> Europe.  Specific focus on Chagall. </w:t>
      </w:r>
    </w:p>
    <w:p w14:paraId="5198B7C4" w14:textId="77777777" w:rsidR="0032012E" w:rsidRPr="00045344" w:rsidRDefault="0032012E" w:rsidP="0032012E">
      <w:pPr>
        <w:rPr>
          <w:sz w:val="28"/>
          <w:szCs w:val="28"/>
        </w:rPr>
      </w:pPr>
    </w:p>
    <w:p w14:paraId="6ACEB517" w14:textId="77777777" w:rsidR="0032012E" w:rsidRPr="00045344" w:rsidRDefault="0032012E" w:rsidP="0032012E">
      <w:pPr>
        <w:rPr>
          <w:b/>
          <w:bCs/>
          <w:sz w:val="28"/>
          <w:szCs w:val="28"/>
          <w:u w:val="single"/>
        </w:rPr>
      </w:pPr>
      <w:r w:rsidRPr="00045344">
        <w:rPr>
          <w:b/>
          <w:bCs/>
          <w:sz w:val="28"/>
          <w:szCs w:val="28"/>
          <w:u w:val="single"/>
        </w:rPr>
        <w:t>Conclusion:</w:t>
      </w:r>
    </w:p>
    <w:p w14:paraId="170619DC" w14:textId="77777777" w:rsidR="0032012E" w:rsidRPr="00045344" w:rsidRDefault="0032012E" w:rsidP="0032012E">
      <w:pPr>
        <w:rPr>
          <w:b/>
          <w:bCs/>
          <w:sz w:val="28"/>
          <w:szCs w:val="28"/>
          <w:u w:val="single"/>
        </w:rPr>
      </w:pPr>
    </w:p>
    <w:p w14:paraId="601AD2FA" w14:textId="26113D3D" w:rsidR="0032012E" w:rsidRPr="00045344" w:rsidRDefault="00045344" w:rsidP="0032012E">
      <w:pPr>
        <w:rPr>
          <w:sz w:val="28"/>
          <w:szCs w:val="28"/>
        </w:rPr>
      </w:pPr>
      <w:r w:rsidRPr="00045344">
        <w:rPr>
          <w:sz w:val="28"/>
          <w:szCs w:val="28"/>
        </w:rPr>
        <w:t xml:space="preserve">I </w:t>
      </w:r>
      <w:r w:rsidR="0032012E" w:rsidRPr="00045344">
        <w:rPr>
          <w:sz w:val="28"/>
          <w:szCs w:val="28"/>
        </w:rPr>
        <w:t xml:space="preserve">conclude by emphasizing the </w:t>
      </w:r>
      <w:proofErr w:type="gramStart"/>
      <w:r w:rsidR="0032012E" w:rsidRPr="00045344">
        <w:rPr>
          <w:sz w:val="28"/>
          <w:szCs w:val="28"/>
        </w:rPr>
        <w:t>complex  -</w:t>
      </w:r>
      <w:proofErr w:type="gramEnd"/>
      <w:r w:rsidR="0032012E" w:rsidRPr="00045344">
        <w:rPr>
          <w:sz w:val="28"/>
          <w:szCs w:val="28"/>
        </w:rPr>
        <w:t xml:space="preserve"> yet the inextricable –historical interdependence  of visual cultures across the three faith traditions. Then show how the immediacy of the image </w:t>
      </w:r>
      <w:proofErr w:type="gramStart"/>
      <w:r w:rsidR="0032012E" w:rsidRPr="00045344">
        <w:rPr>
          <w:sz w:val="28"/>
          <w:szCs w:val="28"/>
        </w:rPr>
        <w:t>-  facilitated</w:t>
      </w:r>
      <w:proofErr w:type="gramEnd"/>
      <w:r w:rsidR="0032012E" w:rsidRPr="00045344">
        <w:rPr>
          <w:sz w:val="28"/>
          <w:szCs w:val="28"/>
        </w:rPr>
        <w:t xml:space="preserve"> by social media – can result in keeping ethnicities apart and encourage prejudice, rather than harmony. </w:t>
      </w:r>
    </w:p>
    <w:p w14:paraId="029BF1EE" w14:textId="77777777" w:rsidR="00380D5E" w:rsidRPr="00045344" w:rsidRDefault="00380D5E" w:rsidP="0032012E">
      <w:pPr>
        <w:rPr>
          <w:sz w:val="28"/>
          <w:szCs w:val="28"/>
        </w:rPr>
      </w:pPr>
    </w:p>
    <w:p w14:paraId="339CD68F" w14:textId="371AFA39" w:rsidR="00380D5E" w:rsidRPr="00045344" w:rsidRDefault="00380D5E" w:rsidP="00380D5E">
      <w:pPr>
        <w:jc w:val="center"/>
        <w:rPr>
          <w:sz w:val="28"/>
          <w:szCs w:val="28"/>
        </w:rPr>
      </w:pPr>
      <w:r w:rsidRPr="00045344">
        <w:rPr>
          <w:sz w:val="28"/>
          <w:szCs w:val="28"/>
        </w:rPr>
        <w:t>----------------------------</w:t>
      </w:r>
    </w:p>
    <w:p w14:paraId="6F82D4B3" w14:textId="604123F5" w:rsidR="00380D5E" w:rsidRPr="00045344" w:rsidRDefault="00B224FC" w:rsidP="0032012E">
      <w:pPr>
        <w:rPr>
          <w:color w:val="000000" w:themeColor="text1"/>
          <w:sz w:val="28"/>
          <w:szCs w:val="28"/>
        </w:rPr>
      </w:pPr>
      <w:r w:rsidRPr="00045344">
        <w:rPr>
          <w:color w:val="000000" w:themeColor="text1"/>
          <w:sz w:val="28"/>
          <w:szCs w:val="28"/>
        </w:rPr>
        <w:t xml:space="preserve"> </w:t>
      </w:r>
    </w:p>
    <w:sectPr w:rsidR="00380D5E" w:rsidRPr="00045344" w:rsidSect="004F695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062847"/>
    <w:multiLevelType w:val="hybridMultilevel"/>
    <w:tmpl w:val="CB7C12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656B"/>
    <w:rsid w:val="00045344"/>
    <w:rsid w:val="00282CDA"/>
    <w:rsid w:val="0032012E"/>
    <w:rsid w:val="00380D5E"/>
    <w:rsid w:val="004E301D"/>
    <w:rsid w:val="004F6958"/>
    <w:rsid w:val="0062656B"/>
    <w:rsid w:val="00814D6F"/>
    <w:rsid w:val="00B1232F"/>
    <w:rsid w:val="00B224FC"/>
    <w:rsid w:val="00C66F2A"/>
    <w:rsid w:val="00DA5C6F"/>
    <w:rsid w:val="00E04AEF"/>
    <w:rsid w:val="00F75794"/>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ecimalSymbol w:val="."/>
  <w:listSeparator w:val=","/>
  <w14:docId w14:val="4F89C1C3"/>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01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137982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2</Pages>
  <Words>523</Words>
  <Characters>2982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cp:revision>
  <dcterms:created xsi:type="dcterms:W3CDTF">2018-03-24T11:44:00Z</dcterms:created>
  <dcterms:modified xsi:type="dcterms:W3CDTF">2020-09-11T16:57:00Z</dcterms:modified>
</cp:coreProperties>
</file>