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44710701"/>
        <w:docPartObj>
          <w:docPartGallery w:val="Cover Pages"/>
          <w:docPartUnique/>
        </w:docPartObj>
      </w:sdtPr>
      <w:sdtEndPr/>
      <w:sdtContent>
        <w:p w14:paraId="163C84D8" w14:textId="77777777" w:rsidR="002A0F0F" w:rsidRDefault="002A0F0F">
          <w:r>
            <w:rPr>
              <w:noProof/>
              <w:lang w:eastAsia="en-GB"/>
            </w:rPr>
            <mc:AlternateContent>
              <mc:Choice Requires="wpg">
                <w:drawing>
                  <wp:anchor distT="0" distB="0" distL="114300" distR="114300" simplePos="0" relativeHeight="251662336" behindDoc="0" locked="0" layoutInCell="1" allowOverlap="1" wp14:anchorId="322BF254" wp14:editId="5AFC5BD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group w14:anchorId="3355F49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E5CA425" wp14:editId="6311F32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1F2759" w14:textId="77777777" w:rsidR="002A0F0F" w:rsidRDefault="002A0F0F">
                                    <w:pPr>
                                      <w:pStyle w:val="NoSpacing"/>
                                      <w:jc w:val="right"/>
                                      <w:rPr>
                                        <w:color w:val="595959" w:themeColor="text1" w:themeTint="A6"/>
                                        <w:sz w:val="28"/>
                                        <w:szCs w:val="28"/>
                                      </w:rPr>
                                    </w:pPr>
                                    <w:r>
                                      <w:rPr>
                                        <w:color w:val="595959" w:themeColor="text1" w:themeTint="A6"/>
                                        <w:sz w:val="28"/>
                                        <w:szCs w:val="28"/>
                                      </w:rPr>
                                      <w:t>Ceinwen Lloyd 1400805</w:t>
                                    </w:r>
                                  </w:p>
                                </w:sdtContent>
                              </w:sdt>
                              <w:p w14:paraId="2235364F" w14:textId="77777777" w:rsidR="002A0F0F" w:rsidRDefault="009546F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0F0F">
                                      <w:rPr>
                                        <w:color w:val="595959" w:themeColor="text1" w:themeTint="A6"/>
                                        <w:sz w:val="18"/>
                                        <w:szCs w:val="18"/>
                                      </w:rPr>
                                      <w:t>1400805@uwtsd.student.ac.uk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5CA42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1F2759" w14:textId="77777777" w:rsidR="002A0F0F" w:rsidRDefault="002A0F0F">
                              <w:pPr>
                                <w:pStyle w:val="NoSpacing"/>
                                <w:jc w:val="right"/>
                                <w:rPr>
                                  <w:color w:val="595959" w:themeColor="text1" w:themeTint="A6"/>
                                  <w:sz w:val="28"/>
                                  <w:szCs w:val="28"/>
                                </w:rPr>
                              </w:pPr>
                              <w:r>
                                <w:rPr>
                                  <w:color w:val="595959" w:themeColor="text1" w:themeTint="A6"/>
                                  <w:sz w:val="28"/>
                                  <w:szCs w:val="28"/>
                                </w:rPr>
                                <w:t>Ceinwen Lloyd 1400805</w:t>
                              </w:r>
                            </w:p>
                          </w:sdtContent>
                        </w:sdt>
                        <w:p w14:paraId="2235364F" w14:textId="77777777" w:rsidR="002A0F0F" w:rsidRDefault="000855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0F0F">
                                <w:rPr>
                                  <w:color w:val="595959" w:themeColor="text1" w:themeTint="A6"/>
                                  <w:sz w:val="18"/>
                                  <w:szCs w:val="18"/>
                                </w:rPr>
                                <w:t>1400805@uwtsd.student.ac.uk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2A95B6F" wp14:editId="7625835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891C38" w14:textId="77777777" w:rsidR="002A0F0F" w:rsidRDefault="009546F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A0F0F">
                                      <w:rPr>
                                        <w:caps/>
                                        <w:color w:val="5B9BD5" w:themeColor="accent1"/>
                                        <w:sz w:val="64"/>
                                        <w:szCs w:val="64"/>
                                      </w:rPr>
                                      <w:t>Specialist Employment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F0C3FC7" w14:textId="77777777" w:rsidR="002A0F0F" w:rsidRDefault="002A0F0F">
                                    <w:pPr>
                                      <w:jc w:val="right"/>
                                      <w:rPr>
                                        <w:smallCaps/>
                                        <w:color w:val="404040" w:themeColor="text1" w:themeTint="BF"/>
                                        <w:sz w:val="36"/>
                                        <w:szCs w:val="36"/>
                                      </w:rPr>
                                    </w:pPr>
                                    <w:r>
                                      <w:rPr>
                                        <w:color w:val="404040" w:themeColor="text1" w:themeTint="BF"/>
                                        <w:sz w:val="36"/>
                                        <w:szCs w:val="36"/>
                                      </w:rPr>
                                      <w:t>14/03/2022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A95B6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8891C38" w14:textId="77777777" w:rsidR="002A0F0F" w:rsidRDefault="000855B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A0F0F">
                                <w:rPr>
                                  <w:caps/>
                                  <w:color w:val="5B9BD5" w:themeColor="accent1"/>
                                  <w:sz w:val="64"/>
                                  <w:szCs w:val="64"/>
                                </w:rPr>
                                <w:t>Specialist Employment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F0C3FC7" w14:textId="77777777" w:rsidR="002A0F0F" w:rsidRDefault="002A0F0F">
                              <w:pPr>
                                <w:jc w:val="right"/>
                                <w:rPr>
                                  <w:smallCaps/>
                                  <w:color w:val="404040" w:themeColor="text1" w:themeTint="BF"/>
                                  <w:sz w:val="36"/>
                                  <w:szCs w:val="36"/>
                                </w:rPr>
                              </w:pPr>
                              <w:r>
                                <w:rPr>
                                  <w:color w:val="404040" w:themeColor="text1" w:themeTint="BF"/>
                                  <w:sz w:val="36"/>
                                  <w:szCs w:val="36"/>
                                </w:rPr>
                                <w:t>14/03/2022</w:t>
                              </w:r>
                            </w:p>
                          </w:sdtContent>
                        </w:sdt>
                      </w:txbxContent>
                    </v:textbox>
                    <w10:wrap type="square" anchorx="page" anchory="page"/>
                  </v:shape>
                </w:pict>
              </mc:Fallback>
            </mc:AlternateContent>
          </w:r>
        </w:p>
        <w:p w14:paraId="2AC11814" w14:textId="77777777" w:rsidR="002A0F0F" w:rsidRDefault="002A0F0F">
          <w:r>
            <w:br w:type="page"/>
          </w:r>
        </w:p>
      </w:sdtContent>
    </w:sdt>
    <w:sdt>
      <w:sdtPr>
        <w:rPr>
          <w:rFonts w:asciiTheme="minorHAnsi" w:eastAsiaTheme="minorHAnsi" w:hAnsiTheme="minorHAnsi" w:cstheme="minorBidi"/>
          <w:color w:val="auto"/>
          <w:sz w:val="22"/>
          <w:szCs w:val="22"/>
          <w:lang w:val="en-GB"/>
        </w:rPr>
        <w:id w:val="1451442605"/>
        <w:docPartObj>
          <w:docPartGallery w:val="Table of Contents"/>
          <w:docPartUnique/>
        </w:docPartObj>
      </w:sdtPr>
      <w:sdtEndPr>
        <w:rPr>
          <w:b/>
          <w:bCs/>
          <w:noProof/>
        </w:rPr>
      </w:sdtEndPr>
      <w:sdtContent>
        <w:p w14:paraId="4CC5874A" w14:textId="77777777" w:rsidR="002A0F0F" w:rsidRDefault="002A0F0F">
          <w:pPr>
            <w:pStyle w:val="TOCHeading"/>
          </w:pPr>
          <w:r>
            <w:t>Contents</w:t>
          </w:r>
        </w:p>
        <w:p w14:paraId="16E55439" w14:textId="5085B5A8" w:rsidR="00123C15" w:rsidRDefault="002A0F0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422292" w:history="1">
            <w:r w:rsidR="00123C15" w:rsidRPr="00D82135">
              <w:rPr>
                <w:rStyle w:val="Hyperlink"/>
                <w:noProof/>
              </w:rPr>
              <w:t>Task One, Question One: Explain the reasons in favour of more employment regulation and the role played by the tribunal system in enforcing employment law.</w:t>
            </w:r>
            <w:r w:rsidR="00123C15">
              <w:rPr>
                <w:noProof/>
                <w:webHidden/>
              </w:rPr>
              <w:tab/>
            </w:r>
            <w:r w:rsidR="00123C15">
              <w:rPr>
                <w:noProof/>
                <w:webHidden/>
              </w:rPr>
              <w:fldChar w:fldCharType="begin"/>
            </w:r>
            <w:r w:rsidR="00123C15">
              <w:rPr>
                <w:noProof/>
                <w:webHidden/>
              </w:rPr>
              <w:instrText xml:space="preserve"> PAGEREF _Toc98422292 \h </w:instrText>
            </w:r>
            <w:r w:rsidR="00123C15">
              <w:rPr>
                <w:noProof/>
                <w:webHidden/>
              </w:rPr>
            </w:r>
            <w:r w:rsidR="00123C15">
              <w:rPr>
                <w:noProof/>
                <w:webHidden/>
              </w:rPr>
              <w:fldChar w:fldCharType="separate"/>
            </w:r>
            <w:r w:rsidR="00123C15">
              <w:rPr>
                <w:noProof/>
                <w:webHidden/>
              </w:rPr>
              <w:t>3</w:t>
            </w:r>
            <w:r w:rsidR="00123C15">
              <w:rPr>
                <w:noProof/>
                <w:webHidden/>
              </w:rPr>
              <w:fldChar w:fldCharType="end"/>
            </w:r>
          </w:hyperlink>
        </w:p>
        <w:p w14:paraId="76DCBFA2" w14:textId="0D5C29C8" w:rsidR="00123C15" w:rsidRDefault="00123C15">
          <w:pPr>
            <w:pStyle w:val="TOC2"/>
            <w:tabs>
              <w:tab w:val="right" w:leader="dot" w:pos="9016"/>
            </w:tabs>
            <w:rPr>
              <w:rFonts w:eastAsiaTheme="minorEastAsia"/>
              <w:noProof/>
              <w:lang w:eastAsia="en-GB"/>
            </w:rPr>
          </w:pPr>
          <w:hyperlink w:anchor="_Toc98422293" w:history="1">
            <w:r w:rsidRPr="00D82135">
              <w:rPr>
                <w:rStyle w:val="Hyperlink"/>
                <w:noProof/>
              </w:rPr>
              <w:t>Task One, Question 2a: Explain the major statutory rights employees have in relation to pay, time off and working time.</w:t>
            </w:r>
            <w:r>
              <w:rPr>
                <w:noProof/>
                <w:webHidden/>
              </w:rPr>
              <w:tab/>
            </w:r>
            <w:r>
              <w:rPr>
                <w:noProof/>
                <w:webHidden/>
              </w:rPr>
              <w:fldChar w:fldCharType="begin"/>
            </w:r>
            <w:r>
              <w:rPr>
                <w:noProof/>
                <w:webHidden/>
              </w:rPr>
              <w:instrText xml:space="preserve"> PAGEREF _Toc98422293 \h </w:instrText>
            </w:r>
            <w:r>
              <w:rPr>
                <w:noProof/>
                <w:webHidden/>
              </w:rPr>
            </w:r>
            <w:r>
              <w:rPr>
                <w:noProof/>
                <w:webHidden/>
              </w:rPr>
              <w:fldChar w:fldCharType="separate"/>
            </w:r>
            <w:r>
              <w:rPr>
                <w:noProof/>
                <w:webHidden/>
              </w:rPr>
              <w:t>5</w:t>
            </w:r>
            <w:r>
              <w:rPr>
                <w:noProof/>
                <w:webHidden/>
              </w:rPr>
              <w:fldChar w:fldCharType="end"/>
            </w:r>
          </w:hyperlink>
        </w:p>
        <w:p w14:paraId="0DB09B26" w14:textId="4F900369" w:rsidR="00123C15" w:rsidRDefault="00123C15">
          <w:pPr>
            <w:pStyle w:val="TOC2"/>
            <w:tabs>
              <w:tab w:val="right" w:leader="dot" w:pos="9016"/>
            </w:tabs>
            <w:rPr>
              <w:rFonts w:eastAsiaTheme="minorEastAsia"/>
              <w:noProof/>
              <w:lang w:eastAsia="en-GB"/>
            </w:rPr>
          </w:pPr>
          <w:hyperlink w:anchor="_Toc98422294" w:history="1">
            <w:r w:rsidRPr="00D82135">
              <w:rPr>
                <w:rStyle w:val="Hyperlink"/>
                <w:noProof/>
              </w:rPr>
              <w:t>Task One, Question 2b: Explain the major family-friendly employment rights.</w:t>
            </w:r>
            <w:r>
              <w:rPr>
                <w:noProof/>
                <w:webHidden/>
              </w:rPr>
              <w:tab/>
            </w:r>
            <w:r>
              <w:rPr>
                <w:noProof/>
                <w:webHidden/>
              </w:rPr>
              <w:fldChar w:fldCharType="begin"/>
            </w:r>
            <w:r>
              <w:rPr>
                <w:noProof/>
                <w:webHidden/>
              </w:rPr>
              <w:instrText xml:space="preserve"> PAGEREF _Toc98422294 \h </w:instrText>
            </w:r>
            <w:r>
              <w:rPr>
                <w:noProof/>
                <w:webHidden/>
              </w:rPr>
            </w:r>
            <w:r>
              <w:rPr>
                <w:noProof/>
                <w:webHidden/>
              </w:rPr>
              <w:fldChar w:fldCharType="separate"/>
            </w:r>
            <w:r>
              <w:rPr>
                <w:noProof/>
                <w:webHidden/>
              </w:rPr>
              <w:t>7</w:t>
            </w:r>
            <w:r>
              <w:rPr>
                <w:noProof/>
                <w:webHidden/>
              </w:rPr>
              <w:fldChar w:fldCharType="end"/>
            </w:r>
          </w:hyperlink>
        </w:p>
        <w:p w14:paraId="4B3CA67E" w14:textId="6213358B" w:rsidR="00123C15" w:rsidRDefault="00123C15">
          <w:pPr>
            <w:pStyle w:val="TOC2"/>
            <w:tabs>
              <w:tab w:val="right" w:leader="dot" w:pos="9016"/>
            </w:tabs>
            <w:rPr>
              <w:rFonts w:eastAsiaTheme="minorEastAsia"/>
              <w:noProof/>
              <w:lang w:eastAsia="en-GB"/>
            </w:rPr>
          </w:pPr>
          <w:hyperlink w:anchor="_Toc98422295" w:history="1">
            <w:r w:rsidRPr="00D82135">
              <w:rPr>
                <w:rStyle w:val="Hyperlink"/>
                <w:noProof/>
              </w:rPr>
              <w:t>Task One, Question 3a: Evaluate the key concepts around discrimination law in recruitment, selection and employment.</w:t>
            </w:r>
            <w:r>
              <w:rPr>
                <w:noProof/>
                <w:webHidden/>
              </w:rPr>
              <w:tab/>
            </w:r>
            <w:r>
              <w:rPr>
                <w:noProof/>
                <w:webHidden/>
              </w:rPr>
              <w:fldChar w:fldCharType="begin"/>
            </w:r>
            <w:r>
              <w:rPr>
                <w:noProof/>
                <w:webHidden/>
              </w:rPr>
              <w:instrText xml:space="preserve"> PAGEREF _Toc98422295 \h </w:instrText>
            </w:r>
            <w:r>
              <w:rPr>
                <w:noProof/>
                <w:webHidden/>
              </w:rPr>
            </w:r>
            <w:r>
              <w:rPr>
                <w:noProof/>
                <w:webHidden/>
              </w:rPr>
              <w:fldChar w:fldCharType="separate"/>
            </w:r>
            <w:r>
              <w:rPr>
                <w:noProof/>
                <w:webHidden/>
              </w:rPr>
              <w:t>8</w:t>
            </w:r>
            <w:r>
              <w:rPr>
                <w:noProof/>
                <w:webHidden/>
              </w:rPr>
              <w:fldChar w:fldCharType="end"/>
            </w:r>
          </w:hyperlink>
        </w:p>
        <w:p w14:paraId="70CC179F" w14:textId="0C171DDF" w:rsidR="00123C15" w:rsidRDefault="00123C15">
          <w:pPr>
            <w:pStyle w:val="TOC2"/>
            <w:tabs>
              <w:tab w:val="right" w:leader="dot" w:pos="9016"/>
            </w:tabs>
            <w:rPr>
              <w:rFonts w:eastAsiaTheme="minorEastAsia"/>
              <w:noProof/>
              <w:lang w:eastAsia="en-GB"/>
            </w:rPr>
          </w:pPr>
          <w:hyperlink w:anchor="_Toc98422296" w:history="1">
            <w:r w:rsidRPr="00D82135">
              <w:rPr>
                <w:rStyle w:val="Hyperlink"/>
                <w:noProof/>
              </w:rPr>
              <w:t>Task One, Question 3b: Evaluate the key concepts around equal pay.</w:t>
            </w:r>
            <w:r>
              <w:rPr>
                <w:noProof/>
                <w:webHidden/>
              </w:rPr>
              <w:tab/>
            </w:r>
            <w:r>
              <w:rPr>
                <w:noProof/>
                <w:webHidden/>
              </w:rPr>
              <w:fldChar w:fldCharType="begin"/>
            </w:r>
            <w:r>
              <w:rPr>
                <w:noProof/>
                <w:webHidden/>
              </w:rPr>
              <w:instrText xml:space="preserve"> PAGEREF _Toc98422296 \h </w:instrText>
            </w:r>
            <w:r>
              <w:rPr>
                <w:noProof/>
                <w:webHidden/>
              </w:rPr>
            </w:r>
            <w:r>
              <w:rPr>
                <w:noProof/>
                <w:webHidden/>
              </w:rPr>
              <w:fldChar w:fldCharType="separate"/>
            </w:r>
            <w:r>
              <w:rPr>
                <w:noProof/>
                <w:webHidden/>
              </w:rPr>
              <w:t>9</w:t>
            </w:r>
            <w:r>
              <w:rPr>
                <w:noProof/>
                <w:webHidden/>
              </w:rPr>
              <w:fldChar w:fldCharType="end"/>
            </w:r>
          </w:hyperlink>
        </w:p>
        <w:p w14:paraId="60B32585" w14:textId="2A272663" w:rsidR="00123C15" w:rsidRDefault="00123C15">
          <w:pPr>
            <w:pStyle w:val="TOC2"/>
            <w:tabs>
              <w:tab w:val="right" w:leader="dot" w:pos="9016"/>
            </w:tabs>
            <w:rPr>
              <w:rFonts w:eastAsiaTheme="minorEastAsia"/>
              <w:noProof/>
              <w:lang w:eastAsia="en-GB"/>
            </w:rPr>
          </w:pPr>
          <w:hyperlink w:anchor="_Toc98422297" w:history="1">
            <w:r w:rsidRPr="00D82135">
              <w:rPr>
                <w:rStyle w:val="Hyperlink"/>
                <w:noProof/>
              </w:rPr>
              <w:t>Bibliography</w:t>
            </w:r>
            <w:r>
              <w:rPr>
                <w:noProof/>
                <w:webHidden/>
              </w:rPr>
              <w:tab/>
            </w:r>
            <w:r>
              <w:rPr>
                <w:noProof/>
                <w:webHidden/>
              </w:rPr>
              <w:fldChar w:fldCharType="begin"/>
            </w:r>
            <w:r>
              <w:rPr>
                <w:noProof/>
                <w:webHidden/>
              </w:rPr>
              <w:instrText xml:space="preserve"> PAGEREF _Toc98422297 \h </w:instrText>
            </w:r>
            <w:r>
              <w:rPr>
                <w:noProof/>
                <w:webHidden/>
              </w:rPr>
            </w:r>
            <w:r>
              <w:rPr>
                <w:noProof/>
                <w:webHidden/>
              </w:rPr>
              <w:fldChar w:fldCharType="separate"/>
            </w:r>
            <w:r>
              <w:rPr>
                <w:noProof/>
                <w:webHidden/>
              </w:rPr>
              <w:t>10</w:t>
            </w:r>
            <w:r>
              <w:rPr>
                <w:noProof/>
                <w:webHidden/>
              </w:rPr>
              <w:fldChar w:fldCharType="end"/>
            </w:r>
          </w:hyperlink>
        </w:p>
        <w:p w14:paraId="53B35BC5" w14:textId="4612A492" w:rsidR="00123C15" w:rsidRDefault="00123C15">
          <w:pPr>
            <w:pStyle w:val="TOC2"/>
            <w:tabs>
              <w:tab w:val="right" w:leader="dot" w:pos="9016"/>
            </w:tabs>
            <w:rPr>
              <w:rFonts w:eastAsiaTheme="minorEastAsia"/>
              <w:noProof/>
              <w:lang w:eastAsia="en-GB"/>
            </w:rPr>
          </w:pPr>
          <w:hyperlink w:anchor="_Toc98422298" w:history="1">
            <w:r w:rsidRPr="00D82135">
              <w:rPr>
                <w:rStyle w:val="Hyperlink"/>
                <w:noProof/>
              </w:rPr>
              <w:t>Outline when and how the staff from the closed site can be moved to work at another site.</w:t>
            </w:r>
            <w:r>
              <w:rPr>
                <w:noProof/>
                <w:webHidden/>
              </w:rPr>
              <w:tab/>
            </w:r>
            <w:r>
              <w:rPr>
                <w:noProof/>
                <w:webHidden/>
              </w:rPr>
              <w:fldChar w:fldCharType="begin"/>
            </w:r>
            <w:r>
              <w:rPr>
                <w:noProof/>
                <w:webHidden/>
              </w:rPr>
              <w:instrText xml:space="preserve"> PAGEREF _Toc98422298 \h </w:instrText>
            </w:r>
            <w:r>
              <w:rPr>
                <w:noProof/>
                <w:webHidden/>
              </w:rPr>
            </w:r>
            <w:r>
              <w:rPr>
                <w:noProof/>
                <w:webHidden/>
              </w:rPr>
              <w:fldChar w:fldCharType="separate"/>
            </w:r>
            <w:r>
              <w:rPr>
                <w:noProof/>
                <w:webHidden/>
              </w:rPr>
              <w:t>14</w:t>
            </w:r>
            <w:r>
              <w:rPr>
                <w:noProof/>
                <w:webHidden/>
              </w:rPr>
              <w:fldChar w:fldCharType="end"/>
            </w:r>
          </w:hyperlink>
        </w:p>
        <w:p w14:paraId="22D48975" w14:textId="46F6F715" w:rsidR="00123C15" w:rsidRDefault="00123C15">
          <w:pPr>
            <w:pStyle w:val="TOC2"/>
            <w:tabs>
              <w:tab w:val="right" w:leader="dot" w:pos="9016"/>
            </w:tabs>
            <w:rPr>
              <w:rFonts w:eastAsiaTheme="minorEastAsia"/>
              <w:noProof/>
              <w:lang w:eastAsia="en-GB"/>
            </w:rPr>
          </w:pPr>
          <w:hyperlink w:anchor="_Toc98422299" w:history="1">
            <w:r w:rsidRPr="00D82135">
              <w:rPr>
                <w:rStyle w:val="Hyperlink"/>
                <w:noProof/>
              </w:rPr>
              <w:t>Explain briefly the main requirements of individual redundancy consultation.</w:t>
            </w:r>
            <w:r>
              <w:rPr>
                <w:noProof/>
                <w:webHidden/>
              </w:rPr>
              <w:tab/>
            </w:r>
            <w:r>
              <w:rPr>
                <w:noProof/>
                <w:webHidden/>
              </w:rPr>
              <w:fldChar w:fldCharType="begin"/>
            </w:r>
            <w:r>
              <w:rPr>
                <w:noProof/>
                <w:webHidden/>
              </w:rPr>
              <w:instrText xml:space="preserve"> PAGEREF _Toc98422299 \h </w:instrText>
            </w:r>
            <w:r>
              <w:rPr>
                <w:noProof/>
                <w:webHidden/>
              </w:rPr>
            </w:r>
            <w:r>
              <w:rPr>
                <w:noProof/>
                <w:webHidden/>
              </w:rPr>
              <w:fldChar w:fldCharType="separate"/>
            </w:r>
            <w:r>
              <w:rPr>
                <w:noProof/>
                <w:webHidden/>
              </w:rPr>
              <w:t>15</w:t>
            </w:r>
            <w:r>
              <w:rPr>
                <w:noProof/>
                <w:webHidden/>
              </w:rPr>
              <w:fldChar w:fldCharType="end"/>
            </w:r>
          </w:hyperlink>
        </w:p>
        <w:p w14:paraId="4EAA0EC4" w14:textId="3DE9CA32" w:rsidR="00123C15" w:rsidRDefault="00123C15">
          <w:pPr>
            <w:pStyle w:val="TOC2"/>
            <w:tabs>
              <w:tab w:val="right" w:leader="dot" w:pos="9016"/>
            </w:tabs>
            <w:rPr>
              <w:rFonts w:eastAsiaTheme="minorEastAsia"/>
              <w:noProof/>
              <w:lang w:eastAsia="en-GB"/>
            </w:rPr>
          </w:pPr>
          <w:hyperlink w:anchor="_Toc98422300" w:history="1">
            <w:r w:rsidRPr="00D82135">
              <w:rPr>
                <w:rStyle w:val="Hyperlink"/>
                <w:noProof/>
              </w:rPr>
              <w:t>If the site was not closing and had been taken over by a competitor, summarise the main requirements of a service provision change in relation to TUPE.</w:t>
            </w:r>
            <w:r>
              <w:rPr>
                <w:noProof/>
                <w:webHidden/>
              </w:rPr>
              <w:tab/>
            </w:r>
            <w:r>
              <w:rPr>
                <w:noProof/>
                <w:webHidden/>
              </w:rPr>
              <w:fldChar w:fldCharType="begin"/>
            </w:r>
            <w:r>
              <w:rPr>
                <w:noProof/>
                <w:webHidden/>
              </w:rPr>
              <w:instrText xml:space="preserve"> PAGEREF _Toc98422300 \h </w:instrText>
            </w:r>
            <w:r>
              <w:rPr>
                <w:noProof/>
                <w:webHidden/>
              </w:rPr>
            </w:r>
            <w:r>
              <w:rPr>
                <w:noProof/>
                <w:webHidden/>
              </w:rPr>
              <w:fldChar w:fldCharType="separate"/>
            </w:r>
            <w:r>
              <w:rPr>
                <w:noProof/>
                <w:webHidden/>
              </w:rPr>
              <w:t>17</w:t>
            </w:r>
            <w:r>
              <w:rPr>
                <w:noProof/>
                <w:webHidden/>
              </w:rPr>
              <w:fldChar w:fldCharType="end"/>
            </w:r>
          </w:hyperlink>
        </w:p>
        <w:p w14:paraId="6D05570F" w14:textId="0CF75770" w:rsidR="00123C15" w:rsidRDefault="00123C15">
          <w:pPr>
            <w:pStyle w:val="TOC2"/>
            <w:tabs>
              <w:tab w:val="right" w:leader="dot" w:pos="9016"/>
            </w:tabs>
            <w:rPr>
              <w:rFonts w:eastAsiaTheme="minorEastAsia"/>
              <w:noProof/>
              <w:lang w:eastAsia="en-GB"/>
            </w:rPr>
          </w:pPr>
          <w:hyperlink w:anchor="_Toc98422301" w:history="1">
            <w:r w:rsidRPr="00D82135">
              <w:rPr>
                <w:rStyle w:val="Hyperlink"/>
                <w:noProof/>
              </w:rPr>
              <w:t>Bibliography</w:t>
            </w:r>
            <w:r>
              <w:rPr>
                <w:noProof/>
                <w:webHidden/>
              </w:rPr>
              <w:tab/>
            </w:r>
            <w:r>
              <w:rPr>
                <w:noProof/>
                <w:webHidden/>
              </w:rPr>
              <w:fldChar w:fldCharType="begin"/>
            </w:r>
            <w:r>
              <w:rPr>
                <w:noProof/>
                <w:webHidden/>
              </w:rPr>
              <w:instrText xml:space="preserve"> PAGEREF _Toc98422301 \h </w:instrText>
            </w:r>
            <w:r>
              <w:rPr>
                <w:noProof/>
                <w:webHidden/>
              </w:rPr>
            </w:r>
            <w:r>
              <w:rPr>
                <w:noProof/>
                <w:webHidden/>
              </w:rPr>
              <w:fldChar w:fldCharType="separate"/>
            </w:r>
            <w:r>
              <w:rPr>
                <w:noProof/>
                <w:webHidden/>
              </w:rPr>
              <w:t>18</w:t>
            </w:r>
            <w:r>
              <w:rPr>
                <w:noProof/>
                <w:webHidden/>
              </w:rPr>
              <w:fldChar w:fldCharType="end"/>
            </w:r>
          </w:hyperlink>
        </w:p>
        <w:p w14:paraId="0F3A685E" w14:textId="375D71D9" w:rsidR="002A0F0F" w:rsidRDefault="002A0F0F">
          <w:r>
            <w:rPr>
              <w:b/>
              <w:bCs/>
              <w:noProof/>
            </w:rPr>
            <w:fldChar w:fldCharType="end"/>
          </w:r>
        </w:p>
      </w:sdtContent>
    </w:sdt>
    <w:p w14:paraId="4EC28483" w14:textId="77777777" w:rsidR="002A0F0F" w:rsidRDefault="002A0F0F"/>
    <w:p w14:paraId="17626F6F" w14:textId="77777777" w:rsidR="002A0F0F" w:rsidRDefault="002A0F0F">
      <w:r>
        <w:br w:type="page"/>
      </w:r>
      <w:bookmarkStart w:id="0" w:name="_GoBack"/>
      <w:bookmarkEnd w:id="0"/>
    </w:p>
    <w:p w14:paraId="3659A0A2" w14:textId="77777777" w:rsidR="002A0F0F" w:rsidRDefault="002A0F0F" w:rsidP="002A0F0F">
      <w:pPr>
        <w:pStyle w:val="Title"/>
        <w:jc w:val="center"/>
      </w:pPr>
      <w:r>
        <w:lastRenderedPageBreak/>
        <w:t>Task One: Written Answers to Questions.</w:t>
      </w:r>
    </w:p>
    <w:p w14:paraId="2774403E" w14:textId="77777777" w:rsidR="002A0F0F" w:rsidRDefault="002A0F0F">
      <w:pPr>
        <w:rPr>
          <w:rFonts w:asciiTheme="majorHAnsi" w:eastAsiaTheme="majorEastAsia" w:hAnsiTheme="majorHAnsi" w:cstheme="majorBidi"/>
          <w:spacing w:val="-10"/>
          <w:kern w:val="28"/>
          <w:sz w:val="56"/>
          <w:szCs w:val="56"/>
        </w:rPr>
      </w:pPr>
      <w:r>
        <w:br w:type="page"/>
      </w:r>
    </w:p>
    <w:p w14:paraId="31D158C0" w14:textId="77777777" w:rsidR="002A0F0F" w:rsidRDefault="00836A10" w:rsidP="002A0F0F">
      <w:pPr>
        <w:pStyle w:val="Heading2"/>
        <w:jc w:val="center"/>
      </w:pPr>
      <w:bookmarkStart w:id="1" w:name="_Toc98422292"/>
      <w:r>
        <w:lastRenderedPageBreak/>
        <w:t xml:space="preserve">Task One, Question One: </w:t>
      </w:r>
      <w:r w:rsidR="002A0F0F" w:rsidRPr="00010031">
        <w:t>Explain the reasons in favour of more employment regulation and the role played by the tribunal system in enforcing employment law</w:t>
      </w:r>
      <w:r w:rsidR="002A0F0F">
        <w:t>.</w:t>
      </w:r>
      <w:bookmarkEnd w:id="1"/>
    </w:p>
    <w:p w14:paraId="522FEF8E" w14:textId="77777777" w:rsidR="00EA50BE" w:rsidRDefault="00EA50BE" w:rsidP="00EA50BE">
      <w:pPr>
        <w:rPr>
          <w:rFonts w:cstheme="minorHAnsi"/>
        </w:rPr>
      </w:pPr>
    </w:p>
    <w:p w14:paraId="414F2CD6" w14:textId="77777777" w:rsidR="00492CC0" w:rsidRDefault="00492CC0" w:rsidP="00492CC0">
      <w:r>
        <w:t>The CIPD (2019) states that e</w:t>
      </w:r>
      <w:r w:rsidRPr="00C029C2">
        <w:t>mployment law regulates the relationship between employers and employees. It governs what employers can expect from employees, what employers can ask employees to do, and employees’ rights at work.</w:t>
      </w:r>
      <w:r>
        <w:t xml:space="preserve"> The point of this is to ensure there is no discrimination or unfair dismissal. </w:t>
      </w:r>
      <w:r w:rsidRPr="0027281B">
        <w:t>Employment regulation also known as employment law, enforces rules and sets expectations for both the employer and employee so there is fairness and consistency on both sides.</w:t>
      </w:r>
      <w:r>
        <w:t xml:space="preserve"> Employment law is continuously being reviewed and updated to reflect politics, the working environment, and trends in the population. Sources of employment law in the UK come from statutes passed by parliament or statutory regulations as well as common law or European directives (Taylor and Wilkinson, 2016). </w:t>
      </w:r>
    </w:p>
    <w:p w14:paraId="1577F299" w14:textId="77777777" w:rsidR="00492CC0" w:rsidRDefault="00492CC0" w:rsidP="00492CC0">
      <w:r>
        <w:t xml:space="preserve">There are many pros and cons to extensive employment regulation. Those in favour of it believe that as well as balancing the power between employees and employers it also helps minority groups achieve more equality and can help encourage the workforce to remain in the UK because of its laws and regulations that other countries may not enforce making it a fairer place to work. On the other hand, it raises unemployment and slows economic growth and raises the cost for employers and makes our economy less competitive internationally </w:t>
      </w:r>
      <w:r w:rsidRPr="00CA6832">
        <w:t xml:space="preserve">(CIPD Viewpoint, </w:t>
      </w:r>
      <w:proofErr w:type="spellStart"/>
      <w:r w:rsidRPr="00CA6832">
        <w:t>n.d.</w:t>
      </w:r>
      <w:proofErr w:type="spellEnd"/>
      <w:r w:rsidRPr="00CA6832">
        <w:t>)</w:t>
      </w:r>
      <w:r>
        <w:t xml:space="preserve">. </w:t>
      </w:r>
    </w:p>
    <w:p w14:paraId="35A29DCA" w14:textId="77777777" w:rsidR="00492CC0" w:rsidRDefault="00492CC0" w:rsidP="00492CC0">
      <w:pPr>
        <w:pStyle w:val="ListParagraph"/>
        <w:ind w:left="360" w:firstLine="0"/>
      </w:pPr>
    </w:p>
    <w:p w14:paraId="3A8C2FCA" w14:textId="77777777" w:rsidR="00492CC0" w:rsidRDefault="00492CC0" w:rsidP="00492CC0">
      <w:r w:rsidRPr="00247D0E">
        <w:t>Industrial tribunals were created in 1964 to deal with appeals, they have since been renamed employment tribunal</w:t>
      </w:r>
      <w:r>
        <w:t xml:space="preserve"> in 1998. Employment tribunals can look at many different claims such as unfair dismissal, pay, whistleblowing and working time regulations </w:t>
      </w:r>
      <w:r w:rsidRPr="00931697">
        <w:t>(Taylor, 2021)</w:t>
      </w:r>
      <w:r>
        <w:t>. Tribunals were intended to be a less formal alternative to the court system, with claimants representing themselves or being represented by a union, but as employment law has become more complex and lawyers have had to become involved. Employment Tribunals are free, and the claim can only be up to £25,000. The tribunal is made up of usually a judge, but a panel can be used for more complex cases like discrimination or whistleblowing. In some cases, the claimant may not be happy with the outcome, they can apply for reconsideration, but only have 14 days to do so or they can appeal. These appeals</w:t>
      </w:r>
      <w:r w:rsidRPr="00931697">
        <w:t xml:space="preserve"> are taken to the Employment Appeals Tribunal (EAT) and then to the Court of Appeal</w:t>
      </w:r>
      <w:r>
        <w:t>. For employees who are higher paid, they would tend to use the County Court as it is also free to use but the claim sum is larger.</w:t>
      </w:r>
    </w:p>
    <w:p w14:paraId="2F123751" w14:textId="77777777" w:rsidR="00492CC0" w:rsidRDefault="00492CC0" w:rsidP="00492CC0">
      <w:r>
        <w:t xml:space="preserve">To start the process of an employment tribunal, the party needs to tell ACAS that they have a claim, this is early conciliation. ACAS will allow the claimant (person making a claim) and the respondent (person being notified that there is a claim against them) to reach an agreement without having to go to an employment tribunal. </w:t>
      </w:r>
      <w:r w:rsidRPr="00514FC6">
        <w:t>A claim to an employment tribunal must usually be made within 3 months less 1 day (this is the 'limitation date’). When A</w:t>
      </w:r>
      <w:r>
        <w:t xml:space="preserve">CAS </w:t>
      </w:r>
      <w:r w:rsidRPr="00514FC6">
        <w:t>receive the early conciliation notification, the limitation date gets extended so there is enough time for early conciliation to take place</w:t>
      </w:r>
      <w:r>
        <w:t xml:space="preserve"> </w:t>
      </w:r>
      <w:r w:rsidRPr="00BF4889">
        <w:t>(ACAS, 2019)</w:t>
      </w:r>
      <w:r>
        <w:t xml:space="preserve">. </w:t>
      </w:r>
      <w:r w:rsidRPr="00BF4889">
        <w:t>The respondent has 28 days to complete and return the</w:t>
      </w:r>
      <w:r>
        <w:t xml:space="preserve"> ET1</w:t>
      </w:r>
      <w:r w:rsidRPr="00BF4889">
        <w:t xml:space="preserve"> form to the tribunal. It’s very important that employers deal with the response form as a priority</w:t>
      </w:r>
      <w:r>
        <w:t xml:space="preserve">. </w:t>
      </w:r>
    </w:p>
    <w:p w14:paraId="68E0FD95" w14:textId="77777777" w:rsidR="00492CC0" w:rsidRDefault="00492CC0" w:rsidP="00492CC0">
      <w:r>
        <w:t xml:space="preserve">The next step is the preliminary hearing, this is a chance for the claim to be addressed, and information clarified before the full hearing. It is possible that claims are settled before the hearing, either by the claimant withdrawing the claim, which they are entitled to do at any stage, or it can be settled by ACAS conciliation. The hearing stage of the process is where all evidence is presented such as witness statements, emails etc. to the employment tribunal and a majority judgement is made, this does not need to be a unanimous decision. If the parties reach an agreement, the terms can be </w:t>
      </w:r>
      <w:r>
        <w:lastRenderedPageBreak/>
        <w:t xml:space="preserve">recorded in a COT3 form if in Great Britain and an agreement can also be made by notifying the Labour Relations Agency (NI) or notifying the Workplace Relations Commission (ROI). Sometimes, the parties are unhappy with the decision made at the tribunal, thus, the unhappy party has 14 days to ask for a tribunal review, which will be carried out by the same judge, </w:t>
      </w:r>
      <w:proofErr w:type="gramStart"/>
      <w:r>
        <w:t>this</w:t>
      </w:r>
      <w:proofErr w:type="gramEnd"/>
      <w:r>
        <w:t xml:space="preserve"> often means that the decision is unlikely to be changed. Alternatively, if a party is very unhappy, they can take the claim further to the Employment Appeal Tribunal to appeal the decision made (Daniels, 2019). </w:t>
      </w:r>
    </w:p>
    <w:p w14:paraId="1A6D3132" w14:textId="77777777" w:rsidR="00492CC0" w:rsidRDefault="00492CC0" w:rsidP="00492CC0">
      <w:r>
        <w:t xml:space="preserve">There are three types of costs may occur in tribunal claims. They are compensation payable to the employee if a claim is successful, the legal costs payable to solicitors or barristers involved in the case. Usually, each party bears its own legal costs and then there are possible fines or penalties payable to the government. </w:t>
      </w:r>
      <w:r w:rsidRPr="009A4BFC">
        <w:t>In most cases, employers and employees involved in an employment tribunal claim will have to pay their own legal costs,</w:t>
      </w:r>
      <w:r>
        <w:t xml:space="preserve"> with the loser paying a major part of the winner’s legal fee costs. </w:t>
      </w:r>
      <w:r w:rsidRPr="009A4BFC">
        <w:t>Employers that lose tribunal claims may be ordered to pay a financial penalty on top of any award made to an employee</w:t>
      </w:r>
      <w:r>
        <w:t xml:space="preserve"> </w:t>
      </w:r>
      <w:r w:rsidRPr="009A4BFC">
        <w:t xml:space="preserve">which is payable to the Secretary of State, not to the employee </w:t>
      </w:r>
      <w:r w:rsidRPr="00FD5D11">
        <w:t>(Tribunal Claims &amp; Settlements Q&amp;As | CIPD, 2018)</w:t>
      </w:r>
      <w:r>
        <w:t xml:space="preserve">. </w:t>
      </w:r>
    </w:p>
    <w:p w14:paraId="7A664380" w14:textId="68D055ED" w:rsidR="002A0F0F" w:rsidRDefault="002A0F0F">
      <w:pPr>
        <w:rPr>
          <w:rFonts w:asciiTheme="majorHAnsi" w:eastAsiaTheme="majorEastAsia" w:hAnsiTheme="majorHAnsi" w:cstheme="majorBidi"/>
          <w:color w:val="2E74B5" w:themeColor="accent1" w:themeShade="BF"/>
          <w:sz w:val="26"/>
          <w:szCs w:val="26"/>
        </w:rPr>
      </w:pPr>
      <w:r>
        <w:br w:type="page"/>
      </w:r>
    </w:p>
    <w:p w14:paraId="4038888D" w14:textId="77777777" w:rsidR="002A0F0F" w:rsidRDefault="00836A10" w:rsidP="002A0F0F">
      <w:pPr>
        <w:pStyle w:val="Heading2"/>
        <w:jc w:val="center"/>
      </w:pPr>
      <w:bookmarkStart w:id="2" w:name="_Toc98422293"/>
      <w:r>
        <w:lastRenderedPageBreak/>
        <w:t xml:space="preserve">Task One, Question 2a: </w:t>
      </w:r>
      <w:r w:rsidR="002A0F0F">
        <w:t xml:space="preserve">Explain </w:t>
      </w:r>
      <w:r w:rsidR="002A0F0F" w:rsidRPr="00010031">
        <w:t>the major statutory rights employees have in rela</w:t>
      </w:r>
      <w:r>
        <w:t xml:space="preserve">tion to pay, time off and </w:t>
      </w:r>
      <w:r w:rsidR="002A0F0F" w:rsidRPr="00010031">
        <w:t>working time</w:t>
      </w:r>
      <w:r w:rsidR="002A0F0F">
        <w:t>.</w:t>
      </w:r>
      <w:bookmarkEnd w:id="2"/>
    </w:p>
    <w:p w14:paraId="41C8737F" w14:textId="77777777" w:rsidR="00492CC0" w:rsidRDefault="00492CC0" w:rsidP="00492CC0">
      <w:r>
        <w:t>There are three types of staff; employee, workers and those who are self-employed. Section 230 (1) of the Employment Rights Act 1996 defines and employee as an individual who has entered or works under a contract of employment. This contract cannot be changed without the agreement of the employee; however, it is acknowledged that on occasion, updates and changes may be made with the employees’ knowledge of such things (Taylor and Wilkinson, 2016).  Whereas section 230 (3) of the same Act states that a worker is an individual who either works under a contract of employment or works under any other contract where that individual agrees to personally perform work or services for another party</w:t>
      </w:r>
      <w:r w:rsidRPr="005F10E6">
        <w:t xml:space="preserve"> (Legislation.gov.uk, 1996)</w:t>
      </w:r>
      <w:r>
        <w:t>.</w:t>
      </w:r>
    </w:p>
    <w:p w14:paraId="42039DE3" w14:textId="77777777" w:rsidR="00492CC0" w:rsidRDefault="00492CC0" w:rsidP="00492CC0">
      <w:r>
        <w:t>According to Daniels (2019) workers have less protection in law that employees but more than self-employed people. The law relating to National Minimum Wage, working time and equal pay applied to workers. Daniels goes on to state that there are some differences in the rights that employees and workers have such as workers not having the right to make a claim for unfair dismissal or receive statutory redundancy payments or the right to receive  statutory notice if the employer terminates the employment, all of which employees do have the right to. Workers also do not have the right to make a claim for flexible working or take statutory maternity/adoption/paternity care.</w:t>
      </w:r>
    </w:p>
    <w:p w14:paraId="1FCCE3A2" w14:textId="77777777" w:rsidR="00492CC0" w:rsidRDefault="00492CC0" w:rsidP="00492CC0">
      <w:r>
        <w:t>There is a fine and often blurry line between workers, employees, and self-employed workers. An example of this is Uber BV, Uber London Ltd and Uber Britannia Ltd v Aslam, Farrar, Dawson, and others (2017) UKEAT 0056/17. Although the claimants are planning on appealing the ruling given in a Court of Appeal, the first tribunal found that Uber drivers were workers rather than employees. The tribunal found that although they have a system in place through the company to monitor who is doing a pickup and how many and that they are clearly under the control of the employer, there are elements such as having a choice of when to work that suggests the way they work is inconsistent with an employee (Daniels, 2019). In an Uber drivers’ case, they do not get paid if they do not show up and do the work that they have agreed to, they oversee making as much or as little money as they want, like that of a zero-hour contract. T</w:t>
      </w:r>
      <w:r w:rsidRPr="000F0CCF">
        <w:t>he CIPD defines a zero-hours contract as ‘an agreement between two parties that one may be asked to perform work for another but there is no minimum set contracted hours'</w:t>
      </w:r>
      <w:r>
        <w:t xml:space="preserve"> </w:t>
      </w:r>
      <w:r w:rsidRPr="00CC5E88">
        <w:t>(Davies, 2019)</w:t>
      </w:r>
      <w:r>
        <w:t xml:space="preserve">. In a case of a contracted employee, the employee has agreed to work several set hours per week for a set amount of money per year. Some contracts will have mention of over time of time in lieu which would be agreed when the employee signs the contract. </w:t>
      </w:r>
    </w:p>
    <w:p w14:paraId="12459359" w14:textId="77777777" w:rsidR="00492CC0" w:rsidRDefault="00492CC0" w:rsidP="00492CC0">
      <w:r w:rsidRPr="000F0CCF">
        <w:t xml:space="preserve">Your employment contract should outline your pay scale, when you will be paid, how much hours you are contracted to work, your running annual leave, rules of the organisation and much more. </w:t>
      </w:r>
      <w:r>
        <w:t xml:space="preserve">The basic working time in the UK are based on </w:t>
      </w:r>
      <w:r w:rsidRPr="009016F6">
        <w:t>Working Time Regulations</w:t>
      </w:r>
      <w:r>
        <w:t xml:space="preserve"> (WTR)</w:t>
      </w:r>
      <w:r w:rsidRPr="009016F6">
        <w:t xml:space="preserve"> 1998 </w:t>
      </w:r>
      <w:r w:rsidRPr="000A650A">
        <w:t>(GOV.UK, 2011</w:t>
      </w:r>
      <w:r w:rsidRPr="009016F6">
        <w:t>)</w:t>
      </w:r>
      <w:r>
        <w:t xml:space="preserve">. Organisations have a limit of an average of 48 hours a week that they can ask a worker to work with an average of 8 hours </w:t>
      </w:r>
      <w:proofErr w:type="spellStart"/>
      <w:r>
        <w:t>withing</w:t>
      </w:r>
      <w:proofErr w:type="spellEnd"/>
      <w:r>
        <w:t xml:space="preserve"> 24 hours, which includes evenings, thus making sure that the worker has the right to 11 hours rest a day. The worker should have a day of each week with the right to a break in work if the day is longer than 6 hours. The minimum paid leave requirement in the UK for a full-time worker is 28 days of paid leave. </w:t>
      </w:r>
      <w:r w:rsidRPr="009B3B49">
        <w:t>Some UK employers ask their staff to agree to work more than 48 hours a week</w:t>
      </w:r>
      <w:r>
        <w:t xml:space="preserve"> but can’t force their employees to sign the agreement or dismiss them is they do not sign </w:t>
      </w:r>
      <w:r w:rsidRPr="009B3B49">
        <w:t>(CIPD, 2019)</w:t>
      </w:r>
      <w:r>
        <w:t>.</w:t>
      </w:r>
    </w:p>
    <w:p w14:paraId="12327A7A" w14:textId="77777777" w:rsidR="00492CC0" w:rsidRDefault="00492CC0" w:rsidP="00492CC0">
      <w:r>
        <w:t>An example of a case law on holiday entitlement is Lyons v Mitie 2010 where a</w:t>
      </w:r>
      <w:r w:rsidRPr="008652C9">
        <w:t xml:space="preserve">n employee worked on a ‘zero hours’ contract. He had nine days leave outstanding at the beginning of March which had to be taken by 31 March which was the end of his employer’s leave year. He had no work scheduled for March and asked to take the nine days leave. The employer refused, saying that the employee </w:t>
      </w:r>
      <w:r w:rsidRPr="008652C9">
        <w:lastRenderedPageBreak/>
        <w:t>had not given four weeks’ notice required in his contract. The contract also stated that late leave applications ‘would be considered on their merits and subject to staffing arrangements’. The employee resigned and claimed unfair constructive dismissal and the nine days holiday pay.</w:t>
      </w:r>
      <w:r>
        <w:t xml:space="preserve"> On this occasion </w:t>
      </w:r>
      <w:r w:rsidRPr="008652C9">
        <w:t>the appeal was allowed in this case because the employment tribunal had not considered whether the request for leave had been refused in accordance with the contractual provisions – the merits of the request and staffing arrangements</w:t>
      </w:r>
      <w:r>
        <w:t xml:space="preserve"> </w:t>
      </w:r>
      <w:r w:rsidRPr="008652C9">
        <w:t>(CIPD, 2010)</w:t>
      </w:r>
      <w:r>
        <w:t xml:space="preserve">. </w:t>
      </w:r>
    </w:p>
    <w:p w14:paraId="35915630" w14:textId="77777777" w:rsidR="00492CC0" w:rsidRDefault="00492CC0" w:rsidP="00492CC0">
      <w:pPr>
        <w:rPr>
          <w:rFonts w:asciiTheme="majorHAnsi" w:eastAsiaTheme="majorEastAsia" w:hAnsiTheme="majorHAnsi" w:cstheme="majorBidi"/>
          <w:color w:val="2E74B5" w:themeColor="accent1" w:themeShade="BF"/>
          <w:sz w:val="26"/>
          <w:szCs w:val="26"/>
        </w:rPr>
      </w:pPr>
      <w:r>
        <w:br w:type="page"/>
      </w:r>
    </w:p>
    <w:p w14:paraId="3BF12AE0" w14:textId="28F2A07D" w:rsidR="002A0F0F" w:rsidRDefault="002A0F0F">
      <w:pPr>
        <w:rPr>
          <w:rFonts w:asciiTheme="majorHAnsi" w:eastAsiaTheme="majorEastAsia" w:hAnsiTheme="majorHAnsi" w:cstheme="majorBidi"/>
          <w:color w:val="2E74B5" w:themeColor="accent1" w:themeShade="BF"/>
          <w:sz w:val="26"/>
          <w:szCs w:val="26"/>
        </w:rPr>
      </w:pPr>
    </w:p>
    <w:p w14:paraId="2E06B276" w14:textId="77777777" w:rsidR="002A0F0F" w:rsidRDefault="00836A10" w:rsidP="002A0F0F">
      <w:pPr>
        <w:pStyle w:val="Heading2"/>
        <w:jc w:val="center"/>
      </w:pPr>
      <w:bookmarkStart w:id="3" w:name="_Toc98422294"/>
      <w:r>
        <w:t xml:space="preserve">Task One, Question 2b: </w:t>
      </w:r>
      <w:r w:rsidR="002A0F0F">
        <w:t xml:space="preserve">Explain </w:t>
      </w:r>
      <w:r w:rsidR="002A0F0F" w:rsidRPr="00010031">
        <w:t>the major family-friendly employment rights</w:t>
      </w:r>
      <w:r w:rsidR="002A0F0F">
        <w:t>.</w:t>
      </w:r>
      <w:bookmarkEnd w:id="3"/>
    </w:p>
    <w:p w14:paraId="3783DE8A" w14:textId="77777777" w:rsidR="0090509E" w:rsidRDefault="0090509E" w:rsidP="0090509E">
      <w:r>
        <w:t xml:space="preserve">Statutory Maternity Leave in the UK is 52 weeks. It’s made up of Ordinary Maternity Leave, which is the first 26 weeks and Additional Maternity Leave which is the last 26 weeks. According to UK GOV you do not have to take 52 weeks but you must take 2 weeks’ leave after your baby is born (or 4 weeks if you work in a factory). Usually, the earliest you can start your leave is 11 weeks before the expected week of childbirth. Statutory Maternity Pay (SMP) is paid for up to 39 weeks. Also, statutory adoption leave and pay in the UK have been broadly in line with statutory maternity leave and pay since April 2015 (CIPD, 2021a). You are entitled to 90% of your average weekly earnings for the first 6 weeks and then £151.97 or 90% of your average weekly earnings (whichever is lower) for the next 33 weeks. This pay is paid to you the same way as your wages would be i.e. monthly. Employees are entitled to Shared Parental Leave where an individual can share up to 50 weeks of leave with their partner need to share the pay and leave in the first year (GOV.UK, 2014). </w:t>
      </w:r>
    </w:p>
    <w:p w14:paraId="5EBBDEE4" w14:textId="77777777" w:rsidR="00B300B6" w:rsidRDefault="0090509E" w:rsidP="0090509E">
      <w:r>
        <w:t xml:space="preserve">While an employee is pregnant and working for the organisation, the organisation needs to be lenient towards the employee needing time off work for doctors and midwife appointments. For example in the case of Gregory v </w:t>
      </w:r>
      <w:proofErr w:type="spellStart"/>
      <w:r>
        <w:t>Tudsbury</w:t>
      </w:r>
      <w:proofErr w:type="spellEnd"/>
      <w:r>
        <w:t xml:space="preserve"> Ltd (1987) IRLR 267, Gregory needed time off work to attend antenatal care classes and they were only available during working hours. </w:t>
      </w:r>
      <w:proofErr w:type="spellStart"/>
      <w:r>
        <w:t>Tudsbury</w:t>
      </w:r>
      <w:proofErr w:type="spellEnd"/>
      <w:r>
        <w:t xml:space="preserve"> granted her the lime off but would not pay for this time. When taken to the Employment Law tribunal </w:t>
      </w:r>
      <w:proofErr w:type="spellStart"/>
      <w:r>
        <w:t>Tudsbury</w:t>
      </w:r>
      <w:proofErr w:type="spellEnd"/>
      <w:r>
        <w:t xml:space="preserve"> was ordered to pay. The organisation has also got a responsibility to keep their employee engaged and help ease the employee back into work. The Work and Families Act 2006 set in place ‘keeping in touch’ (KIT) days where an employee can come into the office to work for up to 10 days without losing the entitlement of their maternity pay. The employee does not have to work any KIT days. When returning to work a woman is entitled to return the day after her maternity has ended without any notice. She is also entitled to return to the exact job she left with any pay scale rises (Daniel, 2019).</w:t>
      </w:r>
    </w:p>
    <w:p w14:paraId="1DD3BD6F" w14:textId="7A02BE31" w:rsidR="00492CC0" w:rsidRDefault="00B300B6" w:rsidP="0090509E">
      <w:r>
        <w:t xml:space="preserve">According to the CIPD (2021), who state that the </w:t>
      </w:r>
      <w:r w:rsidRPr="00326D93">
        <w:t>Equality and Human Rights Commission (EHRC) has reported that as more requests for flexible working come from women</w:t>
      </w:r>
      <w:r>
        <w:t xml:space="preserve">, however in 2014, </w:t>
      </w:r>
      <w:r w:rsidRPr="00326D93">
        <w:t xml:space="preserve">the right to request flexible working </w:t>
      </w:r>
      <w:r>
        <w:t xml:space="preserve">was </w:t>
      </w:r>
      <w:r w:rsidRPr="00326D93">
        <w:t xml:space="preserve">extending to all </w:t>
      </w:r>
      <w:proofErr w:type="gramStart"/>
      <w:r w:rsidRPr="00326D93">
        <w:t>employees</w:t>
      </w:r>
      <w:r>
        <w:t>.</w:t>
      </w:r>
      <w:proofErr w:type="gramEnd"/>
      <w:r>
        <w:t xml:space="preserve"> Since COVID 19, flexible and agile working as become a hot topic, with more and more people valuing their time at home and a work life balance. The pandemic has accelerated the </w:t>
      </w:r>
      <w:r w:rsidRPr="00D2772B">
        <w:t>use of remote, flexible and gig-working options.</w:t>
      </w:r>
      <w:r>
        <w:t xml:space="preserve"> By law, you have the right to make a flexible working request if you’ve worked for your employer for at least 26 weeks and are legally classed as an employee. If you need that criteria, your employer must look at your re</w:t>
      </w:r>
      <w:r w:rsidR="00884BC5">
        <w:t>quest fairly, following the ACAS</w:t>
      </w:r>
      <w:r>
        <w:t xml:space="preserve"> Code of Practice on flexible working requests and make a decision within a maximum of 3 months. Flexible working covers having</w:t>
      </w:r>
      <w:r w:rsidRPr="000E4AFE">
        <w:t xml:space="preserve"> flexibility with your start and finish time</w:t>
      </w:r>
      <w:r>
        <w:t xml:space="preserve">, like flexitime, working the same hours over fewer days, job sharing, working from home or remotely and reducing your hours to part-time </w:t>
      </w:r>
      <w:r w:rsidRPr="000E4AFE">
        <w:t>(ACAS, 2019b)</w:t>
      </w:r>
      <w:r>
        <w:t xml:space="preserve">. </w:t>
      </w:r>
    </w:p>
    <w:p w14:paraId="56476891" w14:textId="77777777" w:rsidR="00492CC0" w:rsidRDefault="00492CC0">
      <w:r>
        <w:br w:type="page"/>
      </w:r>
    </w:p>
    <w:p w14:paraId="33666378" w14:textId="77777777" w:rsidR="002A0F0F" w:rsidRPr="002D5896" w:rsidRDefault="002A0F0F" w:rsidP="0090509E"/>
    <w:p w14:paraId="5F17005F" w14:textId="77777777" w:rsidR="002A0F0F" w:rsidRDefault="00836A10" w:rsidP="002A0F0F">
      <w:pPr>
        <w:pStyle w:val="Heading2"/>
        <w:jc w:val="center"/>
      </w:pPr>
      <w:bookmarkStart w:id="4" w:name="_Toc98422295"/>
      <w:r>
        <w:t xml:space="preserve">Task One, Question 3a: </w:t>
      </w:r>
      <w:r w:rsidR="002A0F0F">
        <w:t>Evaluate</w:t>
      </w:r>
      <w:r w:rsidR="002A0F0F" w:rsidRPr="00010031">
        <w:t xml:space="preserve"> the key concepts around</w:t>
      </w:r>
      <w:r w:rsidR="002A0F0F">
        <w:t xml:space="preserve"> discrimination law in recruitment, selection and employment.</w:t>
      </w:r>
      <w:bookmarkEnd w:id="4"/>
    </w:p>
    <w:p w14:paraId="5C2F85CF" w14:textId="77777777" w:rsidR="00B300B6" w:rsidRDefault="00B300B6" w:rsidP="00B300B6">
      <w:r>
        <w:t xml:space="preserve">There is no Act dedicated solely to recruiting without discrimination, however, the Equality Act 2010, makes it unlawful for employers to discriminate against applicants. Everybody falls into a protected characteristic. The nine protected characteristics are; </w:t>
      </w:r>
      <w:r w:rsidRPr="008C47D5">
        <w:t>age, disability, gender reassignment, race, religion or belief, sex, sexual orientation, marriage and civil partnership, pregnancy and maternity</w:t>
      </w:r>
      <w:r>
        <w:t>. It is important that throughout the recruitment process the organisation is careful not to discriminate. This can begin with the job ad or job description where poor wording can lead to discrimination. However, it is possible to recruit with genuine occupational requirements such as a carer for an elderly lady, where the client is only comfortable having a female carer. Another part of the Act that ensures organisations are recruiting in the most diverse and least discriminatory way is s</w:t>
      </w:r>
      <w:r w:rsidRPr="008C47D5">
        <w:t xml:space="preserve">ection 159 </w:t>
      </w:r>
      <w:r>
        <w:t xml:space="preserve">where it </w:t>
      </w:r>
      <w:r w:rsidRPr="008C47D5">
        <w:t>permits employers to treat one person more favourably than another equally qualified person in connection with recruitment or promotion. This enables employers to take into account the under-representation of disadvantaged groups when selecting between two e</w:t>
      </w:r>
      <w:r>
        <w:t xml:space="preserve">qually qualified job candidates </w:t>
      </w:r>
      <w:r w:rsidRPr="00691539">
        <w:t>(CIPD, 2021c)</w:t>
      </w:r>
      <w:r>
        <w:t>.</w:t>
      </w:r>
    </w:p>
    <w:p w14:paraId="262D2DB8" w14:textId="77777777" w:rsidR="00B300B6" w:rsidRDefault="00B300B6" w:rsidP="00B300B6">
      <w:r w:rsidRPr="009D56AF">
        <w:t>Employers should initially assess all applicants on their skills, qualifications and ability to do the job.</w:t>
      </w:r>
      <w:r>
        <w:t xml:space="preserve"> However, it is important that organisations make reasonable adjustments for applicants, such as allowing people who are dyslexic to have the interview questions prior to the interview. Within Wales like Hywel Dda University Health Board, who actively work bilingually, some organisations may have a bilingual skills policy in place where a role may be welsh essential in order to converse with the public in welsh if needed. </w:t>
      </w:r>
    </w:p>
    <w:p w14:paraId="10762D6F" w14:textId="6643DB57" w:rsidR="002A0F0F" w:rsidRDefault="002A0F0F">
      <w:pPr>
        <w:rPr>
          <w:rFonts w:asciiTheme="majorHAnsi" w:eastAsiaTheme="majorEastAsia" w:hAnsiTheme="majorHAnsi" w:cstheme="majorBidi"/>
          <w:color w:val="2E74B5" w:themeColor="accent1" w:themeShade="BF"/>
          <w:sz w:val="26"/>
          <w:szCs w:val="26"/>
        </w:rPr>
      </w:pPr>
      <w:r>
        <w:br w:type="page"/>
      </w:r>
    </w:p>
    <w:p w14:paraId="20B9A489" w14:textId="77777777" w:rsidR="00836A10" w:rsidRDefault="00836A10" w:rsidP="002A0F0F">
      <w:pPr>
        <w:pStyle w:val="Heading2"/>
        <w:jc w:val="center"/>
      </w:pPr>
      <w:bookmarkStart w:id="5" w:name="_Toc98422296"/>
      <w:r>
        <w:lastRenderedPageBreak/>
        <w:t xml:space="preserve">Task One, Question 3b: </w:t>
      </w:r>
      <w:r w:rsidR="002A0F0F">
        <w:t>Evaluate the key concepts around equal pay.</w:t>
      </w:r>
      <w:bookmarkEnd w:id="5"/>
    </w:p>
    <w:p w14:paraId="206E3712" w14:textId="77777777" w:rsidR="00B300B6" w:rsidRDefault="00B300B6" w:rsidP="00B300B6">
      <w:r>
        <w:t>The Equal Pay Act</w:t>
      </w:r>
      <w:r w:rsidRPr="00D53EA8">
        <w:t xml:space="preserve"> 1970</w:t>
      </w:r>
      <w:r>
        <w:t xml:space="preserve"> was a result from concerns that women were being treated less fairly than men in the workplace in terms of pay and work conditions of employment. </w:t>
      </w:r>
      <w:r w:rsidRPr="00C15F69">
        <w:t>The right to make a claim under equal pay legislation applies to employees and to anyone with a contract to carry out any wor</w:t>
      </w:r>
      <w:r>
        <w:t xml:space="preserve">k personally </w:t>
      </w:r>
      <w:r w:rsidRPr="00C15F69">
        <w:t>(CIPD, 2021c)</w:t>
      </w:r>
      <w:r>
        <w:t xml:space="preserve">. The National Minimum Wage is set in place to monitor the fair pay of workers aged 16 and over in the UK. </w:t>
      </w:r>
      <w:r w:rsidRPr="00C15F69">
        <w:t xml:space="preserve">The National Minimum Wage is the minimum pay per hour almost all workers are entitled to. The National Living Wage is higher </w:t>
      </w:r>
      <w:r>
        <w:t xml:space="preserve">and for workers over 23 than the National Minimum Wage </w:t>
      </w:r>
      <w:r w:rsidRPr="00C15F69">
        <w:t>(Government Digital Service, 2012)</w:t>
      </w:r>
      <w:r>
        <w:t xml:space="preserve">. Not everyone is entitled to National Living Wage such as self-employed people running their own business, company directors and people who are volunteers. </w:t>
      </w:r>
    </w:p>
    <w:p w14:paraId="3F436E6E" w14:textId="77777777" w:rsidR="00B300B6" w:rsidRDefault="00B300B6" w:rsidP="00B300B6">
      <w:r>
        <w:t xml:space="preserve">A way to monitor pay and to reward people fairly in the workplace is pay reporting. All large and public limited companies are legally required to disclose the earnings by gender. </w:t>
      </w:r>
      <w:r w:rsidRPr="006C6AEC">
        <w:t>The Equality Act 2010 (Gender Pay Gap Information) Regulations 2017 require all private and voluntary sector employers with 250 or more employees in the UK to report their gender pay gap, based on pay data captured on 5 April each year</w:t>
      </w:r>
      <w:r>
        <w:t xml:space="preserve"> since 2017. They must publish such things as “</w:t>
      </w:r>
      <w:r w:rsidRPr="0009131D">
        <w:t>the difference between the mean hourly rate of pay of male full-pay relevant employees and that of female full-pay relevant employees</w:t>
      </w:r>
      <w:r>
        <w:t xml:space="preserve">” </w:t>
      </w:r>
      <w:r w:rsidRPr="0009131D">
        <w:t>(Legislation.gov.uk, 2010)</w:t>
      </w:r>
      <w:r>
        <w:t>.</w:t>
      </w:r>
    </w:p>
    <w:p w14:paraId="0CE9F1DE" w14:textId="4F24BBD3" w:rsidR="00884BC5" w:rsidRDefault="00836A10">
      <w:r>
        <w:br w:type="page"/>
      </w:r>
    </w:p>
    <w:p w14:paraId="0F6BE5B0" w14:textId="77777777" w:rsidR="00884BC5" w:rsidRDefault="00884BC5" w:rsidP="00884BC5">
      <w:pPr>
        <w:pStyle w:val="Heading2"/>
      </w:pPr>
      <w:bookmarkStart w:id="6" w:name="_Toc98422297"/>
      <w:r>
        <w:lastRenderedPageBreak/>
        <w:t>Bibliography</w:t>
      </w:r>
      <w:bookmarkEnd w:id="6"/>
    </w:p>
    <w:p w14:paraId="36947E2D"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ACAS (2019a). </w:t>
      </w:r>
      <w:proofErr w:type="spellStart"/>
      <w:r w:rsidRPr="00884BC5">
        <w:rPr>
          <w:rFonts w:asciiTheme="minorHAnsi" w:hAnsiTheme="minorHAnsi" w:cstheme="minorHAnsi"/>
          <w:i/>
          <w:iCs/>
        </w:rPr>
        <w:t>Acas</w:t>
      </w:r>
      <w:proofErr w:type="spellEnd"/>
      <w:r w:rsidRPr="00884BC5">
        <w:rPr>
          <w:rFonts w:asciiTheme="minorHAnsi" w:hAnsiTheme="minorHAnsi" w:cstheme="minorHAnsi"/>
          <w:i/>
          <w:iCs/>
        </w:rPr>
        <w:t xml:space="preserve"> Code of Practice on disciplinary and grievance procedures | </w:t>
      </w:r>
      <w:proofErr w:type="spellStart"/>
      <w:r w:rsidRPr="00884BC5">
        <w:rPr>
          <w:rFonts w:asciiTheme="minorHAnsi" w:hAnsiTheme="minorHAnsi" w:cstheme="minorHAnsi"/>
          <w:i/>
          <w:iCs/>
        </w:rPr>
        <w:t>Acas</w:t>
      </w:r>
      <w:proofErr w:type="spellEnd"/>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Acas.org.uk. Available at: https://www.acas.org.uk/acas-code-of-practice-on-disciplinary-and-grievance-procedures.</w:t>
      </w:r>
    </w:p>
    <w:p w14:paraId="79B942E9"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ACAS (2019b). </w:t>
      </w:r>
      <w:r w:rsidRPr="00884BC5">
        <w:rPr>
          <w:rFonts w:asciiTheme="minorHAnsi" w:hAnsiTheme="minorHAnsi" w:cstheme="minorHAnsi"/>
          <w:i/>
          <w:iCs/>
        </w:rPr>
        <w:t xml:space="preserve">Making a flexible working request | </w:t>
      </w:r>
      <w:proofErr w:type="spellStart"/>
      <w:r w:rsidRPr="00884BC5">
        <w:rPr>
          <w:rFonts w:asciiTheme="minorHAnsi" w:hAnsiTheme="minorHAnsi" w:cstheme="minorHAnsi"/>
          <w:i/>
          <w:iCs/>
        </w:rPr>
        <w:t>Acas</w:t>
      </w:r>
      <w:proofErr w:type="spellEnd"/>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Acas.org.uk. Available at: https://www.acas.org.uk/making-a-flexible-working-request.</w:t>
      </w:r>
    </w:p>
    <w:p w14:paraId="5348D82F"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CIPD (2010). </w:t>
      </w:r>
      <w:r w:rsidRPr="00884BC5">
        <w:rPr>
          <w:rFonts w:asciiTheme="minorHAnsi" w:hAnsiTheme="minorHAnsi" w:cstheme="minorHAnsi"/>
          <w:i/>
          <w:iCs/>
        </w:rPr>
        <w:t>Holiday Entitlement Cases</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https://www.cipd.co.uk/knowledge/fundamentals/emp-law/holidays/entitlement-cases.</w:t>
      </w:r>
    </w:p>
    <w:p w14:paraId="2C9A6083"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CIPD (2019a). </w:t>
      </w:r>
      <w:r w:rsidRPr="00884BC5">
        <w:rPr>
          <w:rFonts w:asciiTheme="minorHAnsi" w:hAnsiTheme="minorHAnsi" w:cstheme="minorHAnsi"/>
          <w:i/>
          <w:iCs/>
        </w:rPr>
        <w:t>Employment Law | CIPD</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https://www.cipd.co.uk/knowledge/fundamentals/emp-law.</w:t>
      </w:r>
    </w:p>
    <w:p w14:paraId="39754879"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CIPD (2019b). </w:t>
      </w:r>
      <w:r w:rsidRPr="00884BC5">
        <w:rPr>
          <w:rFonts w:asciiTheme="minorHAnsi" w:hAnsiTheme="minorHAnsi" w:cstheme="minorHAnsi"/>
          <w:i/>
          <w:iCs/>
        </w:rPr>
        <w:t xml:space="preserve">Working Hours &amp; Time </w:t>
      </w:r>
      <w:proofErr w:type="gramStart"/>
      <w:r w:rsidRPr="00884BC5">
        <w:rPr>
          <w:rFonts w:asciiTheme="minorHAnsi" w:hAnsiTheme="minorHAnsi" w:cstheme="minorHAnsi"/>
          <w:i/>
          <w:iCs/>
        </w:rPr>
        <w:t>Off</w:t>
      </w:r>
      <w:proofErr w:type="gramEnd"/>
      <w:r w:rsidRPr="00884BC5">
        <w:rPr>
          <w:rFonts w:asciiTheme="minorHAnsi" w:hAnsiTheme="minorHAnsi" w:cstheme="minorHAnsi"/>
          <w:i/>
          <w:iCs/>
        </w:rPr>
        <w:t xml:space="preserve"> Work | Factsheets | CIPD</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https://www.cipd.co.uk/knowledge/fundamentals/emp-law/working-time/factsheet.</w:t>
      </w:r>
    </w:p>
    <w:p w14:paraId="636A1D5A"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CIPD (2021a). </w:t>
      </w:r>
      <w:r w:rsidRPr="00884BC5">
        <w:rPr>
          <w:rFonts w:asciiTheme="minorHAnsi" w:hAnsiTheme="minorHAnsi" w:cstheme="minorHAnsi"/>
          <w:i/>
          <w:iCs/>
        </w:rPr>
        <w:t>Maternity, Paternity &amp; Adoption Rights | Factsheets | CIPD</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https://www.cipd.co.uk/knowledge/fundamentals/emp-law/maternity-paternity-rights/factsheet.</w:t>
      </w:r>
    </w:p>
    <w:p w14:paraId="78F4E5E6"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CIPD (2021b). </w:t>
      </w:r>
      <w:r w:rsidRPr="00884BC5">
        <w:rPr>
          <w:rFonts w:asciiTheme="minorHAnsi" w:hAnsiTheme="minorHAnsi" w:cstheme="minorHAnsi"/>
          <w:i/>
          <w:iCs/>
        </w:rPr>
        <w:t>Pay Fairness &amp; Pay Reporting | Factsheets</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https://www.cipd.co.uk/knowledge/strategy/reward/pay-fairness-reporting-factsheet.</w:t>
      </w:r>
    </w:p>
    <w:p w14:paraId="6624B172"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CIPD (2021c). </w:t>
      </w:r>
      <w:r w:rsidRPr="00884BC5">
        <w:rPr>
          <w:rFonts w:asciiTheme="minorHAnsi" w:hAnsiTheme="minorHAnsi" w:cstheme="minorHAnsi"/>
          <w:i/>
          <w:iCs/>
        </w:rPr>
        <w:t>Pay Fairness &amp; Pay Reporting | Factsheets</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https://www.cipd.co.uk/knowledge/strategy/reward/pay-fairness-reporting-factsheet.</w:t>
      </w:r>
    </w:p>
    <w:p w14:paraId="28B85D39"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CIPD (2021d). </w:t>
      </w:r>
      <w:r w:rsidRPr="00884BC5">
        <w:rPr>
          <w:rFonts w:asciiTheme="minorHAnsi" w:hAnsiTheme="minorHAnsi" w:cstheme="minorHAnsi"/>
          <w:i/>
          <w:iCs/>
        </w:rPr>
        <w:t>Recruitment &amp; Selection Q&amp;As | CIPD</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https://www.cipd.co.uk/knowledge/fundamentals/emp-law/recruitment/questions.</w:t>
      </w:r>
    </w:p>
    <w:p w14:paraId="43DD2262"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CIPD Flexible Working (2021). </w:t>
      </w:r>
      <w:r w:rsidRPr="00884BC5">
        <w:rPr>
          <w:rFonts w:asciiTheme="minorHAnsi" w:hAnsiTheme="minorHAnsi" w:cstheme="minorHAnsi"/>
          <w:i/>
          <w:iCs/>
        </w:rPr>
        <w:t>Requesting Flexible Working Q&amp;As</w:t>
      </w:r>
      <w:r w:rsidRPr="00884BC5">
        <w:rPr>
          <w:rFonts w:asciiTheme="minorHAnsi" w:hAnsiTheme="minorHAnsi" w:cstheme="minorHAnsi"/>
        </w:rPr>
        <w:t>. [online] CIPD. Available at: https://www.cipd.co.uk/knowledge/fundamentals/relations/flexible-working/questions.</w:t>
      </w:r>
    </w:p>
    <w:p w14:paraId="157CD8CE"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CIPD Viewpoint (</w:t>
      </w:r>
      <w:proofErr w:type="spellStart"/>
      <w:r w:rsidRPr="00884BC5">
        <w:rPr>
          <w:rFonts w:asciiTheme="minorHAnsi" w:hAnsiTheme="minorHAnsi" w:cstheme="minorHAnsi"/>
        </w:rPr>
        <w:t>n.d.</w:t>
      </w:r>
      <w:proofErr w:type="spellEnd"/>
      <w:r w:rsidRPr="00884BC5">
        <w:rPr>
          <w:rFonts w:asciiTheme="minorHAnsi" w:hAnsiTheme="minorHAnsi" w:cstheme="minorHAnsi"/>
        </w:rPr>
        <w:t xml:space="preserve">). </w:t>
      </w:r>
      <w:r w:rsidRPr="00884BC5">
        <w:rPr>
          <w:rFonts w:asciiTheme="minorHAnsi" w:hAnsiTheme="minorHAnsi" w:cstheme="minorHAnsi"/>
          <w:i/>
          <w:iCs/>
        </w:rPr>
        <w:t>Employment status, rights and regulation | CIPD Viewpoint</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https://www.cipd.co.uk/news-views/viewpoint/employment-status-rights.</w:t>
      </w:r>
    </w:p>
    <w:p w14:paraId="71960A16"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lastRenderedPageBreak/>
        <w:t xml:space="preserve">Daniels, K. (2019). </w:t>
      </w:r>
      <w:r w:rsidRPr="00884BC5">
        <w:rPr>
          <w:rFonts w:asciiTheme="minorHAnsi" w:hAnsiTheme="minorHAnsi" w:cstheme="minorHAnsi"/>
          <w:i/>
          <w:iCs/>
        </w:rPr>
        <w:t xml:space="preserve">Introduction to employment </w:t>
      </w:r>
      <w:proofErr w:type="gramStart"/>
      <w:r w:rsidRPr="00884BC5">
        <w:rPr>
          <w:rFonts w:asciiTheme="minorHAnsi" w:hAnsiTheme="minorHAnsi" w:cstheme="minorHAnsi"/>
          <w:i/>
          <w:iCs/>
        </w:rPr>
        <w:t>law :</w:t>
      </w:r>
      <w:proofErr w:type="gramEnd"/>
      <w:r w:rsidRPr="00884BC5">
        <w:rPr>
          <w:rFonts w:asciiTheme="minorHAnsi" w:hAnsiTheme="minorHAnsi" w:cstheme="minorHAnsi"/>
          <w:i/>
          <w:iCs/>
        </w:rPr>
        <w:t xml:space="preserve"> fundamentals for HR and business students</w:t>
      </w:r>
      <w:r w:rsidRPr="00884BC5">
        <w:rPr>
          <w:rFonts w:asciiTheme="minorHAnsi" w:hAnsiTheme="minorHAnsi" w:cstheme="minorHAnsi"/>
        </w:rPr>
        <w:t xml:space="preserve">. London, United </w:t>
      </w:r>
      <w:proofErr w:type="gramStart"/>
      <w:r w:rsidRPr="00884BC5">
        <w:rPr>
          <w:rFonts w:asciiTheme="minorHAnsi" w:hAnsiTheme="minorHAnsi" w:cstheme="minorHAnsi"/>
        </w:rPr>
        <w:t>Kingdom ;</w:t>
      </w:r>
      <w:proofErr w:type="gramEnd"/>
      <w:r w:rsidRPr="00884BC5">
        <w:rPr>
          <w:rFonts w:asciiTheme="minorHAnsi" w:hAnsiTheme="minorHAnsi" w:cstheme="minorHAnsi"/>
        </w:rPr>
        <w:t xml:space="preserve"> New York, </w:t>
      </w:r>
      <w:proofErr w:type="spellStart"/>
      <w:r w:rsidRPr="00884BC5">
        <w:rPr>
          <w:rFonts w:asciiTheme="minorHAnsi" w:hAnsiTheme="minorHAnsi" w:cstheme="minorHAnsi"/>
        </w:rPr>
        <w:t>Ny</w:t>
      </w:r>
      <w:proofErr w:type="spellEnd"/>
      <w:r w:rsidRPr="00884BC5">
        <w:rPr>
          <w:rFonts w:asciiTheme="minorHAnsi" w:hAnsiTheme="minorHAnsi" w:cstheme="minorHAnsi"/>
        </w:rPr>
        <w:t xml:space="preserve">, </w:t>
      </w:r>
      <w:proofErr w:type="spellStart"/>
      <w:r w:rsidRPr="00884BC5">
        <w:rPr>
          <w:rFonts w:asciiTheme="minorHAnsi" w:hAnsiTheme="minorHAnsi" w:cstheme="minorHAnsi"/>
        </w:rPr>
        <w:t>Usa</w:t>
      </w:r>
      <w:proofErr w:type="spellEnd"/>
      <w:r w:rsidRPr="00884BC5">
        <w:rPr>
          <w:rFonts w:asciiTheme="minorHAnsi" w:hAnsiTheme="minorHAnsi" w:cstheme="minorHAnsi"/>
        </w:rPr>
        <w:t xml:space="preserve">: </w:t>
      </w:r>
      <w:proofErr w:type="spellStart"/>
      <w:r w:rsidRPr="00884BC5">
        <w:rPr>
          <w:rFonts w:asciiTheme="minorHAnsi" w:hAnsiTheme="minorHAnsi" w:cstheme="minorHAnsi"/>
        </w:rPr>
        <w:t>Kogan</w:t>
      </w:r>
      <w:proofErr w:type="spellEnd"/>
      <w:r w:rsidRPr="00884BC5">
        <w:rPr>
          <w:rFonts w:asciiTheme="minorHAnsi" w:hAnsiTheme="minorHAnsi" w:cstheme="minorHAnsi"/>
        </w:rPr>
        <w:t xml:space="preserve"> Page Limited.</w:t>
      </w:r>
    </w:p>
    <w:p w14:paraId="240DD120"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Davies, G. (2019). </w:t>
      </w:r>
      <w:r w:rsidRPr="00884BC5">
        <w:rPr>
          <w:rFonts w:asciiTheme="minorHAnsi" w:hAnsiTheme="minorHAnsi" w:cstheme="minorHAnsi"/>
          <w:i/>
          <w:iCs/>
        </w:rPr>
        <w:t>Zero Hours Contracts | Factsheets | CIPD</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https://www.cipd.co.uk/knowledge/fundamentals/emp-law/terms-conditions/zero-hours-factsheet.</w:t>
      </w:r>
    </w:p>
    <w:p w14:paraId="411C7817"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Equality and Human Rights Commission (2011). </w:t>
      </w:r>
      <w:r w:rsidRPr="00884BC5">
        <w:rPr>
          <w:rFonts w:asciiTheme="minorHAnsi" w:hAnsiTheme="minorHAnsi" w:cstheme="minorHAnsi"/>
          <w:i/>
          <w:iCs/>
        </w:rPr>
        <w:t>Equality Act 2010 Code of Practice Employment Statutory Code of Practice</w:t>
      </w:r>
      <w:r w:rsidRPr="00884BC5">
        <w:rPr>
          <w:rFonts w:asciiTheme="minorHAnsi" w:hAnsiTheme="minorHAnsi" w:cstheme="minorHAnsi"/>
        </w:rPr>
        <w:t>.</w:t>
      </w:r>
    </w:p>
    <w:p w14:paraId="7C37DE6C"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Equality and Human Rights Commission (2012). </w:t>
      </w:r>
      <w:r w:rsidRPr="00884BC5">
        <w:rPr>
          <w:rFonts w:asciiTheme="minorHAnsi" w:hAnsiTheme="minorHAnsi" w:cstheme="minorHAnsi"/>
          <w:i/>
          <w:iCs/>
        </w:rPr>
        <w:t>Equality and Human Rights Commission Policy report Working Better The perfect partnership -workplace solutions for disabled people and business</w:t>
      </w:r>
      <w:r w:rsidRPr="00884BC5">
        <w:rPr>
          <w:rFonts w:asciiTheme="minorHAnsi" w:hAnsiTheme="minorHAnsi" w:cstheme="minorHAnsi"/>
        </w:rPr>
        <w:t>.</w:t>
      </w:r>
    </w:p>
    <w:p w14:paraId="065CCDCC"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GOV.UK (2011). </w:t>
      </w:r>
      <w:r w:rsidRPr="00884BC5">
        <w:rPr>
          <w:rFonts w:asciiTheme="minorHAnsi" w:hAnsiTheme="minorHAnsi" w:cstheme="minorHAnsi"/>
          <w:i/>
          <w:iCs/>
        </w:rPr>
        <w:t>The Working Time Regulations 1998</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Legislation.gov.uk. Available at: https://www.legislation.gov.uk/uksi/1998/1833/contents/made.</w:t>
      </w:r>
    </w:p>
    <w:p w14:paraId="314FC8A0"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GOV.UK (2014). </w:t>
      </w:r>
      <w:r w:rsidRPr="00884BC5">
        <w:rPr>
          <w:rFonts w:asciiTheme="minorHAnsi" w:hAnsiTheme="minorHAnsi" w:cstheme="minorHAnsi"/>
          <w:i/>
          <w:iCs/>
        </w:rPr>
        <w:t>Shared Parental Leave and Pay</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GOV.UK. Available at: https://www.gov.uk/shared-parental-leave-and-pay.</w:t>
      </w:r>
    </w:p>
    <w:p w14:paraId="5CD080D5"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Government Digital Service (2012). </w:t>
      </w:r>
      <w:r w:rsidRPr="00884BC5">
        <w:rPr>
          <w:rFonts w:asciiTheme="minorHAnsi" w:hAnsiTheme="minorHAnsi" w:cstheme="minorHAnsi"/>
          <w:i/>
          <w:iCs/>
        </w:rPr>
        <w:t>The National Minimum Wage and Living Wage</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GOV.UK. Available at: https://www.gov.uk/national-minimum-wage.</w:t>
      </w:r>
    </w:p>
    <w:p w14:paraId="45EB5BFF"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Legislation.gov.uk (1996). </w:t>
      </w:r>
      <w:r w:rsidRPr="00884BC5">
        <w:rPr>
          <w:rFonts w:asciiTheme="minorHAnsi" w:hAnsiTheme="minorHAnsi" w:cstheme="minorHAnsi"/>
          <w:i/>
          <w:iCs/>
        </w:rPr>
        <w:t>Employment Rights Act 1996</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Legislation.gov.uk. Available at: https://www.legislation.gov.uk/ukpga/1996/18/contents.</w:t>
      </w:r>
    </w:p>
    <w:p w14:paraId="71351FB3"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Legislation.gov.uk. (2010). </w:t>
      </w:r>
      <w:r w:rsidRPr="00884BC5">
        <w:rPr>
          <w:rFonts w:asciiTheme="minorHAnsi" w:hAnsiTheme="minorHAnsi" w:cstheme="minorHAnsi"/>
          <w:i/>
          <w:iCs/>
        </w:rPr>
        <w:t>The Equality Act 2010 (Gender Pay Gap Information) Regulations 2017</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Available at: https://www.legislation.gov.uk/uksi/2017/172/regulation/2/made.</w:t>
      </w:r>
    </w:p>
    <w:p w14:paraId="1E0DFC9B"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Pregnant Workers Flowchart (</w:t>
      </w:r>
      <w:proofErr w:type="spellStart"/>
      <w:r w:rsidRPr="00884BC5">
        <w:rPr>
          <w:rFonts w:asciiTheme="minorHAnsi" w:hAnsiTheme="minorHAnsi" w:cstheme="minorHAnsi"/>
        </w:rPr>
        <w:t>n.d.</w:t>
      </w:r>
      <w:proofErr w:type="spellEnd"/>
      <w:r w:rsidRPr="00884BC5">
        <w:rPr>
          <w:rFonts w:asciiTheme="minorHAnsi" w:hAnsiTheme="minorHAnsi" w:cstheme="minorHAnsi"/>
        </w:rPr>
        <w:t xml:space="preserve">). </w:t>
      </w:r>
      <w:r w:rsidRPr="00884BC5">
        <w:rPr>
          <w:rFonts w:asciiTheme="minorHAnsi" w:hAnsiTheme="minorHAnsi" w:cstheme="minorHAnsi"/>
          <w:i/>
          <w:iCs/>
        </w:rPr>
        <w:t>Health and Safety Executive</w:t>
      </w:r>
      <w:r w:rsidRPr="00884BC5">
        <w:rPr>
          <w:rFonts w:asciiTheme="minorHAnsi" w:hAnsiTheme="minorHAnsi" w:cstheme="minorHAnsi"/>
        </w:rPr>
        <w:t>. Health and Safety Executive.</w:t>
      </w:r>
    </w:p>
    <w:p w14:paraId="19A0936A"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t xml:space="preserve">Taylor, S. (2021). </w:t>
      </w:r>
      <w:r w:rsidRPr="00884BC5">
        <w:rPr>
          <w:rFonts w:asciiTheme="minorHAnsi" w:hAnsiTheme="minorHAnsi" w:cstheme="minorHAnsi"/>
          <w:i/>
          <w:iCs/>
        </w:rPr>
        <w:t>UK Court System &amp; Employment Law | Factsheets</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https://www.cipd.co.uk/knowledge/fundamentals/emp-law/about/uk-court-system-factsheet#12910.</w:t>
      </w:r>
    </w:p>
    <w:p w14:paraId="4043F976" w14:textId="77777777" w:rsidR="00884BC5" w:rsidRPr="00884BC5" w:rsidRDefault="00884BC5" w:rsidP="00884BC5">
      <w:pPr>
        <w:pStyle w:val="NormalWeb"/>
        <w:spacing w:before="0" w:beforeAutospacing="0" w:after="240" w:afterAutospacing="0" w:line="360" w:lineRule="auto"/>
        <w:rPr>
          <w:rFonts w:asciiTheme="minorHAnsi" w:hAnsiTheme="minorHAnsi" w:cstheme="minorHAnsi"/>
        </w:rPr>
      </w:pPr>
      <w:r w:rsidRPr="00884BC5">
        <w:rPr>
          <w:rFonts w:asciiTheme="minorHAnsi" w:hAnsiTheme="minorHAnsi" w:cstheme="minorHAnsi"/>
        </w:rPr>
        <w:lastRenderedPageBreak/>
        <w:t xml:space="preserve">Tribunal Claims &amp; Settlements Q&amp;As | CIPD (2018). </w:t>
      </w:r>
      <w:r w:rsidRPr="00884BC5">
        <w:rPr>
          <w:rFonts w:asciiTheme="minorHAnsi" w:hAnsiTheme="minorHAnsi" w:cstheme="minorHAnsi"/>
          <w:i/>
          <w:iCs/>
        </w:rPr>
        <w:t>Tribunal Claims &amp; Settlements Q&amp;As | CIPD</w:t>
      </w:r>
      <w:r w:rsidRPr="00884BC5">
        <w:rPr>
          <w:rFonts w:asciiTheme="minorHAnsi" w:hAnsiTheme="minorHAnsi" w:cstheme="minorHAnsi"/>
        </w:rPr>
        <w:t>. [</w:t>
      </w:r>
      <w:proofErr w:type="gramStart"/>
      <w:r w:rsidRPr="00884BC5">
        <w:rPr>
          <w:rFonts w:asciiTheme="minorHAnsi" w:hAnsiTheme="minorHAnsi" w:cstheme="minorHAnsi"/>
        </w:rPr>
        <w:t>online</w:t>
      </w:r>
      <w:proofErr w:type="gramEnd"/>
      <w:r w:rsidRPr="00884BC5">
        <w:rPr>
          <w:rFonts w:asciiTheme="minorHAnsi" w:hAnsiTheme="minorHAnsi" w:cstheme="minorHAnsi"/>
        </w:rPr>
        <w:t>] CIPD. Available at: https://www.cipd.co.uk/knowledge/fundamentals/emp-law/tribunals/questions.</w:t>
      </w:r>
    </w:p>
    <w:p w14:paraId="4F468038" w14:textId="33E5BC0C" w:rsidR="00884BC5" w:rsidRDefault="00884BC5" w:rsidP="00884BC5">
      <w:r>
        <w:br w:type="page"/>
      </w:r>
    </w:p>
    <w:p w14:paraId="1859FBFC" w14:textId="77777777" w:rsidR="00836A10" w:rsidRDefault="00836A10">
      <w:pPr>
        <w:rPr>
          <w:rFonts w:asciiTheme="majorHAnsi" w:eastAsiaTheme="majorEastAsia" w:hAnsiTheme="majorHAnsi" w:cstheme="majorBidi"/>
          <w:color w:val="2E74B5" w:themeColor="accent1" w:themeShade="BF"/>
          <w:sz w:val="26"/>
          <w:szCs w:val="26"/>
        </w:rPr>
      </w:pPr>
    </w:p>
    <w:p w14:paraId="05F079D0" w14:textId="77777777" w:rsidR="002A0F0F" w:rsidRDefault="002A0F0F" w:rsidP="002A0F0F">
      <w:pPr>
        <w:pStyle w:val="Heading2"/>
        <w:jc w:val="center"/>
      </w:pPr>
    </w:p>
    <w:p w14:paraId="757DE1D2" w14:textId="77777777" w:rsidR="00836A10" w:rsidRPr="00002DBF" w:rsidRDefault="00836A10" w:rsidP="00836A10">
      <w:pPr>
        <w:pStyle w:val="Title"/>
        <w:jc w:val="center"/>
      </w:pPr>
      <w:r w:rsidRPr="00002DBF">
        <w:t>Task 2 – Case Study</w:t>
      </w:r>
    </w:p>
    <w:p w14:paraId="794D3D81" w14:textId="77777777" w:rsidR="00FC3B6F" w:rsidRDefault="00FC3B6F" w:rsidP="002A0F0F">
      <w:pPr>
        <w:rPr>
          <w:rFonts w:asciiTheme="majorHAnsi" w:eastAsiaTheme="majorEastAsia" w:hAnsiTheme="majorHAnsi" w:cstheme="majorBidi"/>
          <w:color w:val="004146"/>
          <w:sz w:val="32"/>
          <w:szCs w:val="32"/>
        </w:rPr>
      </w:pPr>
    </w:p>
    <w:p w14:paraId="233D86C2" w14:textId="77777777" w:rsidR="00FC3B6F" w:rsidRDefault="00FC3B6F">
      <w:pPr>
        <w:rPr>
          <w:rFonts w:asciiTheme="majorHAnsi" w:eastAsiaTheme="majorEastAsia" w:hAnsiTheme="majorHAnsi" w:cstheme="majorBidi"/>
          <w:color w:val="004146"/>
          <w:sz w:val="32"/>
          <w:szCs w:val="32"/>
        </w:rPr>
      </w:pPr>
      <w:r>
        <w:rPr>
          <w:rFonts w:asciiTheme="majorHAnsi" w:eastAsiaTheme="majorEastAsia" w:hAnsiTheme="majorHAnsi" w:cstheme="majorBidi"/>
          <w:color w:val="004146"/>
          <w:sz w:val="32"/>
          <w:szCs w:val="32"/>
        </w:rPr>
        <w:br w:type="page"/>
      </w:r>
    </w:p>
    <w:p w14:paraId="0A6794ED" w14:textId="77777777" w:rsidR="00FF6638" w:rsidRDefault="00FF6638" w:rsidP="00FF6638">
      <w:pPr>
        <w:pStyle w:val="Heading2"/>
        <w:jc w:val="center"/>
      </w:pPr>
      <w:bookmarkStart w:id="7" w:name="_Toc98422298"/>
      <w:r w:rsidRPr="00FF6638">
        <w:lastRenderedPageBreak/>
        <w:t>Outline when and how the staff from the closed site can be moved to work at another site.</w:t>
      </w:r>
      <w:bookmarkEnd w:id="7"/>
    </w:p>
    <w:p w14:paraId="737ACB57" w14:textId="3952F03B" w:rsidR="0090509E" w:rsidRDefault="0090509E" w:rsidP="0090509E">
      <w:r>
        <w:t>From:</w:t>
      </w:r>
      <w:r w:rsidR="002D5896">
        <w:t xml:space="preserve"> Ceinwen Lloyd (ABC Ltd HR Officer)</w:t>
      </w:r>
    </w:p>
    <w:p w14:paraId="48D7BB2C" w14:textId="0C134310" w:rsidR="0090509E" w:rsidRDefault="0090509E" w:rsidP="0090509E">
      <w:r>
        <w:t>To:</w:t>
      </w:r>
      <w:r w:rsidR="002D5896">
        <w:t xml:space="preserve"> Darren Jones (ABC Ltd Managing Director)</w:t>
      </w:r>
    </w:p>
    <w:p w14:paraId="1734567C" w14:textId="2AE1D9FF" w:rsidR="0090509E" w:rsidRDefault="0090509E" w:rsidP="0090509E">
      <w:r>
        <w:t>Date:</w:t>
      </w:r>
      <w:r w:rsidR="002D5896">
        <w:t xml:space="preserve"> 11/03/2022</w:t>
      </w:r>
    </w:p>
    <w:p w14:paraId="4DE6A22C" w14:textId="0458C0B2" w:rsidR="0090509E" w:rsidRDefault="0090509E" w:rsidP="0090509E">
      <w:r>
        <w:t>Subject:</w:t>
      </w:r>
      <w:r w:rsidR="002D5896">
        <w:t xml:space="preserve"> Branch closure </w:t>
      </w:r>
    </w:p>
    <w:p w14:paraId="7DAE70D3" w14:textId="77777777" w:rsidR="002D5896" w:rsidRDefault="002D5896" w:rsidP="0090509E">
      <w:r>
        <w:t xml:space="preserve">Hi Darren, </w:t>
      </w:r>
    </w:p>
    <w:p w14:paraId="14CB8359" w14:textId="77777777" w:rsidR="005B57B3" w:rsidRDefault="002D5896" w:rsidP="0090509E">
      <w:r>
        <w:t xml:space="preserve">Thank you for brining to my attention that you are closing the ABC branch at Jobs Well Rd. We now have some work to do in order to determine </w:t>
      </w:r>
      <w:r w:rsidRPr="00010031">
        <w:t>when and how the staff from the closed site can be moved to work at</w:t>
      </w:r>
      <w:r>
        <w:t xml:space="preserve"> one of the </w:t>
      </w:r>
      <w:r w:rsidRPr="00010031">
        <w:t>other site</w:t>
      </w:r>
      <w:r>
        <w:t xml:space="preserve">s.   </w:t>
      </w:r>
    </w:p>
    <w:p w14:paraId="4E71A6D6" w14:textId="4606AE4F" w:rsidR="00F307CC" w:rsidRDefault="006677DE" w:rsidP="0090509E">
      <w:r>
        <w:t>An employer should be careful about varying a contract. Some minor matter</w:t>
      </w:r>
      <w:r w:rsidR="0085456B">
        <w:t xml:space="preserve">s such as </w:t>
      </w:r>
      <w:r w:rsidR="0085456B" w:rsidRPr="0085456B">
        <w:t>non-c</w:t>
      </w:r>
      <w:r w:rsidR="0085456B">
        <w:t xml:space="preserve">ontractual policies where they </w:t>
      </w:r>
      <w:r w:rsidR="0085456B" w:rsidRPr="0085456B">
        <w:t>have been carefully drafted to ensure there i</w:t>
      </w:r>
      <w:r w:rsidR="0085456B">
        <w:t xml:space="preserve">s no binding contractual effect can be changed </w:t>
      </w:r>
      <w:r w:rsidR="0085456B" w:rsidRPr="0085456B">
        <w:t>w</w:t>
      </w:r>
      <w:r w:rsidR="0085456B">
        <w:t xml:space="preserve">ithout the employee’s agreement but the majority cannot. </w:t>
      </w:r>
      <w:r w:rsidR="00F307CC">
        <w:t xml:space="preserve">By asking the current staff to move from the branch in Jobs Well Rd to another location this may be a change in their contracts. </w:t>
      </w:r>
    </w:p>
    <w:p w14:paraId="42C8F069" w14:textId="40030081" w:rsidR="00F307CC" w:rsidRDefault="00F307CC" w:rsidP="0090509E">
      <w:r>
        <w:t>If you wish to alter their existing contract you have three options. The first is to and the safest option is to ag</w:t>
      </w:r>
      <w:r w:rsidRPr="00F307CC">
        <w:t>ree the changes with the employee after thorough consultation</w:t>
      </w:r>
      <w:r>
        <w:t xml:space="preserve">, on this occasion, this is what I would recommend. Your other options would be make changes unilaterally, but this poses a risk of a breach of contract or you could </w:t>
      </w:r>
      <w:r w:rsidRPr="00F307CC">
        <w:t>terminate the employee’s contract by notice and offer them re-engagem</w:t>
      </w:r>
      <w:r>
        <w:t xml:space="preserve">ent on new terms and conditions which </w:t>
      </w:r>
      <w:r w:rsidRPr="00F307CC">
        <w:t>in legal terms</w:t>
      </w:r>
      <w:r>
        <w:t xml:space="preserve">, according to the </w:t>
      </w:r>
      <w:r w:rsidR="002B75B0">
        <w:t>CIPD</w:t>
      </w:r>
      <w:r w:rsidR="002B75B0" w:rsidRPr="002B75B0">
        <w:t xml:space="preserve"> </w:t>
      </w:r>
      <w:r w:rsidR="002B75B0">
        <w:t>(</w:t>
      </w:r>
      <w:r w:rsidR="002B75B0" w:rsidRPr="002B75B0">
        <w:t>2020)</w:t>
      </w:r>
      <w:r w:rsidR="002B75B0">
        <w:t xml:space="preserve">, </w:t>
      </w:r>
      <w:r w:rsidRPr="00F307CC">
        <w:t>this may be considered a redundancy dismissal, so they should follow any rules around collective redundancy and consultation time limits</w:t>
      </w:r>
      <w:r>
        <w:t>. The risk with this option is again the employee claiming a breach of contract and also losing</w:t>
      </w:r>
      <w:r w:rsidR="00A47914">
        <w:t xml:space="preserve"> the employees trust, this could lead to constructive dismissal, where the employee resigns due to the actions taken.</w:t>
      </w:r>
    </w:p>
    <w:p w14:paraId="00811043" w14:textId="4EBAA596" w:rsidR="00F307CC" w:rsidRDefault="00F307CC" w:rsidP="0090509E"/>
    <w:p w14:paraId="696F4E05" w14:textId="60EFE335" w:rsidR="00F307CC" w:rsidRDefault="00F307CC" w:rsidP="0090509E">
      <w:r>
        <w:t xml:space="preserve">Many thanks, </w:t>
      </w:r>
    </w:p>
    <w:p w14:paraId="6DEC5100" w14:textId="5180CE11" w:rsidR="00F307CC" w:rsidRDefault="00F307CC" w:rsidP="0090509E">
      <w:r>
        <w:t>Ceinwen</w:t>
      </w:r>
    </w:p>
    <w:p w14:paraId="55DBBB54" w14:textId="77777777" w:rsidR="00F307CC" w:rsidRDefault="00F307CC">
      <w:r>
        <w:br w:type="page"/>
      </w:r>
    </w:p>
    <w:p w14:paraId="5D9B7C61" w14:textId="77777777" w:rsidR="00FF6638" w:rsidRDefault="00FF6638" w:rsidP="0090509E">
      <w:pPr>
        <w:rPr>
          <w:rFonts w:asciiTheme="majorHAnsi" w:eastAsiaTheme="majorEastAsia" w:hAnsiTheme="majorHAnsi" w:cstheme="majorBidi"/>
          <w:color w:val="2E74B5" w:themeColor="accent1" w:themeShade="BF"/>
          <w:sz w:val="26"/>
          <w:szCs w:val="26"/>
        </w:rPr>
      </w:pPr>
    </w:p>
    <w:p w14:paraId="31BBBB58" w14:textId="77777777" w:rsidR="00FF6638" w:rsidRDefault="00FF6638" w:rsidP="00FF6638">
      <w:pPr>
        <w:pStyle w:val="Heading2"/>
        <w:jc w:val="center"/>
      </w:pPr>
      <w:bookmarkStart w:id="8" w:name="_Toc98422299"/>
      <w:r w:rsidRPr="00FF6638">
        <w:t>Explain briefly the main requirements of individual redundancy consultation.</w:t>
      </w:r>
      <w:bookmarkEnd w:id="8"/>
    </w:p>
    <w:p w14:paraId="1E68E6BA" w14:textId="2B9D91EE" w:rsidR="00F307CC" w:rsidRDefault="00F307CC">
      <w:r w:rsidRPr="00F307CC">
        <w:t>The principles of the law in the areas of redundancy; definitions of redundancy; entitlement to statutory redundancy pay, individual and collective consultation rights; other statutory rights such as notice and holiday; selection pools; points systems vs selection systems; discrimination risks; relevant cases.</w:t>
      </w:r>
    </w:p>
    <w:p w14:paraId="19F672D3" w14:textId="77777777" w:rsidR="00987574" w:rsidRDefault="00987574" w:rsidP="00987574">
      <w:r>
        <w:t>From: Ceinwen Lloyd (ABC Ltd HR Officer)</w:t>
      </w:r>
    </w:p>
    <w:p w14:paraId="1E9FD4A2" w14:textId="77777777" w:rsidR="00987574" w:rsidRDefault="00987574" w:rsidP="00987574">
      <w:r>
        <w:t>To: Darren Jones (ABC Ltd Managing Director)</w:t>
      </w:r>
    </w:p>
    <w:p w14:paraId="74AD055E" w14:textId="77777777" w:rsidR="00987574" w:rsidRDefault="00987574" w:rsidP="00987574">
      <w:r>
        <w:t>Date: 11/03/2022</w:t>
      </w:r>
    </w:p>
    <w:p w14:paraId="673B5F58" w14:textId="0039A173" w:rsidR="002B75B0" w:rsidRDefault="00987574" w:rsidP="00987574">
      <w:r>
        <w:t xml:space="preserve">Subject: Branch closure </w:t>
      </w:r>
      <w:r w:rsidR="002B75B0">
        <w:t>–</w:t>
      </w:r>
      <w:r>
        <w:t xml:space="preserve"> redundancy</w:t>
      </w:r>
    </w:p>
    <w:p w14:paraId="2918E251" w14:textId="77777777" w:rsidR="002B75B0" w:rsidRDefault="002B75B0" w:rsidP="00987574"/>
    <w:p w14:paraId="5F08EEF1" w14:textId="77777777" w:rsidR="002B75B0" w:rsidRDefault="002B75B0" w:rsidP="00987574">
      <w:r>
        <w:t xml:space="preserve">Hi Darren, </w:t>
      </w:r>
    </w:p>
    <w:p w14:paraId="2C92FC8D" w14:textId="77777777" w:rsidR="00977633" w:rsidRDefault="00A47914" w:rsidP="00987574">
      <w:r>
        <w:t xml:space="preserve">Redundancy can be one of the most stressful events in someone’s career and should only be considered as a last option. </w:t>
      </w:r>
      <w:r w:rsidR="000E5164">
        <w:t xml:space="preserve">The organisation needs to handle any redundancy made correctly and follow procedures put in place because if it does not the employee can claim unfair dismissal. </w:t>
      </w:r>
      <w:r w:rsidR="003D0CE3" w:rsidRPr="000E5164">
        <w:t>By law, you must hold collective consultation where the redundancies are in 1 establishment – not necessarily in your organisation as a whole, which may be much larger</w:t>
      </w:r>
      <w:r w:rsidR="003D0CE3">
        <w:t xml:space="preserve"> but </w:t>
      </w:r>
      <w:r w:rsidR="003D0CE3" w:rsidRPr="000A2B88">
        <w:t>because each store operates as a distinct entity from the wider business, the redundancies would be handled separately. This means the business might not need t</w:t>
      </w:r>
      <w:r w:rsidR="003D0CE3">
        <w:t xml:space="preserve">o hold collective consultation </w:t>
      </w:r>
      <w:r w:rsidR="003D0CE3" w:rsidRPr="003D0CE3">
        <w:t>(www.acas.org.uk, 2021)</w:t>
      </w:r>
      <w:r w:rsidR="003D0CE3">
        <w:t xml:space="preserve">. </w:t>
      </w:r>
    </w:p>
    <w:p w14:paraId="71662284" w14:textId="4EB89FE1" w:rsidR="000E5164" w:rsidRDefault="00A47914" w:rsidP="00987574">
      <w:r>
        <w:t>If you see no other way, then i</w:t>
      </w:r>
      <w:r w:rsidR="002B75B0">
        <w:t xml:space="preserve">n order for the company to </w:t>
      </w:r>
      <w:r w:rsidR="002178CA">
        <w:t>dismiss on behalf of redundancy</w:t>
      </w:r>
      <w:r w:rsidR="002B75B0">
        <w:t xml:space="preserve">, you need to have </w:t>
      </w:r>
      <w:r w:rsidR="002178CA">
        <w:t xml:space="preserve">ceased to carry out business in the place where the employees are employed. </w:t>
      </w:r>
      <w:r w:rsidR="00977633">
        <w:t xml:space="preserve">In this situation, there is no discrimination as to who is being made redundant due to it happening because of a location closure rather than workload/employee ratio. </w:t>
      </w:r>
      <w:r w:rsidR="00DA70D9">
        <w:t xml:space="preserve">Due to the size of the organisation </w:t>
      </w:r>
      <w:r w:rsidR="000855B2">
        <w:t>being 20 employees or less, you would need to give the employees a reasonable amount of time for consultation as well as giving the employee a reason for the redundancy, the total number of redundancies occurring on this occasion, what the procedure is and what the redundancy pay calculation</w:t>
      </w:r>
      <w:r w:rsidR="000E5164">
        <w:t xml:space="preserve"> they should expect. </w:t>
      </w:r>
      <w:r w:rsidR="00977633">
        <w:t xml:space="preserve">If an employee has worked with you for more than 2 full years you are legally obliged to pay the minimum amount of redundancy (statutory pay). </w:t>
      </w:r>
      <w:r w:rsidR="00977633" w:rsidRPr="00977633">
        <w:t>The maximum total statutory redundancy pay is £16,320.</w:t>
      </w:r>
      <w:r w:rsidR="00977633">
        <w:t xml:space="preserve"> </w:t>
      </w:r>
      <w:r w:rsidR="00977633" w:rsidRPr="00977633">
        <w:t>If making redundancy payments puts your organisation at risk, you can ask the Redundancy Payments Service (RPS) for financial help.</w:t>
      </w:r>
      <w:r w:rsidR="00977633">
        <w:t xml:space="preserve"> </w:t>
      </w:r>
      <w:r w:rsidR="00977633" w:rsidRPr="00977633">
        <w:t>You can choose to pay higher amounts if you want to e</w:t>
      </w:r>
      <w:r w:rsidR="00B71D48">
        <w:t xml:space="preserve">ncourage voluntary redundancies </w:t>
      </w:r>
      <w:r w:rsidR="00B71D48" w:rsidRPr="00B71D48">
        <w:t>(Acas.org.uk, 2020)</w:t>
      </w:r>
      <w:r w:rsidR="00B71D48">
        <w:t>.</w:t>
      </w:r>
    </w:p>
    <w:p w14:paraId="37D9056E" w14:textId="7A543620" w:rsidR="00B71D48" w:rsidRDefault="00B71D48" w:rsidP="00987574">
      <w:r>
        <w:t xml:space="preserve">The notice for the redundancy should be given once you have finished consulting and the notice should be given face to face if possible as well as putting all the information in writing. The Employment Rights Act 1996 says that you should give a notice that meets the statutory notice period. You should also allow the employees to make an appeal against the redundancy and </w:t>
      </w:r>
      <w:r w:rsidR="003F296D">
        <w:t xml:space="preserve">this should be stated in the organisations redundancy policy. If an employee is successful in the appeal, the organisation will have to make someone else redundant in their place. </w:t>
      </w:r>
    </w:p>
    <w:p w14:paraId="70CCB486" w14:textId="77777777" w:rsidR="003F296D" w:rsidRDefault="003F296D" w:rsidP="00987574">
      <w:r>
        <w:t xml:space="preserve">The organisation should be looking at offering alternative employment to the employees selected to be made redundant. In this situation, as the other branches are within a 20 mile radius we should be looking to place the employees from the closing branch in our other locations if there are suitable </w:t>
      </w:r>
      <w:r>
        <w:lastRenderedPageBreak/>
        <w:t xml:space="preserve">roles. Perhaps someone currently in the remaining branch would be open to job sharing? Options like this should be looked at before we commit to redundancies. </w:t>
      </w:r>
    </w:p>
    <w:p w14:paraId="0BAD755F" w14:textId="6173BAF4" w:rsidR="003F296D" w:rsidRDefault="003F296D" w:rsidP="00987574">
      <w:r>
        <w:t xml:space="preserve">As always, it is important that we support our staff through this unsettling period. Perhaps we could offer </w:t>
      </w:r>
      <w:r w:rsidRPr="003F296D">
        <w:t>counselling</w:t>
      </w:r>
      <w:r>
        <w:t xml:space="preserve"> and </w:t>
      </w:r>
      <w:r w:rsidRPr="003F296D">
        <w:t>help</w:t>
      </w:r>
      <w:r>
        <w:t xml:space="preserve"> on</w:t>
      </w:r>
      <w:r w:rsidRPr="003F296D">
        <w:t xml:space="preserve"> getting financial advice</w:t>
      </w:r>
      <w:r>
        <w:t xml:space="preserve">. </w:t>
      </w:r>
    </w:p>
    <w:p w14:paraId="5E45FDAA" w14:textId="465B0BD8" w:rsidR="003F296D" w:rsidRDefault="003F296D" w:rsidP="00987574">
      <w:r>
        <w:t xml:space="preserve">Best wishes, </w:t>
      </w:r>
    </w:p>
    <w:p w14:paraId="2DE22627" w14:textId="31AA3FFB" w:rsidR="003F296D" w:rsidRDefault="003F296D" w:rsidP="00987574">
      <w:proofErr w:type="spellStart"/>
      <w:r>
        <w:t>Ceinwen</w:t>
      </w:r>
      <w:proofErr w:type="spellEnd"/>
    </w:p>
    <w:p w14:paraId="64F81AAA" w14:textId="2712CAC3" w:rsidR="00F307CC" w:rsidRDefault="00FF6638" w:rsidP="00987574">
      <w:r>
        <w:br w:type="page"/>
      </w:r>
    </w:p>
    <w:p w14:paraId="007130F7" w14:textId="77777777" w:rsidR="00F307CC" w:rsidRDefault="00F307CC">
      <w:pPr>
        <w:rPr>
          <w:rFonts w:asciiTheme="majorHAnsi" w:eastAsiaTheme="majorEastAsia" w:hAnsiTheme="majorHAnsi" w:cstheme="majorBidi"/>
          <w:color w:val="2E74B5" w:themeColor="accent1" w:themeShade="BF"/>
          <w:sz w:val="26"/>
          <w:szCs w:val="26"/>
        </w:rPr>
      </w:pPr>
    </w:p>
    <w:p w14:paraId="7B634F41" w14:textId="77777777" w:rsidR="009378CC" w:rsidRDefault="00FF6638" w:rsidP="00FF6638">
      <w:pPr>
        <w:pStyle w:val="Heading2"/>
        <w:jc w:val="center"/>
      </w:pPr>
      <w:bookmarkStart w:id="9" w:name="_Toc98422300"/>
      <w:r w:rsidRPr="00FF6638">
        <w:t>If the site was not closing and had been taken over by a competitor, summarise the main requirements of a service provision change in relation to TUPE</w:t>
      </w:r>
      <w:r>
        <w:t>.</w:t>
      </w:r>
      <w:bookmarkEnd w:id="9"/>
    </w:p>
    <w:p w14:paraId="717F28E3" w14:textId="03B50436" w:rsidR="003B1FB9" w:rsidRDefault="003B1FB9" w:rsidP="00FF6638">
      <w:pPr>
        <w:rPr>
          <w:rFonts w:cstheme="minorHAnsi"/>
        </w:rPr>
      </w:pPr>
    </w:p>
    <w:p w14:paraId="49E9311B" w14:textId="1E3A8034" w:rsidR="00123C15" w:rsidRDefault="003B1FB9" w:rsidP="00FF6638">
      <w:pPr>
        <w:rPr>
          <w:rFonts w:cstheme="minorHAnsi"/>
        </w:rPr>
      </w:pPr>
      <w:r>
        <w:rPr>
          <w:rFonts w:cstheme="minorHAnsi"/>
        </w:rPr>
        <w:t xml:space="preserve">Transfer of Undertakings (TUPE) Regulations 2006 was put in place to protect employees working for an organisation which is transferred to another owner. There are two types of transfer; the transfer of economic entity and a change in service provision. A transfer or economic entity </w:t>
      </w:r>
      <w:r w:rsidR="00BB6904">
        <w:rPr>
          <w:rFonts w:cstheme="minorHAnsi"/>
        </w:rPr>
        <w:t>would be a pub being sold and to a new owner but carrying on as a pub where as a change in service provision would be if a pub carried out its own catering and then decided to outsource the catering contract to another organisation. As our branch is being sold to a competitor this is a trans</w:t>
      </w:r>
      <w:r w:rsidR="00D912A9">
        <w:rPr>
          <w:rFonts w:cstheme="minorHAnsi"/>
        </w:rPr>
        <w:t>fer or economic entity and not a</w:t>
      </w:r>
      <w:r w:rsidR="00BB6904">
        <w:rPr>
          <w:rFonts w:cstheme="minorHAnsi"/>
        </w:rPr>
        <w:t xml:space="preserve"> service provision change</w:t>
      </w:r>
      <w:r w:rsidR="00D912A9">
        <w:rPr>
          <w:rFonts w:cstheme="minorHAnsi"/>
        </w:rPr>
        <w:t xml:space="preserve">. The automatic transfer principle is </w:t>
      </w:r>
      <w:r w:rsidR="000C30CE">
        <w:rPr>
          <w:rFonts w:cstheme="minorHAnsi"/>
        </w:rPr>
        <w:t>where a</w:t>
      </w:r>
      <w:r w:rsidR="00D912A9">
        <w:rPr>
          <w:rFonts w:cstheme="minorHAnsi"/>
        </w:rPr>
        <w:t xml:space="preserve">ll of the employee’s contractual rights are transferred </w:t>
      </w:r>
      <w:r w:rsidR="000C30CE">
        <w:rPr>
          <w:rFonts w:cstheme="minorHAnsi"/>
        </w:rPr>
        <w:t xml:space="preserve">over with the business to the new owner, for example, if our current contract with our employees pre the business being taken over states that they are contracted 37.5 hours, then the new purchaser of the business needs to honour this and cannot cut/increase the contracted hours. </w:t>
      </w:r>
    </w:p>
    <w:p w14:paraId="45551213" w14:textId="77777777" w:rsidR="00123C15" w:rsidRDefault="00123C15">
      <w:pPr>
        <w:rPr>
          <w:rFonts w:cstheme="minorHAnsi"/>
        </w:rPr>
      </w:pPr>
      <w:r>
        <w:rPr>
          <w:rFonts w:cstheme="minorHAnsi"/>
        </w:rPr>
        <w:br w:type="page"/>
      </w:r>
    </w:p>
    <w:p w14:paraId="171BBD51" w14:textId="6DC57612" w:rsidR="00D912A9" w:rsidRDefault="00123C15" w:rsidP="00123C15">
      <w:pPr>
        <w:pStyle w:val="Heading2"/>
      </w:pPr>
      <w:bookmarkStart w:id="10" w:name="_Toc98422301"/>
      <w:r>
        <w:lastRenderedPageBreak/>
        <w:t>Bibliography</w:t>
      </w:r>
      <w:bookmarkEnd w:id="10"/>
    </w:p>
    <w:p w14:paraId="47508FBD" w14:textId="7E6BF53F" w:rsidR="00123C15" w:rsidRDefault="00123C15" w:rsidP="00123C15">
      <w:r w:rsidRPr="00123C15">
        <w:t xml:space="preserve">Acas.org.uk (2020). Work out redundancy pay | </w:t>
      </w:r>
      <w:proofErr w:type="spellStart"/>
      <w:r w:rsidRPr="00123C15">
        <w:t>Acas</w:t>
      </w:r>
      <w:proofErr w:type="spellEnd"/>
      <w:r w:rsidRPr="00123C15">
        <w:t>. [</w:t>
      </w:r>
      <w:proofErr w:type="gramStart"/>
      <w:r w:rsidRPr="00123C15">
        <w:t>online</w:t>
      </w:r>
      <w:proofErr w:type="gramEnd"/>
      <w:r w:rsidRPr="00123C15">
        <w:t xml:space="preserve">] Acas.org.uk. Available at: </w:t>
      </w:r>
      <w:hyperlink r:id="rId11" w:history="1">
        <w:r w:rsidRPr="00C16AEF">
          <w:rPr>
            <w:rStyle w:val="Hyperlink"/>
          </w:rPr>
          <w:t>https://www.acas.org.uk/manage-staff-redundancies/work-out-redundancy-pay</w:t>
        </w:r>
      </w:hyperlink>
      <w:r w:rsidRPr="00123C15">
        <w:t>.</w:t>
      </w:r>
    </w:p>
    <w:p w14:paraId="4B4F94CA" w14:textId="1A424846" w:rsidR="00123C15" w:rsidRDefault="00123C15" w:rsidP="00123C15">
      <w:r w:rsidRPr="00123C15">
        <w:t xml:space="preserve">www.acas.org.uk (2021). Check if you need to hold collective consultation: Collective consultation for redundancy - </w:t>
      </w:r>
      <w:proofErr w:type="spellStart"/>
      <w:r w:rsidRPr="00123C15">
        <w:t>Acas</w:t>
      </w:r>
      <w:proofErr w:type="spellEnd"/>
      <w:r w:rsidRPr="00123C15">
        <w:t>. [</w:t>
      </w:r>
      <w:proofErr w:type="gramStart"/>
      <w:r w:rsidRPr="00123C15">
        <w:t>online</w:t>
      </w:r>
      <w:proofErr w:type="gramEnd"/>
      <w:r w:rsidRPr="00123C15">
        <w:t xml:space="preserve">] www.acas.org.uk. Available at: </w:t>
      </w:r>
      <w:hyperlink r:id="rId12" w:history="1">
        <w:r w:rsidRPr="00C16AEF">
          <w:rPr>
            <w:rStyle w:val="Hyperlink"/>
          </w:rPr>
          <w:t>https://www.acas.org.uk/collective-consultation-redundancy</w:t>
        </w:r>
      </w:hyperlink>
    </w:p>
    <w:p w14:paraId="2F0F7F83" w14:textId="77777777" w:rsidR="00123C15" w:rsidRPr="00123C15" w:rsidRDefault="00123C15" w:rsidP="00123C15"/>
    <w:sectPr w:rsidR="00123C15" w:rsidRPr="00123C15" w:rsidSect="002A0F0F">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EA1506" w14:textId="77777777" w:rsidR="002A0F0F" w:rsidRDefault="002A0F0F" w:rsidP="002A0F0F">
      <w:pPr>
        <w:spacing w:after="0" w:line="240" w:lineRule="auto"/>
      </w:pPr>
      <w:r>
        <w:separator/>
      </w:r>
    </w:p>
  </w:endnote>
  <w:endnote w:type="continuationSeparator" w:id="0">
    <w:p w14:paraId="0264D3AA" w14:textId="77777777" w:rsidR="002A0F0F" w:rsidRDefault="002A0F0F" w:rsidP="002A0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368096" w14:textId="07603AC7" w:rsidR="002A0F0F" w:rsidRDefault="002A0F0F">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123C15">
      <w:rPr>
        <w:caps/>
        <w:noProof/>
        <w:color w:val="5B9BD5" w:themeColor="accent1"/>
      </w:rPr>
      <w:t>1</w:t>
    </w:r>
    <w:r>
      <w:rPr>
        <w:caps/>
        <w:noProof/>
        <w:color w:val="5B9BD5" w:themeColor="accent1"/>
      </w:rPr>
      <w:fldChar w:fldCharType="end"/>
    </w:r>
  </w:p>
  <w:p w14:paraId="5FEFF719" w14:textId="77777777" w:rsidR="002A0F0F" w:rsidRDefault="002A0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2DA962" w14:textId="77777777" w:rsidR="002A0F0F" w:rsidRDefault="002A0F0F" w:rsidP="002A0F0F">
      <w:pPr>
        <w:spacing w:after="0" w:line="240" w:lineRule="auto"/>
      </w:pPr>
      <w:r>
        <w:separator/>
      </w:r>
    </w:p>
  </w:footnote>
  <w:footnote w:type="continuationSeparator" w:id="0">
    <w:p w14:paraId="4E44EE13" w14:textId="77777777" w:rsidR="002A0F0F" w:rsidRDefault="002A0F0F" w:rsidP="002A0F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E10D40"/>
    <w:multiLevelType w:val="hybridMultilevel"/>
    <w:tmpl w:val="5D003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272D2"/>
    <w:multiLevelType w:val="multilevel"/>
    <w:tmpl w:val="400099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0F0F"/>
    <w:rsid w:val="000855B2"/>
    <w:rsid w:val="000A2B88"/>
    <w:rsid w:val="000A69E1"/>
    <w:rsid w:val="000C30CE"/>
    <w:rsid w:val="000E5164"/>
    <w:rsid w:val="00123C15"/>
    <w:rsid w:val="0014196C"/>
    <w:rsid w:val="001814BA"/>
    <w:rsid w:val="001E54FB"/>
    <w:rsid w:val="002178CA"/>
    <w:rsid w:val="0024011F"/>
    <w:rsid w:val="002A0F0F"/>
    <w:rsid w:val="002B75B0"/>
    <w:rsid w:val="002D5896"/>
    <w:rsid w:val="003B1FB9"/>
    <w:rsid w:val="003D0CE3"/>
    <w:rsid w:val="003F296D"/>
    <w:rsid w:val="0047336E"/>
    <w:rsid w:val="00492CC0"/>
    <w:rsid w:val="00537797"/>
    <w:rsid w:val="00544AE6"/>
    <w:rsid w:val="005B57B3"/>
    <w:rsid w:val="005F10E6"/>
    <w:rsid w:val="006677DE"/>
    <w:rsid w:val="00780DBA"/>
    <w:rsid w:val="00786147"/>
    <w:rsid w:val="007B0EBC"/>
    <w:rsid w:val="008171CE"/>
    <w:rsid w:val="00836A10"/>
    <w:rsid w:val="0085456B"/>
    <w:rsid w:val="00884BC5"/>
    <w:rsid w:val="0090509E"/>
    <w:rsid w:val="0092784F"/>
    <w:rsid w:val="009546FA"/>
    <w:rsid w:val="00977633"/>
    <w:rsid w:val="00987574"/>
    <w:rsid w:val="00A26036"/>
    <w:rsid w:val="00A47914"/>
    <w:rsid w:val="00B300B6"/>
    <w:rsid w:val="00B71D48"/>
    <w:rsid w:val="00BB6904"/>
    <w:rsid w:val="00CA1367"/>
    <w:rsid w:val="00D23AB7"/>
    <w:rsid w:val="00D912A9"/>
    <w:rsid w:val="00DA70D9"/>
    <w:rsid w:val="00EA50BE"/>
    <w:rsid w:val="00F12B67"/>
    <w:rsid w:val="00F13DD7"/>
    <w:rsid w:val="00F26788"/>
    <w:rsid w:val="00F307CC"/>
    <w:rsid w:val="00FC3B6F"/>
    <w:rsid w:val="00FF6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3BD39"/>
  <w15:chartTrackingRefBased/>
  <w15:docId w15:val="{98EB2E1C-F473-406C-922C-46A63463B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A0F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0F0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0F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0F0F"/>
    <w:rPr>
      <w:rFonts w:eastAsiaTheme="minorEastAsia"/>
      <w:lang w:val="en-US"/>
    </w:rPr>
  </w:style>
  <w:style w:type="paragraph" w:styleId="Header">
    <w:name w:val="header"/>
    <w:basedOn w:val="Normal"/>
    <w:link w:val="HeaderChar"/>
    <w:uiPriority w:val="99"/>
    <w:unhideWhenUsed/>
    <w:rsid w:val="002A0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F0F"/>
  </w:style>
  <w:style w:type="paragraph" w:styleId="Footer">
    <w:name w:val="footer"/>
    <w:basedOn w:val="Normal"/>
    <w:link w:val="FooterChar"/>
    <w:uiPriority w:val="99"/>
    <w:unhideWhenUsed/>
    <w:rsid w:val="002A0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F0F"/>
  </w:style>
  <w:style w:type="character" w:customStyle="1" w:styleId="Heading1Char">
    <w:name w:val="Heading 1 Char"/>
    <w:basedOn w:val="DefaultParagraphFont"/>
    <w:link w:val="Heading1"/>
    <w:uiPriority w:val="9"/>
    <w:rsid w:val="002A0F0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A0F0F"/>
    <w:pPr>
      <w:outlineLvl w:val="9"/>
    </w:pPr>
    <w:rPr>
      <w:lang w:val="en-US"/>
    </w:rPr>
  </w:style>
  <w:style w:type="paragraph" w:styleId="Title">
    <w:name w:val="Title"/>
    <w:basedOn w:val="Normal"/>
    <w:next w:val="Normal"/>
    <w:link w:val="TitleChar"/>
    <w:uiPriority w:val="10"/>
    <w:qFormat/>
    <w:rsid w:val="002A0F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F0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A0F0F"/>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2A0F0F"/>
    <w:pPr>
      <w:widowControl w:val="0"/>
      <w:autoSpaceDE w:val="0"/>
      <w:autoSpaceDN w:val="0"/>
      <w:spacing w:before="120" w:after="0" w:line="240" w:lineRule="auto"/>
      <w:ind w:left="1073" w:hanging="360"/>
    </w:pPr>
    <w:rPr>
      <w:rFonts w:ascii="Arial" w:eastAsia="Arial" w:hAnsi="Arial" w:cs="Arial"/>
    </w:rPr>
  </w:style>
  <w:style w:type="paragraph" w:styleId="TOC2">
    <w:name w:val="toc 2"/>
    <w:basedOn w:val="Normal"/>
    <w:next w:val="Normal"/>
    <w:autoRedefine/>
    <w:uiPriority w:val="39"/>
    <w:unhideWhenUsed/>
    <w:rsid w:val="002A0F0F"/>
    <w:pPr>
      <w:spacing w:after="100"/>
      <w:ind w:left="220"/>
    </w:pPr>
  </w:style>
  <w:style w:type="character" w:styleId="Hyperlink">
    <w:name w:val="Hyperlink"/>
    <w:basedOn w:val="DefaultParagraphFont"/>
    <w:uiPriority w:val="99"/>
    <w:unhideWhenUsed/>
    <w:rsid w:val="002A0F0F"/>
    <w:rPr>
      <w:color w:val="0563C1" w:themeColor="hyperlink"/>
      <w:u w:val="single"/>
    </w:rPr>
  </w:style>
  <w:style w:type="paragraph" w:styleId="NormalWeb">
    <w:name w:val="Normal (Web)"/>
    <w:basedOn w:val="Normal"/>
    <w:uiPriority w:val="99"/>
    <w:semiHidden/>
    <w:unhideWhenUsed/>
    <w:rsid w:val="00884BC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83427303">
      <w:bodyDiv w:val="1"/>
      <w:marLeft w:val="0"/>
      <w:marRight w:val="0"/>
      <w:marTop w:val="0"/>
      <w:marBottom w:val="0"/>
      <w:divBdr>
        <w:top w:val="none" w:sz="0" w:space="0" w:color="auto"/>
        <w:left w:val="none" w:sz="0" w:space="0" w:color="auto"/>
        <w:bottom w:val="none" w:sz="0" w:space="0" w:color="auto"/>
        <w:right w:val="none" w:sz="0" w:space="0" w:color="auto"/>
      </w:divBdr>
      <w:divsChild>
        <w:div w:id="1701206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cas.org.uk/collective-consultation-redundanc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as.org.uk/manage-staff-redundancies/work-out-redundancy-pay"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1400805@uwtsd.student.ac.uk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F08500-6EDF-429F-ACA9-01077070F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19</Pages>
  <Words>4345</Words>
  <Characters>24770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Specialist Employment Law</vt:lpstr>
    </vt:vector>
  </TitlesOfParts>
  <Company>Hywel Dda University Health Board</Company>
  <LinksUpToDate>false</LinksUpToDate>
  <CharactersWithSpaces>29057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Specialist Employment Law</dc:title>
  <dc:subject>14/03/2022</dc:subject>
  <dc:creator>Ceinwen Lloyd 1400805</dc:creator>
  <cp:keywords/>
  <dc:description/>
  <cp:lastModifiedBy>CE253446</cp:lastModifiedBy>
  <cp:revision>12</cp:revision>
  <dcterms:created xsi:type="dcterms:W3CDTF">2022-02-25T09:59:00Z</dcterms:created>
  <dcterms:modified xsi:type="dcterms:W3CDTF">2022-03-17T15:29:00Z</dcterms:modified>
</cp:coreProperties>
</file>