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127C998" w14:textId="3562F2BF" w:rsidR="00A168BD" w:rsidRDefault="00F37EC9">
      <w:pPr>
        <w:rPr>
          <w:rFonts w:ascii="Times New Roman" w:hAnsi="Times New Roman" w:cs="Times New Roman"/>
          <w:b/>
          <w:bCs/>
        </w:rPr>
      </w:pPr>
      <w:r>
        <w:rPr>
          <w:rFonts w:ascii="Times New Roman" w:hAnsi="Times New Roman" w:cs="Times New Roman"/>
          <w:b/>
          <w:bCs/>
        </w:rPr>
        <w:t>Annotated Bibliography</w:t>
      </w:r>
    </w:p>
    <w:p w14:paraId="22F2C239" w14:textId="77777777" w:rsidR="00F37EC9" w:rsidRDefault="00F37EC9">
      <w:pPr>
        <w:rPr>
          <w:rFonts w:ascii="Times New Roman" w:hAnsi="Times New Roman" w:cs="Times New Roman"/>
          <w:b/>
          <w:bCs/>
        </w:rPr>
      </w:pPr>
    </w:p>
    <w:p w14:paraId="5FC37476" w14:textId="2D8DAC0E" w:rsidR="000051E6" w:rsidRDefault="000051E6" w:rsidP="00181D22">
      <w:pPr>
        <w:spacing w:line="480" w:lineRule="auto"/>
        <w:rPr>
          <w:rFonts w:ascii="Times New Roman" w:hAnsi="Times New Roman" w:cs="Times New Roman"/>
        </w:rPr>
      </w:pPr>
      <w:r w:rsidRPr="000051E6">
        <w:rPr>
          <w:rFonts w:ascii="Times New Roman" w:hAnsi="Times New Roman" w:cs="Times New Roman"/>
        </w:rPr>
        <w:t xml:space="preserve">Artemidorus, </w:t>
      </w:r>
      <w:r w:rsidRPr="007C420A">
        <w:rPr>
          <w:rFonts w:ascii="Times New Roman" w:hAnsi="Times New Roman" w:cs="Times New Roman"/>
          <w:i/>
          <w:iCs/>
        </w:rPr>
        <w:t>The Interpretation of Dreams</w:t>
      </w:r>
      <w:r w:rsidRPr="000051E6">
        <w:rPr>
          <w:rFonts w:ascii="Times New Roman" w:hAnsi="Times New Roman" w:cs="Times New Roman"/>
        </w:rPr>
        <w:t>, trans. by Martin Hammond (Oxford: Oxford</w:t>
      </w:r>
      <w:r>
        <w:rPr>
          <w:rFonts w:ascii="Times New Roman" w:hAnsi="Times New Roman" w:cs="Times New Roman"/>
        </w:rPr>
        <w:t xml:space="preserve"> </w:t>
      </w:r>
      <w:r w:rsidRPr="000051E6">
        <w:rPr>
          <w:rFonts w:ascii="Times New Roman" w:hAnsi="Times New Roman" w:cs="Times New Roman"/>
        </w:rPr>
        <w:t>University Press, 2020)</w:t>
      </w:r>
    </w:p>
    <w:p w14:paraId="6312D1A0" w14:textId="77777777" w:rsidR="00F71AB2" w:rsidRPr="000051E6" w:rsidRDefault="00F71AB2" w:rsidP="00181D22">
      <w:pPr>
        <w:spacing w:line="480" w:lineRule="auto"/>
        <w:rPr>
          <w:rFonts w:ascii="Times New Roman" w:hAnsi="Times New Roman" w:cs="Times New Roman"/>
        </w:rPr>
      </w:pPr>
    </w:p>
    <w:p w14:paraId="77D11F52" w14:textId="270EBD3C" w:rsidR="00540D4B" w:rsidRDefault="00540D4B" w:rsidP="00307857">
      <w:pPr>
        <w:spacing w:line="480" w:lineRule="auto"/>
        <w:rPr>
          <w:rFonts w:ascii="Times New Roman" w:eastAsia="Times New Roman" w:hAnsi="Times New Roman" w:cs="Times New Roman"/>
          <w:color w:val="000000"/>
          <w:kern w:val="0"/>
          <w:lang w:eastAsia="en-GB"/>
          <w14:ligatures w14:val="none"/>
        </w:rPr>
      </w:pPr>
      <w:r w:rsidRPr="00540D4B">
        <w:rPr>
          <w:rFonts w:ascii="Times New Roman" w:eastAsia="Times New Roman" w:hAnsi="Times New Roman" w:cs="Times New Roman"/>
          <w:color w:val="000000"/>
          <w:kern w:val="0"/>
          <w:lang w:eastAsia="en-GB"/>
          <w14:ligatures w14:val="none"/>
        </w:rPr>
        <w:t>Artemidorus’ </w:t>
      </w:r>
      <w:r w:rsidRPr="00540D4B">
        <w:rPr>
          <w:rFonts w:ascii="Times New Roman" w:eastAsia="Times New Roman" w:hAnsi="Times New Roman" w:cs="Times New Roman"/>
          <w:i/>
          <w:iCs/>
          <w:color w:val="000000"/>
          <w:kern w:val="0"/>
          <w:lang w:eastAsia="en-GB"/>
          <w14:ligatures w14:val="none"/>
        </w:rPr>
        <w:t>The Interpretation of Dreams</w:t>
      </w:r>
      <w:r w:rsidRPr="00540D4B">
        <w:rPr>
          <w:rFonts w:ascii="Times New Roman" w:eastAsia="Times New Roman" w:hAnsi="Times New Roman" w:cs="Times New Roman"/>
          <w:color w:val="000000"/>
          <w:kern w:val="0"/>
          <w:lang w:eastAsia="en-GB"/>
          <w14:ligatures w14:val="none"/>
        </w:rPr>
        <w:t> is an important primary source for investigating ancient Greek conceptions of dreaming and the practices used to interpret dreams. Written in the second century CE, the work sets out an organi</w:t>
      </w:r>
      <w:r>
        <w:rPr>
          <w:rFonts w:ascii="Times New Roman" w:eastAsia="Times New Roman" w:hAnsi="Times New Roman" w:cs="Times New Roman"/>
          <w:color w:val="000000"/>
          <w:kern w:val="0"/>
          <w:lang w:eastAsia="en-GB"/>
          <w14:ligatures w14:val="none"/>
        </w:rPr>
        <w:t>s</w:t>
      </w:r>
      <w:r w:rsidRPr="00540D4B">
        <w:rPr>
          <w:rFonts w:ascii="Times New Roman" w:eastAsia="Times New Roman" w:hAnsi="Times New Roman" w:cs="Times New Roman"/>
          <w:color w:val="000000"/>
          <w:kern w:val="0"/>
          <w:lang w:eastAsia="en-GB"/>
          <w14:ligatures w14:val="none"/>
        </w:rPr>
        <w:t xml:space="preserve">ed approach to interpretation and draws on illustrative cases and inherited traditions associated with a range of social groups and settings. For this reason, it offers useful evidence for situating dreams within the wider social, cultural, and religious environment of the </w:t>
      </w:r>
      <w:r w:rsidR="006F4780">
        <w:rPr>
          <w:rFonts w:ascii="Times New Roman" w:eastAsia="Times New Roman" w:hAnsi="Times New Roman" w:cs="Times New Roman"/>
          <w:color w:val="000000"/>
          <w:kern w:val="0"/>
          <w:lang w:eastAsia="en-GB"/>
          <w14:ligatures w14:val="none"/>
        </w:rPr>
        <w:t>Graeco-Roman world</w:t>
      </w:r>
      <w:r w:rsidRPr="00540D4B">
        <w:rPr>
          <w:rFonts w:ascii="Times New Roman" w:eastAsia="Times New Roman" w:hAnsi="Times New Roman" w:cs="Times New Roman"/>
          <w:color w:val="000000"/>
          <w:kern w:val="0"/>
          <w:lang w:eastAsia="en-GB"/>
          <w14:ligatures w14:val="none"/>
        </w:rPr>
        <w:t>.</w:t>
      </w:r>
    </w:p>
    <w:p w14:paraId="7DD1F1A7" w14:textId="77777777" w:rsidR="00307857" w:rsidRPr="00540D4B" w:rsidRDefault="00307857" w:rsidP="00307857">
      <w:pPr>
        <w:spacing w:line="480" w:lineRule="auto"/>
        <w:rPr>
          <w:rFonts w:ascii="Times New Roman" w:eastAsia="Times New Roman" w:hAnsi="Times New Roman" w:cs="Times New Roman"/>
          <w:color w:val="000000"/>
          <w:kern w:val="0"/>
          <w:lang w:eastAsia="en-GB"/>
          <w14:ligatures w14:val="none"/>
        </w:rPr>
      </w:pPr>
    </w:p>
    <w:p w14:paraId="2CAB81E7" w14:textId="69B73204" w:rsidR="00540D4B" w:rsidRDefault="00540D4B" w:rsidP="00307857">
      <w:pPr>
        <w:spacing w:line="480" w:lineRule="auto"/>
        <w:rPr>
          <w:rFonts w:ascii="Times New Roman" w:eastAsia="Times New Roman" w:hAnsi="Times New Roman" w:cs="Times New Roman"/>
          <w:color w:val="000000"/>
          <w:kern w:val="0"/>
          <w:lang w:eastAsia="en-GB"/>
          <w14:ligatures w14:val="none"/>
        </w:rPr>
      </w:pPr>
      <w:r w:rsidRPr="00540D4B">
        <w:rPr>
          <w:rFonts w:ascii="Times New Roman" w:eastAsia="Times New Roman" w:hAnsi="Times New Roman" w:cs="Times New Roman"/>
          <w:color w:val="000000"/>
          <w:kern w:val="0"/>
          <w:lang w:eastAsia="en-GB"/>
          <w14:ligatures w14:val="none"/>
        </w:rPr>
        <w:t xml:space="preserve">At the same time, the text calls for careful critical handling. Artemidorus’ readings reflect his own assumptions as well as the </w:t>
      </w:r>
      <w:proofErr w:type="gramStart"/>
      <w:r w:rsidRPr="00540D4B">
        <w:rPr>
          <w:rFonts w:ascii="Times New Roman" w:eastAsia="Times New Roman" w:hAnsi="Times New Roman" w:cs="Times New Roman"/>
          <w:color w:val="000000"/>
          <w:kern w:val="0"/>
          <w:lang w:eastAsia="en-GB"/>
          <w14:ligatures w14:val="none"/>
        </w:rPr>
        <w:t>particular interpretive</w:t>
      </w:r>
      <w:proofErr w:type="gramEnd"/>
      <w:r w:rsidRPr="00540D4B">
        <w:rPr>
          <w:rFonts w:ascii="Times New Roman" w:eastAsia="Times New Roman" w:hAnsi="Times New Roman" w:cs="Times New Roman"/>
          <w:color w:val="000000"/>
          <w:kern w:val="0"/>
          <w:lang w:eastAsia="en-GB"/>
          <w14:ligatures w14:val="none"/>
        </w:rPr>
        <w:t xml:space="preserve"> traditions he selects and transmits, and they should not be taken as a straightforward representation of the views of the ancient </w:t>
      </w:r>
      <w:proofErr w:type="gramStart"/>
      <w:r w:rsidRPr="00540D4B">
        <w:rPr>
          <w:rFonts w:ascii="Times New Roman" w:eastAsia="Times New Roman" w:hAnsi="Times New Roman" w:cs="Times New Roman"/>
          <w:color w:val="000000"/>
          <w:kern w:val="0"/>
          <w:lang w:eastAsia="en-GB"/>
          <w14:ligatures w14:val="none"/>
        </w:rPr>
        <w:t>population as a whole</w:t>
      </w:r>
      <w:proofErr w:type="gramEnd"/>
      <w:r w:rsidRPr="00540D4B">
        <w:rPr>
          <w:rFonts w:ascii="Times New Roman" w:eastAsia="Times New Roman" w:hAnsi="Times New Roman" w:cs="Times New Roman"/>
          <w:color w:val="000000"/>
          <w:kern w:val="0"/>
          <w:lang w:eastAsia="en-GB"/>
          <w14:ligatures w14:val="none"/>
        </w:rPr>
        <w:t>. Nor does the fact that the treatise survives demonstrate that his methods were widely practi</w:t>
      </w:r>
      <w:r>
        <w:rPr>
          <w:rFonts w:ascii="Times New Roman" w:eastAsia="Times New Roman" w:hAnsi="Times New Roman" w:cs="Times New Roman"/>
          <w:color w:val="000000"/>
          <w:kern w:val="0"/>
          <w:lang w:eastAsia="en-GB"/>
          <w14:ligatures w14:val="none"/>
        </w:rPr>
        <w:t>s</w:t>
      </w:r>
      <w:r w:rsidRPr="00540D4B">
        <w:rPr>
          <w:rFonts w:ascii="Times New Roman" w:eastAsia="Times New Roman" w:hAnsi="Times New Roman" w:cs="Times New Roman"/>
          <w:color w:val="000000"/>
          <w:kern w:val="0"/>
          <w:lang w:eastAsia="en-GB"/>
          <w14:ligatures w14:val="none"/>
        </w:rPr>
        <w:t>ed or broadly accepted.</w:t>
      </w:r>
    </w:p>
    <w:p w14:paraId="368B6DD4" w14:textId="77777777" w:rsidR="00307857" w:rsidRPr="00540D4B" w:rsidRDefault="00307857" w:rsidP="00CF2FBD">
      <w:pPr>
        <w:spacing w:line="480" w:lineRule="auto"/>
        <w:rPr>
          <w:rFonts w:ascii="Times New Roman" w:eastAsia="Times New Roman" w:hAnsi="Times New Roman" w:cs="Times New Roman"/>
          <w:color w:val="000000"/>
          <w:kern w:val="0"/>
          <w:lang w:eastAsia="en-GB"/>
          <w14:ligatures w14:val="none"/>
        </w:rPr>
      </w:pPr>
    </w:p>
    <w:p w14:paraId="153C21AD" w14:textId="77777777" w:rsidR="00CF2FBD" w:rsidRPr="00CF2FBD" w:rsidRDefault="00540D4B" w:rsidP="00CF2FBD">
      <w:pPr>
        <w:spacing w:line="480" w:lineRule="auto"/>
        <w:rPr>
          <w:rFonts w:ascii="Times New Roman" w:eastAsia="Times New Roman" w:hAnsi="Times New Roman" w:cs="Times New Roman"/>
          <w:color w:val="000000"/>
          <w:kern w:val="0"/>
          <w:lang w:eastAsia="en-GB"/>
          <w14:ligatures w14:val="none"/>
        </w:rPr>
      </w:pPr>
      <w:r w:rsidRPr="00540D4B">
        <w:rPr>
          <w:rFonts w:ascii="Times New Roman" w:eastAsia="Times New Roman" w:hAnsi="Times New Roman" w:cs="Times New Roman"/>
          <w:color w:val="000000"/>
          <w:kern w:val="0"/>
          <w:lang w:eastAsia="en-GB"/>
          <w14:ligatures w14:val="none"/>
        </w:rPr>
        <w:t xml:space="preserve">Even with these constraints, </w:t>
      </w:r>
      <w:r w:rsidRPr="00540D4B">
        <w:rPr>
          <w:rFonts w:ascii="Times New Roman" w:eastAsia="Times New Roman" w:hAnsi="Times New Roman" w:cs="Times New Roman"/>
          <w:i/>
          <w:iCs/>
          <w:color w:val="000000"/>
          <w:kern w:val="0"/>
          <w:lang w:eastAsia="en-GB"/>
          <w14:ligatures w14:val="none"/>
        </w:rPr>
        <w:t>The Interpretation of</w:t>
      </w:r>
      <w:r w:rsidRPr="00540D4B">
        <w:rPr>
          <w:rFonts w:ascii="Times New Roman" w:eastAsia="Times New Roman" w:hAnsi="Times New Roman" w:cs="Times New Roman"/>
          <w:color w:val="000000"/>
          <w:kern w:val="0"/>
          <w:lang w:eastAsia="en-GB"/>
          <w14:ligatures w14:val="none"/>
        </w:rPr>
        <w:t xml:space="preserve"> </w:t>
      </w:r>
      <w:r w:rsidRPr="00F65860">
        <w:rPr>
          <w:rFonts w:ascii="Times New Roman" w:eastAsia="Times New Roman" w:hAnsi="Times New Roman" w:cs="Times New Roman"/>
          <w:i/>
          <w:iCs/>
          <w:color w:val="000000"/>
          <w:kern w:val="0"/>
          <w:lang w:eastAsia="en-GB"/>
          <w14:ligatures w14:val="none"/>
        </w:rPr>
        <w:t>Dreams</w:t>
      </w:r>
      <w:r w:rsidRPr="00540D4B">
        <w:rPr>
          <w:rFonts w:ascii="Times New Roman" w:eastAsia="Times New Roman" w:hAnsi="Times New Roman" w:cs="Times New Roman"/>
          <w:color w:val="000000"/>
          <w:kern w:val="0"/>
          <w:lang w:eastAsia="en-GB"/>
          <w14:ligatures w14:val="none"/>
        </w:rPr>
        <w:t xml:space="preserve"> remains central to scholarship on ancient dream interpretation. It provides a starting point for further inquiry into how dreams are related to everyday experience and to wider cultural beliefs</w:t>
      </w:r>
      <w:r w:rsidR="00F65860">
        <w:rPr>
          <w:rFonts w:ascii="Times New Roman" w:eastAsia="Times New Roman" w:hAnsi="Times New Roman" w:cs="Times New Roman"/>
          <w:color w:val="000000"/>
          <w:kern w:val="0"/>
          <w:lang w:eastAsia="en-GB"/>
          <w14:ligatures w14:val="none"/>
        </w:rPr>
        <w:t>.</w:t>
      </w:r>
      <w:r w:rsidR="00CF2FBD">
        <w:rPr>
          <w:rFonts w:ascii="Times New Roman" w:eastAsia="Times New Roman" w:hAnsi="Times New Roman" w:cs="Times New Roman"/>
          <w:color w:val="000000"/>
          <w:kern w:val="0"/>
          <w:lang w:eastAsia="en-GB"/>
          <w14:ligatures w14:val="none"/>
        </w:rPr>
        <w:t xml:space="preserve"> </w:t>
      </w:r>
      <w:r w:rsidR="00CF2FBD" w:rsidRPr="00CF2FBD">
        <w:rPr>
          <w:rFonts w:ascii="Times New Roman" w:eastAsia="Times New Roman" w:hAnsi="Times New Roman" w:cs="Times New Roman"/>
          <w:color w:val="000000"/>
          <w:kern w:val="0"/>
          <w:lang w:eastAsia="en-GB"/>
          <w14:ligatures w14:val="none"/>
        </w:rPr>
        <w:t>I have selected this text as the primary evidence for my project, as it forms the foundation of the scholarship I engage with and provides a unique perspective on ancient attitudes toward status, gender, and daily life.</w:t>
      </w:r>
    </w:p>
    <w:p w14:paraId="4AA35129" w14:textId="3EE4B81C" w:rsidR="00540D4B" w:rsidRDefault="00540D4B" w:rsidP="00307857">
      <w:pPr>
        <w:spacing w:line="480" w:lineRule="auto"/>
        <w:rPr>
          <w:rFonts w:ascii="Times New Roman" w:eastAsia="Times New Roman" w:hAnsi="Times New Roman" w:cs="Times New Roman"/>
          <w:color w:val="000000"/>
          <w:kern w:val="0"/>
          <w:lang w:eastAsia="en-GB"/>
          <w14:ligatures w14:val="none"/>
        </w:rPr>
      </w:pPr>
    </w:p>
    <w:p w14:paraId="2E9899F6" w14:textId="246C039C" w:rsidR="00AA4156" w:rsidRPr="00AA4156" w:rsidRDefault="009140B9" w:rsidP="00307857">
      <w:pPr>
        <w:spacing w:line="480" w:lineRule="auto"/>
        <w:rPr>
          <w:rFonts w:ascii="Times New Roman" w:eastAsia="Times New Roman" w:hAnsi="Times New Roman" w:cs="Times New Roman"/>
          <w:color w:val="000000"/>
          <w:kern w:val="0"/>
          <w:lang w:eastAsia="en-GB"/>
          <w14:ligatures w14:val="none"/>
        </w:rPr>
      </w:pPr>
      <w:r>
        <w:rPr>
          <w:rFonts w:ascii="Times New Roman" w:hAnsi="Times New Roman" w:cs="Times New Roman"/>
        </w:rPr>
        <w:lastRenderedPageBreak/>
        <w:t xml:space="preserve">Peter </w:t>
      </w:r>
      <w:r w:rsidR="00AA4156" w:rsidRPr="00AA4156">
        <w:rPr>
          <w:rFonts w:ascii="Times New Roman" w:hAnsi="Times New Roman" w:cs="Times New Roman"/>
        </w:rPr>
        <w:t xml:space="preserve">Thonemann, </w:t>
      </w:r>
      <w:r w:rsidR="00AA4156" w:rsidRPr="00AA4156">
        <w:rPr>
          <w:rFonts w:ascii="Times New Roman" w:hAnsi="Times New Roman" w:cs="Times New Roman"/>
          <w:i/>
          <w:iCs/>
        </w:rPr>
        <w:t>An Ancient Dream Manual: Artemidorus’ The Interpretation of Dreams</w:t>
      </w:r>
      <w:r w:rsidR="00AA4156" w:rsidRPr="00AA4156">
        <w:rPr>
          <w:rFonts w:ascii="Times New Roman" w:hAnsi="Times New Roman" w:cs="Times New Roman"/>
        </w:rPr>
        <w:t xml:space="preserve"> (Oxford: Oxford University Press, 2020)</w:t>
      </w:r>
    </w:p>
    <w:p w14:paraId="528323F4" w14:textId="77777777" w:rsidR="006A75F0" w:rsidRDefault="006A75F0" w:rsidP="006A75F0">
      <w:pPr>
        <w:pStyle w:val="NormalWeb"/>
        <w:spacing w:line="480" w:lineRule="auto"/>
        <w:rPr>
          <w:color w:val="000000"/>
        </w:rPr>
      </w:pPr>
      <w:r>
        <w:rPr>
          <w:color w:val="000000"/>
        </w:rPr>
        <w:t>Published as a companion to Martin Hammond’s Oxford World’s Classics translation, Thonemann’s book is a thematic guide to the</w:t>
      </w:r>
      <w:r>
        <w:rPr>
          <w:rStyle w:val="apple-converted-space"/>
          <w:color w:val="000000"/>
        </w:rPr>
        <w:t> </w:t>
      </w:r>
      <w:proofErr w:type="spellStart"/>
      <w:r>
        <w:rPr>
          <w:rStyle w:val="Emphasis"/>
          <w:color w:val="000000"/>
        </w:rPr>
        <w:t>Oneirokritika</w:t>
      </w:r>
      <w:proofErr w:type="spellEnd"/>
      <w:r>
        <w:rPr>
          <w:rStyle w:val="apple-converted-space"/>
          <w:color w:val="000000"/>
        </w:rPr>
        <w:t> </w:t>
      </w:r>
      <w:r>
        <w:rPr>
          <w:color w:val="000000"/>
        </w:rPr>
        <w:t xml:space="preserve">for non-specialist readers. It opens with chapters on Artemidorus’ life and career and on his method of interpretation. It then examines what the text reveals about the body, sexuality and gender, the natural world, the gods, festivals, civic life, literary culture and social status, and closes with an epilogue on the work’s reception after antiquity. </w:t>
      </w:r>
      <w:proofErr w:type="spellStart"/>
      <w:r>
        <w:rPr>
          <w:color w:val="000000"/>
        </w:rPr>
        <w:t>Thonemann</w:t>
      </w:r>
      <w:proofErr w:type="spellEnd"/>
      <w:r>
        <w:rPr>
          <w:color w:val="000000"/>
        </w:rPr>
        <w:t xml:space="preserve"> writes as a social and cultural historian. He dates the work to around AD 200 and treats its interpretations as evidence for the values and concerns of Greek cities in Roman Asia Minor.</w:t>
      </w:r>
    </w:p>
    <w:p w14:paraId="0C073530" w14:textId="77777777" w:rsidR="006A75F0" w:rsidRDefault="006A75F0" w:rsidP="006A75F0">
      <w:pPr>
        <w:pStyle w:val="NormalWeb"/>
        <w:spacing w:line="480" w:lineRule="auto"/>
        <w:rPr>
          <w:color w:val="000000"/>
        </w:rPr>
      </w:pPr>
      <w:r>
        <w:rPr>
          <w:color w:val="000000"/>
        </w:rPr>
        <w:t xml:space="preserve">The book’s main strength is that it combines close knowledge of the text with a clear historical framework, and its thematic organisation makes a vast and loosely ordered text manageable. Because it was written alongside Hammond’s translation, its references can be followed directly in the edition I use. Its limitation is that, as an introductory companion, it gives less space to detailed scholarly debate, so it needs to be read alongside more </w:t>
      </w:r>
      <w:proofErr w:type="gramStart"/>
      <w:r>
        <w:rPr>
          <w:color w:val="000000"/>
        </w:rPr>
        <w:t>specialist</w:t>
      </w:r>
      <w:proofErr w:type="gramEnd"/>
      <w:r>
        <w:rPr>
          <w:color w:val="000000"/>
        </w:rPr>
        <w:t xml:space="preserve"> work such as Hall’s.</w:t>
      </w:r>
    </w:p>
    <w:p w14:paraId="0B903B59" w14:textId="77777777" w:rsidR="006A75F0" w:rsidRDefault="006A75F0" w:rsidP="006A75F0">
      <w:pPr>
        <w:pStyle w:val="NormalWeb"/>
        <w:spacing w:line="480" w:lineRule="auto"/>
        <w:rPr>
          <w:color w:val="000000"/>
        </w:rPr>
      </w:pPr>
      <w:r>
        <w:rPr>
          <w:color w:val="000000"/>
        </w:rPr>
        <w:t>This book is central to my project. Its chapters on ‘Status and Values’ and ‘Sexuality and Gender’ underpin my argument that a dream’s meaning is determined by the dreamer’s social identity. Its account of Artemidorus’ method informs my discussion of his claim to empirical knowledge. It also represents the social-historical approach with which I align myself.</w:t>
      </w:r>
    </w:p>
    <w:p w14:paraId="14A9C4D7" w14:textId="77777777" w:rsidR="00B91127" w:rsidRDefault="00B91127" w:rsidP="006A75F0">
      <w:pPr>
        <w:pStyle w:val="NormalWeb"/>
        <w:spacing w:line="480" w:lineRule="auto"/>
        <w:rPr>
          <w:color w:val="000000"/>
        </w:rPr>
      </w:pPr>
    </w:p>
    <w:p w14:paraId="3A62FCAD" w14:textId="7520C4A5" w:rsidR="00B91127" w:rsidRDefault="008B56D1" w:rsidP="00B91127">
      <w:pPr>
        <w:spacing w:after="120" w:line="480" w:lineRule="auto"/>
        <w:rPr>
          <w:rFonts w:ascii="Times New Roman" w:hAnsi="Times New Roman" w:cs="Times New Roman"/>
        </w:rPr>
      </w:pPr>
      <w:r>
        <w:rPr>
          <w:rFonts w:ascii="Times New Roman" w:hAnsi="Times New Roman" w:cs="Times New Roman"/>
        </w:rPr>
        <w:t xml:space="preserve">Claire </w:t>
      </w:r>
      <w:r w:rsidR="00B91127" w:rsidRPr="00B91127">
        <w:rPr>
          <w:rFonts w:ascii="Times New Roman" w:hAnsi="Times New Roman" w:cs="Times New Roman"/>
        </w:rPr>
        <w:t>Hall, ‘Artemidorus, Dream Exegesis, and the Case of the Interpolating Expert Dreamer’, Mnemosyne, 76.6 (2023), pp. 1000–25, doi:10.1163/1568525x-12347333</w:t>
      </w:r>
    </w:p>
    <w:p w14:paraId="6D4DCA0B" w14:textId="77777777" w:rsidR="00E37C19" w:rsidRDefault="00E37C19" w:rsidP="00E37C19">
      <w:pPr>
        <w:pStyle w:val="NormalWeb"/>
        <w:spacing w:line="480" w:lineRule="auto"/>
        <w:rPr>
          <w:color w:val="000000"/>
        </w:rPr>
      </w:pPr>
      <w:r>
        <w:rPr>
          <w:color w:val="000000"/>
        </w:rPr>
        <w:lastRenderedPageBreak/>
        <w:t xml:space="preserve">Hall argues that Artemidorus implicitly treats every dream as a combination of an external element, which can predict the future, and an internal element shaped by the dreamer’s profession, customs, relationships and habits of thought. The interpreter’s task is to identify and set aside the internal element </w:t>
      </w:r>
      <w:proofErr w:type="gramStart"/>
      <w:r>
        <w:rPr>
          <w:color w:val="000000"/>
        </w:rPr>
        <w:t>in order to</w:t>
      </w:r>
      <w:proofErr w:type="gramEnd"/>
      <w:r>
        <w:rPr>
          <w:color w:val="000000"/>
        </w:rPr>
        <w:t xml:space="preserve"> reach the predictive content. Her starting point is a passage in the preface to Book 4. There, Artemidorus explains that a Corinthian painter’s unfulfilled dreams of his master’s death were products of his own skill with symbols, not genuine predictions. Hall compares this with Jewish and Christian writers, especially Origen, who explained failed prophecies as human additions to divine messages.</w:t>
      </w:r>
    </w:p>
    <w:p w14:paraId="5C4D0473" w14:textId="77777777" w:rsidR="00E37C19" w:rsidRDefault="00E37C19" w:rsidP="00E37C19">
      <w:pPr>
        <w:pStyle w:val="NormalWeb"/>
        <w:spacing w:line="480" w:lineRule="auto"/>
        <w:rPr>
          <w:color w:val="000000"/>
        </w:rPr>
      </w:pPr>
      <w:r>
        <w:rPr>
          <w:color w:val="000000"/>
        </w:rPr>
        <w:t>The article’s strength is its close reading of a passage usually dismissed as a curiosity, and its original comparison with early Christian thought. Its limitation is that the two-part model is Hall’s reconstruction, since Artemidorus never states it directly. Her conclusion is also more favourable to Artemidorus than the evidence strictly requires.</w:t>
      </w:r>
    </w:p>
    <w:p w14:paraId="54CD344E" w14:textId="6F0BAEF1" w:rsidR="00646D92" w:rsidRPr="00646D92" w:rsidRDefault="00E37C19" w:rsidP="00E37C19">
      <w:pPr>
        <w:pStyle w:val="NormalWeb"/>
        <w:spacing w:line="480" w:lineRule="auto"/>
        <w:rPr>
          <w:color w:val="000000"/>
        </w:rPr>
      </w:pPr>
      <w:r>
        <w:rPr>
          <w:color w:val="000000"/>
        </w:rPr>
        <w:t>This article is central to my discussion of the reliability of Artemidorus’ reported cases. Hall presents his reclassification of unfulfilled dreams as hermeneutic sophistication, but her evidence also shows that his system could explain away failed predictions instead of counting them against itself. Her reading of his warning about poor interpreters, whose mistaken readings accumulate over time, also supports my argument that his empirical method was vulnerable to confirmation bias.</w:t>
      </w:r>
      <w:r w:rsidR="00646D92">
        <w:rPr>
          <w:color w:val="000000"/>
        </w:rPr>
        <w:t xml:space="preserve"> </w:t>
      </w:r>
      <w:r w:rsidR="00646D92" w:rsidRPr="00646D92">
        <w:rPr>
          <w:color w:val="000000"/>
        </w:rPr>
        <w:t xml:space="preserve">Reading Hall </w:t>
      </w:r>
      <w:r w:rsidR="008359D7">
        <w:rPr>
          <w:color w:val="000000"/>
        </w:rPr>
        <w:t xml:space="preserve">has </w:t>
      </w:r>
      <w:r w:rsidR="00646D92" w:rsidRPr="00646D92">
        <w:rPr>
          <w:color w:val="000000"/>
        </w:rPr>
        <w:t>changed my approach: rather than dismissing Artemidorus’ cases as simply unverifiable, I now examine how his classification system itself shaped which outcomes counted as successes.</w:t>
      </w:r>
    </w:p>
    <w:p w14:paraId="61E4285C" w14:textId="77777777" w:rsidR="002A096A" w:rsidRPr="002A096A" w:rsidRDefault="002A096A" w:rsidP="00B91127">
      <w:pPr>
        <w:spacing w:after="120" w:line="480" w:lineRule="auto"/>
        <w:rPr>
          <w:rFonts w:ascii="Times New Roman" w:hAnsi="Times New Roman" w:cs="Times New Roman"/>
        </w:rPr>
      </w:pPr>
    </w:p>
    <w:p w14:paraId="56D48793" w14:textId="1FE777C8" w:rsidR="002A096A" w:rsidRDefault="002A096A" w:rsidP="00B91127">
      <w:pPr>
        <w:spacing w:after="120" w:line="480" w:lineRule="auto"/>
        <w:rPr>
          <w:rFonts w:ascii="Times New Roman" w:hAnsi="Times New Roman" w:cs="Times New Roman"/>
        </w:rPr>
      </w:pPr>
      <w:r>
        <w:rPr>
          <w:rFonts w:ascii="Times New Roman" w:hAnsi="Times New Roman" w:cs="Times New Roman"/>
        </w:rPr>
        <w:t xml:space="preserve">Janet </w:t>
      </w:r>
      <w:r w:rsidRPr="002A096A">
        <w:rPr>
          <w:rFonts w:ascii="Times New Roman" w:hAnsi="Times New Roman" w:cs="Times New Roman"/>
        </w:rPr>
        <w:t xml:space="preserve">Downie, ‘Dream Description and Dream Hermeneutics’, in </w:t>
      </w:r>
      <w:r w:rsidRPr="00BC27B6">
        <w:rPr>
          <w:rFonts w:ascii="Times New Roman" w:hAnsi="Times New Roman" w:cs="Times New Roman"/>
          <w:i/>
          <w:iCs/>
        </w:rPr>
        <w:t xml:space="preserve">At the Limits of Art: A Literary Study of Aelius Aristides’ </w:t>
      </w:r>
      <w:proofErr w:type="spellStart"/>
      <w:r w:rsidRPr="00BC27B6">
        <w:rPr>
          <w:rFonts w:ascii="Times New Roman" w:hAnsi="Times New Roman" w:cs="Times New Roman"/>
          <w:i/>
          <w:iCs/>
        </w:rPr>
        <w:t>Hieroi</w:t>
      </w:r>
      <w:proofErr w:type="spellEnd"/>
      <w:r w:rsidRPr="00BC27B6">
        <w:rPr>
          <w:rFonts w:ascii="Times New Roman" w:hAnsi="Times New Roman" w:cs="Times New Roman"/>
          <w:i/>
          <w:iCs/>
        </w:rPr>
        <w:t xml:space="preserve"> Logoi</w:t>
      </w:r>
      <w:r w:rsidRPr="002A096A">
        <w:rPr>
          <w:rFonts w:ascii="Times New Roman" w:hAnsi="Times New Roman" w:cs="Times New Roman"/>
        </w:rPr>
        <w:t xml:space="preserve"> (Oxford: Oxford University Press, 2013)</w:t>
      </w:r>
    </w:p>
    <w:p w14:paraId="56041CC5" w14:textId="5C9ECE7D" w:rsidR="00F7498C" w:rsidRDefault="004D3510" w:rsidP="004D3510">
      <w:pPr>
        <w:pStyle w:val="NormalWeb"/>
        <w:spacing w:line="480" w:lineRule="auto"/>
        <w:rPr>
          <w:color w:val="000000"/>
        </w:rPr>
      </w:pPr>
      <w:r>
        <w:rPr>
          <w:color w:val="000000"/>
        </w:rPr>
        <w:lastRenderedPageBreak/>
        <w:t>Downie’s book reads Aelius Aristides’</w:t>
      </w:r>
      <w:r>
        <w:rPr>
          <w:rStyle w:val="apple-converted-space"/>
          <w:color w:val="000000"/>
        </w:rPr>
        <w:t> </w:t>
      </w:r>
      <w:proofErr w:type="spellStart"/>
      <w:r>
        <w:rPr>
          <w:rStyle w:val="Emphasis"/>
          <w:color w:val="000000"/>
        </w:rPr>
        <w:t>Hieroi</w:t>
      </w:r>
      <w:proofErr w:type="spellEnd"/>
      <w:r>
        <w:rPr>
          <w:rStyle w:val="Emphasis"/>
          <w:color w:val="000000"/>
        </w:rPr>
        <w:t xml:space="preserve"> Logoi</w:t>
      </w:r>
      <w:r>
        <w:rPr>
          <w:rStyle w:val="apple-converted-space"/>
          <w:color w:val="000000"/>
        </w:rPr>
        <w:t> </w:t>
      </w:r>
      <w:r>
        <w:rPr>
          <w:color w:val="000000"/>
        </w:rPr>
        <w:t>(</w:t>
      </w:r>
      <w:r>
        <w:rPr>
          <w:rStyle w:val="Emphasis"/>
          <w:color w:val="000000"/>
        </w:rPr>
        <w:t>Sacred Tales</w:t>
      </w:r>
      <w:r>
        <w:rPr>
          <w:color w:val="000000"/>
        </w:rPr>
        <w:t>) as a carefully crafted work of literature, not a raw record of illness and religious experience. She argues that Aristides used his account of his dreams from the healing god Asclepius to fashion an identity for himself in the competitive culture of the Antonine elite. In this section she looks at how Aristides describes his dreams and how he interprets them. She argues that his language is a deliberate response to the problem of putting a dream into words, and that it sets his accounts apart from other literary and votive dream narratives. Her discussion draws on wider evidence for ancient dreaming, including incubation in the cult of Asclepius, medical uses of dreams and inscriptions.</w:t>
      </w:r>
    </w:p>
    <w:p w14:paraId="3BFB49C2" w14:textId="53646EFF" w:rsidR="00F7498C" w:rsidRDefault="004D3510" w:rsidP="004D3510">
      <w:pPr>
        <w:pStyle w:val="NormalWeb"/>
        <w:spacing w:line="480" w:lineRule="auto"/>
        <w:rPr>
          <w:color w:val="000000"/>
        </w:rPr>
      </w:pPr>
      <w:r>
        <w:rPr>
          <w:color w:val="000000"/>
        </w:rPr>
        <w:t>The chapter’s strength is that it treats dream narratives as written texts shaped by an author’s purposes, so it doesn’t accept them as transparent reports. Its limitation for my project is that its subject is Aristides, not Artemidorus. Artemidorus is a professional interpreting other people’s dreams for clients, while Aristides is a patient recording his own dreams as personal messages from a god, so I can’t transfer Downie’s conclusions directly.</w:t>
      </w:r>
    </w:p>
    <w:p w14:paraId="3F544387" w14:textId="77777777" w:rsidR="004D3510" w:rsidRDefault="004D3510" w:rsidP="004D3510">
      <w:pPr>
        <w:pStyle w:val="NormalWeb"/>
        <w:spacing w:line="480" w:lineRule="auto"/>
        <w:rPr>
          <w:color w:val="000000"/>
        </w:rPr>
      </w:pPr>
      <w:r>
        <w:rPr>
          <w:color w:val="000000"/>
        </w:rPr>
        <w:t>Downie is useful to my project in two ways. Methodologically, her literary approach supports my decision to read Artemidorus as an author with his own voice and purposes rather than only as a source of social data. That matters most for the cases of Book 5, which he selected and presented to support his method. Comparatively, Aristides gives me a contemporary contrast: a devout dreamer who interprets for himself. Setting the two side by side shows how distinctive Artemidorus’ professional, rule-based approach was. Reading Downie made me pay closer attention to how Artemidorus tells his anecdotes, not just to what they claim.</w:t>
      </w:r>
    </w:p>
    <w:p w14:paraId="5F0F0C66" w14:textId="77777777" w:rsidR="004D3510" w:rsidRDefault="004D3510" w:rsidP="00B91127">
      <w:pPr>
        <w:spacing w:after="120" w:line="480" w:lineRule="auto"/>
        <w:rPr>
          <w:rFonts w:ascii="Times New Roman" w:hAnsi="Times New Roman" w:cs="Times New Roman"/>
        </w:rPr>
      </w:pPr>
    </w:p>
    <w:p w14:paraId="44A68AFF" w14:textId="66D342CB" w:rsidR="00EF6680" w:rsidRPr="00EF6680" w:rsidRDefault="000E3B95" w:rsidP="00EF6680">
      <w:pPr>
        <w:spacing w:after="120" w:line="480" w:lineRule="auto"/>
        <w:rPr>
          <w:rFonts w:ascii="Times New Roman" w:hAnsi="Times New Roman" w:cs="Times New Roman"/>
        </w:rPr>
      </w:pPr>
      <w:r>
        <w:rPr>
          <w:rFonts w:ascii="Times New Roman" w:hAnsi="Times New Roman" w:cs="Times New Roman"/>
        </w:rPr>
        <w:t>Michel</w:t>
      </w:r>
      <w:r w:rsidR="00D405F1">
        <w:rPr>
          <w:rFonts w:ascii="Times New Roman" w:hAnsi="Times New Roman" w:cs="Times New Roman"/>
        </w:rPr>
        <w:t xml:space="preserve"> </w:t>
      </w:r>
      <w:r w:rsidR="00EF6680" w:rsidRPr="00EF6680">
        <w:rPr>
          <w:rFonts w:ascii="Times New Roman" w:hAnsi="Times New Roman" w:cs="Times New Roman"/>
        </w:rPr>
        <w:t>Foucault, The History of Sexuality, Volume 3: The Care of the Self, trans. by Robert Hurley (New York: Pantheon, 1986)</w:t>
      </w:r>
    </w:p>
    <w:p w14:paraId="47C28DA7" w14:textId="675B6C5B" w:rsidR="00513B92" w:rsidRDefault="00513B92" w:rsidP="006E6B2C">
      <w:pPr>
        <w:pStyle w:val="NormalWeb"/>
        <w:spacing w:line="480" w:lineRule="auto"/>
        <w:rPr>
          <w:color w:val="000000"/>
        </w:rPr>
      </w:pPr>
      <w:r>
        <w:rPr>
          <w:color w:val="000000"/>
        </w:rPr>
        <w:lastRenderedPageBreak/>
        <w:t>The third volume of Foucault’s</w:t>
      </w:r>
      <w:r>
        <w:rPr>
          <w:rStyle w:val="apple-converted-space"/>
          <w:color w:val="000000"/>
        </w:rPr>
        <w:t> </w:t>
      </w:r>
      <w:r>
        <w:rPr>
          <w:rStyle w:val="Emphasis"/>
          <w:color w:val="000000"/>
        </w:rPr>
        <w:t>History of Sexuality</w:t>
      </w:r>
      <w:r>
        <w:rPr>
          <w:rStyle w:val="apple-converted-space"/>
          <w:color w:val="000000"/>
        </w:rPr>
        <w:t> </w:t>
      </w:r>
      <w:r>
        <w:rPr>
          <w:color w:val="000000"/>
        </w:rPr>
        <w:t>examines how Greek and Roman writers of the first two centuries CE thought about sexual conduct. Foucault argues that this period did not introduce new prohibitions. Instead</w:t>
      </w:r>
      <w:r w:rsidR="00DE082D">
        <w:rPr>
          <w:color w:val="000000"/>
        </w:rPr>
        <w:t>,</w:t>
      </w:r>
      <w:r>
        <w:rPr>
          <w:color w:val="000000"/>
        </w:rPr>
        <w:t xml:space="preserve"> it intensified the ‘care of the self’, a concern with self-mastery, health, marriage and moderation found in philosophers and doctors such as Musonius Rufus, Plutarch and Galen. The volume opens with a chapter on Artemidorus, ‘Dreaming of One’s Pleasures’, which is the most relevant part for my project.</w:t>
      </w:r>
    </w:p>
    <w:p w14:paraId="0DC10CFF" w14:textId="77777777" w:rsidR="00513B92" w:rsidRDefault="00513B92" w:rsidP="006E6B2C">
      <w:pPr>
        <w:pStyle w:val="NormalWeb"/>
        <w:spacing w:line="480" w:lineRule="auto"/>
        <w:rPr>
          <w:color w:val="000000"/>
        </w:rPr>
      </w:pPr>
      <w:r>
        <w:rPr>
          <w:color w:val="000000"/>
        </w:rPr>
        <w:t>Foucault chooses Artemidorus because the</w:t>
      </w:r>
      <w:r>
        <w:rPr>
          <w:rStyle w:val="apple-converted-space"/>
          <w:color w:val="000000"/>
        </w:rPr>
        <w:t> </w:t>
      </w:r>
      <w:proofErr w:type="spellStart"/>
      <w:r>
        <w:rPr>
          <w:rStyle w:val="Emphasis"/>
          <w:color w:val="000000"/>
        </w:rPr>
        <w:t>Oneirokritika</w:t>
      </w:r>
      <w:proofErr w:type="spellEnd"/>
      <w:r>
        <w:rPr>
          <w:rStyle w:val="apple-converted-space"/>
          <w:color w:val="000000"/>
        </w:rPr>
        <w:t> </w:t>
      </w:r>
      <w:r>
        <w:rPr>
          <w:color w:val="000000"/>
        </w:rPr>
        <w:t>is not a work of moral philosophy. He treats it as evidence for the ordinary attitudes of its time rather than the ideals of an intellectual elite. Analysing the sexual dreams, he argues that Artemidorus judges a sexual act not by the act itself but by the social relationship it expresses: the status of the partners, and whether the dreamer takes an active or passive role. A sexual dream therefore signifies the dreamer’s future in the social world, in wealth, rank, household and reputation. Foucault describes this as a close correspondence between sexual relations and social relations, in which the dominant, penetrating role matched superior social standing.</w:t>
      </w:r>
    </w:p>
    <w:p w14:paraId="421C577F" w14:textId="1F022D1A" w:rsidR="00513B92" w:rsidRDefault="00513B92" w:rsidP="006E6B2C">
      <w:pPr>
        <w:pStyle w:val="NormalWeb"/>
        <w:spacing w:line="480" w:lineRule="auto"/>
        <w:rPr>
          <w:color w:val="000000"/>
        </w:rPr>
      </w:pPr>
      <w:r>
        <w:rPr>
          <w:color w:val="000000"/>
        </w:rPr>
        <w:t>The work’s strength is its influence. It brought Artemidorus into the centre of debates about ancient sexuality and set the terms for later scholarship, including Winkler’s</w:t>
      </w:r>
      <w:r>
        <w:rPr>
          <w:rStyle w:val="apple-converted-space"/>
          <w:color w:val="000000"/>
        </w:rPr>
        <w:t> </w:t>
      </w:r>
      <w:r>
        <w:rPr>
          <w:rStyle w:val="Emphasis"/>
          <w:color w:val="000000"/>
        </w:rPr>
        <w:t>The Constraints of Desire</w:t>
      </w:r>
      <w:r>
        <w:rPr>
          <w:color w:val="000000"/>
        </w:rPr>
        <w:t>. Its insight that sexual dreams concern social position rather than hidden desire also fits Artemidorus’ focus on prediction rather than psychology. However, Foucault’s approach has been widely criticised. He treats a technical manual by a single professional as a direct window onto a whole culture’s ethics, without fully considering how Artemidorus selected and organised his material. His evidence comes overwhelmingly from elite male writers, so women’s perspectives are largely absent. In addition, Artemidorus’ categories of acts ‘according to custom’, ‘contrary to custom’ and ‘contrary to nature’ are predictive classifications, and reading them as a moral code may overstate what the text can show.</w:t>
      </w:r>
    </w:p>
    <w:p w14:paraId="54557A34" w14:textId="77777777" w:rsidR="00513B92" w:rsidRDefault="00513B92" w:rsidP="006E6B2C">
      <w:pPr>
        <w:pStyle w:val="NormalWeb"/>
        <w:spacing w:line="480" w:lineRule="auto"/>
        <w:rPr>
          <w:color w:val="000000"/>
        </w:rPr>
      </w:pPr>
      <w:r>
        <w:rPr>
          <w:color w:val="000000"/>
        </w:rPr>
        <w:lastRenderedPageBreak/>
        <w:t xml:space="preserve">This book is essential to the controversies section of my project. Foucault’s reading is the main position against which I define my own argument. I accept his central point that, for Artemidorus, the meaning of a sexual dream depends on the dreamer’s social identity, which supports my wider argument about the contextual method. But I argue that these passages reveal Artemidorus’ own interpretive system as much as shared belief, so they cannot be used as straightforward evidence for ancient sexual norms. Reading Foucault alongside </w:t>
      </w:r>
      <w:proofErr w:type="spellStart"/>
      <w:r>
        <w:rPr>
          <w:color w:val="000000"/>
        </w:rPr>
        <w:t>Thonemann</w:t>
      </w:r>
      <w:proofErr w:type="spellEnd"/>
      <w:r>
        <w:rPr>
          <w:color w:val="000000"/>
        </w:rPr>
        <w:t xml:space="preserve"> and Hall has made me more careful to distinguish between what Artemidorus records and what he constructs.</w:t>
      </w:r>
    </w:p>
    <w:p w14:paraId="5A53996C" w14:textId="533EECCA" w:rsidR="002B44B5" w:rsidRDefault="002B44B5" w:rsidP="002B44B5">
      <w:pPr>
        <w:spacing w:after="120"/>
        <w:ind w:left="720" w:hanging="720"/>
        <w:rPr>
          <w:rFonts w:ascii="Times New Roman" w:hAnsi="Times New Roman" w:cs="Times New Roman"/>
        </w:rPr>
      </w:pPr>
      <w:r w:rsidRPr="002B44B5">
        <w:rPr>
          <w:rFonts w:ascii="Times New Roman" w:hAnsi="Times New Roman" w:cs="Times New Roman"/>
        </w:rPr>
        <w:t>John J</w:t>
      </w:r>
      <w:r w:rsidRPr="002B44B5">
        <w:rPr>
          <w:rFonts w:ascii="Times New Roman" w:hAnsi="Times New Roman" w:cs="Times New Roman"/>
        </w:rPr>
        <w:t xml:space="preserve"> </w:t>
      </w:r>
      <w:r w:rsidRPr="002B44B5">
        <w:rPr>
          <w:rFonts w:ascii="Times New Roman" w:hAnsi="Times New Roman" w:cs="Times New Roman"/>
        </w:rPr>
        <w:t xml:space="preserve">Winkler, The Constraints of Desire (New York: Routledge, 1990) </w:t>
      </w:r>
    </w:p>
    <w:p w14:paraId="791BF15F" w14:textId="77777777" w:rsidR="002B44B5" w:rsidRDefault="002B44B5" w:rsidP="002B44B5">
      <w:pPr>
        <w:spacing w:after="120"/>
        <w:ind w:left="720" w:hanging="720"/>
        <w:rPr>
          <w:rFonts w:ascii="Times New Roman" w:hAnsi="Times New Roman" w:cs="Times New Roman"/>
        </w:rPr>
      </w:pPr>
    </w:p>
    <w:p w14:paraId="543D1C4A" w14:textId="77777777" w:rsidR="00013D35" w:rsidRDefault="00013D35" w:rsidP="00013D35">
      <w:pPr>
        <w:pStyle w:val="NormalWeb"/>
        <w:spacing w:line="480" w:lineRule="auto"/>
        <w:rPr>
          <w:color w:val="000000"/>
        </w:rPr>
      </w:pPr>
      <w:r>
        <w:rPr>
          <w:color w:val="000000"/>
        </w:rPr>
        <w:t xml:space="preserve">Winkler’s book is a collection of studies on sex and gender in Greek culture, written from an anthropological perspective. Drawing on comparative work on Mediterranean societies, he argues that ancient sexual behaviour was governed by public ‘protocols’: shared expectations about who could do what to whom, enforced through reputation and social pressure. A central theme is the gap between these public norms and what people </w:t>
      </w:r>
      <w:proofErr w:type="gramStart"/>
      <w:r>
        <w:rPr>
          <w:color w:val="000000"/>
        </w:rPr>
        <w:t>actually did</w:t>
      </w:r>
      <w:proofErr w:type="gramEnd"/>
      <w:r>
        <w:rPr>
          <w:color w:val="000000"/>
        </w:rPr>
        <w:t xml:space="preserve"> and felt. Winkler also insists that subordinated groups, especially women, had perspectives of their own, which he recovers in chapters on Sappho, Penelope and the women’s festival of the Adonia.</w:t>
      </w:r>
    </w:p>
    <w:p w14:paraId="477323EA" w14:textId="77777777" w:rsidR="00013D35" w:rsidRDefault="00013D35" w:rsidP="00013D35">
      <w:pPr>
        <w:pStyle w:val="NormalWeb"/>
        <w:spacing w:line="480" w:lineRule="auto"/>
        <w:rPr>
          <w:color w:val="000000"/>
        </w:rPr>
      </w:pPr>
      <w:r>
        <w:rPr>
          <w:color w:val="000000"/>
        </w:rPr>
        <w:t xml:space="preserve">The opening chapter, ‘Unnatural Acts: Erotic Protocols in Artemidoros’ Dream Analysis’, is the most relevant to my project. Winkler reads the sexual dreams as evidence for the cultural code that structured sexual life in the Roman East. Like Foucault, he argues that a sexual act’s meaning depended on the status of the partners and on the active or passive role, so that sexual relations mirrored social hierarchy. He pays close attention to Artemidorus’ categories of acts ‘according to custom’, ‘contrary to custom’ and ‘contrary to nature’, treating them as a map of what was socially acceptable. He also suggests that many of the allegorical dreams </w:t>
      </w:r>
      <w:r>
        <w:rPr>
          <w:color w:val="000000"/>
        </w:rPr>
        <w:lastRenderedPageBreak/>
        <w:t>Artemidorus decoded turned out to be symbolic expressions of the dreamer’s current anxieties, which would cast doubt on his whole classification of dreams.</w:t>
      </w:r>
    </w:p>
    <w:p w14:paraId="2735AA77" w14:textId="77777777" w:rsidR="00013D35" w:rsidRDefault="00013D35" w:rsidP="00013D35">
      <w:pPr>
        <w:pStyle w:val="NormalWeb"/>
        <w:spacing w:line="480" w:lineRule="auto"/>
        <w:rPr>
          <w:color w:val="000000"/>
        </w:rPr>
      </w:pPr>
      <w:r>
        <w:rPr>
          <w:color w:val="000000"/>
        </w:rPr>
        <w:t>The book’s strength is its anthropological framework. It treats Artemidorus as evidence for a social system rather than a moral philosophy, and it is more alert than Foucault to the difference between norms and practice and to women’s experience. Its weakness for my purposes is that, like Foucault, Winkler reads a single professional’s interpretations as a reliable record of shared cultural rules, giving less weight to how Artemidorus selected and organised his material. His claim about allegorical dreams has also been challenged. Claire Hall points out that Artemidorus explicitly says only a few dreamers would bring such dreams to his son.</w:t>
      </w:r>
    </w:p>
    <w:p w14:paraId="50D964A1" w14:textId="77777777" w:rsidR="00013D35" w:rsidRDefault="00013D35" w:rsidP="00013D35">
      <w:pPr>
        <w:pStyle w:val="NormalWeb"/>
        <w:spacing w:line="480" w:lineRule="auto"/>
        <w:rPr>
          <w:color w:val="000000"/>
        </w:rPr>
      </w:pPr>
      <w:r>
        <w:rPr>
          <w:color w:val="000000"/>
        </w:rPr>
        <w:t>This book is central to the controversies section of my project. With Foucault, Winkler represents the position that Artemidorus offers a direct window onto ancient sexual norms, which I approach more cautiously. His focus on social hierarchy supports my argument that status and gender determine a dream’s meaning. But his reading of Artemidorus’ categories as a cultural map raises the question my project asks: whether Artemidorus records shared attitudes or imposes his own system. Winkler’s own emphasis on the gap between public norms and private life gives me a way to make that argument, since it suggests the protocols Artemidorus records may describe what was expected rather than what was believed or practised. Reading him has made me more careful to treat Artemidorus’ categories as one interpreter’s construction.</w:t>
      </w:r>
    </w:p>
    <w:p w14:paraId="0309634E" w14:textId="77777777" w:rsidR="002B44B5" w:rsidRPr="002B44B5" w:rsidRDefault="002B44B5" w:rsidP="002B44B5">
      <w:pPr>
        <w:spacing w:after="120"/>
        <w:ind w:left="720" w:hanging="720"/>
        <w:rPr>
          <w:rFonts w:ascii="Times New Roman" w:hAnsi="Times New Roman" w:cs="Times New Roman"/>
        </w:rPr>
      </w:pPr>
    </w:p>
    <w:p w14:paraId="4FF6A862" w14:textId="77777777" w:rsidR="00EF6680" w:rsidRDefault="00EF6680" w:rsidP="00B91127">
      <w:pPr>
        <w:spacing w:after="120" w:line="480" w:lineRule="auto"/>
        <w:rPr>
          <w:rFonts w:ascii="Times New Roman" w:hAnsi="Times New Roman" w:cs="Times New Roman"/>
        </w:rPr>
      </w:pPr>
    </w:p>
    <w:p w14:paraId="124AAD5C" w14:textId="77777777" w:rsidR="000746FC" w:rsidRPr="002A096A" w:rsidRDefault="000746FC" w:rsidP="00B91127">
      <w:pPr>
        <w:spacing w:after="120" w:line="480" w:lineRule="auto"/>
        <w:rPr>
          <w:rFonts w:ascii="Times New Roman" w:hAnsi="Times New Roman" w:cs="Times New Roman"/>
        </w:rPr>
      </w:pPr>
    </w:p>
    <w:p w14:paraId="2D9E6C6F" w14:textId="50643AC8" w:rsidR="00F71AB2" w:rsidRPr="000051E6" w:rsidRDefault="00F71AB2" w:rsidP="00B8301E">
      <w:pPr>
        <w:spacing w:line="480" w:lineRule="auto"/>
        <w:rPr>
          <w:rFonts w:ascii="Times New Roman" w:hAnsi="Times New Roman" w:cs="Times New Roman"/>
        </w:rPr>
      </w:pPr>
    </w:p>
    <w:sectPr w:rsidR="00F71AB2" w:rsidRPr="00005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908505C"/>
    <w:multiLevelType w:val="hybridMultilevel"/>
    <w:tmpl w:val="0EF63C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516760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C9"/>
    <w:rsid w:val="000051E6"/>
    <w:rsid w:val="00013D35"/>
    <w:rsid w:val="000746FC"/>
    <w:rsid w:val="000E3B95"/>
    <w:rsid w:val="001369AE"/>
    <w:rsid w:val="00165868"/>
    <w:rsid w:val="00181D22"/>
    <w:rsid w:val="00216FEA"/>
    <w:rsid w:val="002A096A"/>
    <w:rsid w:val="002B44B5"/>
    <w:rsid w:val="00307857"/>
    <w:rsid w:val="003C0358"/>
    <w:rsid w:val="004074BF"/>
    <w:rsid w:val="00445918"/>
    <w:rsid w:val="004D3510"/>
    <w:rsid w:val="00513B92"/>
    <w:rsid w:val="00540D4B"/>
    <w:rsid w:val="00646D92"/>
    <w:rsid w:val="006A75F0"/>
    <w:rsid w:val="006E6B2C"/>
    <w:rsid w:val="006F4780"/>
    <w:rsid w:val="007C420A"/>
    <w:rsid w:val="008359D7"/>
    <w:rsid w:val="008B56D1"/>
    <w:rsid w:val="009140B9"/>
    <w:rsid w:val="00A168BD"/>
    <w:rsid w:val="00A20A1B"/>
    <w:rsid w:val="00AA4156"/>
    <w:rsid w:val="00B8301E"/>
    <w:rsid w:val="00B91127"/>
    <w:rsid w:val="00BC27B6"/>
    <w:rsid w:val="00CF2FBD"/>
    <w:rsid w:val="00D405F1"/>
    <w:rsid w:val="00DE082D"/>
    <w:rsid w:val="00E37C19"/>
    <w:rsid w:val="00EF6680"/>
    <w:rsid w:val="00F37EC9"/>
    <w:rsid w:val="00F65860"/>
    <w:rsid w:val="00F71AB2"/>
    <w:rsid w:val="00F74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4BFB1C"/>
  <w15:chartTrackingRefBased/>
  <w15:docId w15:val="{6FF49036-262A-5441-9445-6845AEB1F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E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E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E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E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E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EC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EC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EC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EC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E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E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E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E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E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E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E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E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EC9"/>
    <w:rPr>
      <w:rFonts w:eastAsiaTheme="majorEastAsia" w:cstheme="majorBidi"/>
      <w:color w:val="272727" w:themeColor="text1" w:themeTint="D8"/>
    </w:rPr>
  </w:style>
  <w:style w:type="paragraph" w:styleId="Title">
    <w:name w:val="Title"/>
    <w:basedOn w:val="Normal"/>
    <w:next w:val="Normal"/>
    <w:link w:val="TitleChar"/>
    <w:uiPriority w:val="10"/>
    <w:qFormat/>
    <w:rsid w:val="00F37E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E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EC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E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EC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7EC9"/>
    <w:rPr>
      <w:i/>
      <w:iCs/>
      <w:color w:val="404040" w:themeColor="text1" w:themeTint="BF"/>
    </w:rPr>
  </w:style>
  <w:style w:type="paragraph" w:styleId="ListParagraph">
    <w:name w:val="List Paragraph"/>
    <w:basedOn w:val="Normal"/>
    <w:uiPriority w:val="34"/>
    <w:qFormat/>
    <w:rsid w:val="00F37EC9"/>
    <w:pPr>
      <w:ind w:left="720"/>
      <w:contextualSpacing/>
    </w:pPr>
  </w:style>
  <w:style w:type="character" w:styleId="IntenseEmphasis">
    <w:name w:val="Intense Emphasis"/>
    <w:basedOn w:val="DefaultParagraphFont"/>
    <w:uiPriority w:val="21"/>
    <w:qFormat/>
    <w:rsid w:val="00F37EC9"/>
    <w:rPr>
      <w:i/>
      <w:iCs/>
      <w:color w:val="0F4761" w:themeColor="accent1" w:themeShade="BF"/>
    </w:rPr>
  </w:style>
  <w:style w:type="paragraph" w:styleId="IntenseQuote">
    <w:name w:val="Intense Quote"/>
    <w:basedOn w:val="Normal"/>
    <w:next w:val="Normal"/>
    <w:link w:val="IntenseQuoteChar"/>
    <w:uiPriority w:val="30"/>
    <w:qFormat/>
    <w:rsid w:val="00F37E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EC9"/>
    <w:rPr>
      <w:i/>
      <w:iCs/>
      <w:color w:val="0F4761" w:themeColor="accent1" w:themeShade="BF"/>
    </w:rPr>
  </w:style>
  <w:style w:type="character" w:styleId="IntenseReference">
    <w:name w:val="Intense Reference"/>
    <w:basedOn w:val="DefaultParagraphFont"/>
    <w:uiPriority w:val="32"/>
    <w:qFormat/>
    <w:rsid w:val="00F37EC9"/>
    <w:rPr>
      <w:b/>
      <w:bCs/>
      <w:smallCaps/>
      <w:color w:val="0F4761" w:themeColor="accent1" w:themeShade="BF"/>
      <w:spacing w:val="5"/>
    </w:rPr>
  </w:style>
  <w:style w:type="character" w:customStyle="1" w:styleId="apple-converted-space">
    <w:name w:val="apple-converted-space"/>
    <w:basedOn w:val="DefaultParagraphFont"/>
    <w:rsid w:val="003C0358"/>
  </w:style>
  <w:style w:type="paragraph" w:styleId="NormalWeb">
    <w:name w:val="Normal (Web)"/>
    <w:basedOn w:val="Normal"/>
    <w:uiPriority w:val="99"/>
    <w:semiHidden/>
    <w:unhideWhenUsed/>
    <w:rsid w:val="006A75F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A75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7</Pages>
  <Words>1921</Words>
  <Characters>11184</Characters>
  <Application>Microsoft Office Word</Application>
  <DocSecurity>0</DocSecurity>
  <Lines>169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Scott</dc:creator>
  <cp:keywords/>
  <dc:description/>
  <cp:lastModifiedBy>Jane Scott</cp:lastModifiedBy>
  <cp:revision>37</cp:revision>
  <dcterms:created xsi:type="dcterms:W3CDTF">2026-10-20T16:50:00Z</dcterms:created>
  <dcterms:modified xsi:type="dcterms:W3CDTF">2026-10-22T19:20:00Z</dcterms:modified>
</cp:coreProperties>
</file>