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8A49A" w14:textId="56FD8B07" w:rsidR="004B6EC3" w:rsidRDefault="004B6EC3" w:rsidP="004B6EC3">
      <w:pPr>
        <w:jc w:val="center"/>
        <w:rPr>
          <w:b/>
          <w:sz w:val="36"/>
          <w:szCs w:val="36"/>
        </w:rPr>
      </w:pPr>
      <w:r>
        <w:rPr>
          <w:noProof/>
          <w:sz w:val="20"/>
        </w:rPr>
        <w:drawing>
          <wp:inline distT="0" distB="0" distL="0" distR="0" wp14:anchorId="57CB8081" wp14:editId="350DC375">
            <wp:extent cx="1370725" cy="601980"/>
            <wp:effectExtent l="0" t="0" r="1270" b="762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76362" cy="604455"/>
                    </a:xfrm>
                    <a:prstGeom prst="rect">
                      <a:avLst/>
                    </a:prstGeom>
                    <a:noFill/>
                    <a:ln>
                      <a:noFill/>
                    </a:ln>
                  </pic:spPr>
                </pic:pic>
              </a:graphicData>
            </a:graphic>
          </wp:inline>
        </w:drawing>
      </w:r>
    </w:p>
    <w:p w14:paraId="2FD1C8D5" w14:textId="77777777" w:rsidR="00583A56" w:rsidRDefault="00583A56" w:rsidP="00965548">
      <w:pPr>
        <w:rPr>
          <w:b/>
          <w:bCs/>
          <w:sz w:val="32"/>
          <w:szCs w:val="32"/>
        </w:rPr>
      </w:pPr>
    </w:p>
    <w:p w14:paraId="39721229" w14:textId="77777777" w:rsidR="004B6EC3" w:rsidRDefault="004B6EC3" w:rsidP="004B6EC3">
      <w:pPr>
        <w:jc w:val="center"/>
        <w:rPr>
          <w:b/>
          <w:bCs/>
          <w:sz w:val="32"/>
          <w:szCs w:val="32"/>
        </w:rPr>
      </w:pPr>
    </w:p>
    <w:p w14:paraId="3B844F85" w14:textId="663F3FF6" w:rsidR="00583A56" w:rsidRPr="00583A56" w:rsidRDefault="004B6EC3" w:rsidP="00965548">
      <w:pPr>
        <w:jc w:val="center"/>
        <w:rPr>
          <w:b/>
          <w:bCs/>
          <w:sz w:val="40"/>
          <w:szCs w:val="40"/>
        </w:rPr>
      </w:pPr>
      <w:r w:rsidRPr="00583A56">
        <w:rPr>
          <w:b/>
          <w:bCs/>
          <w:sz w:val="40"/>
          <w:szCs w:val="40"/>
        </w:rPr>
        <w:t xml:space="preserve">Research Project Proposal </w:t>
      </w:r>
    </w:p>
    <w:p w14:paraId="3BA48312" w14:textId="60EA3706" w:rsidR="004B6EC3" w:rsidRPr="004B6EC3" w:rsidRDefault="004B6EC3" w:rsidP="004B6EC3">
      <w:pPr>
        <w:jc w:val="center"/>
        <w:rPr>
          <w:b/>
          <w:bCs/>
          <w:sz w:val="32"/>
          <w:szCs w:val="32"/>
        </w:rPr>
      </w:pPr>
      <w:r w:rsidRPr="004B6EC3">
        <w:rPr>
          <w:b/>
          <w:bCs/>
          <w:sz w:val="32"/>
          <w:szCs w:val="32"/>
        </w:rPr>
        <w:t xml:space="preserve">Impact of current challenges on the human resource department relating to recruitment and </w:t>
      </w:r>
      <w:r w:rsidRPr="004B6EC3">
        <w:rPr>
          <w:b/>
          <w:bCs/>
          <w:sz w:val="32"/>
          <w:szCs w:val="32"/>
        </w:rPr>
        <w:t>retention</w:t>
      </w:r>
    </w:p>
    <w:p w14:paraId="4639DD17" w14:textId="77777777" w:rsidR="004B6EC3" w:rsidRDefault="004B6EC3" w:rsidP="004B6EC3">
      <w:pPr>
        <w:jc w:val="center"/>
        <w:rPr>
          <w:b/>
          <w:sz w:val="36"/>
          <w:szCs w:val="36"/>
        </w:rPr>
      </w:pPr>
    </w:p>
    <w:p w14:paraId="5AF4CCD5" w14:textId="77777777" w:rsidR="00965548" w:rsidRDefault="00965548" w:rsidP="004B6EC3">
      <w:pPr>
        <w:jc w:val="center"/>
        <w:rPr>
          <w:b/>
          <w:sz w:val="36"/>
          <w:szCs w:val="36"/>
        </w:rPr>
      </w:pPr>
    </w:p>
    <w:p w14:paraId="5ED25B7A" w14:textId="77777777" w:rsidR="00583A56" w:rsidRDefault="00583A56" w:rsidP="004B6EC3">
      <w:pPr>
        <w:jc w:val="center"/>
        <w:rPr>
          <w:b/>
          <w:sz w:val="36"/>
          <w:szCs w:val="36"/>
        </w:rPr>
      </w:pPr>
    </w:p>
    <w:p w14:paraId="029411E8" w14:textId="77777777" w:rsidR="0042566A" w:rsidRDefault="00583A56" w:rsidP="004B6EC3">
      <w:pPr>
        <w:jc w:val="center"/>
        <w:rPr>
          <w:b/>
          <w:bCs/>
          <w:sz w:val="32"/>
          <w:szCs w:val="32"/>
          <w:u w:val="single"/>
        </w:rPr>
      </w:pPr>
      <w:r w:rsidRPr="00DF3612">
        <w:rPr>
          <w:b/>
          <w:bCs/>
          <w:sz w:val="32"/>
          <w:szCs w:val="32"/>
          <w:u w:val="single"/>
        </w:rPr>
        <w:t xml:space="preserve">Is the external challenge a good or bad? </w:t>
      </w:r>
    </w:p>
    <w:p w14:paraId="181C2525" w14:textId="73F7C02A" w:rsidR="004B6EC3" w:rsidRPr="00DF3612" w:rsidRDefault="00583A56" w:rsidP="004B6EC3">
      <w:pPr>
        <w:jc w:val="center"/>
        <w:rPr>
          <w:b/>
          <w:bCs/>
          <w:sz w:val="32"/>
          <w:szCs w:val="32"/>
          <w:u w:val="single"/>
        </w:rPr>
      </w:pPr>
      <w:r w:rsidRPr="00DF3612">
        <w:rPr>
          <w:b/>
          <w:bCs/>
          <w:sz w:val="32"/>
          <w:szCs w:val="32"/>
          <w:u w:val="single"/>
        </w:rPr>
        <w:t xml:space="preserve">Analyse the impacts of external environment on employee recruitment and </w:t>
      </w:r>
      <w:proofErr w:type="gramStart"/>
      <w:r w:rsidRPr="00DF3612">
        <w:rPr>
          <w:b/>
          <w:bCs/>
          <w:sz w:val="32"/>
          <w:szCs w:val="32"/>
          <w:u w:val="single"/>
        </w:rPr>
        <w:t>retention</w:t>
      </w:r>
      <w:proofErr w:type="gramEnd"/>
    </w:p>
    <w:p w14:paraId="28E2C422" w14:textId="77777777" w:rsidR="004B6EC3" w:rsidRDefault="004B6EC3" w:rsidP="00800131">
      <w:pPr>
        <w:rPr>
          <w:b/>
          <w:sz w:val="36"/>
          <w:szCs w:val="36"/>
        </w:rPr>
      </w:pPr>
    </w:p>
    <w:p w14:paraId="509DB591" w14:textId="77777777" w:rsidR="004B6EC3" w:rsidRDefault="004B6EC3" w:rsidP="004B6EC3">
      <w:pPr>
        <w:jc w:val="center"/>
        <w:rPr>
          <w:b/>
          <w:sz w:val="36"/>
          <w:szCs w:val="36"/>
        </w:rPr>
      </w:pPr>
    </w:p>
    <w:p w14:paraId="21EF2631" w14:textId="77777777" w:rsidR="004B6EC3" w:rsidRDefault="004B6EC3" w:rsidP="00DF3612">
      <w:pPr>
        <w:rPr>
          <w:b/>
          <w:sz w:val="36"/>
          <w:szCs w:val="36"/>
        </w:rPr>
      </w:pPr>
    </w:p>
    <w:p w14:paraId="4E2B68E2" w14:textId="77777777" w:rsidR="00965548" w:rsidRDefault="00965548" w:rsidP="00DF3612">
      <w:pPr>
        <w:rPr>
          <w:b/>
          <w:sz w:val="36"/>
          <w:szCs w:val="36"/>
        </w:rPr>
      </w:pPr>
    </w:p>
    <w:p w14:paraId="40881676" w14:textId="77777777" w:rsidR="00583A56" w:rsidRDefault="00583A56" w:rsidP="004B6EC3">
      <w:pPr>
        <w:jc w:val="center"/>
        <w:rPr>
          <w:b/>
          <w:sz w:val="36"/>
          <w:szCs w:val="36"/>
        </w:rPr>
      </w:pPr>
    </w:p>
    <w:p w14:paraId="4E4744E9" w14:textId="77777777" w:rsidR="004B6EC3" w:rsidRPr="00DF3612" w:rsidRDefault="004B6EC3" w:rsidP="004B6EC3">
      <w:pPr>
        <w:pStyle w:val="ListParagraph"/>
        <w:numPr>
          <w:ilvl w:val="0"/>
          <w:numId w:val="6"/>
        </w:numPr>
        <w:spacing w:after="0" w:line="240" w:lineRule="auto"/>
        <w:contextualSpacing w:val="0"/>
        <w:jc w:val="left"/>
        <w:rPr>
          <w:rFonts w:cs="Arial"/>
          <w:bCs/>
          <w:color w:val="000000" w:themeColor="text1"/>
          <w:szCs w:val="24"/>
        </w:rPr>
      </w:pPr>
      <w:r w:rsidRPr="00DF3612">
        <w:rPr>
          <w:rFonts w:cs="Arial"/>
          <w:bCs/>
          <w:color w:val="000000" w:themeColor="text1"/>
          <w:szCs w:val="24"/>
        </w:rPr>
        <w:t>Student ID number: 2133909</w:t>
      </w:r>
    </w:p>
    <w:p w14:paraId="1F2B6AD9" w14:textId="77777777" w:rsidR="004B6EC3" w:rsidRPr="00DF3612" w:rsidRDefault="004B6EC3" w:rsidP="004B6EC3">
      <w:pPr>
        <w:pStyle w:val="ListParagraph"/>
        <w:numPr>
          <w:ilvl w:val="0"/>
          <w:numId w:val="6"/>
        </w:numPr>
        <w:spacing w:after="0" w:line="240" w:lineRule="auto"/>
        <w:contextualSpacing w:val="0"/>
        <w:jc w:val="left"/>
        <w:rPr>
          <w:rFonts w:cs="Arial"/>
          <w:bCs/>
          <w:color w:val="000000" w:themeColor="text1"/>
          <w:szCs w:val="24"/>
        </w:rPr>
      </w:pPr>
      <w:r w:rsidRPr="00DF3612">
        <w:rPr>
          <w:rFonts w:cs="Arial"/>
          <w:bCs/>
          <w:color w:val="000000" w:themeColor="text1"/>
          <w:szCs w:val="24"/>
        </w:rPr>
        <w:t>Student name: Roxana Ionica Macarie</w:t>
      </w:r>
    </w:p>
    <w:p w14:paraId="5FAED641" w14:textId="77777777" w:rsidR="004B6EC3" w:rsidRPr="00DF3612" w:rsidRDefault="004B6EC3" w:rsidP="004B6EC3">
      <w:pPr>
        <w:pStyle w:val="ListParagraph"/>
        <w:numPr>
          <w:ilvl w:val="0"/>
          <w:numId w:val="6"/>
        </w:numPr>
        <w:spacing w:after="0" w:line="240" w:lineRule="auto"/>
        <w:contextualSpacing w:val="0"/>
        <w:jc w:val="left"/>
        <w:rPr>
          <w:rFonts w:cs="Arial"/>
          <w:bCs/>
          <w:color w:val="000000" w:themeColor="text1"/>
          <w:szCs w:val="24"/>
        </w:rPr>
      </w:pPr>
      <w:r w:rsidRPr="00DF3612">
        <w:rPr>
          <w:rFonts w:cs="Arial"/>
          <w:bCs/>
          <w:color w:val="000000" w:themeColor="text1"/>
          <w:szCs w:val="24"/>
        </w:rPr>
        <w:t>The module title: Personnel Resourcing and Development</w:t>
      </w:r>
    </w:p>
    <w:p w14:paraId="515E6A22" w14:textId="77777777" w:rsidR="004B6EC3" w:rsidRPr="00DF3612" w:rsidRDefault="004B6EC3" w:rsidP="004B6EC3">
      <w:pPr>
        <w:pStyle w:val="ListParagraph"/>
        <w:numPr>
          <w:ilvl w:val="0"/>
          <w:numId w:val="6"/>
        </w:numPr>
        <w:spacing w:after="0" w:line="240" w:lineRule="auto"/>
        <w:contextualSpacing w:val="0"/>
        <w:jc w:val="left"/>
        <w:rPr>
          <w:rFonts w:cs="Arial"/>
          <w:bCs/>
          <w:color w:val="000000" w:themeColor="text1"/>
          <w:szCs w:val="24"/>
        </w:rPr>
      </w:pPr>
      <w:r w:rsidRPr="00DF3612">
        <w:rPr>
          <w:rFonts w:cs="Arial"/>
          <w:bCs/>
          <w:color w:val="000000" w:themeColor="text1"/>
          <w:szCs w:val="24"/>
        </w:rPr>
        <w:t>The module code: BMIH5005</w:t>
      </w:r>
    </w:p>
    <w:p w14:paraId="2E1A711F" w14:textId="77777777" w:rsidR="004B6EC3" w:rsidRPr="00DF3612" w:rsidRDefault="004B6EC3" w:rsidP="004B6EC3">
      <w:pPr>
        <w:pStyle w:val="ListParagraph"/>
        <w:numPr>
          <w:ilvl w:val="0"/>
          <w:numId w:val="6"/>
        </w:numPr>
        <w:spacing w:after="0" w:line="240" w:lineRule="auto"/>
        <w:contextualSpacing w:val="0"/>
        <w:jc w:val="left"/>
        <w:rPr>
          <w:rFonts w:cs="Arial"/>
          <w:bCs/>
          <w:color w:val="000000" w:themeColor="text1"/>
          <w:szCs w:val="24"/>
        </w:rPr>
      </w:pPr>
      <w:r w:rsidRPr="00DF3612">
        <w:rPr>
          <w:rFonts w:cs="Arial"/>
          <w:bCs/>
          <w:color w:val="000000" w:themeColor="text1"/>
          <w:szCs w:val="24"/>
        </w:rPr>
        <w:t>Module Lead: Helen Lee BA (Hons)</w:t>
      </w:r>
    </w:p>
    <w:p w14:paraId="477272C6" w14:textId="77777777" w:rsidR="004B6EC3" w:rsidRPr="00DF3612" w:rsidRDefault="004B6EC3" w:rsidP="004B6EC3">
      <w:pPr>
        <w:pStyle w:val="ListParagraph"/>
        <w:numPr>
          <w:ilvl w:val="0"/>
          <w:numId w:val="6"/>
        </w:numPr>
        <w:spacing w:after="0" w:line="240" w:lineRule="auto"/>
        <w:contextualSpacing w:val="0"/>
        <w:jc w:val="left"/>
        <w:rPr>
          <w:rFonts w:cs="Arial"/>
          <w:bCs/>
          <w:color w:val="000000" w:themeColor="text1"/>
          <w:szCs w:val="24"/>
        </w:rPr>
      </w:pPr>
      <w:r w:rsidRPr="00DF3612">
        <w:rPr>
          <w:rFonts w:eastAsia="Times New Roman" w:cs="Arial"/>
          <w:szCs w:val="24"/>
          <w:lang w:val="en-US" w:bidi="en-US"/>
        </w:rPr>
        <w:t>Word Count: 2142</w:t>
      </w:r>
    </w:p>
    <w:p w14:paraId="2BFF8B87" w14:textId="77777777" w:rsidR="004B6EC3" w:rsidRDefault="004B6EC3" w:rsidP="00091A25">
      <w:pPr>
        <w:rPr>
          <w:b/>
          <w:sz w:val="36"/>
          <w:szCs w:val="36"/>
        </w:rPr>
      </w:pPr>
    </w:p>
    <w:p w14:paraId="0268A9E7" w14:textId="41F7F2D8" w:rsidR="004B6EC3" w:rsidRDefault="004B6EC3" w:rsidP="004B6EC3">
      <w:pPr>
        <w:jc w:val="left"/>
        <w:rPr>
          <w:b/>
          <w:sz w:val="36"/>
          <w:szCs w:val="36"/>
        </w:rPr>
      </w:pPr>
    </w:p>
    <w:sdt>
      <w:sdtPr>
        <w:rPr>
          <w:rFonts w:ascii="Times New Roman" w:eastAsiaTheme="minorHAnsi" w:hAnsi="Times New Roman" w:cstheme="minorBidi"/>
          <w:color w:val="auto"/>
          <w:kern w:val="2"/>
          <w:sz w:val="24"/>
          <w:szCs w:val="22"/>
          <w:lang w:val="en-GB"/>
        </w:rPr>
        <w:id w:val="643548737"/>
        <w:docPartObj>
          <w:docPartGallery w:val="Table of Contents"/>
          <w:docPartUnique/>
        </w:docPartObj>
      </w:sdtPr>
      <w:sdtEndPr>
        <w:rPr>
          <w:rFonts w:ascii="Arial" w:hAnsi="Arial"/>
          <w:b/>
          <w:bCs/>
          <w:noProof/>
        </w:rPr>
      </w:sdtEndPr>
      <w:sdtContent>
        <w:p w14:paraId="044AAD8E" w14:textId="77777777" w:rsidR="004B6EC3" w:rsidRPr="00072D32" w:rsidRDefault="004B6EC3" w:rsidP="004B6EC3">
          <w:pPr>
            <w:pStyle w:val="TOCHeading"/>
            <w:spacing w:line="360" w:lineRule="auto"/>
            <w:jc w:val="both"/>
            <w:rPr>
              <w:rFonts w:ascii="Arial" w:hAnsi="Arial" w:cs="Arial"/>
              <w:b/>
              <w:bCs/>
            </w:rPr>
          </w:pPr>
          <w:r w:rsidRPr="00072D32">
            <w:rPr>
              <w:rFonts w:ascii="Arial" w:hAnsi="Arial" w:cs="Arial"/>
              <w:b/>
              <w:bCs/>
            </w:rPr>
            <w:t>Table of Contents</w:t>
          </w:r>
        </w:p>
        <w:p w14:paraId="3FF0E1A0" w14:textId="33191856" w:rsidR="004B6EC3" w:rsidRPr="00A23C27" w:rsidRDefault="004B6EC3" w:rsidP="004B6EC3">
          <w:pPr>
            <w:pStyle w:val="TOC1"/>
            <w:tabs>
              <w:tab w:val="right" w:leader="dot" w:pos="9350"/>
            </w:tabs>
            <w:spacing w:line="360" w:lineRule="auto"/>
            <w:rPr>
              <w:rFonts w:asciiTheme="minorHAnsi" w:eastAsiaTheme="minorEastAsia" w:hAnsiTheme="minorHAnsi"/>
              <w:noProof/>
              <w:sz w:val="22"/>
              <w:szCs w:val="28"/>
              <w:lang w:val="en-US" w:bidi="bn-IN"/>
            </w:rPr>
          </w:pPr>
          <w:r w:rsidRPr="00A23C27">
            <w:rPr>
              <w:rFonts w:cs="Arial"/>
            </w:rPr>
            <w:fldChar w:fldCharType="begin"/>
          </w:r>
          <w:r w:rsidRPr="00A23C27">
            <w:rPr>
              <w:rFonts w:cs="Arial"/>
            </w:rPr>
            <w:instrText xml:space="preserve"> TOC \o "1-3" \h \z \u </w:instrText>
          </w:r>
          <w:r w:rsidRPr="00A23C27">
            <w:rPr>
              <w:rFonts w:cs="Arial"/>
            </w:rPr>
            <w:fldChar w:fldCharType="separate"/>
          </w:r>
          <w:hyperlink w:anchor="_Toc149326381" w:history="1">
            <w:r w:rsidRPr="00A23C27">
              <w:rPr>
                <w:rStyle w:val="Hyperlink"/>
                <w:rFonts w:cs="Arial"/>
                <w:noProof/>
              </w:rPr>
              <w:t>Introduction and Background</w:t>
            </w:r>
            <w:r w:rsidRPr="00A23C27">
              <w:rPr>
                <w:noProof/>
                <w:webHidden/>
              </w:rPr>
              <w:tab/>
            </w:r>
            <w:r w:rsidRPr="00A23C27">
              <w:rPr>
                <w:noProof/>
                <w:webHidden/>
              </w:rPr>
              <w:fldChar w:fldCharType="begin"/>
            </w:r>
            <w:r w:rsidRPr="00A23C27">
              <w:rPr>
                <w:noProof/>
                <w:webHidden/>
              </w:rPr>
              <w:instrText xml:space="preserve"> PAGEREF _Toc149326381 \h </w:instrText>
            </w:r>
            <w:r w:rsidRPr="00A23C27">
              <w:rPr>
                <w:noProof/>
                <w:webHidden/>
              </w:rPr>
            </w:r>
            <w:r w:rsidRPr="00A23C27">
              <w:rPr>
                <w:noProof/>
                <w:webHidden/>
              </w:rPr>
              <w:fldChar w:fldCharType="separate"/>
            </w:r>
            <w:r w:rsidR="001832A6">
              <w:rPr>
                <w:noProof/>
                <w:webHidden/>
              </w:rPr>
              <w:t>3</w:t>
            </w:r>
            <w:r w:rsidRPr="00A23C27">
              <w:rPr>
                <w:noProof/>
                <w:webHidden/>
              </w:rPr>
              <w:fldChar w:fldCharType="end"/>
            </w:r>
          </w:hyperlink>
        </w:p>
        <w:p w14:paraId="170C9B13" w14:textId="7530F36C" w:rsidR="004B6EC3" w:rsidRPr="00A23C27" w:rsidRDefault="004B6EC3" w:rsidP="004B6EC3">
          <w:pPr>
            <w:pStyle w:val="TOC2"/>
            <w:tabs>
              <w:tab w:val="right" w:leader="dot" w:pos="9350"/>
            </w:tabs>
            <w:spacing w:line="360" w:lineRule="auto"/>
            <w:rPr>
              <w:rFonts w:asciiTheme="minorHAnsi" w:eastAsiaTheme="minorEastAsia" w:hAnsiTheme="minorHAnsi"/>
              <w:noProof/>
              <w:sz w:val="22"/>
              <w:szCs w:val="28"/>
              <w:lang w:val="en-US" w:bidi="bn-IN"/>
            </w:rPr>
          </w:pPr>
          <w:hyperlink w:anchor="_Toc149326382" w:history="1">
            <w:r w:rsidRPr="00A23C27">
              <w:rPr>
                <w:rStyle w:val="Hyperlink"/>
                <w:rFonts w:cs="Arial"/>
                <w:noProof/>
              </w:rPr>
              <w:t>Introduction</w:t>
            </w:r>
            <w:r w:rsidRPr="00A23C27">
              <w:rPr>
                <w:noProof/>
                <w:webHidden/>
              </w:rPr>
              <w:tab/>
            </w:r>
            <w:r w:rsidRPr="00A23C27">
              <w:rPr>
                <w:noProof/>
                <w:webHidden/>
              </w:rPr>
              <w:fldChar w:fldCharType="begin"/>
            </w:r>
            <w:r w:rsidRPr="00A23C27">
              <w:rPr>
                <w:noProof/>
                <w:webHidden/>
              </w:rPr>
              <w:instrText xml:space="preserve"> PAGEREF _Toc149326382 \h </w:instrText>
            </w:r>
            <w:r w:rsidRPr="00A23C27">
              <w:rPr>
                <w:noProof/>
                <w:webHidden/>
              </w:rPr>
            </w:r>
            <w:r w:rsidRPr="00A23C27">
              <w:rPr>
                <w:noProof/>
                <w:webHidden/>
              </w:rPr>
              <w:fldChar w:fldCharType="separate"/>
            </w:r>
            <w:r w:rsidR="001832A6">
              <w:rPr>
                <w:noProof/>
                <w:webHidden/>
              </w:rPr>
              <w:t>3</w:t>
            </w:r>
            <w:r w:rsidRPr="00A23C27">
              <w:rPr>
                <w:noProof/>
                <w:webHidden/>
              </w:rPr>
              <w:fldChar w:fldCharType="end"/>
            </w:r>
          </w:hyperlink>
        </w:p>
        <w:p w14:paraId="59A5D7EE" w14:textId="3BD3B6BB" w:rsidR="004B6EC3" w:rsidRPr="00A23C27" w:rsidRDefault="004B6EC3" w:rsidP="004B6EC3">
          <w:pPr>
            <w:pStyle w:val="TOC2"/>
            <w:tabs>
              <w:tab w:val="right" w:leader="dot" w:pos="9350"/>
            </w:tabs>
            <w:spacing w:line="360" w:lineRule="auto"/>
            <w:rPr>
              <w:rFonts w:asciiTheme="minorHAnsi" w:eastAsiaTheme="minorEastAsia" w:hAnsiTheme="minorHAnsi"/>
              <w:noProof/>
              <w:sz w:val="22"/>
              <w:szCs w:val="28"/>
              <w:lang w:val="en-US" w:bidi="bn-IN"/>
            </w:rPr>
          </w:pPr>
          <w:hyperlink w:anchor="_Toc149326383" w:history="1">
            <w:r w:rsidRPr="00A23C27">
              <w:rPr>
                <w:rStyle w:val="Hyperlink"/>
                <w:noProof/>
              </w:rPr>
              <w:t>Brief Hotel Overview</w:t>
            </w:r>
            <w:r w:rsidRPr="00A23C27">
              <w:rPr>
                <w:noProof/>
                <w:webHidden/>
              </w:rPr>
              <w:tab/>
            </w:r>
            <w:r w:rsidRPr="00A23C27">
              <w:rPr>
                <w:noProof/>
                <w:webHidden/>
              </w:rPr>
              <w:fldChar w:fldCharType="begin"/>
            </w:r>
            <w:r w:rsidRPr="00A23C27">
              <w:rPr>
                <w:noProof/>
                <w:webHidden/>
              </w:rPr>
              <w:instrText xml:space="preserve"> PAGEREF _Toc149326383 \h </w:instrText>
            </w:r>
            <w:r w:rsidRPr="00A23C27">
              <w:rPr>
                <w:noProof/>
                <w:webHidden/>
              </w:rPr>
            </w:r>
            <w:r w:rsidRPr="00A23C27">
              <w:rPr>
                <w:noProof/>
                <w:webHidden/>
              </w:rPr>
              <w:fldChar w:fldCharType="separate"/>
            </w:r>
            <w:r w:rsidR="001832A6">
              <w:rPr>
                <w:noProof/>
                <w:webHidden/>
              </w:rPr>
              <w:t>3</w:t>
            </w:r>
            <w:r w:rsidRPr="00A23C27">
              <w:rPr>
                <w:noProof/>
                <w:webHidden/>
              </w:rPr>
              <w:fldChar w:fldCharType="end"/>
            </w:r>
          </w:hyperlink>
        </w:p>
        <w:p w14:paraId="4A59AFDC" w14:textId="6AF5CB57" w:rsidR="004B6EC3" w:rsidRPr="00A23C27" w:rsidRDefault="004B6EC3" w:rsidP="004B6EC3">
          <w:pPr>
            <w:pStyle w:val="TOC1"/>
            <w:tabs>
              <w:tab w:val="right" w:leader="dot" w:pos="9350"/>
            </w:tabs>
            <w:spacing w:line="360" w:lineRule="auto"/>
            <w:rPr>
              <w:rFonts w:asciiTheme="minorHAnsi" w:eastAsiaTheme="minorEastAsia" w:hAnsiTheme="minorHAnsi"/>
              <w:noProof/>
              <w:sz w:val="22"/>
              <w:szCs w:val="28"/>
              <w:lang w:val="en-US" w:bidi="bn-IN"/>
            </w:rPr>
          </w:pPr>
          <w:hyperlink w:anchor="_Toc149326384" w:history="1">
            <w:r w:rsidRPr="00A23C27">
              <w:rPr>
                <w:rStyle w:val="Hyperlink"/>
                <w:rFonts w:cs="Arial"/>
                <w:noProof/>
              </w:rPr>
              <w:t>Discussion/Literature: Employee Recruitment and Retention at The Dorchester</w:t>
            </w:r>
            <w:r w:rsidRPr="00A23C27">
              <w:rPr>
                <w:noProof/>
                <w:webHidden/>
              </w:rPr>
              <w:tab/>
            </w:r>
            <w:r w:rsidRPr="00A23C27">
              <w:rPr>
                <w:noProof/>
                <w:webHidden/>
              </w:rPr>
              <w:fldChar w:fldCharType="begin"/>
            </w:r>
            <w:r w:rsidRPr="00A23C27">
              <w:rPr>
                <w:noProof/>
                <w:webHidden/>
              </w:rPr>
              <w:instrText xml:space="preserve"> PAGEREF _Toc149326384 \h </w:instrText>
            </w:r>
            <w:r w:rsidRPr="00A23C27">
              <w:rPr>
                <w:noProof/>
                <w:webHidden/>
              </w:rPr>
            </w:r>
            <w:r w:rsidRPr="00A23C27">
              <w:rPr>
                <w:noProof/>
                <w:webHidden/>
              </w:rPr>
              <w:fldChar w:fldCharType="separate"/>
            </w:r>
            <w:r w:rsidR="001832A6">
              <w:rPr>
                <w:noProof/>
                <w:webHidden/>
              </w:rPr>
              <w:t>5</w:t>
            </w:r>
            <w:r w:rsidRPr="00A23C27">
              <w:rPr>
                <w:noProof/>
                <w:webHidden/>
              </w:rPr>
              <w:fldChar w:fldCharType="end"/>
            </w:r>
          </w:hyperlink>
        </w:p>
        <w:p w14:paraId="6DBC6210" w14:textId="6E4C688E" w:rsidR="004B6EC3" w:rsidRPr="00A23C27" w:rsidRDefault="004B6EC3" w:rsidP="004B6EC3">
          <w:pPr>
            <w:pStyle w:val="TOC2"/>
            <w:tabs>
              <w:tab w:val="right" w:leader="dot" w:pos="9350"/>
            </w:tabs>
            <w:spacing w:line="360" w:lineRule="auto"/>
            <w:rPr>
              <w:rFonts w:asciiTheme="minorHAnsi" w:eastAsiaTheme="minorEastAsia" w:hAnsiTheme="minorHAnsi"/>
              <w:noProof/>
              <w:sz w:val="22"/>
              <w:szCs w:val="28"/>
              <w:lang w:val="en-US" w:bidi="bn-IN"/>
            </w:rPr>
          </w:pPr>
          <w:hyperlink w:anchor="_Toc149326385" w:history="1">
            <w:r w:rsidRPr="00A23C27">
              <w:rPr>
                <w:rStyle w:val="Hyperlink"/>
                <w:rFonts w:cs="Arial"/>
                <w:noProof/>
              </w:rPr>
              <w:t>Existing Research:</w:t>
            </w:r>
            <w:r w:rsidRPr="00A23C27">
              <w:rPr>
                <w:noProof/>
                <w:webHidden/>
              </w:rPr>
              <w:tab/>
            </w:r>
            <w:r w:rsidRPr="00A23C27">
              <w:rPr>
                <w:noProof/>
                <w:webHidden/>
              </w:rPr>
              <w:fldChar w:fldCharType="begin"/>
            </w:r>
            <w:r w:rsidRPr="00A23C27">
              <w:rPr>
                <w:noProof/>
                <w:webHidden/>
              </w:rPr>
              <w:instrText xml:space="preserve"> PAGEREF _Toc149326385 \h </w:instrText>
            </w:r>
            <w:r w:rsidRPr="00A23C27">
              <w:rPr>
                <w:noProof/>
                <w:webHidden/>
              </w:rPr>
            </w:r>
            <w:r w:rsidRPr="00A23C27">
              <w:rPr>
                <w:noProof/>
                <w:webHidden/>
              </w:rPr>
              <w:fldChar w:fldCharType="separate"/>
            </w:r>
            <w:r w:rsidR="001832A6">
              <w:rPr>
                <w:noProof/>
                <w:webHidden/>
              </w:rPr>
              <w:t>5</w:t>
            </w:r>
            <w:r w:rsidRPr="00A23C27">
              <w:rPr>
                <w:noProof/>
                <w:webHidden/>
              </w:rPr>
              <w:fldChar w:fldCharType="end"/>
            </w:r>
          </w:hyperlink>
        </w:p>
        <w:p w14:paraId="6F0AE32A" w14:textId="174C86CC" w:rsidR="004B6EC3" w:rsidRPr="00A23C27" w:rsidRDefault="004B6EC3" w:rsidP="004B6EC3">
          <w:pPr>
            <w:pStyle w:val="TOC2"/>
            <w:tabs>
              <w:tab w:val="right" w:leader="dot" w:pos="9350"/>
            </w:tabs>
            <w:spacing w:line="360" w:lineRule="auto"/>
            <w:rPr>
              <w:rFonts w:asciiTheme="minorHAnsi" w:eastAsiaTheme="minorEastAsia" w:hAnsiTheme="minorHAnsi"/>
              <w:noProof/>
              <w:sz w:val="22"/>
              <w:szCs w:val="28"/>
              <w:lang w:val="en-US" w:bidi="bn-IN"/>
            </w:rPr>
          </w:pPr>
          <w:hyperlink w:anchor="_Toc149326386" w:history="1">
            <w:r w:rsidRPr="00A23C27">
              <w:rPr>
                <w:rStyle w:val="Hyperlink"/>
                <w:rFonts w:cs="Arial"/>
                <w:noProof/>
              </w:rPr>
              <w:t>Impact of Current Affairs:</w:t>
            </w:r>
            <w:r w:rsidRPr="00A23C27">
              <w:rPr>
                <w:noProof/>
                <w:webHidden/>
              </w:rPr>
              <w:tab/>
            </w:r>
            <w:r w:rsidRPr="00A23C27">
              <w:rPr>
                <w:noProof/>
                <w:webHidden/>
              </w:rPr>
              <w:fldChar w:fldCharType="begin"/>
            </w:r>
            <w:r w:rsidRPr="00A23C27">
              <w:rPr>
                <w:noProof/>
                <w:webHidden/>
              </w:rPr>
              <w:instrText xml:space="preserve"> PAGEREF _Toc149326386 \h </w:instrText>
            </w:r>
            <w:r w:rsidRPr="00A23C27">
              <w:rPr>
                <w:noProof/>
                <w:webHidden/>
              </w:rPr>
            </w:r>
            <w:r w:rsidRPr="00A23C27">
              <w:rPr>
                <w:noProof/>
                <w:webHidden/>
              </w:rPr>
              <w:fldChar w:fldCharType="separate"/>
            </w:r>
            <w:r w:rsidR="001832A6">
              <w:rPr>
                <w:noProof/>
                <w:webHidden/>
              </w:rPr>
              <w:t>8</w:t>
            </w:r>
            <w:r w:rsidRPr="00A23C27">
              <w:rPr>
                <w:noProof/>
                <w:webHidden/>
              </w:rPr>
              <w:fldChar w:fldCharType="end"/>
            </w:r>
          </w:hyperlink>
        </w:p>
        <w:p w14:paraId="0FB9BD12" w14:textId="3D2F1661" w:rsidR="004B6EC3" w:rsidRPr="00A23C27" w:rsidRDefault="004B6EC3" w:rsidP="004B6EC3">
          <w:pPr>
            <w:pStyle w:val="TOC2"/>
            <w:tabs>
              <w:tab w:val="right" w:leader="dot" w:pos="9350"/>
            </w:tabs>
            <w:spacing w:line="360" w:lineRule="auto"/>
            <w:rPr>
              <w:rFonts w:asciiTheme="minorHAnsi" w:eastAsiaTheme="minorEastAsia" w:hAnsiTheme="minorHAnsi"/>
              <w:noProof/>
              <w:sz w:val="22"/>
              <w:szCs w:val="28"/>
              <w:lang w:val="en-US" w:bidi="bn-IN"/>
            </w:rPr>
          </w:pPr>
          <w:hyperlink w:anchor="_Toc149326387" w:history="1">
            <w:r w:rsidRPr="00A23C27">
              <w:rPr>
                <w:rStyle w:val="Hyperlink"/>
                <w:rFonts w:cs="Arial"/>
                <w:noProof/>
              </w:rPr>
              <w:t>Potential Solutions:</w:t>
            </w:r>
            <w:r w:rsidRPr="00A23C27">
              <w:rPr>
                <w:noProof/>
                <w:webHidden/>
              </w:rPr>
              <w:tab/>
            </w:r>
            <w:r w:rsidRPr="00A23C27">
              <w:rPr>
                <w:noProof/>
                <w:webHidden/>
              </w:rPr>
              <w:fldChar w:fldCharType="begin"/>
            </w:r>
            <w:r w:rsidRPr="00A23C27">
              <w:rPr>
                <w:noProof/>
                <w:webHidden/>
              </w:rPr>
              <w:instrText xml:space="preserve"> PAGEREF _Toc149326387 \h </w:instrText>
            </w:r>
            <w:r w:rsidRPr="00A23C27">
              <w:rPr>
                <w:noProof/>
                <w:webHidden/>
              </w:rPr>
            </w:r>
            <w:r w:rsidRPr="00A23C27">
              <w:rPr>
                <w:noProof/>
                <w:webHidden/>
              </w:rPr>
              <w:fldChar w:fldCharType="separate"/>
            </w:r>
            <w:r w:rsidR="001832A6">
              <w:rPr>
                <w:noProof/>
                <w:webHidden/>
              </w:rPr>
              <w:t>9</w:t>
            </w:r>
            <w:r w:rsidRPr="00A23C27">
              <w:rPr>
                <w:noProof/>
                <w:webHidden/>
              </w:rPr>
              <w:fldChar w:fldCharType="end"/>
            </w:r>
          </w:hyperlink>
        </w:p>
        <w:p w14:paraId="639703EC" w14:textId="3AC18502" w:rsidR="004B6EC3" w:rsidRPr="00A23C27" w:rsidRDefault="004B6EC3" w:rsidP="004B6EC3">
          <w:pPr>
            <w:pStyle w:val="TOC1"/>
            <w:tabs>
              <w:tab w:val="right" w:leader="dot" w:pos="9350"/>
            </w:tabs>
            <w:spacing w:line="360" w:lineRule="auto"/>
            <w:rPr>
              <w:rFonts w:asciiTheme="minorHAnsi" w:eastAsiaTheme="minorEastAsia" w:hAnsiTheme="minorHAnsi"/>
              <w:noProof/>
              <w:sz w:val="22"/>
              <w:szCs w:val="28"/>
              <w:lang w:val="en-US" w:bidi="bn-IN"/>
            </w:rPr>
          </w:pPr>
          <w:hyperlink w:anchor="_Toc149326388" w:history="1">
            <w:r w:rsidRPr="00A23C27">
              <w:rPr>
                <w:rStyle w:val="Hyperlink"/>
                <w:rFonts w:cs="Arial"/>
                <w:noProof/>
              </w:rPr>
              <w:t>Evaluation and Conclusion</w:t>
            </w:r>
            <w:r w:rsidRPr="00A23C27">
              <w:rPr>
                <w:noProof/>
                <w:webHidden/>
              </w:rPr>
              <w:tab/>
            </w:r>
            <w:r w:rsidRPr="00A23C27">
              <w:rPr>
                <w:noProof/>
                <w:webHidden/>
              </w:rPr>
              <w:fldChar w:fldCharType="begin"/>
            </w:r>
            <w:r w:rsidRPr="00A23C27">
              <w:rPr>
                <w:noProof/>
                <w:webHidden/>
              </w:rPr>
              <w:instrText xml:space="preserve"> PAGEREF _Toc149326388 \h </w:instrText>
            </w:r>
            <w:r w:rsidRPr="00A23C27">
              <w:rPr>
                <w:noProof/>
                <w:webHidden/>
              </w:rPr>
            </w:r>
            <w:r w:rsidRPr="00A23C27">
              <w:rPr>
                <w:noProof/>
                <w:webHidden/>
              </w:rPr>
              <w:fldChar w:fldCharType="separate"/>
            </w:r>
            <w:r w:rsidR="001832A6">
              <w:rPr>
                <w:noProof/>
                <w:webHidden/>
              </w:rPr>
              <w:t>11</w:t>
            </w:r>
            <w:r w:rsidRPr="00A23C27">
              <w:rPr>
                <w:noProof/>
                <w:webHidden/>
              </w:rPr>
              <w:fldChar w:fldCharType="end"/>
            </w:r>
          </w:hyperlink>
        </w:p>
        <w:p w14:paraId="337E7144" w14:textId="297C18A9" w:rsidR="004B6EC3" w:rsidRPr="00A23C27" w:rsidRDefault="004B6EC3" w:rsidP="004B6EC3">
          <w:pPr>
            <w:pStyle w:val="TOC2"/>
            <w:tabs>
              <w:tab w:val="right" w:leader="dot" w:pos="9350"/>
            </w:tabs>
            <w:spacing w:line="360" w:lineRule="auto"/>
            <w:rPr>
              <w:rFonts w:asciiTheme="minorHAnsi" w:eastAsiaTheme="minorEastAsia" w:hAnsiTheme="minorHAnsi"/>
              <w:noProof/>
              <w:sz w:val="22"/>
              <w:szCs w:val="28"/>
              <w:lang w:val="en-US" w:bidi="bn-IN"/>
            </w:rPr>
          </w:pPr>
          <w:hyperlink w:anchor="_Toc149326389" w:history="1">
            <w:r w:rsidRPr="00A23C27">
              <w:rPr>
                <w:rStyle w:val="Hyperlink"/>
                <w:rFonts w:cs="Arial"/>
                <w:noProof/>
              </w:rPr>
              <w:t>Summary of Findings:</w:t>
            </w:r>
            <w:r w:rsidRPr="00A23C27">
              <w:rPr>
                <w:noProof/>
                <w:webHidden/>
              </w:rPr>
              <w:tab/>
            </w:r>
            <w:r w:rsidRPr="00A23C27">
              <w:rPr>
                <w:noProof/>
                <w:webHidden/>
              </w:rPr>
              <w:fldChar w:fldCharType="begin"/>
            </w:r>
            <w:r w:rsidRPr="00A23C27">
              <w:rPr>
                <w:noProof/>
                <w:webHidden/>
              </w:rPr>
              <w:instrText xml:space="preserve"> PAGEREF _Toc149326389 \h </w:instrText>
            </w:r>
            <w:r w:rsidRPr="00A23C27">
              <w:rPr>
                <w:noProof/>
                <w:webHidden/>
              </w:rPr>
            </w:r>
            <w:r w:rsidRPr="00A23C27">
              <w:rPr>
                <w:noProof/>
                <w:webHidden/>
              </w:rPr>
              <w:fldChar w:fldCharType="separate"/>
            </w:r>
            <w:r w:rsidR="001832A6">
              <w:rPr>
                <w:noProof/>
                <w:webHidden/>
              </w:rPr>
              <w:t>11</w:t>
            </w:r>
            <w:r w:rsidRPr="00A23C27">
              <w:rPr>
                <w:noProof/>
                <w:webHidden/>
              </w:rPr>
              <w:fldChar w:fldCharType="end"/>
            </w:r>
          </w:hyperlink>
        </w:p>
        <w:p w14:paraId="14CC1333" w14:textId="42C5C175" w:rsidR="004B6EC3" w:rsidRPr="00A23C27" w:rsidRDefault="004B6EC3" w:rsidP="004B6EC3">
          <w:pPr>
            <w:pStyle w:val="TOC2"/>
            <w:tabs>
              <w:tab w:val="right" w:leader="dot" w:pos="9350"/>
            </w:tabs>
            <w:spacing w:line="360" w:lineRule="auto"/>
            <w:rPr>
              <w:rFonts w:asciiTheme="minorHAnsi" w:eastAsiaTheme="minorEastAsia" w:hAnsiTheme="minorHAnsi"/>
              <w:noProof/>
              <w:sz w:val="22"/>
              <w:szCs w:val="28"/>
              <w:lang w:val="en-US" w:bidi="bn-IN"/>
            </w:rPr>
          </w:pPr>
          <w:hyperlink w:anchor="_Toc149326390" w:history="1">
            <w:r w:rsidRPr="00A23C27">
              <w:rPr>
                <w:rStyle w:val="Hyperlink"/>
                <w:rFonts w:cs="Arial"/>
                <w:noProof/>
              </w:rPr>
              <w:t>Recommendations:</w:t>
            </w:r>
            <w:r w:rsidRPr="00A23C27">
              <w:rPr>
                <w:noProof/>
                <w:webHidden/>
              </w:rPr>
              <w:tab/>
            </w:r>
            <w:r w:rsidRPr="00A23C27">
              <w:rPr>
                <w:noProof/>
                <w:webHidden/>
              </w:rPr>
              <w:fldChar w:fldCharType="begin"/>
            </w:r>
            <w:r w:rsidRPr="00A23C27">
              <w:rPr>
                <w:noProof/>
                <w:webHidden/>
              </w:rPr>
              <w:instrText xml:space="preserve"> PAGEREF _Toc149326390 \h </w:instrText>
            </w:r>
            <w:r w:rsidRPr="00A23C27">
              <w:rPr>
                <w:noProof/>
                <w:webHidden/>
              </w:rPr>
            </w:r>
            <w:r w:rsidRPr="00A23C27">
              <w:rPr>
                <w:noProof/>
                <w:webHidden/>
              </w:rPr>
              <w:fldChar w:fldCharType="separate"/>
            </w:r>
            <w:r w:rsidR="001832A6">
              <w:rPr>
                <w:noProof/>
                <w:webHidden/>
              </w:rPr>
              <w:t>11</w:t>
            </w:r>
            <w:r w:rsidRPr="00A23C27">
              <w:rPr>
                <w:noProof/>
                <w:webHidden/>
              </w:rPr>
              <w:fldChar w:fldCharType="end"/>
            </w:r>
          </w:hyperlink>
        </w:p>
        <w:p w14:paraId="740948AA" w14:textId="1386392C" w:rsidR="004B6EC3" w:rsidRPr="00A23C27" w:rsidRDefault="004B6EC3" w:rsidP="004B6EC3">
          <w:pPr>
            <w:pStyle w:val="TOC1"/>
            <w:tabs>
              <w:tab w:val="right" w:leader="dot" w:pos="9350"/>
            </w:tabs>
            <w:spacing w:line="360" w:lineRule="auto"/>
            <w:rPr>
              <w:rFonts w:asciiTheme="minorHAnsi" w:eastAsiaTheme="minorEastAsia" w:hAnsiTheme="minorHAnsi"/>
              <w:noProof/>
              <w:sz w:val="22"/>
              <w:szCs w:val="28"/>
              <w:lang w:val="en-US" w:bidi="bn-IN"/>
            </w:rPr>
          </w:pPr>
          <w:hyperlink w:anchor="_Toc149326391" w:history="1">
            <w:r w:rsidRPr="00A23C27">
              <w:rPr>
                <w:rStyle w:val="Hyperlink"/>
                <w:rFonts w:cs="Arial"/>
                <w:noProof/>
              </w:rPr>
              <w:t>Reference</w:t>
            </w:r>
            <w:r w:rsidRPr="00A23C27">
              <w:rPr>
                <w:noProof/>
                <w:webHidden/>
              </w:rPr>
              <w:tab/>
            </w:r>
            <w:r w:rsidRPr="00A23C27">
              <w:rPr>
                <w:noProof/>
                <w:webHidden/>
              </w:rPr>
              <w:fldChar w:fldCharType="begin"/>
            </w:r>
            <w:r w:rsidRPr="00A23C27">
              <w:rPr>
                <w:noProof/>
                <w:webHidden/>
              </w:rPr>
              <w:instrText xml:space="preserve"> PAGEREF _Toc149326391 \h </w:instrText>
            </w:r>
            <w:r w:rsidRPr="00A23C27">
              <w:rPr>
                <w:noProof/>
                <w:webHidden/>
              </w:rPr>
            </w:r>
            <w:r w:rsidRPr="00A23C27">
              <w:rPr>
                <w:noProof/>
                <w:webHidden/>
              </w:rPr>
              <w:fldChar w:fldCharType="separate"/>
            </w:r>
            <w:r w:rsidR="001832A6">
              <w:rPr>
                <w:noProof/>
                <w:webHidden/>
              </w:rPr>
              <w:t>13</w:t>
            </w:r>
            <w:r w:rsidRPr="00A23C27">
              <w:rPr>
                <w:noProof/>
                <w:webHidden/>
              </w:rPr>
              <w:fldChar w:fldCharType="end"/>
            </w:r>
          </w:hyperlink>
        </w:p>
        <w:p w14:paraId="2335AA5B" w14:textId="77777777" w:rsidR="004B6EC3" w:rsidRDefault="004B6EC3" w:rsidP="004B6EC3">
          <w:pPr>
            <w:spacing w:line="360" w:lineRule="auto"/>
          </w:pPr>
          <w:r w:rsidRPr="00A23C27">
            <w:rPr>
              <w:rFonts w:cs="Arial"/>
              <w:noProof/>
            </w:rPr>
            <w:fldChar w:fldCharType="end"/>
          </w:r>
        </w:p>
      </w:sdtContent>
    </w:sdt>
    <w:p w14:paraId="5CD51DA1" w14:textId="77777777" w:rsidR="004B6EC3" w:rsidRDefault="004B6EC3" w:rsidP="004B6EC3">
      <w:r>
        <w:br w:type="page"/>
      </w:r>
    </w:p>
    <w:p w14:paraId="76DE88A5" w14:textId="77777777" w:rsidR="004B6EC3" w:rsidRPr="00CF0FAC" w:rsidRDefault="004B6EC3" w:rsidP="004B6EC3">
      <w:pPr>
        <w:pStyle w:val="Heading1"/>
        <w:pBdr>
          <w:bottom w:val="single" w:sz="4" w:space="1" w:color="auto"/>
        </w:pBdr>
        <w:spacing w:line="240" w:lineRule="auto"/>
        <w:rPr>
          <w:rFonts w:cs="Arial"/>
          <w:b/>
          <w:bCs/>
        </w:rPr>
      </w:pPr>
      <w:bookmarkStart w:id="0" w:name="_Toc149326381"/>
      <w:r w:rsidRPr="00600809">
        <w:rPr>
          <w:rFonts w:cs="Arial"/>
          <w:b/>
          <w:bCs/>
        </w:rPr>
        <w:lastRenderedPageBreak/>
        <w:t>Introduction</w:t>
      </w:r>
      <w:r>
        <w:rPr>
          <w:rFonts w:cs="Arial"/>
          <w:b/>
          <w:bCs/>
        </w:rPr>
        <w:t xml:space="preserve"> and Background</w:t>
      </w:r>
      <w:bookmarkEnd w:id="0"/>
    </w:p>
    <w:p w14:paraId="522D1601" w14:textId="77777777" w:rsidR="004B6EC3" w:rsidRPr="00FB68AC" w:rsidRDefault="004B6EC3" w:rsidP="004B6EC3">
      <w:pPr>
        <w:pStyle w:val="Heading2"/>
        <w:spacing w:line="360" w:lineRule="auto"/>
        <w:rPr>
          <w:rFonts w:cs="Arial"/>
          <w:b/>
          <w:bCs/>
        </w:rPr>
      </w:pPr>
      <w:bookmarkStart w:id="1" w:name="_Toc149326382"/>
      <w:r>
        <w:rPr>
          <w:rFonts w:cs="Arial"/>
          <w:b/>
          <w:bCs/>
        </w:rPr>
        <w:t>Introduction</w:t>
      </w:r>
      <w:bookmarkEnd w:id="1"/>
    </w:p>
    <w:p w14:paraId="26B20C24" w14:textId="77777777" w:rsidR="004B6EC3" w:rsidRPr="00307B32" w:rsidRDefault="004B6EC3" w:rsidP="004B6EC3">
      <w:pPr>
        <w:spacing w:line="360" w:lineRule="auto"/>
        <w:rPr>
          <w:rFonts w:cs="Arial"/>
        </w:rPr>
      </w:pPr>
      <w:r w:rsidRPr="00307B32">
        <w:rPr>
          <w:rFonts w:cs="Arial"/>
        </w:rPr>
        <w:t>The Dorchester, a five-star hotel in London's Mayfair neighbourhood, is a byword for elegance and impeccable service. This five-star hotel at the end of Park Lane has a long tradition of hosting royalty, politicians, and other notable guests</w:t>
      </w:r>
      <w:r>
        <w:rPr>
          <w:rFonts w:cs="Arial"/>
        </w:rPr>
        <w:t xml:space="preserve"> </w:t>
      </w:r>
      <w:r>
        <w:t>(Gurov, 2022)</w:t>
      </w:r>
      <w:r w:rsidRPr="00307B32">
        <w:rPr>
          <w:rFonts w:cs="Arial"/>
        </w:rPr>
        <w:t>. The Dorchester has a long and storied history, but it must look to the future if it is to overcome the complex challenges of the present.</w:t>
      </w:r>
    </w:p>
    <w:p w14:paraId="17888A83" w14:textId="77777777" w:rsidR="004B6EC3" w:rsidRPr="00307B32" w:rsidRDefault="004B6EC3" w:rsidP="004B6EC3">
      <w:pPr>
        <w:spacing w:line="360" w:lineRule="auto"/>
        <w:rPr>
          <w:rFonts w:cs="Arial"/>
        </w:rPr>
      </w:pPr>
      <w:r w:rsidRPr="00307B32">
        <w:rPr>
          <w:rFonts w:cs="Arial"/>
        </w:rPr>
        <w:t>This research proposal dives deeper into these concerns, with an eye towards the greater issue of high turnover among The Dorchester's staff. Finding out the cause of the excessive employee turnover at this five-star hotel is the top priority. Like any other five-star hotel, The Dorchester understands the importance of keeping its best employees around. Concerns include the global influx of retirees recently, the effects of the COVID-19 epidemic still being felt, economic uncertainty, and Brexit</w:t>
      </w:r>
      <w:r>
        <w:rPr>
          <w:rFonts w:cs="Arial"/>
        </w:rPr>
        <w:t xml:space="preserve"> </w:t>
      </w:r>
      <w:r>
        <w:t>(Smith, 2022)</w:t>
      </w:r>
      <w:r w:rsidRPr="00307B32">
        <w:rPr>
          <w:rFonts w:cs="Arial"/>
        </w:rPr>
        <w:t>.</w:t>
      </w:r>
    </w:p>
    <w:p w14:paraId="6C36775D" w14:textId="77777777" w:rsidR="004B6EC3" w:rsidRDefault="004B6EC3" w:rsidP="004B6EC3">
      <w:pPr>
        <w:spacing w:line="360" w:lineRule="auto"/>
        <w:rPr>
          <w:rFonts w:cs="Arial"/>
        </w:rPr>
      </w:pPr>
      <w:r w:rsidRPr="00307B32">
        <w:rPr>
          <w:rFonts w:cs="Arial"/>
        </w:rPr>
        <w:t>Therefore, this proposal's goal is to explain the intricate interplay between numerous factors that affect staff retention at The Dorchester, and to provide workable, best-practice recommendations for addressing this issue. What the hotel is contemplating doing to maintain its cutting edge and impress guests is detailed below.</w:t>
      </w:r>
    </w:p>
    <w:p w14:paraId="7C7CD77B" w14:textId="77777777" w:rsidR="004B6EC3" w:rsidRPr="006B779B" w:rsidRDefault="004B6EC3" w:rsidP="004B6EC3">
      <w:pPr>
        <w:pStyle w:val="Heading2"/>
        <w:rPr>
          <w:b/>
          <w:bCs/>
        </w:rPr>
      </w:pPr>
      <w:bookmarkStart w:id="2" w:name="_Toc149326383"/>
      <w:r>
        <w:rPr>
          <w:b/>
          <w:bCs/>
        </w:rPr>
        <w:t xml:space="preserve">Brief </w:t>
      </w:r>
      <w:r w:rsidRPr="006B779B">
        <w:rPr>
          <w:b/>
          <w:bCs/>
        </w:rPr>
        <w:t>Hotel Overview</w:t>
      </w:r>
      <w:bookmarkEnd w:id="2"/>
    </w:p>
    <w:p w14:paraId="5C63974C" w14:textId="77777777" w:rsidR="004B6EC3" w:rsidRDefault="004B6EC3" w:rsidP="004B6EC3">
      <w:pPr>
        <w:spacing w:line="360" w:lineRule="auto"/>
      </w:pPr>
      <w:r w:rsidRPr="00827A59">
        <w:t xml:space="preserve">Since its opening in 1931, The Dorchester has become a byword for luxurious comfort and impeccable service. </w:t>
      </w:r>
      <w:r w:rsidRPr="008C7107">
        <w:t>This London icon is known for its traditional good looks and superb service and may be found in an affluent suburb</w:t>
      </w:r>
      <w:r>
        <w:t xml:space="preserve"> (Boydstun, 2017)</w:t>
      </w:r>
      <w:r w:rsidRPr="008C7107">
        <w:t>. Over the years, celebrities from the entertainment, music, and political worlds have stayed at The Dorchester, helping to solidify the hotel's status as an elite resort.</w:t>
      </w:r>
    </w:p>
    <w:p w14:paraId="73B02422" w14:textId="77777777" w:rsidR="004B6EC3" w:rsidRDefault="004B6EC3" w:rsidP="004B6EC3">
      <w:pPr>
        <w:spacing w:line="360" w:lineRule="auto"/>
      </w:pPr>
      <w:r>
        <w:t>However, the hotel is currently dealing with contemporary difficulties that require strategic solutions, the most pressing of which is retaining its current staff. Employee retention is critical in the luxury hospitality sector since staff play such a vital role in providing visitors with excellent experiences.</w:t>
      </w:r>
    </w:p>
    <w:p w14:paraId="47673146" w14:textId="77777777" w:rsidR="004B6EC3" w:rsidRDefault="004B6EC3" w:rsidP="004B6EC3">
      <w:pPr>
        <w:spacing w:line="360" w:lineRule="auto"/>
      </w:pPr>
      <w:r>
        <w:t xml:space="preserve">A variety of factors influence retention at The Dorchester. The unpredictability of Brexit jeopardises the hotel industry's capacity to attract an internationally diverse workforce, </w:t>
      </w:r>
      <w:r>
        <w:lastRenderedPageBreak/>
        <w:t>which is critical to the establishment's success (Komorowski, 2019). Factors such as the continued impact of the COVID-19 epidemic, economic uncertainty, and the global retirement tide make it challenging to retain outstanding staff.</w:t>
      </w:r>
    </w:p>
    <w:p w14:paraId="5CDA2D42" w14:textId="77777777" w:rsidR="004B6EC3" w:rsidRDefault="004B6EC3" w:rsidP="004B6EC3">
      <w:pPr>
        <w:spacing w:line="360" w:lineRule="auto"/>
      </w:pPr>
      <w:r>
        <w:t xml:space="preserve">Future research will </w:t>
      </w:r>
      <w:proofErr w:type="gramStart"/>
      <w:r>
        <w:t>look into</w:t>
      </w:r>
      <w:proofErr w:type="gramEnd"/>
      <w:r>
        <w:t xml:space="preserve"> these concerns and give answers based on tried-and-true approaches in the luxury hotel market, allowing The Dorchester to remain competitive.</w:t>
      </w:r>
    </w:p>
    <w:p w14:paraId="39072D38" w14:textId="77777777" w:rsidR="004B6EC3" w:rsidRDefault="004B6EC3" w:rsidP="004B6EC3"/>
    <w:p w14:paraId="635E9AED" w14:textId="77777777" w:rsidR="004B6EC3" w:rsidRDefault="004B6EC3" w:rsidP="004B6EC3"/>
    <w:p w14:paraId="3F6A7148" w14:textId="77777777" w:rsidR="004B6EC3" w:rsidRDefault="004B6EC3" w:rsidP="004B6EC3"/>
    <w:p w14:paraId="7188A24E" w14:textId="77777777" w:rsidR="004B6EC3" w:rsidRDefault="004B6EC3" w:rsidP="004B6EC3"/>
    <w:p w14:paraId="21C791A9" w14:textId="77777777" w:rsidR="004B6EC3" w:rsidRDefault="004B6EC3" w:rsidP="004B6EC3"/>
    <w:p w14:paraId="002BB5AC" w14:textId="77777777" w:rsidR="004B6EC3" w:rsidRDefault="004B6EC3" w:rsidP="004B6EC3"/>
    <w:p w14:paraId="27E54095" w14:textId="1F4BF752" w:rsidR="004B6EC3" w:rsidRDefault="004B6EC3" w:rsidP="004B6EC3">
      <w:pPr>
        <w:jc w:val="left"/>
      </w:pPr>
      <w:r>
        <w:br w:type="page"/>
      </w:r>
    </w:p>
    <w:p w14:paraId="20EB5758" w14:textId="1F4BF752" w:rsidR="004B6EC3" w:rsidRPr="00500CD3" w:rsidRDefault="004B6EC3" w:rsidP="004B6EC3">
      <w:pPr>
        <w:pStyle w:val="Heading1"/>
        <w:pBdr>
          <w:bottom w:val="single" w:sz="4" w:space="1" w:color="auto"/>
        </w:pBdr>
        <w:spacing w:line="240" w:lineRule="auto"/>
        <w:rPr>
          <w:rFonts w:cs="Arial"/>
          <w:b/>
          <w:bCs/>
        </w:rPr>
      </w:pPr>
      <w:bookmarkStart w:id="3" w:name="_Toc149326384"/>
      <w:r w:rsidRPr="00500CD3">
        <w:rPr>
          <w:rFonts w:cs="Arial"/>
          <w:b/>
          <w:bCs/>
        </w:rPr>
        <w:lastRenderedPageBreak/>
        <w:t>Discussion/Literature: Employee Recruitment and Retention at The Dorchester</w:t>
      </w:r>
      <w:bookmarkEnd w:id="3"/>
    </w:p>
    <w:p w14:paraId="7F828A34" w14:textId="77777777" w:rsidR="004B6EC3" w:rsidRPr="00500CD3" w:rsidRDefault="004B6EC3" w:rsidP="004B6EC3">
      <w:pPr>
        <w:pStyle w:val="Heading2"/>
        <w:spacing w:line="360" w:lineRule="auto"/>
        <w:rPr>
          <w:rFonts w:cs="Arial"/>
          <w:b/>
          <w:bCs/>
        </w:rPr>
      </w:pPr>
      <w:bookmarkStart w:id="4" w:name="_Toc149326385"/>
      <w:r w:rsidRPr="003D24D3">
        <w:rPr>
          <w:rFonts w:cs="Arial"/>
          <w:b/>
          <w:bCs/>
        </w:rPr>
        <w:t>Existing Research:</w:t>
      </w:r>
      <w:bookmarkEnd w:id="4"/>
    </w:p>
    <w:p w14:paraId="7CE0EF4A" w14:textId="5624948E" w:rsidR="004B6EC3" w:rsidRPr="00500CD3" w:rsidRDefault="004B6EC3" w:rsidP="004B6EC3">
      <w:pPr>
        <w:spacing w:line="360" w:lineRule="auto"/>
        <w:rPr>
          <w:rFonts w:cs="Arial"/>
        </w:rPr>
      </w:pPr>
      <w:r w:rsidRPr="00827A59">
        <w:rPr>
          <w:rFonts w:cs="Arial"/>
        </w:rPr>
        <w:t>The luxury hotel sector faces significant hurdles when it comes to recruiting and retaining staff. When it comes to recruiting and retaining top staff, providing consistently outstanding service, and adjusting to shifting market conditions, The Dorchester, one of London's finest hotels, is no different from its rivals</w:t>
      </w:r>
      <w:r>
        <w:rPr>
          <w:rFonts w:cs="Arial"/>
        </w:rPr>
        <w:t xml:space="preserve"> </w:t>
      </w:r>
      <w:r>
        <w:t>(Robak, 2013)</w:t>
      </w:r>
      <w:r w:rsidRPr="00827A59">
        <w:rPr>
          <w:rFonts w:cs="Arial"/>
        </w:rPr>
        <w:t>. Get a better understanding of the situation by reading up on the topic and performing a SWOT and PESTLE analysis of the hotel's external environment.</w:t>
      </w:r>
    </w:p>
    <w:p w14:paraId="5C48D388" w14:textId="77777777" w:rsidR="004B6EC3" w:rsidRDefault="004B6EC3" w:rsidP="004B6EC3">
      <w:pPr>
        <w:spacing w:line="360" w:lineRule="auto"/>
        <w:rPr>
          <w:rFonts w:cs="Arial"/>
          <w:b/>
          <w:bCs/>
        </w:rPr>
      </w:pPr>
      <w:r w:rsidRPr="00500CD3">
        <w:rPr>
          <w:rFonts w:cs="Arial"/>
          <w:b/>
          <w:bCs/>
        </w:rPr>
        <w:t>SWOT Analysis:</w:t>
      </w:r>
    </w:p>
    <w:p w14:paraId="70E7E6BD" w14:textId="77777777" w:rsidR="004B6EC3" w:rsidRDefault="004B6EC3" w:rsidP="004B6EC3">
      <w:pPr>
        <w:spacing w:line="360" w:lineRule="auto"/>
        <w:jc w:val="center"/>
        <w:rPr>
          <w:rFonts w:cs="Arial"/>
          <w:b/>
          <w:bCs/>
        </w:rPr>
      </w:pPr>
      <w:r>
        <w:rPr>
          <w:noProof/>
        </w:rPr>
        <w:drawing>
          <wp:inline distT="0" distB="0" distL="0" distR="0" wp14:anchorId="457106E6" wp14:editId="1C227BA6">
            <wp:extent cx="4572000" cy="2786436"/>
            <wp:effectExtent l="0" t="0" r="0" b="0"/>
            <wp:docPr id="1109163" name="Picture 1"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mplete a Personal SWOT Analysis | by Jodie Shaw | Thrive Global |  Mediu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80723" cy="2791752"/>
                    </a:xfrm>
                    <a:prstGeom prst="rect">
                      <a:avLst/>
                    </a:prstGeom>
                    <a:noFill/>
                    <a:ln>
                      <a:noFill/>
                    </a:ln>
                  </pic:spPr>
                </pic:pic>
              </a:graphicData>
            </a:graphic>
          </wp:inline>
        </w:drawing>
      </w:r>
    </w:p>
    <w:p w14:paraId="0B8BD4CD" w14:textId="77777777" w:rsidR="004B6EC3" w:rsidRDefault="004B6EC3" w:rsidP="004B6EC3">
      <w:pPr>
        <w:pStyle w:val="Caption"/>
        <w:jc w:val="center"/>
        <w:rPr>
          <w:rFonts w:cs="Arial"/>
          <w:sz w:val="22"/>
          <w:szCs w:val="22"/>
        </w:rPr>
      </w:pPr>
      <w:r w:rsidRPr="00B117D4">
        <w:rPr>
          <w:sz w:val="22"/>
          <w:szCs w:val="22"/>
        </w:rPr>
        <w:t xml:space="preserve">Figure </w:t>
      </w:r>
      <w:r w:rsidRPr="00B117D4">
        <w:rPr>
          <w:sz w:val="22"/>
          <w:szCs w:val="22"/>
        </w:rPr>
        <w:fldChar w:fldCharType="begin"/>
      </w:r>
      <w:r w:rsidRPr="00B117D4">
        <w:rPr>
          <w:sz w:val="22"/>
          <w:szCs w:val="22"/>
        </w:rPr>
        <w:instrText xml:space="preserve"> SEQ Figure \* ARABIC </w:instrText>
      </w:r>
      <w:r w:rsidRPr="00B117D4">
        <w:rPr>
          <w:sz w:val="22"/>
          <w:szCs w:val="22"/>
        </w:rPr>
        <w:fldChar w:fldCharType="separate"/>
      </w:r>
      <w:r>
        <w:rPr>
          <w:noProof/>
          <w:sz w:val="22"/>
          <w:szCs w:val="22"/>
        </w:rPr>
        <w:t>1</w:t>
      </w:r>
      <w:r w:rsidRPr="00B117D4">
        <w:rPr>
          <w:sz w:val="22"/>
          <w:szCs w:val="22"/>
        </w:rPr>
        <w:fldChar w:fldCharType="end"/>
      </w:r>
      <w:r w:rsidRPr="00B117D4">
        <w:rPr>
          <w:sz w:val="22"/>
          <w:szCs w:val="22"/>
        </w:rPr>
        <w:t xml:space="preserve">: SWOT Analysis of </w:t>
      </w:r>
      <w:r w:rsidRPr="00B117D4">
        <w:rPr>
          <w:rFonts w:cs="Arial"/>
          <w:sz w:val="22"/>
          <w:szCs w:val="22"/>
        </w:rPr>
        <w:t xml:space="preserve">The Dorchester </w:t>
      </w:r>
      <w:r w:rsidRPr="00664B3C">
        <w:rPr>
          <w:rFonts w:cs="Arial"/>
          <w:sz w:val="22"/>
          <w:szCs w:val="22"/>
        </w:rPr>
        <w:t xml:space="preserve">Hotel </w:t>
      </w:r>
      <w:r w:rsidRPr="00664B3C">
        <w:rPr>
          <w:sz w:val="22"/>
          <w:szCs w:val="22"/>
        </w:rPr>
        <w:t>(Robak, 2013)</w:t>
      </w:r>
      <w:r w:rsidRPr="00664B3C">
        <w:rPr>
          <w:rFonts w:cs="Arial"/>
          <w:sz w:val="22"/>
          <w:szCs w:val="22"/>
        </w:rPr>
        <w:t>.</w:t>
      </w:r>
    </w:p>
    <w:p w14:paraId="0E6F84EF" w14:textId="77777777" w:rsidR="004B6EC3" w:rsidRPr="00B117D4" w:rsidRDefault="004B6EC3" w:rsidP="004B6EC3"/>
    <w:p w14:paraId="674B6ABC" w14:textId="77777777" w:rsidR="004B6EC3" w:rsidRDefault="004B6EC3" w:rsidP="004B6EC3">
      <w:pPr>
        <w:pStyle w:val="ListParagraph"/>
        <w:numPr>
          <w:ilvl w:val="0"/>
          <w:numId w:val="3"/>
        </w:numPr>
        <w:spacing w:line="360" w:lineRule="auto"/>
        <w:rPr>
          <w:rFonts w:cs="Arial"/>
        </w:rPr>
      </w:pPr>
      <w:r w:rsidRPr="00083A79">
        <w:rPr>
          <w:rFonts w:cs="Arial"/>
          <w:b/>
          <w:bCs/>
        </w:rPr>
        <w:t xml:space="preserve">Retaining Top Talent (Strength): </w:t>
      </w:r>
      <w:r w:rsidRPr="00083A79">
        <w:rPr>
          <w:rFonts w:cs="Arial"/>
        </w:rPr>
        <w:t>The Dorchester's ability to entice and hold onto A-list employees is a key differentiator. Employees are committed to the hotel's success because of the positive atmosphere fostered by the hotel's strong brand recognition and great culture</w:t>
      </w:r>
      <w:r>
        <w:rPr>
          <w:rFonts w:cs="Arial"/>
        </w:rPr>
        <w:t xml:space="preserve"> </w:t>
      </w:r>
      <w:r>
        <w:t>(Baum, 2018)</w:t>
      </w:r>
      <w:r w:rsidRPr="00083A79">
        <w:rPr>
          <w:rFonts w:cs="Arial"/>
        </w:rPr>
        <w:t xml:space="preserve">. This gives them a leg up on other luxury hotels in the area. The industry suffers from a severe problem with employee turnover, which can </w:t>
      </w:r>
      <w:r w:rsidRPr="00083A79">
        <w:rPr>
          <w:rFonts w:cs="Arial"/>
        </w:rPr>
        <w:lastRenderedPageBreak/>
        <w:t>lower service standards and dissatisfy customers. The Dorchester has proven to be a desirable place of employment due to its success in retaining its staff.</w:t>
      </w:r>
    </w:p>
    <w:p w14:paraId="534AAB0D" w14:textId="77777777" w:rsidR="004B6EC3" w:rsidRPr="00083A79" w:rsidRDefault="004B6EC3" w:rsidP="004B6EC3">
      <w:pPr>
        <w:pStyle w:val="ListParagraph"/>
        <w:numPr>
          <w:ilvl w:val="0"/>
          <w:numId w:val="3"/>
        </w:numPr>
        <w:spacing w:line="360" w:lineRule="auto"/>
        <w:rPr>
          <w:rFonts w:cs="Arial"/>
        </w:rPr>
      </w:pPr>
      <w:r w:rsidRPr="00083A79">
        <w:rPr>
          <w:rFonts w:cs="Arial"/>
          <w:b/>
          <w:bCs/>
        </w:rPr>
        <w:t>External Challenges (Weakness):</w:t>
      </w:r>
      <w:r w:rsidRPr="00083A79">
        <w:rPr>
          <w:rFonts w:cs="Arial"/>
        </w:rPr>
        <w:t xml:space="preserve"> The hotel, on the other hand, faces its own set of external challenges. As a result of Brexit, the job market becomes more volatile. Potential limits on employing suitable foreign workers may have an impact on hiring practises</w:t>
      </w:r>
      <w:r>
        <w:rPr>
          <w:rFonts w:cs="Arial"/>
        </w:rPr>
        <w:t xml:space="preserve"> </w:t>
      </w:r>
      <w:r>
        <w:t>(Lawrence, 2017)</w:t>
      </w:r>
      <w:r w:rsidRPr="00083A79">
        <w:rPr>
          <w:rFonts w:cs="Arial"/>
        </w:rPr>
        <w:t>. As the global retirement wave grows, more experienced personnel are departing the business. The Dorchester faces the challenge of maintaining service quality while efficiently disseminating knowledge.</w:t>
      </w:r>
    </w:p>
    <w:p w14:paraId="3F250867" w14:textId="497EECA5" w:rsidR="004B6EC3" w:rsidRPr="006C46E0" w:rsidRDefault="004B6EC3" w:rsidP="004B6EC3">
      <w:pPr>
        <w:pStyle w:val="ListParagraph"/>
        <w:numPr>
          <w:ilvl w:val="0"/>
          <w:numId w:val="3"/>
        </w:numPr>
        <w:spacing w:line="360" w:lineRule="auto"/>
        <w:rPr>
          <w:rFonts w:cs="Arial"/>
          <w:b/>
          <w:bCs/>
        </w:rPr>
      </w:pPr>
      <w:r w:rsidRPr="00BB580C">
        <w:rPr>
          <w:rFonts w:cs="Arial"/>
          <w:b/>
          <w:bCs/>
        </w:rPr>
        <w:t xml:space="preserve">Impact of the COVID-19 Pandemic (Threat): </w:t>
      </w:r>
      <w:r w:rsidRPr="00BB580C">
        <w:rPr>
          <w:rFonts w:cs="Arial"/>
        </w:rPr>
        <w:t>External factors, such as the COVID-19 pandemic, have the potential to have a significant influence on the high-end hotel industry</w:t>
      </w:r>
      <w:r>
        <w:rPr>
          <w:rFonts w:cs="Arial"/>
        </w:rPr>
        <w:t xml:space="preserve"> </w:t>
      </w:r>
      <w:r>
        <w:t>(Cheung, 2018)</w:t>
      </w:r>
      <w:r w:rsidRPr="00BB580C">
        <w:rPr>
          <w:rFonts w:cs="Arial"/>
        </w:rPr>
        <w:t>. The unanticipated drop in tourist numbers hurt business at The Dorchester, resulting in layoffs and financial troubles. The outbreak highlighted the importance of flexible personnel policies that prioritise their employees' health.</w:t>
      </w:r>
    </w:p>
    <w:p w14:paraId="0AC03ADA" w14:textId="77777777" w:rsidR="004B6EC3" w:rsidRDefault="004B6EC3" w:rsidP="004B6EC3">
      <w:pPr>
        <w:spacing w:line="360" w:lineRule="auto"/>
        <w:rPr>
          <w:rFonts w:cs="Arial"/>
          <w:b/>
          <w:bCs/>
        </w:rPr>
      </w:pPr>
      <w:r w:rsidRPr="00500CD3">
        <w:rPr>
          <w:rFonts w:cs="Arial"/>
          <w:b/>
          <w:bCs/>
        </w:rPr>
        <w:t>PESTLE Analysis:</w:t>
      </w:r>
    </w:p>
    <w:p w14:paraId="0B9E7219" w14:textId="77777777" w:rsidR="004B6EC3" w:rsidRDefault="004B6EC3" w:rsidP="004B6EC3">
      <w:pPr>
        <w:spacing w:line="360" w:lineRule="auto"/>
        <w:jc w:val="center"/>
        <w:rPr>
          <w:rFonts w:cs="Arial"/>
          <w:b/>
          <w:bCs/>
        </w:rPr>
      </w:pPr>
      <w:r>
        <w:rPr>
          <w:noProof/>
        </w:rPr>
        <w:drawing>
          <wp:inline distT="0" distB="0" distL="0" distR="0" wp14:anchorId="71EE5DD4" wp14:editId="609275A4">
            <wp:extent cx="3874390" cy="3261360"/>
            <wp:effectExtent l="0" t="0" r="0" b="0"/>
            <wp:docPr id="444045486" name="Picture 3" descr="😝 Long pestle analysis. 9 Effective Ways to Identify Opportunities in SWOT  Analysis. 2022-1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 Long pestle analysis. 9 Effective Ways to Identify Opportunities in SWOT  Analysis. 2022-11-0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89106" cy="3273748"/>
                    </a:xfrm>
                    <a:prstGeom prst="rect">
                      <a:avLst/>
                    </a:prstGeom>
                    <a:noFill/>
                    <a:ln>
                      <a:noFill/>
                    </a:ln>
                  </pic:spPr>
                </pic:pic>
              </a:graphicData>
            </a:graphic>
          </wp:inline>
        </w:drawing>
      </w:r>
    </w:p>
    <w:p w14:paraId="588BE5B3" w14:textId="77777777" w:rsidR="004B6EC3" w:rsidRPr="002E1423" w:rsidRDefault="004B6EC3" w:rsidP="004B6EC3">
      <w:pPr>
        <w:pStyle w:val="Caption"/>
        <w:jc w:val="center"/>
        <w:rPr>
          <w:rFonts w:cs="Arial"/>
          <w:b/>
          <w:bCs/>
          <w:sz w:val="22"/>
          <w:szCs w:val="22"/>
        </w:rPr>
      </w:pPr>
      <w:r w:rsidRPr="002E1423">
        <w:rPr>
          <w:sz w:val="22"/>
          <w:szCs w:val="22"/>
        </w:rPr>
        <w:t xml:space="preserve">Figure </w:t>
      </w:r>
      <w:r w:rsidRPr="002E1423">
        <w:rPr>
          <w:sz w:val="22"/>
          <w:szCs w:val="22"/>
        </w:rPr>
        <w:fldChar w:fldCharType="begin"/>
      </w:r>
      <w:r w:rsidRPr="002E1423">
        <w:rPr>
          <w:sz w:val="22"/>
          <w:szCs w:val="22"/>
        </w:rPr>
        <w:instrText xml:space="preserve"> SEQ Figure \* ARABIC </w:instrText>
      </w:r>
      <w:r w:rsidRPr="002E1423">
        <w:rPr>
          <w:sz w:val="22"/>
          <w:szCs w:val="22"/>
        </w:rPr>
        <w:fldChar w:fldCharType="separate"/>
      </w:r>
      <w:r>
        <w:rPr>
          <w:noProof/>
          <w:sz w:val="22"/>
          <w:szCs w:val="22"/>
        </w:rPr>
        <w:t>2</w:t>
      </w:r>
      <w:r w:rsidRPr="002E1423">
        <w:rPr>
          <w:sz w:val="22"/>
          <w:szCs w:val="22"/>
        </w:rPr>
        <w:fldChar w:fldCharType="end"/>
      </w:r>
      <w:r w:rsidRPr="002E1423">
        <w:rPr>
          <w:sz w:val="22"/>
          <w:szCs w:val="22"/>
        </w:rPr>
        <w:t xml:space="preserve">: PESTLE Analysis of The </w:t>
      </w:r>
      <w:r w:rsidRPr="007202C1">
        <w:rPr>
          <w:rFonts w:cs="Arial"/>
          <w:sz w:val="22"/>
          <w:szCs w:val="22"/>
        </w:rPr>
        <w:t xml:space="preserve">Dorchester Hotel </w:t>
      </w:r>
      <w:r w:rsidRPr="007202C1">
        <w:rPr>
          <w:sz w:val="22"/>
          <w:szCs w:val="22"/>
        </w:rPr>
        <w:t>(</w:t>
      </w:r>
      <w:proofErr w:type="spellStart"/>
      <w:r w:rsidRPr="007202C1">
        <w:rPr>
          <w:sz w:val="22"/>
          <w:szCs w:val="22"/>
        </w:rPr>
        <w:t>Terzioğlu</w:t>
      </w:r>
      <w:proofErr w:type="spellEnd"/>
      <w:r w:rsidRPr="007202C1">
        <w:rPr>
          <w:sz w:val="22"/>
          <w:szCs w:val="22"/>
        </w:rPr>
        <w:t>, 2018)</w:t>
      </w:r>
      <w:r w:rsidRPr="007202C1">
        <w:rPr>
          <w:rFonts w:cs="Arial"/>
          <w:sz w:val="22"/>
          <w:szCs w:val="22"/>
        </w:rPr>
        <w:t>.</w:t>
      </w:r>
    </w:p>
    <w:p w14:paraId="09F7DBD9" w14:textId="77777777" w:rsidR="004B6EC3" w:rsidRPr="00BB580C" w:rsidRDefault="004B6EC3" w:rsidP="004B6EC3">
      <w:pPr>
        <w:pStyle w:val="ListParagraph"/>
        <w:numPr>
          <w:ilvl w:val="0"/>
          <w:numId w:val="4"/>
        </w:numPr>
        <w:spacing w:line="360" w:lineRule="auto"/>
        <w:rPr>
          <w:rFonts w:cs="Arial"/>
        </w:rPr>
      </w:pPr>
      <w:r w:rsidRPr="00BB580C">
        <w:rPr>
          <w:rFonts w:cs="Arial"/>
          <w:b/>
          <w:bCs/>
        </w:rPr>
        <w:lastRenderedPageBreak/>
        <w:t>Political (Opportunity):</w:t>
      </w:r>
      <w:r w:rsidRPr="00BB580C">
        <w:rPr>
          <w:rFonts w:cs="Arial"/>
        </w:rPr>
        <w:t xml:space="preserve"> Although there may be political challenges with immigration, the United Kingdom's stable political environment and pro-tourism legislation allow The Dorchester to retain its competent staff.</w:t>
      </w:r>
    </w:p>
    <w:p w14:paraId="04B9C2D1" w14:textId="77777777" w:rsidR="004B6EC3" w:rsidRPr="00BB580C" w:rsidRDefault="004B6EC3" w:rsidP="004B6EC3">
      <w:pPr>
        <w:pStyle w:val="ListParagraph"/>
        <w:numPr>
          <w:ilvl w:val="0"/>
          <w:numId w:val="4"/>
        </w:numPr>
        <w:spacing w:line="360" w:lineRule="auto"/>
        <w:rPr>
          <w:rFonts w:cs="Arial"/>
        </w:rPr>
      </w:pPr>
      <w:r w:rsidRPr="00BB580C">
        <w:rPr>
          <w:rFonts w:cs="Arial"/>
          <w:b/>
          <w:bCs/>
        </w:rPr>
        <w:t>Economic (Threat):</w:t>
      </w:r>
      <w:r w:rsidRPr="00BB580C">
        <w:rPr>
          <w:rFonts w:cs="Arial"/>
        </w:rPr>
        <w:t xml:space="preserve"> The income and financial security of the Dorchester are sensitive to economic (threat) factors such as inflation and economic uncertainty</w:t>
      </w:r>
      <w:r>
        <w:rPr>
          <w:rFonts w:cs="Arial"/>
        </w:rPr>
        <w:t xml:space="preserve"> </w:t>
      </w:r>
      <w:r>
        <w:t>(</w:t>
      </w:r>
      <w:proofErr w:type="spellStart"/>
      <w:r>
        <w:t>Terzioğlu</w:t>
      </w:r>
      <w:proofErr w:type="spellEnd"/>
      <w:r>
        <w:t>, 2018)</w:t>
      </w:r>
      <w:r w:rsidRPr="00BB580C">
        <w:rPr>
          <w:rFonts w:cs="Arial"/>
        </w:rPr>
        <w:t>. Employee recruiting and retention are both threatened by the current economic climate.</w:t>
      </w:r>
    </w:p>
    <w:p w14:paraId="65737B21" w14:textId="77777777" w:rsidR="004B6EC3" w:rsidRPr="00BB580C" w:rsidRDefault="004B6EC3" w:rsidP="004B6EC3">
      <w:pPr>
        <w:pStyle w:val="ListParagraph"/>
        <w:numPr>
          <w:ilvl w:val="0"/>
          <w:numId w:val="4"/>
        </w:numPr>
        <w:spacing w:line="360" w:lineRule="auto"/>
        <w:rPr>
          <w:rFonts w:cs="Arial"/>
        </w:rPr>
      </w:pPr>
      <w:r w:rsidRPr="00BB580C">
        <w:rPr>
          <w:rFonts w:cs="Arial"/>
          <w:b/>
          <w:bCs/>
        </w:rPr>
        <w:t>Sociocultural (Strength):</w:t>
      </w:r>
      <w:r w:rsidRPr="00BB580C">
        <w:rPr>
          <w:rFonts w:cs="Arial"/>
        </w:rPr>
        <w:t xml:space="preserve"> Prospective employees may perceive the aspirational nature of working at a hotel as prestigious as The Dorchester as a plus culturally. The Dorchester's prestige and the opportunity to further one's career are major motivators.</w:t>
      </w:r>
    </w:p>
    <w:p w14:paraId="1A478B77" w14:textId="77777777" w:rsidR="004B6EC3" w:rsidRPr="00BB580C" w:rsidRDefault="004B6EC3" w:rsidP="004B6EC3">
      <w:pPr>
        <w:pStyle w:val="ListParagraph"/>
        <w:numPr>
          <w:ilvl w:val="0"/>
          <w:numId w:val="4"/>
        </w:numPr>
        <w:spacing w:line="360" w:lineRule="auto"/>
        <w:rPr>
          <w:rFonts w:cs="Arial"/>
        </w:rPr>
      </w:pPr>
      <w:r w:rsidRPr="00BB580C">
        <w:rPr>
          <w:rFonts w:cs="Arial"/>
          <w:b/>
          <w:bCs/>
        </w:rPr>
        <w:t>Technological (Opportunity):</w:t>
      </w:r>
      <w:r w:rsidRPr="00BB580C">
        <w:rPr>
          <w:rFonts w:cs="Arial"/>
        </w:rPr>
        <w:t xml:space="preserve"> The hospitality industry is becoming increasingly reliant on cutting-edge technology, presenting a lucrative commercial opportunity</w:t>
      </w:r>
      <w:r>
        <w:rPr>
          <w:rFonts w:cs="Arial"/>
        </w:rPr>
        <w:t xml:space="preserve"> </w:t>
      </w:r>
      <w:r>
        <w:t>(</w:t>
      </w:r>
      <w:proofErr w:type="spellStart"/>
      <w:r>
        <w:t>Hinkin</w:t>
      </w:r>
      <w:proofErr w:type="spellEnd"/>
      <w:r>
        <w:t>, 2012)</w:t>
      </w:r>
      <w:r w:rsidRPr="00BB580C">
        <w:rPr>
          <w:rFonts w:cs="Arial"/>
        </w:rPr>
        <w:t>. Using technology, the Dorchester can improve training, streamline operations, and promote employee engagement.</w:t>
      </w:r>
    </w:p>
    <w:p w14:paraId="45BE0BFA" w14:textId="77777777" w:rsidR="004B6EC3" w:rsidRPr="00BB580C" w:rsidRDefault="004B6EC3" w:rsidP="004B6EC3">
      <w:pPr>
        <w:pStyle w:val="ListParagraph"/>
        <w:numPr>
          <w:ilvl w:val="0"/>
          <w:numId w:val="4"/>
        </w:numPr>
        <w:spacing w:line="360" w:lineRule="auto"/>
        <w:rPr>
          <w:rFonts w:cs="Arial"/>
        </w:rPr>
      </w:pPr>
      <w:r w:rsidRPr="00BB580C">
        <w:rPr>
          <w:rFonts w:cs="Arial"/>
          <w:b/>
          <w:bCs/>
        </w:rPr>
        <w:t>Legal (Weakness):</w:t>
      </w:r>
      <w:r w:rsidRPr="00BB580C">
        <w:rPr>
          <w:rFonts w:cs="Arial"/>
        </w:rPr>
        <w:t xml:space="preserve"> Labour norms and regulations, which can have an impact on hiring and pay practises, are among the weaknesses in this area</w:t>
      </w:r>
      <w:r>
        <w:rPr>
          <w:rFonts w:cs="Arial"/>
        </w:rPr>
        <w:t xml:space="preserve"> </w:t>
      </w:r>
      <w:r>
        <w:t>(</w:t>
      </w:r>
      <w:proofErr w:type="spellStart"/>
      <w:r>
        <w:t>Simral</w:t>
      </w:r>
      <w:proofErr w:type="spellEnd"/>
      <w:r>
        <w:t>, 2017)</w:t>
      </w:r>
      <w:r w:rsidRPr="00BB580C">
        <w:rPr>
          <w:rFonts w:cs="Arial"/>
        </w:rPr>
        <w:t>. It is critical to follow the letter of the law, but it is not always easy.</w:t>
      </w:r>
    </w:p>
    <w:p w14:paraId="26DE550E" w14:textId="77777777" w:rsidR="004B6EC3" w:rsidRDefault="004B6EC3" w:rsidP="004B6EC3">
      <w:pPr>
        <w:pStyle w:val="ListParagraph"/>
        <w:numPr>
          <w:ilvl w:val="0"/>
          <w:numId w:val="4"/>
        </w:numPr>
        <w:spacing w:line="360" w:lineRule="auto"/>
        <w:rPr>
          <w:rFonts w:cs="Arial"/>
        </w:rPr>
      </w:pPr>
      <w:r w:rsidRPr="00BB580C">
        <w:rPr>
          <w:rFonts w:cs="Arial"/>
          <w:b/>
          <w:bCs/>
        </w:rPr>
        <w:t>Environmental (Opportunity):</w:t>
      </w:r>
      <w:r w:rsidRPr="00BB580C">
        <w:rPr>
          <w:rFonts w:cs="Arial"/>
        </w:rPr>
        <w:t xml:space="preserve"> In the high-end market, sustainable practises are becoming increasingly valued. The Dorchester's environmentally friendly policies can assist it in finding and hiring people who care about the environment.</w:t>
      </w:r>
    </w:p>
    <w:p w14:paraId="3B15A5B2" w14:textId="77777777" w:rsidR="004B6EC3" w:rsidRPr="00BB580C" w:rsidRDefault="004B6EC3" w:rsidP="004B6EC3">
      <w:pPr>
        <w:spacing w:line="360" w:lineRule="auto"/>
        <w:rPr>
          <w:rFonts w:cs="Arial"/>
          <w:b/>
          <w:bCs/>
        </w:rPr>
      </w:pPr>
      <w:r w:rsidRPr="00BB580C">
        <w:rPr>
          <w:rFonts w:cs="Arial"/>
          <w:b/>
          <w:bCs/>
        </w:rPr>
        <w:t>Examples of Industry Best Practices:</w:t>
      </w:r>
    </w:p>
    <w:p w14:paraId="48826080" w14:textId="77777777" w:rsidR="004B6EC3" w:rsidRDefault="004B6EC3" w:rsidP="004B6EC3">
      <w:pPr>
        <w:spacing w:line="360" w:lineRule="auto"/>
        <w:rPr>
          <w:rFonts w:cs="Arial"/>
        </w:rPr>
      </w:pPr>
      <w:r w:rsidRPr="003B2C2F">
        <w:rPr>
          <w:rFonts w:cs="Arial"/>
        </w:rPr>
        <w:t>The Ritz-Carlton and Four Seasons are only two examples of luxury hotel chains that have exceeded these expectations. They place a priority on courses that properly instruct and develop employees so that they can give exceptional service</w:t>
      </w:r>
      <w:r>
        <w:rPr>
          <w:rFonts w:cs="Arial"/>
        </w:rPr>
        <w:t xml:space="preserve"> </w:t>
      </w:r>
      <w:r>
        <w:t>(Ribera, 2017)</w:t>
      </w:r>
      <w:r w:rsidRPr="003B2C2F">
        <w:rPr>
          <w:rFonts w:cs="Arial"/>
        </w:rPr>
        <w:t xml:space="preserve">. They also use reward programmes and public recognition to keep their finest staff from leaving. Given the difficulties of the epidemic, the methods' ability to adapt to changing situations is obvious. </w:t>
      </w:r>
    </w:p>
    <w:p w14:paraId="4CBCE93D" w14:textId="77777777" w:rsidR="004B6EC3" w:rsidRDefault="004B6EC3" w:rsidP="004B6EC3">
      <w:pPr>
        <w:spacing w:line="360" w:lineRule="auto"/>
        <w:rPr>
          <w:rFonts w:cs="Arial"/>
        </w:rPr>
      </w:pPr>
      <w:r w:rsidRPr="003B2C2F">
        <w:rPr>
          <w:rFonts w:cs="Arial"/>
        </w:rPr>
        <w:t xml:space="preserve">Finally, the impact of Brexit, the increasing number of retirees worldwide, and the COVID-19 epidemic all have a direct impact on The Dorchester's capacity to attract and retain staff. The premium hotel industry </w:t>
      </w:r>
      <w:proofErr w:type="gramStart"/>
      <w:r w:rsidRPr="003B2C2F">
        <w:rPr>
          <w:rFonts w:cs="Arial"/>
        </w:rPr>
        <w:t>as a whole is</w:t>
      </w:r>
      <w:proofErr w:type="gramEnd"/>
      <w:r w:rsidRPr="003B2C2F">
        <w:rPr>
          <w:rFonts w:cs="Arial"/>
        </w:rPr>
        <w:t xml:space="preserve"> experiencing the same issues as The </w:t>
      </w:r>
      <w:r w:rsidRPr="003B2C2F">
        <w:rPr>
          <w:rFonts w:cs="Arial"/>
        </w:rPr>
        <w:lastRenderedPageBreak/>
        <w:t xml:space="preserve">Dorchester. </w:t>
      </w:r>
      <w:proofErr w:type="gramStart"/>
      <w:r w:rsidRPr="003B2C2F">
        <w:rPr>
          <w:rFonts w:cs="Arial"/>
        </w:rPr>
        <w:t>In order to</w:t>
      </w:r>
      <w:proofErr w:type="gramEnd"/>
      <w:r w:rsidRPr="003B2C2F">
        <w:rPr>
          <w:rFonts w:cs="Arial"/>
        </w:rPr>
        <w:t xml:space="preserve"> properly tackle these difficulties, the hotel can learn a lot from successful industry training, development, recognition, and wellness programmes</w:t>
      </w:r>
      <w:r>
        <w:rPr>
          <w:rFonts w:cs="Arial"/>
        </w:rPr>
        <w:t xml:space="preserve"> </w:t>
      </w:r>
      <w:r>
        <w:t>(Komorowski, 2019)</w:t>
      </w:r>
      <w:r w:rsidRPr="003B2C2F">
        <w:rPr>
          <w:rFonts w:cs="Arial"/>
        </w:rPr>
        <w:t>. Because the luxury hotel industry is always changing, flexibility is essential for retaining the best personnel and creating exceptional experiences for visitors.</w:t>
      </w:r>
    </w:p>
    <w:p w14:paraId="26AA7FBC" w14:textId="77777777" w:rsidR="004B6EC3" w:rsidRPr="003D24D3" w:rsidRDefault="004B6EC3" w:rsidP="004B6EC3">
      <w:pPr>
        <w:pStyle w:val="Heading2"/>
        <w:spacing w:line="360" w:lineRule="auto"/>
        <w:rPr>
          <w:rFonts w:cs="Arial"/>
          <w:b/>
          <w:bCs/>
        </w:rPr>
      </w:pPr>
      <w:bookmarkStart w:id="5" w:name="_Toc149326386"/>
      <w:r w:rsidRPr="003D24D3">
        <w:rPr>
          <w:rFonts w:cs="Arial"/>
          <w:b/>
          <w:bCs/>
        </w:rPr>
        <w:t>Impact of Current Affairs:</w:t>
      </w:r>
      <w:bookmarkEnd w:id="5"/>
    </w:p>
    <w:p w14:paraId="75F31726" w14:textId="77777777" w:rsidR="004B6EC3" w:rsidRDefault="004B6EC3" w:rsidP="004B6EC3">
      <w:pPr>
        <w:spacing w:line="360" w:lineRule="auto"/>
        <w:rPr>
          <w:rFonts w:cs="Arial"/>
        </w:rPr>
      </w:pPr>
      <w:r w:rsidRPr="00BB580C">
        <w:rPr>
          <w:rFonts w:cs="Arial"/>
        </w:rPr>
        <w:t>Impact of Current Affairs on Employee Retention at The Dorchester Shown Below:</w:t>
      </w:r>
    </w:p>
    <w:p w14:paraId="09CC146E" w14:textId="77777777" w:rsidR="004B6EC3" w:rsidRDefault="004B6EC3" w:rsidP="004B6EC3">
      <w:pPr>
        <w:spacing w:line="360" w:lineRule="auto"/>
        <w:rPr>
          <w:rFonts w:cs="Arial"/>
        </w:rPr>
      </w:pPr>
      <w:r>
        <w:rPr>
          <w:rFonts w:cs="Arial"/>
          <w:noProof/>
        </w:rPr>
        <w:drawing>
          <wp:inline distT="0" distB="0" distL="0" distR="0" wp14:anchorId="6DB7F682" wp14:editId="4578C293">
            <wp:extent cx="5486400" cy="3200400"/>
            <wp:effectExtent l="0" t="0" r="0" b="19050"/>
            <wp:docPr id="182942653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5386ABE" w14:textId="77777777" w:rsidR="004B6EC3" w:rsidRDefault="004B6EC3" w:rsidP="004B6EC3">
      <w:pPr>
        <w:pStyle w:val="Caption"/>
        <w:jc w:val="center"/>
        <w:rPr>
          <w:rFonts w:cs="Arial"/>
          <w:sz w:val="22"/>
          <w:szCs w:val="22"/>
        </w:rPr>
      </w:pPr>
      <w:r w:rsidRPr="00120543">
        <w:rPr>
          <w:sz w:val="22"/>
          <w:szCs w:val="22"/>
        </w:rPr>
        <w:t xml:space="preserve">Figure </w:t>
      </w:r>
      <w:r w:rsidRPr="00120543">
        <w:rPr>
          <w:sz w:val="22"/>
          <w:szCs w:val="22"/>
        </w:rPr>
        <w:fldChar w:fldCharType="begin"/>
      </w:r>
      <w:r w:rsidRPr="00120543">
        <w:rPr>
          <w:sz w:val="22"/>
          <w:szCs w:val="22"/>
        </w:rPr>
        <w:instrText xml:space="preserve"> SEQ Figure \* ARABIC </w:instrText>
      </w:r>
      <w:r w:rsidRPr="00120543">
        <w:rPr>
          <w:sz w:val="22"/>
          <w:szCs w:val="22"/>
        </w:rPr>
        <w:fldChar w:fldCharType="separate"/>
      </w:r>
      <w:r w:rsidRPr="00120543">
        <w:rPr>
          <w:noProof/>
          <w:sz w:val="22"/>
          <w:szCs w:val="22"/>
        </w:rPr>
        <w:t>3</w:t>
      </w:r>
      <w:r w:rsidRPr="00120543">
        <w:rPr>
          <w:sz w:val="22"/>
          <w:szCs w:val="22"/>
        </w:rPr>
        <w:fldChar w:fldCharType="end"/>
      </w:r>
      <w:r w:rsidRPr="00120543">
        <w:rPr>
          <w:sz w:val="22"/>
          <w:szCs w:val="22"/>
        </w:rPr>
        <w:t xml:space="preserve">: </w:t>
      </w:r>
      <w:r w:rsidRPr="00120543">
        <w:rPr>
          <w:rFonts w:cs="Arial"/>
          <w:sz w:val="22"/>
          <w:szCs w:val="22"/>
        </w:rPr>
        <w:t xml:space="preserve">Impact of Current Affairs on </w:t>
      </w:r>
      <w:r w:rsidRPr="004A4E72">
        <w:rPr>
          <w:rFonts w:cs="Arial"/>
          <w:sz w:val="22"/>
          <w:szCs w:val="22"/>
        </w:rPr>
        <w:t xml:space="preserve">Employee Retention </w:t>
      </w:r>
      <w:r w:rsidRPr="004A4E72">
        <w:rPr>
          <w:sz w:val="22"/>
          <w:szCs w:val="22"/>
        </w:rPr>
        <w:t>(Buchan, 2016)</w:t>
      </w:r>
      <w:r w:rsidRPr="004A4E72">
        <w:rPr>
          <w:rFonts w:cs="Arial"/>
          <w:sz w:val="22"/>
          <w:szCs w:val="22"/>
        </w:rPr>
        <w:t>.</w:t>
      </w:r>
    </w:p>
    <w:p w14:paraId="1063F05D" w14:textId="77777777" w:rsidR="004B6EC3" w:rsidRPr="00120543" w:rsidRDefault="004B6EC3" w:rsidP="004B6EC3"/>
    <w:p w14:paraId="6508E4A4" w14:textId="77777777" w:rsidR="004B6EC3" w:rsidRPr="00A23C27" w:rsidRDefault="004B6EC3" w:rsidP="004B6EC3">
      <w:pPr>
        <w:pStyle w:val="ListParagraph"/>
        <w:numPr>
          <w:ilvl w:val="0"/>
          <w:numId w:val="5"/>
        </w:numPr>
        <w:spacing w:line="360" w:lineRule="auto"/>
        <w:rPr>
          <w:rFonts w:cs="Arial"/>
          <w:b/>
          <w:bCs/>
        </w:rPr>
      </w:pPr>
      <w:r w:rsidRPr="00A23C27">
        <w:rPr>
          <w:rFonts w:cs="Arial"/>
          <w:b/>
          <w:bCs/>
        </w:rPr>
        <w:t xml:space="preserve">Brexit Uncertainties: </w:t>
      </w:r>
      <w:r w:rsidRPr="00A23C27">
        <w:rPr>
          <w:rFonts w:cs="Arial"/>
        </w:rPr>
        <w:t xml:space="preserve">Brexit has created tremendous uncertainty in the labour market. The Dorchester may have a harder time hiring quality international staff, which would have a huge impact. Doubts about successfully bringing in personnel from all over Europe influence recruitment practises. Existing overseas workers may have difficulty obtaining appropriate work permits and establishing residency, prompting them to be concerned about their jobs and capacity to migrate if necessary </w:t>
      </w:r>
      <w:r>
        <w:t>(Buchan, 2016)</w:t>
      </w:r>
      <w:r w:rsidRPr="00A23C27">
        <w:rPr>
          <w:rFonts w:cs="Arial"/>
        </w:rPr>
        <w:t>. Employee retention may suffer as a result, as disgruntled employees seek greener pastures elsewhere.</w:t>
      </w:r>
    </w:p>
    <w:p w14:paraId="21386503" w14:textId="77777777" w:rsidR="004B6EC3" w:rsidRPr="00A23C27" w:rsidRDefault="004B6EC3" w:rsidP="004B6EC3">
      <w:pPr>
        <w:pStyle w:val="ListParagraph"/>
        <w:numPr>
          <w:ilvl w:val="0"/>
          <w:numId w:val="5"/>
        </w:numPr>
        <w:spacing w:line="360" w:lineRule="auto"/>
        <w:rPr>
          <w:rFonts w:cs="Arial"/>
          <w:b/>
          <w:bCs/>
        </w:rPr>
      </w:pPr>
      <w:r w:rsidRPr="00A23C27">
        <w:rPr>
          <w:rFonts w:cs="Arial"/>
          <w:b/>
          <w:bCs/>
        </w:rPr>
        <w:lastRenderedPageBreak/>
        <w:t xml:space="preserve">COVID-19 Disruptions: </w:t>
      </w:r>
      <w:r w:rsidRPr="00A23C27">
        <w:rPr>
          <w:rFonts w:cs="Arial"/>
        </w:rPr>
        <w:t xml:space="preserve">The COVID-19 outbreak has seriously harmed Dorchester and the travel and tourism </w:t>
      </w:r>
      <w:proofErr w:type="gramStart"/>
      <w:r w:rsidRPr="00A23C27">
        <w:rPr>
          <w:rFonts w:cs="Arial"/>
        </w:rPr>
        <w:t>industry as a whole</w:t>
      </w:r>
      <w:proofErr w:type="gramEnd"/>
      <w:r w:rsidRPr="00A23C27">
        <w:rPr>
          <w:rFonts w:cs="Arial"/>
        </w:rPr>
        <w:t xml:space="preserve">. Employees are concerned about temporary reductions in salary, hours worked, and job responsibilities. Employees who were laid off or had their hours reduced </w:t>
      </w:r>
      <w:proofErr w:type="gramStart"/>
      <w:r w:rsidRPr="00A23C27">
        <w:rPr>
          <w:rFonts w:cs="Arial"/>
        </w:rPr>
        <w:t>as a result of</w:t>
      </w:r>
      <w:proofErr w:type="gramEnd"/>
      <w:r w:rsidRPr="00A23C27">
        <w:rPr>
          <w:rFonts w:cs="Arial"/>
        </w:rPr>
        <w:t xml:space="preserve"> the epidemic may be seeking for a more permanent position </w:t>
      </w:r>
      <w:r>
        <w:t>(Chan et al., 2011)</w:t>
      </w:r>
      <w:r w:rsidRPr="00A23C27">
        <w:rPr>
          <w:rFonts w:cs="Arial"/>
        </w:rPr>
        <w:t>. In the aftermath of the epidemic, employee health and perseverance in the face of adversity have taken on new significance. Employee retention can be problematic if employees don't feel like their well-being is a priority and aren't given the skills, they need to deal with the unknowns that lie ahead.</w:t>
      </w:r>
    </w:p>
    <w:p w14:paraId="0B87DA1E" w14:textId="77777777" w:rsidR="004B6EC3" w:rsidRPr="00A23C27" w:rsidRDefault="004B6EC3" w:rsidP="004B6EC3">
      <w:pPr>
        <w:pStyle w:val="ListParagraph"/>
        <w:numPr>
          <w:ilvl w:val="0"/>
          <w:numId w:val="5"/>
        </w:numPr>
        <w:spacing w:line="360" w:lineRule="auto"/>
        <w:rPr>
          <w:rFonts w:cs="Arial"/>
          <w:b/>
          <w:bCs/>
        </w:rPr>
      </w:pPr>
      <w:r w:rsidRPr="00A23C27">
        <w:rPr>
          <w:rFonts w:cs="Arial"/>
          <w:b/>
          <w:bCs/>
        </w:rPr>
        <w:t xml:space="preserve">Inflationary Pressures: </w:t>
      </w:r>
      <w:r w:rsidRPr="00A23C27">
        <w:rPr>
          <w:rFonts w:cs="Arial"/>
        </w:rPr>
        <w:t xml:space="preserve">Inflation can reduce the purchasing power of a worker's wage. Employees may experience financial stress </w:t>
      </w:r>
      <w:proofErr w:type="gramStart"/>
      <w:r w:rsidRPr="00A23C27">
        <w:rPr>
          <w:rFonts w:cs="Arial"/>
        </w:rPr>
        <w:t>as a result of</w:t>
      </w:r>
      <w:proofErr w:type="gramEnd"/>
      <w:r w:rsidRPr="00A23C27">
        <w:rPr>
          <w:rFonts w:cs="Arial"/>
        </w:rPr>
        <w:t xml:space="preserve"> growing living costs and a static pay </w:t>
      </w:r>
      <w:r>
        <w:t>(Luce, 2021)</w:t>
      </w:r>
      <w:r w:rsidRPr="00A23C27">
        <w:rPr>
          <w:rFonts w:cs="Arial"/>
        </w:rPr>
        <w:t>. If this tendency continues, employees may depart in quest of a better paying job. As a result, employees may feel underappreciated and uncommitted to their professions.</w:t>
      </w:r>
    </w:p>
    <w:p w14:paraId="75C762F3" w14:textId="77777777" w:rsidR="004B6EC3" w:rsidRPr="00A23C27" w:rsidRDefault="004B6EC3" w:rsidP="004B6EC3">
      <w:pPr>
        <w:pStyle w:val="ListParagraph"/>
        <w:numPr>
          <w:ilvl w:val="0"/>
          <w:numId w:val="5"/>
        </w:numPr>
        <w:spacing w:line="360" w:lineRule="auto"/>
        <w:rPr>
          <w:rFonts w:cs="Arial"/>
          <w:b/>
          <w:bCs/>
        </w:rPr>
      </w:pPr>
      <w:r w:rsidRPr="00A23C27">
        <w:rPr>
          <w:rFonts w:cs="Arial"/>
          <w:b/>
          <w:bCs/>
        </w:rPr>
        <w:t xml:space="preserve">Economic Uncertainties: </w:t>
      </w:r>
      <w:r w:rsidRPr="00A23C27">
        <w:rPr>
          <w:rFonts w:cs="Arial"/>
        </w:rPr>
        <w:t xml:space="preserve">If the economy suffers a downturn, the Dorchester may struggle to retain its staff. During difficult economic times, employees may suffer higher job insecurity </w:t>
      </w:r>
      <w:r>
        <w:t>(</w:t>
      </w:r>
      <w:proofErr w:type="gramStart"/>
      <w:r>
        <w:t>May,</w:t>
      </w:r>
      <w:proofErr w:type="gramEnd"/>
      <w:r>
        <w:t xml:space="preserve"> 2023)</w:t>
      </w:r>
      <w:r w:rsidRPr="00A23C27">
        <w:rPr>
          <w:rFonts w:cs="Arial"/>
        </w:rPr>
        <w:t>. People may seek employment in more secure industries if they are worried of being laid off or having their benefits reduced.</w:t>
      </w:r>
    </w:p>
    <w:p w14:paraId="65F61D91" w14:textId="651EF0FC" w:rsidR="004B6EC3" w:rsidRDefault="004B6EC3" w:rsidP="004B6EC3">
      <w:pPr>
        <w:pStyle w:val="ListParagraph"/>
        <w:numPr>
          <w:ilvl w:val="0"/>
          <w:numId w:val="5"/>
        </w:numPr>
        <w:spacing w:line="360" w:lineRule="auto"/>
        <w:rPr>
          <w:rFonts w:cs="Arial"/>
        </w:rPr>
      </w:pPr>
      <w:r w:rsidRPr="00A23C27">
        <w:rPr>
          <w:rFonts w:cs="Arial"/>
          <w:b/>
          <w:bCs/>
        </w:rPr>
        <w:t xml:space="preserve">Global Retirement Tide: </w:t>
      </w:r>
      <w:r w:rsidRPr="00A23C27">
        <w:rPr>
          <w:rFonts w:cs="Arial"/>
        </w:rPr>
        <w:t xml:space="preserve">The swelling tide of retirees around the world poses both challenges and opportunities for employers seeking to retain competent employees. As long-serving employees retire, the Dorchester faces a knowledge transfer difficulty. The loss of institutional knowledge may cause a disruption in service excellence. At the same time, it can help with retention by giving current employees the opportunity to advance their careers </w:t>
      </w:r>
      <w:r>
        <w:t>(Kular, 2017)</w:t>
      </w:r>
      <w:r w:rsidRPr="00A23C27">
        <w:rPr>
          <w:rFonts w:cs="Arial"/>
        </w:rPr>
        <w:t>. The Dorchester must find a method to retain experienced employees while simultaneously providing opportunities for newer employees to learn and progress.</w:t>
      </w:r>
    </w:p>
    <w:p w14:paraId="083DA3BD" w14:textId="77777777" w:rsidR="001832A6" w:rsidRDefault="001832A6" w:rsidP="001832A6">
      <w:pPr>
        <w:spacing w:line="360" w:lineRule="auto"/>
        <w:rPr>
          <w:rFonts w:cs="Arial"/>
        </w:rPr>
      </w:pPr>
    </w:p>
    <w:p w14:paraId="1B614B63" w14:textId="77777777" w:rsidR="001832A6" w:rsidRDefault="001832A6" w:rsidP="001832A6">
      <w:pPr>
        <w:spacing w:line="360" w:lineRule="auto"/>
        <w:rPr>
          <w:rFonts w:cs="Arial"/>
        </w:rPr>
      </w:pPr>
    </w:p>
    <w:p w14:paraId="5896BD41" w14:textId="77777777" w:rsidR="001832A6" w:rsidRPr="001832A6" w:rsidRDefault="001832A6" w:rsidP="001832A6">
      <w:pPr>
        <w:spacing w:line="360" w:lineRule="auto"/>
        <w:rPr>
          <w:rFonts w:cs="Arial"/>
        </w:rPr>
      </w:pPr>
    </w:p>
    <w:p w14:paraId="2DD92ED3" w14:textId="77777777" w:rsidR="004B6EC3" w:rsidRPr="003D24D3" w:rsidRDefault="004B6EC3" w:rsidP="004B6EC3">
      <w:pPr>
        <w:pStyle w:val="Heading2"/>
        <w:spacing w:line="360" w:lineRule="auto"/>
        <w:rPr>
          <w:rFonts w:cs="Arial"/>
          <w:b/>
          <w:bCs/>
        </w:rPr>
      </w:pPr>
      <w:bookmarkStart w:id="6" w:name="_Toc149326387"/>
      <w:r w:rsidRPr="003D24D3">
        <w:rPr>
          <w:rFonts w:cs="Arial"/>
          <w:b/>
          <w:bCs/>
        </w:rPr>
        <w:lastRenderedPageBreak/>
        <w:t>Potential Solutions:</w:t>
      </w:r>
      <w:bookmarkEnd w:id="6"/>
    </w:p>
    <w:p w14:paraId="7FE624BF" w14:textId="77777777" w:rsidR="004B6EC3" w:rsidRPr="00B24499" w:rsidRDefault="004B6EC3" w:rsidP="004B6EC3">
      <w:pPr>
        <w:spacing w:line="360" w:lineRule="auto"/>
        <w:rPr>
          <w:rFonts w:cs="Arial"/>
        </w:rPr>
      </w:pPr>
      <w:r w:rsidRPr="00B24499">
        <w:rPr>
          <w:rFonts w:cs="Arial"/>
        </w:rPr>
        <w:t>Dorchester Employee Retention Solutions</w:t>
      </w:r>
      <w:r>
        <w:rPr>
          <w:rFonts w:cs="Arial"/>
        </w:rPr>
        <w:t>:</w:t>
      </w:r>
    </w:p>
    <w:p w14:paraId="3B1CBA42" w14:textId="77777777" w:rsidR="004B6EC3" w:rsidRPr="003D24D3" w:rsidRDefault="004B6EC3" w:rsidP="004B6EC3">
      <w:pPr>
        <w:pStyle w:val="ListParagraph"/>
        <w:numPr>
          <w:ilvl w:val="0"/>
          <w:numId w:val="1"/>
        </w:numPr>
        <w:spacing w:line="360" w:lineRule="auto"/>
        <w:rPr>
          <w:rFonts w:cs="Arial"/>
        </w:rPr>
      </w:pPr>
      <w:r w:rsidRPr="003D24D3">
        <w:rPr>
          <w:rFonts w:cs="Arial"/>
          <w:b/>
          <w:bCs/>
        </w:rPr>
        <w:t>Diversifying Recruitment Sources:</w:t>
      </w:r>
      <w:r w:rsidRPr="003D24D3">
        <w:rPr>
          <w:rFonts w:cs="Arial"/>
        </w:rPr>
        <w:t xml:space="preserve"> </w:t>
      </w:r>
      <w:r w:rsidRPr="002C45B8">
        <w:rPr>
          <w:rFonts w:cs="Arial"/>
        </w:rPr>
        <w:t>Investment in intensive education yields great results. Professional development boosts employee satisfaction and productivity. Employees stay and grow because the organisation values lifelong learning.</w:t>
      </w:r>
    </w:p>
    <w:p w14:paraId="58224E04" w14:textId="77777777" w:rsidR="004B6EC3" w:rsidRPr="003D24D3" w:rsidRDefault="004B6EC3" w:rsidP="004B6EC3">
      <w:pPr>
        <w:pStyle w:val="ListParagraph"/>
        <w:numPr>
          <w:ilvl w:val="0"/>
          <w:numId w:val="1"/>
        </w:numPr>
        <w:spacing w:line="360" w:lineRule="auto"/>
        <w:rPr>
          <w:rFonts w:cs="Arial"/>
        </w:rPr>
      </w:pPr>
      <w:r w:rsidRPr="003D24D3">
        <w:rPr>
          <w:rFonts w:cs="Arial"/>
          <w:b/>
          <w:bCs/>
        </w:rPr>
        <w:t>Employee Well-being Programs:</w:t>
      </w:r>
      <w:r w:rsidRPr="003D24D3">
        <w:rPr>
          <w:rFonts w:cs="Arial"/>
        </w:rPr>
        <w:t xml:space="preserve"> </w:t>
      </w:r>
      <w:r w:rsidRPr="002C45B8">
        <w:rPr>
          <w:rFonts w:cs="Arial"/>
        </w:rPr>
        <w:t>Recognition and reward programmes inspire and retain top performers. Bonuses, awards, and public praise encourage and engage staff</w:t>
      </w:r>
      <w:r>
        <w:rPr>
          <w:rFonts w:cs="Arial"/>
        </w:rPr>
        <w:t xml:space="preserve"> </w:t>
      </w:r>
      <w:r>
        <w:t>(Beal, 2016)</w:t>
      </w:r>
      <w:r w:rsidRPr="002C45B8">
        <w:rPr>
          <w:rFonts w:cs="Arial"/>
        </w:rPr>
        <w:t>. Examples include Four Seasons hotels and resorts. Their extensive system for acknowledging excellent work and initiatives boosts team commitment.</w:t>
      </w:r>
    </w:p>
    <w:p w14:paraId="3717D9B4" w14:textId="77777777" w:rsidR="004B6EC3" w:rsidRPr="003D24D3" w:rsidRDefault="004B6EC3" w:rsidP="004B6EC3">
      <w:pPr>
        <w:pStyle w:val="ListParagraph"/>
        <w:numPr>
          <w:ilvl w:val="0"/>
          <w:numId w:val="1"/>
        </w:numPr>
        <w:spacing w:line="360" w:lineRule="auto"/>
        <w:rPr>
          <w:rFonts w:cs="Arial"/>
        </w:rPr>
      </w:pPr>
      <w:r w:rsidRPr="003D24D3">
        <w:rPr>
          <w:rFonts w:cs="Arial"/>
          <w:b/>
          <w:bCs/>
        </w:rPr>
        <w:t>Competitive Compensation Packages:</w:t>
      </w:r>
      <w:r w:rsidRPr="003D24D3">
        <w:rPr>
          <w:rFonts w:cs="Arial"/>
        </w:rPr>
        <w:t xml:space="preserve"> </w:t>
      </w:r>
      <w:r w:rsidRPr="002C45B8">
        <w:rPr>
          <w:rFonts w:cs="Arial"/>
        </w:rPr>
        <w:t>This category may encompass mental health, job flexibility, and wellness services. This programming has helped even luxury hotels like The Mandarin Oriental. Their holistic employee wellness approach has helped retain and assist employees throughout emergencies like COVID-19</w:t>
      </w:r>
      <w:r>
        <w:rPr>
          <w:rFonts w:cs="Arial"/>
        </w:rPr>
        <w:t xml:space="preserve"> </w:t>
      </w:r>
      <w:r>
        <w:t>(Hobart, 2011)</w:t>
      </w:r>
      <w:r w:rsidRPr="002C45B8">
        <w:rPr>
          <w:rFonts w:cs="Arial"/>
        </w:rPr>
        <w:t>.</w:t>
      </w:r>
    </w:p>
    <w:p w14:paraId="29079799" w14:textId="77777777" w:rsidR="004B6EC3" w:rsidRPr="003D24D3" w:rsidRDefault="004B6EC3" w:rsidP="004B6EC3">
      <w:pPr>
        <w:pStyle w:val="ListParagraph"/>
        <w:numPr>
          <w:ilvl w:val="0"/>
          <w:numId w:val="1"/>
        </w:numPr>
        <w:spacing w:line="360" w:lineRule="auto"/>
        <w:rPr>
          <w:rFonts w:cs="Arial"/>
        </w:rPr>
      </w:pPr>
      <w:r w:rsidRPr="003D24D3">
        <w:rPr>
          <w:rFonts w:cs="Arial"/>
          <w:b/>
          <w:bCs/>
        </w:rPr>
        <w:t>Knowledge Transfer Initiatives:</w:t>
      </w:r>
      <w:r w:rsidRPr="003D24D3">
        <w:rPr>
          <w:rFonts w:cs="Arial"/>
        </w:rPr>
        <w:t xml:space="preserve"> </w:t>
      </w:r>
      <w:r w:rsidRPr="002C45B8">
        <w:rPr>
          <w:rFonts w:cs="Arial"/>
        </w:rPr>
        <w:t>To keep top talent, the Dorchester must pay competitively with other five-star hotels. Pay should be appealing and competitive. For instance, the Waldorf Astoria. They stand apart in top hospitality by offering enticing benefit packages.</w:t>
      </w:r>
    </w:p>
    <w:p w14:paraId="234F8DD1" w14:textId="77777777" w:rsidR="004B6EC3" w:rsidRPr="003D24D3" w:rsidRDefault="004B6EC3" w:rsidP="004B6EC3">
      <w:pPr>
        <w:pStyle w:val="ListParagraph"/>
        <w:numPr>
          <w:ilvl w:val="0"/>
          <w:numId w:val="1"/>
        </w:numPr>
        <w:spacing w:line="360" w:lineRule="auto"/>
        <w:rPr>
          <w:rFonts w:cs="Arial"/>
        </w:rPr>
      </w:pPr>
      <w:r w:rsidRPr="003D24D3">
        <w:rPr>
          <w:rFonts w:cs="Arial"/>
          <w:b/>
          <w:bCs/>
        </w:rPr>
        <w:t>Career Development and Training:</w:t>
      </w:r>
      <w:r w:rsidRPr="003D24D3">
        <w:rPr>
          <w:rFonts w:cs="Arial"/>
        </w:rPr>
        <w:t xml:space="preserve"> </w:t>
      </w:r>
      <w:r w:rsidRPr="00CD2EB0">
        <w:rPr>
          <w:rFonts w:cs="Arial"/>
        </w:rPr>
        <w:t>Knowledge transfer is needed for global retirement. Protecting institutional knowledge and facilitating job transitions are crucial</w:t>
      </w:r>
      <w:r>
        <w:rPr>
          <w:rFonts w:cs="Arial"/>
        </w:rPr>
        <w:t xml:space="preserve"> </w:t>
      </w:r>
      <w:r>
        <w:t>(Krylova et al., 2016)</w:t>
      </w:r>
      <w:r w:rsidRPr="00CD2EB0">
        <w:rPr>
          <w:rFonts w:cs="Arial"/>
        </w:rPr>
        <w:t>. Marriott is a market leader. Knowledge transfer projects help experienced professionals adjust to retirement.</w:t>
      </w:r>
    </w:p>
    <w:p w14:paraId="49DE02AF" w14:textId="77777777" w:rsidR="00600DE8" w:rsidRDefault="004B6EC3" w:rsidP="00600DE8">
      <w:pPr>
        <w:pStyle w:val="ListParagraph"/>
        <w:numPr>
          <w:ilvl w:val="0"/>
          <w:numId w:val="1"/>
        </w:numPr>
        <w:spacing w:line="360" w:lineRule="auto"/>
        <w:rPr>
          <w:rFonts w:cs="Arial"/>
        </w:rPr>
      </w:pPr>
      <w:r w:rsidRPr="00CD2EB0">
        <w:rPr>
          <w:rFonts w:cs="Arial"/>
          <w:b/>
          <w:bCs/>
        </w:rPr>
        <w:t>Recognition and Rewards:</w:t>
      </w:r>
      <w:r w:rsidRPr="00CD2EB0">
        <w:rPr>
          <w:rFonts w:cs="Arial"/>
        </w:rPr>
        <w:t xml:space="preserve"> Career development, workshops, and training promote long-term commitment. Career improvement is offered at The Langham in London through "Your Career, Your Journey" curriculum. Thus, hotel staff are more dedicated and remain longer. </w:t>
      </w:r>
    </w:p>
    <w:p w14:paraId="49789010" w14:textId="3CDDB145" w:rsidR="00600DE8" w:rsidRPr="001832A6" w:rsidRDefault="004B6EC3" w:rsidP="001832A6">
      <w:pPr>
        <w:pStyle w:val="ListParagraph"/>
        <w:numPr>
          <w:ilvl w:val="0"/>
          <w:numId w:val="1"/>
        </w:numPr>
        <w:spacing w:line="360" w:lineRule="auto"/>
        <w:rPr>
          <w:rFonts w:cs="Arial"/>
        </w:rPr>
      </w:pPr>
      <w:r w:rsidRPr="00600DE8">
        <w:rPr>
          <w:rFonts w:cs="Arial"/>
          <w:b/>
          <w:bCs/>
        </w:rPr>
        <w:t xml:space="preserve">Flexible Work Arrangements: </w:t>
      </w:r>
      <w:r w:rsidRPr="00600DE8">
        <w:rPr>
          <w:rFonts w:cs="Arial"/>
        </w:rPr>
        <w:t>Offer remote work or flexible schedule to react to shifting employee preferences and keep them motivated (Anglim et al., 2019). Offering a diversity of jobs shows that the Belmond Group values employee pleasure and fulfilment.</w:t>
      </w:r>
      <w:bookmarkStart w:id="7" w:name="_Toc149326388"/>
    </w:p>
    <w:p w14:paraId="036A0266" w14:textId="07E0786D" w:rsidR="004B6EC3" w:rsidRPr="00600DE8" w:rsidRDefault="004B6EC3" w:rsidP="00600DE8">
      <w:pPr>
        <w:spacing w:line="360" w:lineRule="auto"/>
        <w:rPr>
          <w:rFonts w:cs="Arial"/>
          <w:sz w:val="32"/>
          <w:szCs w:val="32"/>
        </w:rPr>
      </w:pPr>
      <w:r w:rsidRPr="00600DE8">
        <w:rPr>
          <w:rFonts w:cs="Arial"/>
          <w:b/>
          <w:bCs/>
          <w:sz w:val="32"/>
          <w:szCs w:val="32"/>
        </w:rPr>
        <w:lastRenderedPageBreak/>
        <w:t>Evaluation and Conclusion</w:t>
      </w:r>
      <w:bookmarkEnd w:id="7"/>
    </w:p>
    <w:p w14:paraId="14EAC3B9" w14:textId="77777777" w:rsidR="004B6EC3" w:rsidRPr="006A6A46" w:rsidRDefault="004B6EC3" w:rsidP="006C46E0">
      <w:pPr>
        <w:pStyle w:val="Heading1"/>
        <w:pBdr>
          <w:bottom w:val="single" w:sz="4" w:space="1" w:color="auto"/>
        </w:pBdr>
        <w:spacing w:line="240" w:lineRule="auto"/>
        <w:rPr>
          <w:rFonts w:cs="Arial"/>
          <w:b/>
          <w:bCs/>
          <w:sz w:val="26"/>
          <w:szCs w:val="26"/>
        </w:rPr>
      </w:pPr>
      <w:bookmarkStart w:id="8" w:name="_Toc149326389"/>
      <w:r w:rsidRPr="006A6A46">
        <w:rPr>
          <w:rFonts w:cs="Arial"/>
          <w:b/>
          <w:bCs/>
          <w:sz w:val="26"/>
          <w:szCs w:val="26"/>
        </w:rPr>
        <w:t>Summary of Findings:</w:t>
      </w:r>
      <w:bookmarkEnd w:id="8"/>
    </w:p>
    <w:p w14:paraId="0D633A52" w14:textId="77777777" w:rsidR="004B6EC3" w:rsidRDefault="004B6EC3" w:rsidP="004B6EC3">
      <w:pPr>
        <w:spacing w:line="360" w:lineRule="auto"/>
        <w:rPr>
          <w:rFonts w:cs="Arial"/>
        </w:rPr>
      </w:pPr>
      <w:r w:rsidRPr="00FF1CFB">
        <w:rPr>
          <w:rFonts w:cs="Arial"/>
        </w:rPr>
        <w:t>Finally, when it comes to attracting and maintaining personnel, The Dorchester, a notable London hotel, faces the same opportunities and challenges as the rest of the luxury hospitality industry</w:t>
      </w:r>
      <w:r>
        <w:rPr>
          <w:rFonts w:cs="Arial"/>
        </w:rPr>
        <w:t xml:space="preserve"> </w:t>
      </w:r>
      <w:r>
        <w:t>(Smith, 2022)</w:t>
      </w:r>
      <w:r w:rsidRPr="00FF1CFB">
        <w:rPr>
          <w:rFonts w:cs="Arial"/>
        </w:rPr>
        <w:t>. While The Dorchester has some amazing strengths, such as its capacity to attract and retain top talent, our research shows that it also faces some serious challenges, such as the consequences of Brexit, the COVID-19 epidemic, the status of the economy, and the swelling tide of retirees around the world.</w:t>
      </w:r>
    </w:p>
    <w:p w14:paraId="32C1126A" w14:textId="77777777" w:rsidR="004B6EC3" w:rsidRPr="003E64F0" w:rsidRDefault="004B6EC3" w:rsidP="004B6EC3">
      <w:pPr>
        <w:spacing w:line="360" w:lineRule="auto"/>
        <w:rPr>
          <w:rFonts w:cs="Arial"/>
        </w:rPr>
      </w:pPr>
      <w:proofErr w:type="gramStart"/>
      <w:r w:rsidRPr="003E64F0">
        <w:rPr>
          <w:rFonts w:cs="Arial"/>
        </w:rPr>
        <w:t>In order to</w:t>
      </w:r>
      <w:proofErr w:type="gramEnd"/>
      <w:r w:rsidRPr="003E64F0">
        <w:rPr>
          <w:rFonts w:cs="Arial"/>
        </w:rPr>
        <w:t xml:space="preserve"> continue providing exceptional stays for their guests, The Dorchester will need to be adaptable and inventive in the face of these challenges. Employee well-being and development programmes, training, and knowledge sharing are all important components. In addition to competitive wages, the hotel must recognise and reward its staff</w:t>
      </w:r>
      <w:r>
        <w:rPr>
          <w:rFonts w:cs="Arial"/>
        </w:rPr>
        <w:t xml:space="preserve"> </w:t>
      </w:r>
      <w:r>
        <w:t>(Gurov, 2022)</w:t>
      </w:r>
      <w:r w:rsidRPr="003E64F0">
        <w:rPr>
          <w:rFonts w:cs="Arial"/>
        </w:rPr>
        <w:t>. The Dorchester may be able to learn a lot from the triumphs of other hotels, such as The Ritz-Carlton, The Four Seasons, and The Mandarin Oriental.</w:t>
      </w:r>
    </w:p>
    <w:p w14:paraId="33EC2FF2" w14:textId="77777777" w:rsidR="004B6EC3" w:rsidRDefault="004B6EC3" w:rsidP="004B6EC3">
      <w:pPr>
        <w:spacing w:line="360" w:lineRule="auto"/>
        <w:rPr>
          <w:rFonts w:cs="Arial"/>
        </w:rPr>
      </w:pPr>
      <w:r w:rsidRPr="003E64F0">
        <w:rPr>
          <w:rFonts w:cs="Arial"/>
        </w:rPr>
        <w:t>The Dorchester must uphold its legacy of excellence in the rapidly evolving luxury hotel sector by responding promptly and decisively to external threats while also establishing a healthy work environment for its staff.</w:t>
      </w:r>
    </w:p>
    <w:p w14:paraId="3DF976B6" w14:textId="77777777" w:rsidR="004B6EC3" w:rsidRPr="00C373FC" w:rsidRDefault="004B6EC3" w:rsidP="004B6EC3">
      <w:pPr>
        <w:pStyle w:val="Heading2"/>
        <w:rPr>
          <w:rFonts w:cs="Arial"/>
          <w:b/>
          <w:bCs/>
        </w:rPr>
      </w:pPr>
      <w:bookmarkStart w:id="9" w:name="_Toc149326390"/>
      <w:r w:rsidRPr="00C373FC">
        <w:rPr>
          <w:rFonts w:cs="Arial"/>
          <w:b/>
          <w:bCs/>
        </w:rPr>
        <w:t>Recommendations:</w:t>
      </w:r>
      <w:bookmarkEnd w:id="9"/>
    </w:p>
    <w:p w14:paraId="264C011B" w14:textId="77777777" w:rsidR="004B6EC3" w:rsidRPr="00A81DCE" w:rsidRDefault="004B6EC3" w:rsidP="004B6EC3">
      <w:pPr>
        <w:spacing w:line="360" w:lineRule="auto"/>
        <w:rPr>
          <w:rFonts w:cs="Arial"/>
        </w:rPr>
      </w:pPr>
      <w:r w:rsidRPr="00A81DCE">
        <w:rPr>
          <w:rFonts w:cs="Arial"/>
        </w:rPr>
        <w:t xml:space="preserve">To address these concerns, </w:t>
      </w:r>
      <w:r w:rsidRPr="003E64F0">
        <w:rPr>
          <w:rFonts w:cs="Arial"/>
        </w:rPr>
        <w:t xml:space="preserve">The Dorchester </w:t>
      </w:r>
      <w:r w:rsidRPr="00A81DCE">
        <w:rPr>
          <w:rFonts w:cs="Arial"/>
        </w:rPr>
        <w:t xml:space="preserve">should follow some critical advice: </w:t>
      </w:r>
    </w:p>
    <w:p w14:paraId="4CD32C3E" w14:textId="77777777" w:rsidR="004B6EC3" w:rsidRPr="006D0BBA" w:rsidRDefault="004B6EC3" w:rsidP="004B6EC3">
      <w:pPr>
        <w:pStyle w:val="ListParagraph"/>
        <w:numPr>
          <w:ilvl w:val="0"/>
          <w:numId w:val="2"/>
        </w:numPr>
        <w:spacing w:line="360" w:lineRule="auto"/>
        <w:rPr>
          <w:rFonts w:cs="Arial"/>
        </w:rPr>
      </w:pPr>
      <w:r w:rsidRPr="006D0BBA">
        <w:rPr>
          <w:rFonts w:cs="Arial"/>
          <w:b/>
          <w:bCs/>
        </w:rPr>
        <w:t>Comprehensive Training and Development:</w:t>
      </w:r>
      <w:r w:rsidRPr="006D0BBA">
        <w:rPr>
          <w:rFonts w:cs="Arial"/>
        </w:rPr>
        <w:t xml:space="preserve"> The Dorchester should give significant training and development opportunities for its employees so that they can provide outstanding service to customers</w:t>
      </w:r>
      <w:r>
        <w:rPr>
          <w:rFonts w:cs="Arial"/>
        </w:rPr>
        <w:t xml:space="preserve"> </w:t>
      </w:r>
      <w:r>
        <w:t>(Komorowski, 2019)</w:t>
      </w:r>
      <w:r w:rsidRPr="006D0BBA">
        <w:rPr>
          <w:rFonts w:cs="Arial"/>
        </w:rPr>
        <w:t xml:space="preserve">. </w:t>
      </w:r>
    </w:p>
    <w:p w14:paraId="5C5532A5" w14:textId="77777777" w:rsidR="004B6EC3" w:rsidRPr="006D0BBA" w:rsidRDefault="004B6EC3" w:rsidP="004B6EC3">
      <w:pPr>
        <w:pStyle w:val="ListParagraph"/>
        <w:numPr>
          <w:ilvl w:val="0"/>
          <w:numId w:val="2"/>
        </w:numPr>
        <w:spacing w:line="360" w:lineRule="auto"/>
        <w:rPr>
          <w:rFonts w:cs="Arial"/>
        </w:rPr>
      </w:pPr>
      <w:r w:rsidRPr="006D0BBA">
        <w:rPr>
          <w:rFonts w:cs="Arial"/>
          <w:b/>
          <w:bCs/>
        </w:rPr>
        <w:t>Recognition and Reward Systems:</w:t>
      </w:r>
      <w:r w:rsidRPr="006D0BBA">
        <w:rPr>
          <w:rFonts w:cs="Arial"/>
        </w:rPr>
        <w:t xml:space="preserve"> Setting up a solid foundation for systemically acknowledging and rewarding great achievement is vital</w:t>
      </w:r>
      <w:r>
        <w:rPr>
          <w:rFonts w:cs="Arial"/>
        </w:rPr>
        <w:t xml:space="preserve"> </w:t>
      </w:r>
      <w:r>
        <w:t>(Robak, 2013)</w:t>
      </w:r>
      <w:r w:rsidRPr="006D0BBA">
        <w:rPr>
          <w:rFonts w:cs="Arial"/>
        </w:rPr>
        <w:t>. The Four Seasons is a fantastic illustration of how this strategy may motivate and retain personnel.</w:t>
      </w:r>
    </w:p>
    <w:p w14:paraId="4B84C1E7" w14:textId="77777777" w:rsidR="004B6EC3" w:rsidRPr="00A81DCE" w:rsidRDefault="004B6EC3" w:rsidP="004B6EC3">
      <w:pPr>
        <w:spacing w:line="360" w:lineRule="auto"/>
        <w:rPr>
          <w:rFonts w:cs="Arial"/>
        </w:rPr>
      </w:pPr>
    </w:p>
    <w:p w14:paraId="3F0F8C37" w14:textId="77777777" w:rsidR="004B6EC3" w:rsidRPr="006D0BBA" w:rsidRDefault="004B6EC3" w:rsidP="004B6EC3">
      <w:pPr>
        <w:pStyle w:val="ListParagraph"/>
        <w:numPr>
          <w:ilvl w:val="0"/>
          <w:numId w:val="2"/>
        </w:numPr>
        <w:spacing w:line="360" w:lineRule="auto"/>
        <w:rPr>
          <w:rFonts w:cs="Arial"/>
        </w:rPr>
      </w:pPr>
      <w:r w:rsidRPr="006D0BBA">
        <w:rPr>
          <w:rFonts w:cs="Arial"/>
          <w:b/>
          <w:bCs/>
        </w:rPr>
        <w:lastRenderedPageBreak/>
        <w:t>Employee Well-being Programs:</w:t>
      </w:r>
      <w:r w:rsidRPr="006D0BBA">
        <w:rPr>
          <w:rFonts w:cs="Arial"/>
        </w:rPr>
        <w:t xml:space="preserve"> Setting up a solid foundation for systemically acknowledging and rewarding great achievement is vital. The Four Seasons is a fantastic illustration of how this strategy may motivate and retain personnel.</w:t>
      </w:r>
    </w:p>
    <w:p w14:paraId="5282F6E4" w14:textId="77777777" w:rsidR="004B6EC3" w:rsidRPr="006D0BBA" w:rsidRDefault="004B6EC3" w:rsidP="004B6EC3">
      <w:pPr>
        <w:pStyle w:val="ListParagraph"/>
        <w:numPr>
          <w:ilvl w:val="0"/>
          <w:numId w:val="2"/>
        </w:numPr>
        <w:spacing w:line="360" w:lineRule="auto"/>
        <w:rPr>
          <w:rFonts w:cs="Arial"/>
        </w:rPr>
      </w:pPr>
      <w:r w:rsidRPr="006D0BBA">
        <w:rPr>
          <w:rFonts w:cs="Arial"/>
          <w:b/>
          <w:bCs/>
        </w:rPr>
        <w:t>Competitive Compensation Packages:</w:t>
      </w:r>
      <w:r w:rsidRPr="006D0BBA">
        <w:rPr>
          <w:rFonts w:cs="Arial"/>
        </w:rPr>
        <w:t xml:space="preserve"> Offer Pay that is competitive with the industry norm is critical if The Waldorf Astoria wants to retain its committed and experienced workforce</w:t>
      </w:r>
      <w:r>
        <w:rPr>
          <w:rFonts w:cs="Arial"/>
        </w:rPr>
        <w:t xml:space="preserve"> </w:t>
      </w:r>
      <w:r>
        <w:t>(Boydstun, 2017)</w:t>
      </w:r>
      <w:r w:rsidRPr="006D0BBA">
        <w:rPr>
          <w:rFonts w:cs="Arial"/>
        </w:rPr>
        <w:t>. competitive and attractive compensation packages, mirroring The Waldorf Astoria's approach to retain a motivated and skilled workforce.</w:t>
      </w:r>
    </w:p>
    <w:p w14:paraId="05466BAA" w14:textId="77777777" w:rsidR="004B6EC3" w:rsidRPr="006D0BBA" w:rsidRDefault="004B6EC3" w:rsidP="004B6EC3">
      <w:pPr>
        <w:pStyle w:val="ListParagraph"/>
        <w:numPr>
          <w:ilvl w:val="0"/>
          <w:numId w:val="2"/>
        </w:numPr>
        <w:spacing w:line="360" w:lineRule="auto"/>
        <w:rPr>
          <w:rFonts w:cs="Arial"/>
        </w:rPr>
      </w:pPr>
      <w:r w:rsidRPr="006D0BBA">
        <w:rPr>
          <w:rFonts w:cs="Arial"/>
          <w:b/>
          <w:bCs/>
        </w:rPr>
        <w:t>Structured Knowledge Transfer:</w:t>
      </w:r>
      <w:r w:rsidRPr="006D0BBA">
        <w:rPr>
          <w:rFonts w:cs="Arial"/>
        </w:rPr>
        <w:t xml:space="preserve"> It is critical to create systematic knowledge transfer programmes to ensure a smooth transition as senior people retire</w:t>
      </w:r>
      <w:r>
        <w:rPr>
          <w:rFonts w:cs="Arial"/>
        </w:rPr>
        <w:t xml:space="preserve"> </w:t>
      </w:r>
      <w:r>
        <w:t>(Smith, 2022)</w:t>
      </w:r>
      <w:r w:rsidRPr="006D0BBA">
        <w:rPr>
          <w:rFonts w:cs="Arial"/>
        </w:rPr>
        <w:t>. Success stories like Marriott International can be motivating.</w:t>
      </w:r>
    </w:p>
    <w:p w14:paraId="799CFC45" w14:textId="77777777" w:rsidR="004B6EC3" w:rsidRPr="006D0BBA" w:rsidRDefault="004B6EC3" w:rsidP="004B6EC3">
      <w:pPr>
        <w:pStyle w:val="ListParagraph"/>
        <w:numPr>
          <w:ilvl w:val="0"/>
          <w:numId w:val="2"/>
        </w:numPr>
        <w:spacing w:line="360" w:lineRule="auto"/>
        <w:rPr>
          <w:rFonts w:cs="Arial"/>
        </w:rPr>
      </w:pPr>
      <w:r w:rsidRPr="006D0BBA">
        <w:rPr>
          <w:rFonts w:cs="Arial"/>
          <w:b/>
          <w:bCs/>
        </w:rPr>
        <w:t>Career Development and Training:</w:t>
      </w:r>
      <w:r w:rsidRPr="006D0BBA">
        <w:rPr>
          <w:rFonts w:cs="Arial"/>
        </w:rPr>
        <w:t xml:space="preserve"> Encourage employees to chart their own professional development path by providing relevant training and workshops</w:t>
      </w:r>
      <w:r>
        <w:rPr>
          <w:rFonts w:cs="Arial"/>
        </w:rPr>
        <w:t xml:space="preserve"> </w:t>
      </w:r>
      <w:r>
        <w:t>(</w:t>
      </w:r>
      <w:proofErr w:type="spellStart"/>
      <w:r>
        <w:t>jalilehvand</w:t>
      </w:r>
      <w:proofErr w:type="spellEnd"/>
      <w:r>
        <w:t xml:space="preserve"> et al., 2021)</w:t>
      </w:r>
      <w:r w:rsidRPr="006D0BBA">
        <w:rPr>
          <w:rFonts w:cs="Arial"/>
        </w:rPr>
        <w:t>. The Langham, London's "Your Career, Your Journey" curriculum can be beneficial.</w:t>
      </w:r>
    </w:p>
    <w:p w14:paraId="1686E705" w14:textId="77777777" w:rsidR="004B6EC3" w:rsidRPr="006D0BBA" w:rsidRDefault="004B6EC3" w:rsidP="004B6EC3">
      <w:pPr>
        <w:pStyle w:val="ListParagraph"/>
        <w:numPr>
          <w:ilvl w:val="0"/>
          <w:numId w:val="2"/>
        </w:numPr>
        <w:spacing w:line="360" w:lineRule="auto"/>
        <w:rPr>
          <w:rFonts w:cs="Arial"/>
        </w:rPr>
      </w:pPr>
      <w:r w:rsidRPr="006D0BBA">
        <w:rPr>
          <w:rFonts w:cs="Arial"/>
          <w:b/>
          <w:bCs/>
        </w:rPr>
        <w:t>Flexible Work Arrangements:</w:t>
      </w:r>
      <w:r w:rsidRPr="006D0BBA">
        <w:rPr>
          <w:rFonts w:cs="Arial"/>
        </w:rPr>
        <w:t xml:space="preserve"> Adapting to employees' evolving requirements necessitates a willingness to implement flexible work arrangements in response to their shifting work preferences</w:t>
      </w:r>
      <w:r>
        <w:rPr>
          <w:rFonts w:cs="Arial"/>
        </w:rPr>
        <w:t xml:space="preserve"> </w:t>
      </w:r>
      <w:r>
        <w:t>(Gurov, 2022)</w:t>
      </w:r>
      <w:r w:rsidRPr="006D0BBA">
        <w:rPr>
          <w:rFonts w:cs="Arial"/>
        </w:rPr>
        <w:t xml:space="preserve">. The Belmond Group knows that providing more flexible work arrangements boosts morale and helps retain exceptional employees. </w:t>
      </w:r>
      <w:r>
        <w:br w:type="page"/>
      </w:r>
    </w:p>
    <w:p w14:paraId="50595959" w14:textId="77777777" w:rsidR="004B6EC3" w:rsidRPr="00D3060E" w:rsidRDefault="004B6EC3" w:rsidP="004B6EC3">
      <w:pPr>
        <w:pStyle w:val="Heading1"/>
        <w:pBdr>
          <w:bottom w:val="single" w:sz="4" w:space="1" w:color="auto"/>
        </w:pBdr>
        <w:rPr>
          <w:rFonts w:cs="Arial"/>
          <w:b/>
          <w:bCs/>
        </w:rPr>
      </w:pPr>
      <w:bookmarkStart w:id="10" w:name="_Toc149326391"/>
      <w:r w:rsidRPr="00D3060E">
        <w:rPr>
          <w:rFonts w:cs="Arial"/>
          <w:b/>
          <w:bCs/>
        </w:rPr>
        <w:lastRenderedPageBreak/>
        <w:t>Reference</w:t>
      </w:r>
      <w:bookmarkEnd w:id="10"/>
    </w:p>
    <w:p w14:paraId="0EC57D75" w14:textId="77777777" w:rsidR="004B6EC3" w:rsidRPr="006C3814"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6C3814">
        <w:rPr>
          <w:rFonts w:eastAsia="Times New Roman" w:cs="Arial"/>
          <w:kern w:val="0"/>
          <w:szCs w:val="24"/>
          <w:lang w:val="en-US" w:bidi="bn-IN"/>
          <w14:ligatures w14:val="none"/>
        </w:rPr>
        <w:t xml:space="preserve">Anglim, J. </w:t>
      </w:r>
      <w:r w:rsidRPr="006C3814">
        <w:rPr>
          <w:rFonts w:eastAsia="Times New Roman" w:cs="Arial"/>
          <w:i/>
          <w:iCs/>
          <w:kern w:val="0"/>
          <w:szCs w:val="24"/>
          <w:lang w:val="en-US" w:bidi="bn-IN"/>
          <w14:ligatures w14:val="none"/>
        </w:rPr>
        <w:t>et al.</w:t>
      </w:r>
      <w:r w:rsidRPr="006C3814">
        <w:rPr>
          <w:rFonts w:eastAsia="Times New Roman" w:cs="Arial"/>
          <w:kern w:val="0"/>
          <w:szCs w:val="24"/>
          <w:lang w:val="en-US" w:bidi="bn-IN"/>
          <w14:ligatures w14:val="none"/>
        </w:rPr>
        <w:t xml:space="preserve"> (2019) </w:t>
      </w:r>
      <w:r w:rsidRPr="006C3814">
        <w:rPr>
          <w:rFonts w:eastAsia="Times New Roman" w:cs="Arial"/>
          <w:i/>
          <w:iCs/>
          <w:kern w:val="0"/>
          <w:szCs w:val="24"/>
          <w:lang w:val="en-US" w:bidi="bn-IN"/>
          <w14:ligatures w14:val="none"/>
        </w:rPr>
        <w:t>Predicting employee attitudes to workplace diversity from personality, values, and cognitive ability</w:t>
      </w:r>
      <w:r w:rsidRPr="006C3814">
        <w:rPr>
          <w:rFonts w:eastAsia="Times New Roman" w:cs="Arial"/>
          <w:kern w:val="0"/>
          <w:szCs w:val="24"/>
          <w:lang w:val="en-US" w:bidi="bn-IN"/>
          <w14:ligatures w14:val="none"/>
        </w:rPr>
        <w:t xml:space="preserve"> [Preprint]. doi:10.31234/osf.io/q3nx2. </w:t>
      </w:r>
    </w:p>
    <w:p w14:paraId="496AA7FA" w14:textId="77777777" w:rsidR="004B6EC3" w:rsidRPr="006C3814"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AE3515">
        <w:rPr>
          <w:rFonts w:eastAsia="Times New Roman" w:cs="Arial"/>
          <w:kern w:val="0"/>
          <w:szCs w:val="24"/>
          <w:lang w:val="en-US" w:bidi="bn-IN"/>
          <w14:ligatures w14:val="none"/>
        </w:rPr>
        <w:t xml:space="preserve">Beal, B. (2016) ‘Authentic way to retain hospitality staff’, </w:t>
      </w:r>
      <w:r w:rsidRPr="00AE3515">
        <w:rPr>
          <w:rFonts w:eastAsia="Times New Roman" w:cs="Arial"/>
          <w:i/>
          <w:iCs/>
          <w:kern w:val="0"/>
          <w:szCs w:val="24"/>
          <w:lang w:val="en-US" w:bidi="bn-IN"/>
          <w14:ligatures w14:val="none"/>
        </w:rPr>
        <w:t>Human Resource Management International Digest</w:t>
      </w:r>
      <w:r w:rsidRPr="00AE3515">
        <w:rPr>
          <w:rFonts w:eastAsia="Times New Roman" w:cs="Arial"/>
          <w:kern w:val="0"/>
          <w:szCs w:val="24"/>
          <w:lang w:val="en-US" w:bidi="bn-IN"/>
          <w14:ligatures w14:val="none"/>
        </w:rPr>
        <w:t xml:space="preserve">, 24(5), pp. 13–15. doi:10.1108/hrmid-04-2016-0051. </w:t>
      </w:r>
    </w:p>
    <w:p w14:paraId="1BBAFDAF"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AE3515">
        <w:rPr>
          <w:rFonts w:eastAsia="Times New Roman" w:cs="Arial"/>
          <w:kern w:val="0"/>
          <w:szCs w:val="24"/>
          <w:lang w:val="en-US" w:bidi="bn-IN"/>
          <w14:ligatures w14:val="none"/>
        </w:rPr>
        <w:t xml:space="preserve">Buchan, J. (2016) ‘Mixed messages fuel uncertainty over Brexit’, </w:t>
      </w:r>
      <w:r w:rsidRPr="00AE3515">
        <w:rPr>
          <w:rFonts w:eastAsia="Times New Roman" w:cs="Arial"/>
          <w:i/>
          <w:iCs/>
          <w:kern w:val="0"/>
          <w:szCs w:val="24"/>
          <w:lang w:val="en-US" w:bidi="bn-IN"/>
          <w14:ligatures w14:val="none"/>
        </w:rPr>
        <w:t>Nursing Standard</w:t>
      </w:r>
      <w:r w:rsidRPr="00AE3515">
        <w:rPr>
          <w:rFonts w:eastAsia="Times New Roman" w:cs="Arial"/>
          <w:kern w:val="0"/>
          <w:szCs w:val="24"/>
          <w:lang w:val="en-US" w:bidi="bn-IN"/>
          <w14:ligatures w14:val="none"/>
        </w:rPr>
        <w:t>, 30(46), pp. 28–28. doi:10.7748/ns.30.46.</w:t>
      </w:r>
      <w:proofErr w:type="gramStart"/>
      <w:r w:rsidRPr="00AE3515">
        <w:rPr>
          <w:rFonts w:eastAsia="Times New Roman" w:cs="Arial"/>
          <w:kern w:val="0"/>
          <w:szCs w:val="24"/>
          <w:lang w:val="en-US" w:bidi="bn-IN"/>
          <w14:ligatures w14:val="none"/>
        </w:rPr>
        <w:t>28.s</w:t>
      </w:r>
      <w:proofErr w:type="gramEnd"/>
      <w:r w:rsidRPr="00AE3515">
        <w:rPr>
          <w:rFonts w:eastAsia="Times New Roman" w:cs="Arial"/>
          <w:kern w:val="0"/>
          <w:szCs w:val="24"/>
          <w:lang w:val="en-US" w:bidi="bn-IN"/>
          <w14:ligatures w14:val="none"/>
        </w:rPr>
        <w:t xml:space="preserve">27. </w:t>
      </w:r>
    </w:p>
    <w:p w14:paraId="6FA2F092"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AE3515">
        <w:rPr>
          <w:rFonts w:eastAsia="Times New Roman" w:cs="Arial"/>
          <w:kern w:val="0"/>
          <w:szCs w:val="24"/>
          <w:lang w:val="en-US" w:bidi="bn-IN"/>
          <w14:ligatures w14:val="none"/>
        </w:rPr>
        <w:t xml:space="preserve">Chan, W., Morissette, R. and Frenette, M. (2011) ‘Workers laid-off during the last three recessions: Who were they, and how did they fare?’, </w:t>
      </w:r>
      <w:r w:rsidRPr="00AE3515">
        <w:rPr>
          <w:rFonts w:eastAsia="Times New Roman" w:cs="Arial"/>
          <w:i/>
          <w:iCs/>
          <w:kern w:val="0"/>
          <w:szCs w:val="24"/>
          <w:lang w:val="en-US" w:bidi="bn-IN"/>
          <w14:ligatures w14:val="none"/>
        </w:rPr>
        <w:t>SSRN Electronic Journal</w:t>
      </w:r>
      <w:r w:rsidRPr="00AE3515">
        <w:rPr>
          <w:rFonts w:eastAsia="Times New Roman" w:cs="Arial"/>
          <w:kern w:val="0"/>
          <w:szCs w:val="24"/>
          <w:lang w:val="en-US" w:bidi="bn-IN"/>
          <w14:ligatures w14:val="none"/>
        </w:rPr>
        <w:t xml:space="preserve"> [Preprint]. doi:10.2139/ssrn.1937865. </w:t>
      </w:r>
    </w:p>
    <w:p w14:paraId="58F4149D"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AE3515">
        <w:rPr>
          <w:rFonts w:eastAsia="Times New Roman" w:cs="Arial"/>
          <w:kern w:val="0"/>
          <w:szCs w:val="24"/>
          <w:lang w:val="en-US" w:bidi="bn-IN"/>
          <w14:ligatures w14:val="none"/>
        </w:rPr>
        <w:t xml:space="preserve">Cheung, C. and Baum, T. (2018) ‘How to develop hotel brand Internalization Among Hotel Employees’, </w:t>
      </w:r>
      <w:r w:rsidRPr="00AE3515">
        <w:rPr>
          <w:rFonts w:eastAsia="Times New Roman" w:cs="Arial"/>
          <w:i/>
          <w:iCs/>
          <w:kern w:val="0"/>
          <w:szCs w:val="24"/>
          <w:lang w:val="en-US" w:bidi="bn-IN"/>
          <w14:ligatures w14:val="none"/>
        </w:rPr>
        <w:t>Handbook of Human Resource Management in the Tourism and Hospitality Industries</w:t>
      </w:r>
      <w:r w:rsidRPr="00AE3515">
        <w:rPr>
          <w:rFonts w:eastAsia="Times New Roman" w:cs="Arial"/>
          <w:kern w:val="0"/>
          <w:szCs w:val="24"/>
          <w:lang w:val="en-US" w:bidi="bn-IN"/>
          <w14:ligatures w14:val="none"/>
        </w:rPr>
        <w:t xml:space="preserve"> [Preprint]. doi:10.4337/9781786431370.00012. </w:t>
      </w:r>
    </w:p>
    <w:p w14:paraId="26C7A361"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AE3515">
        <w:rPr>
          <w:rFonts w:eastAsia="Times New Roman" w:cs="Arial"/>
          <w:kern w:val="0"/>
          <w:szCs w:val="24"/>
          <w:lang w:val="en-US" w:bidi="bn-IN"/>
          <w14:ligatures w14:val="none"/>
        </w:rPr>
        <w:t xml:space="preserve">Gurov, S.A. (2022) ‘Feedback as a tool to manage change in hotel service on the example of a five-star hotel’, </w:t>
      </w:r>
      <w:proofErr w:type="spellStart"/>
      <w:r w:rsidRPr="00AE3515">
        <w:rPr>
          <w:rFonts w:eastAsia="Times New Roman" w:cs="Arial"/>
          <w:i/>
          <w:iCs/>
          <w:kern w:val="0"/>
          <w:szCs w:val="24"/>
          <w:lang w:val="en-US" w:bidi="bn-IN"/>
          <w14:ligatures w14:val="none"/>
        </w:rPr>
        <w:t>Gostinichnoe</w:t>
      </w:r>
      <w:proofErr w:type="spellEnd"/>
      <w:r w:rsidRPr="00AE3515">
        <w:rPr>
          <w:rFonts w:eastAsia="Times New Roman" w:cs="Arial"/>
          <w:i/>
          <w:iCs/>
          <w:kern w:val="0"/>
          <w:szCs w:val="24"/>
          <w:lang w:val="en-US" w:bidi="bn-IN"/>
          <w14:ligatures w14:val="none"/>
        </w:rPr>
        <w:t xml:space="preserve"> </w:t>
      </w:r>
      <w:proofErr w:type="spellStart"/>
      <w:r w:rsidRPr="00AE3515">
        <w:rPr>
          <w:rFonts w:eastAsia="Times New Roman" w:cs="Arial"/>
          <w:i/>
          <w:iCs/>
          <w:kern w:val="0"/>
          <w:szCs w:val="24"/>
          <w:lang w:val="en-US" w:bidi="bn-IN"/>
          <w14:ligatures w14:val="none"/>
        </w:rPr>
        <w:t>delo</w:t>
      </w:r>
      <w:proofErr w:type="spellEnd"/>
      <w:r w:rsidRPr="00AE3515">
        <w:rPr>
          <w:rFonts w:eastAsia="Times New Roman" w:cs="Arial"/>
          <w:i/>
          <w:iCs/>
          <w:kern w:val="0"/>
          <w:szCs w:val="24"/>
          <w:lang w:val="en-US" w:bidi="bn-IN"/>
          <w14:ligatures w14:val="none"/>
        </w:rPr>
        <w:t xml:space="preserve"> (Hotel Business)</w:t>
      </w:r>
      <w:r w:rsidRPr="00AE3515">
        <w:rPr>
          <w:rFonts w:eastAsia="Times New Roman" w:cs="Arial"/>
          <w:kern w:val="0"/>
          <w:szCs w:val="24"/>
          <w:lang w:val="en-US" w:bidi="bn-IN"/>
          <w14:ligatures w14:val="none"/>
        </w:rPr>
        <w:t xml:space="preserve">, (9), pp. 581–588. doi:10.33920/igt-2-2209-04. </w:t>
      </w:r>
    </w:p>
    <w:p w14:paraId="53D379A2"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proofErr w:type="spellStart"/>
      <w:r w:rsidRPr="00AE3515">
        <w:rPr>
          <w:rFonts w:eastAsia="Times New Roman" w:cs="Arial"/>
          <w:kern w:val="0"/>
          <w:szCs w:val="24"/>
          <w:lang w:val="en-US" w:bidi="bn-IN"/>
          <w14:ligatures w14:val="none"/>
        </w:rPr>
        <w:t>Hinkin</w:t>
      </w:r>
      <w:proofErr w:type="spellEnd"/>
      <w:r w:rsidRPr="00AE3515">
        <w:rPr>
          <w:rFonts w:eastAsia="Times New Roman" w:cs="Arial"/>
          <w:kern w:val="0"/>
          <w:szCs w:val="24"/>
          <w:lang w:val="en-US" w:bidi="bn-IN"/>
          <w14:ligatures w14:val="none"/>
        </w:rPr>
        <w:t xml:space="preserve">, T. (2012) ‘Becoming a leader in the hospitality industry’, </w:t>
      </w:r>
      <w:r w:rsidRPr="00AE3515">
        <w:rPr>
          <w:rFonts w:eastAsia="Times New Roman" w:cs="Arial"/>
          <w:i/>
          <w:iCs/>
          <w:kern w:val="0"/>
          <w:szCs w:val="24"/>
          <w:lang w:val="en-US" w:bidi="bn-IN"/>
          <w14:ligatures w14:val="none"/>
        </w:rPr>
        <w:t>The Cornell School of Hotel Administration on Hospitality</w:t>
      </w:r>
      <w:r w:rsidRPr="00AE3515">
        <w:rPr>
          <w:rFonts w:eastAsia="Times New Roman" w:cs="Arial"/>
          <w:kern w:val="0"/>
          <w:szCs w:val="24"/>
          <w:lang w:val="en-US" w:bidi="bn-IN"/>
          <w14:ligatures w14:val="none"/>
        </w:rPr>
        <w:t xml:space="preserve">, pp. 65–79. </w:t>
      </w:r>
      <w:proofErr w:type="gramStart"/>
      <w:r w:rsidRPr="00AE3515">
        <w:rPr>
          <w:rFonts w:eastAsia="Times New Roman" w:cs="Arial"/>
          <w:kern w:val="0"/>
          <w:szCs w:val="24"/>
          <w:lang w:val="en-US" w:bidi="bn-IN"/>
          <w14:ligatures w14:val="none"/>
        </w:rPr>
        <w:t>doi:10.1002/9781119200901.ch6</w:t>
      </w:r>
      <w:proofErr w:type="gramEnd"/>
      <w:r w:rsidRPr="00AE3515">
        <w:rPr>
          <w:rFonts w:eastAsia="Times New Roman" w:cs="Arial"/>
          <w:kern w:val="0"/>
          <w:szCs w:val="24"/>
          <w:lang w:val="en-US" w:bidi="bn-IN"/>
          <w14:ligatures w14:val="none"/>
        </w:rPr>
        <w:t xml:space="preserve">. </w:t>
      </w:r>
    </w:p>
    <w:p w14:paraId="72EE1AEF" w14:textId="77777777" w:rsidR="004B6EC3" w:rsidRPr="006C3814"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6C3814">
        <w:rPr>
          <w:rFonts w:eastAsia="Times New Roman" w:cs="Arial"/>
          <w:kern w:val="0"/>
          <w:szCs w:val="24"/>
          <w:lang w:val="en-US" w:bidi="bn-IN"/>
          <w14:ligatures w14:val="none"/>
        </w:rPr>
        <w:t xml:space="preserve">Hobart, M. (2011) ‘Integration of Primary Health Care &amp; Wellness Services into a Community Mental Health Center’, </w:t>
      </w:r>
      <w:r w:rsidRPr="006C3814">
        <w:rPr>
          <w:rFonts w:eastAsia="Times New Roman" w:cs="Arial"/>
          <w:i/>
          <w:iCs/>
          <w:kern w:val="0"/>
          <w:szCs w:val="24"/>
          <w:lang w:val="en-US" w:bidi="bn-IN"/>
          <w14:ligatures w14:val="none"/>
        </w:rPr>
        <w:t>Psychiatry Information in Brief</w:t>
      </w:r>
      <w:r w:rsidRPr="006C3814">
        <w:rPr>
          <w:rFonts w:eastAsia="Times New Roman" w:cs="Arial"/>
          <w:kern w:val="0"/>
          <w:szCs w:val="24"/>
          <w:lang w:val="en-US" w:bidi="bn-IN"/>
          <w14:ligatures w14:val="none"/>
        </w:rPr>
        <w:t xml:space="preserve">, 8(6). doi:10.7191/pib.1053. </w:t>
      </w:r>
    </w:p>
    <w:p w14:paraId="338C2FEC" w14:textId="0561E135" w:rsidR="004B6EC3" w:rsidRPr="006C3814" w:rsidRDefault="00746D1F" w:rsidP="004B6EC3">
      <w:pPr>
        <w:spacing w:before="100" w:beforeAutospacing="1" w:after="100" w:afterAutospacing="1" w:line="360" w:lineRule="auto"/>
        <w:ind w:left="567" w:hanging="567"/>
        <w:rPr>
          <w:rFonts w:eastAsia="Times New Roman" w:cs="Arial"/>
          <w:kern w:val="0"/>
          <w:szCs w:val="24"/>
          <w:lang w:val="en-US" w:bidi="bn-IN"/>
          <w14:ligatures w14:val="none"/>
        </w:rPr>
      </w:pPr>
      <w:proofErr w:type="spellStart"/>
      <w:r>
        <w:rPr>
          <w:rFonts w:eastAsia="Times New Roman" w:cs="Arial"/>
          <w:kern w:val="0"/>
          <w:szCs w:val="24"/>
          <w:lang w:val="en-US" w:bidi="bn-IN"/>
          <w14:ligatures w14:val="none"/>
        </w:rPr>
        <w:t>J</w:t>
      </w:r>
      <w:r w:rsidR="004B6EC3" w:rsidRPr="006C3814">
        <w:rPr>
          <w:rFonts w:eastAsia="Times New Roman" w:cs="Arial"/>
          <w:kern w:val="0"/>
          <w:szCs w:val="24"/>
          <w:lang w:val="en-US" w:bidi="bn-IN"/>
          <w14:ligatures w14:val="none"/>
        </w:rPr>
        <w:t>alilehvand</w:t>
      </w:r>
      <w:proofErr w:type="spellEnd"/>
      <w:r w:rsidR="004B6EC3" w:rsidRPr="006C3814">
        <w:rPr>
          <w:rFonts w:eastAsia="Times New Roman" w:cs="Arial"/>
          <w:kern w:val="0"/>
          <w:szCs w:val="24"/>
          <w:lang w:val="en-US" w:bidi="bn-IN"/>
          <w14:ligatures w14:val="none"/>
        </w:rPr>
        <w:t xml:space="preserve">, </w:t>
      </w:r>
      <w:proofErr w:type="spellStart"/>
      <w:r w:rsidR="004B6EC3" w:rsidRPr="006C3814">
        <w:rPr>
          <w:rFonts w:eastAsia="Times New Roman" w:cs="Arial"/>
          <w:kern w:val="0"/>
          <w:szCs w:val="24"/>
          <w:lang w:val="en-US" w:bidi="bn-IN"/>
          <w14:ligatures w14:val="none"/>
        </w:rPr>
        <w:t>aliakbar</w:t>
      </w:r>
      <w:proofErr w:type="spellEnd"/>
      <w:r w:rsidR="004B6EC3" w:rsidRPr="006C3814">
        <w:rPr>
          <w:rFonts w:eastAsia="Times New Roman" w:cs="Arial"/>
          <w:kern w:val="0"/>
          <w:szCs w:val="24"/>
          <w:lang w:val="en-US" w:bidi="bn-IN"/>
          <w14:ligatures w14:val="none"/>
        </w:rPr>
        <w:t xml:space="preserve"> </w:t>
      </w:r>
      <w:r w:rsidR="004B6EC3" w:rsidRPr="006C3814">
        <w:rPr>
          <w:rFonts w:eastAsia="Times New Roman" w:cs="Arial"/>
          <w:i/>
          <w:iCs/>
          <w:kern w:val="0"/>
          <w:szCs w:val="24"/>
          <w:lang w:val="en-US" w:bidi="bn-IN"/>
          <w14:ligatures w14:val="none"/>
        </w:rPr>
        <w:t>et al.</w:t>
      </w:r>
      <w:r w:rsidR="004B6EC3" w:rsidRPr="006C3814">
        <w:rPr>
          <w:rFonts w:eastAsia="Times New Roman" w:cs="Arial"/>
          <w:kern w:val="0"/>
          <w:szCs w:val="24"/>
          <w:lang w:val="en-US" w:bidi="bn-IN"/>
          <w14:ligatures w14:val="none"/>
        </w:rPr>
        <w:t xml:space="preserve"> (2021) ‘Providing a model of professional training for employees (case study:      </w:t>
      </w:r>
      <w:proofErr w:type="spellStart"/>
      <w:r w:rsidR="004B6EC3" w:rsidRPr="006C3814">
        <w:rPr>
          <w:rFonts w:eastAsia="Times New Roman" w:cs="Arial"/>
          <w:kern w:val="0"/>
          <w:szCs w:val="24"/>
          <w:lang w:val="en-US" w:bidi="bn-IN"/>
          <w14:ligatures w14:val="none"/>
        </w:rPr>
        <w:t>qeshm</w:t>
      </w:r>
      <w:proofErr w:type="spellEnd"/>
      <w:r w:rsidR="004B6EC3" w:rsidRPr="006C3814">
        <w:rPr>
          <w:rFonts w:eastAsia="Times New Roman" w:cs="Arial"/>
          <w:kern w:val="0"/>
          <w:szCs w:val="24"/>
          <w:lang w:val="en-US" w:bidi="bn-IN"/>
          <w14:ligatures w14:val="none"/>
        </w:rPr>
        <w:t xml:space="preserve"> </w:t>
      </w:r>
      <w:proofErr w:type="spellStart"/>
      <w:r w:rsidR="004B6EC3" w:rsidRPr="006C3814">
        <w:rPr>
          <w:rFonts w:eastAsia="Times New Roman" w:cs="Arial"/>
          <w:kern w:val="0"/>
          <w:szCs w:val="24"/>
          <w:lang w:val="en-US" w:bidi="bn-IN"/>
          <w14:ligatures w14:val="none"/>
        </w:rPr>
        <w:t>azhend</w:t>
      </w:r>
      <w:proofErr w:type="spellEnd"/>
      <w:r w:rsidR="004B6EC3" w:rsidRPr="006C3814">
        <w:rPr>
          <w:rFonts w:eastAsia="Times New Roman" w:cs="Arial"/>
          <w:kern w:val="0"/>
          <w:szCs w:val="24"/>
          <w:lang w:val="en-US" w:bidi="bn-IN"/>
          <w14:ligatures w14:val="none"/>
        </w:rPr>
        <w:t xml:space="preserve"> company)’, </w:t>
      </w:r>
      <w:r w:rsidR="004B6EC3" w:rsidRPr="006C3814">
        <w:rPr>
          <w:rFonts w:eastAsia="Times New Roman" w:cs="Arial"/>
          <w:i/>
          <w:iCs/>
          <w:kern w:val="0"/>
          <w:szCs w:val="24"/>
          <w:lang w:val="en-US" w:bidi="bn-IN"/>
          <w14:ligatures w14:val="none"/>
        </w:rPr>
        <w:t>Quarterly Journal of Training and Development of Human Resources</w:t>
      </w:r>
      <w:r w:rsidR="004B6EC3" w:rsidRPr="006C3814">
        <w:rPr>
          <w:rFonts w:eastAsia="Times New Roman" w:cs="Arial"/>
          <w:kern w:val="0"/>
          <w:szCs w:val="24"/>
          <w:lang w:val="en-US" w:bidi="bn-IN"/>
          <w14:ligatures w14:val="none"/>
        </w:rPr>
        <w:t xml:space="preserve">, 8(29), pp. 98–122. doi:10.52547/istd.31334.8.29.98. </w:t>
      </w:r>
    </w:p>
    <w:p w14:paraId="24173632"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AE3515">
        <w:rPr>
          <w:rFonts w:eastAsia="Times New Roman" w:cs="Arial"/>
          <w:kern w:val="0"/>
          <w:szCs w:val="24"/>
          <w:lang w:val="en-US" w:bidi="bn-IN"/>
          <w14:ligatures w14:val="none"/>
        </w:rPr>
        <w:lastRenderedPageBreak/>
        <w:t xml:space="preserve">Komorowski, M. (2019) ‘Brexit and the media industry – how Europe’s capitals attract UK’s businesses’, </w:t>
      </w:r>
      <w:r w:rsidRPr="00AE3515">
        <w:rPr>
          <w:rFonts w:eastAsia="Times New Roman" w:cs="Arial"/>
          <w:i/>
          <w:iCs/>
          <w:kern w:val="0"/>
          <w:szCs w:val="24"/>
          <w:lang w:val="en-US" w:bidi="bn-IN"/>
          <w14:ligatures w14:val="none"/>
        </w:rPr>
        <w:t>Regions</w:t>
      </w:r>
      <w:r w:rsidRPr="00AE3515">
        <w:rPr>
          <w:rFonts w:eastAsia="Times New Roman" w:cs="Arial"/>
          <w:kern w:val="0"/>
          <w:szCs w:val="24"/>
          <w:lang w:val="en-US" w:bidi="bn-IN"/>
          <w14:ligatures w14:val="none"/>
        </w:rPr>
        <w:t xml:space="preserve"> [Preprint]. doi:10.1080/13673882.2018.00001051. </w:t>
      </w:r>
    </w:p>
    <w:p w14:paraId="2986DE41" w14:textId="77777777" w:rsidR="004B6EC3" w:rsidRPr="006C3814"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6C3814">
        <w:rPr>
          <w:rFonts w:eastAsia="Times New Roman" w:cs="Arial"/>
          <w:kern w:val="0"/>
          <w:szCs w:val="24"/>
          <w:lang w:val="en-US" w:bidi="bn-IN"/>
          <w14:ligatures w14:val="none"/>
        </w:rPr>
        <w:t xml:space="preserve">Krylova, K.O., Vera, D. and Crossan, M. (2016) ‘Knowledge transfer in knowledge-intensive organizations: The crucial role of improvisation in transferring and protecting knowledge’, </w:t>
      </w:r>
      <w:r w:rsidRPr="006C3814">
        <w:rPr>
          <w:rFonts w:eastAsia="Times New Roman" w:cs="Arial"/>
          <w:i/>
          <w:iCs/>
          <w:kern w:val="0"/>
          <w:szCs w:val="24"/>
          <w:lang w:val="en-US" w:bidi="bn-IN"/>
          <w14:ligatures w14:val="none"/>
        </w:rPr>
        <w:t>Journal of Knowledge Management</w:t>
      </w:r>
      <w:r w:rsidRPr="006C3814">
        <w:rPr>
          <w:rFonts w:eastAsia="Times New Roman" w:cs="Arial"/>
          <w:kern w:val="0"/>
          <w:szCs w:val="24"/>
          <w:lang w:val="en-US" w:bidi="bn-IN"/>
          <w14:ligatures w14:val="none"/>
        </w:rPr>
        <w:t xml:space="preserve">, 20(5), pp. 1045–1064. doi:10.1108/jkm-10-2015-0385. </w:t>
      </w:r>
    </w:p>
    <w:p w14:paraId="36091F08"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AE3515">
        <w:rPr>
          <w:rFonts w:eastAsia="Times New Roman" w:cs="Arial"/>
          <w:kern w:val="0"/>
          <w:szCs w:val="24"/>
          <w:lang w:val="en-US" w:bidi="bn-IN"/>
          <w14:ligatures w14:val="none"/>
        </w:rPr>
        <w:t xml:space="preserve">Kular, N.K. (2017) ‘Stress management: Concept’, </w:t>
      </w:r>
      <w:r w:rsidRPr="00AE3515">
        <w:rPr>
          <w:rFonts w:eastAsia="Times New Roman" w:cs="Arial"/>
          <w:i/>
          <w:iCs/>
          <w:kern w:val="0"/>
          <w:szCs w:val="24"/>
          <w:lang w:val="en-US" w:bidi="bn-IN"/>
          <w14:ligatures w14:val="none"/>
        </w:rPr>
        <w:t>Employees and Employers in Service Organizations</w:t>
      </w:r>
      <w:r w:rsidRPr="00AE3515">
        <w:rPr>
          <w:rFonts w:eastAsia="Times New Roman" w:cs="Arial"/>
          <w:kern w:val="0"/>
          <w:szCs w:val="24"/>
          <w:lang w:val="en-US" w:bidi="bn-IN"/>
          <w14:ligatures w14:val="none"/>
        </w:rPr>
        <w:t xml:space="preserve">, pp. 291–334. doi:10.1201/9781315365855-13. </w:t>
      </w:r>
    </w:p>
    <w:p w14:paraId="16F85152"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AE3515">
        <w:rPr>
          <w:rFonts w:eastAsia="Times New Roman" w:cs="Arial"/>
          <w:kern w:val="0"/>
          <w:szCs w:val="24"/>
          <w:lang w:val="en-US" w:bidi="bn-IN"/>
          <w14:ligatures w14:val="none"/>
        </w:rPr>
        <w:t xml:space="preserve">Lawrence, R.G. and Boydstun, A.E. (2017) ‘Celebrities as political actors and entertainment as political media’, </w:t>
      </w:r>
      <w:r w:rsidRPr="00AE3515">
        <w:rPr>
          <w:rFonts w:eastAsia="Times New Roman" w:cs="Arial"/>
          <w:i/>
          <w:iCs/>
          <w:kern w:val="0"/>
          <w:szCs w:val="24"/>
          <w:lang w:val="en-US" w:bidi="bn-IN"/>
          <w14:ligatures w14:val="none"/>
        </w:rPr>
        <w:t>How Political Actors Use the Media</w:t>
      </w:r>
      <w:r w:rsidRPr="00AE3515">
        <w:rPr>
          <w:rFonts w:eastAsia="Times New Roman" w:cs="Arial"/>
          <w:kern w:val="0"/>
          <w:szCs w:val="24"/>
          <w:lang w:val="en-US" w:bidi="bn-IN"/>
          <w14:ligatures w14:val="none"/>
        </w:rPr>
        <w:t xml:space="preserve">, pp. 39–61. doi:10.1007/978-3-319-60249-3_3. </w:t>
      </w:r>
    </w:p>
    <w:p w14:paraId="4F548158" w14:textId="77777777" w:rsidR="004B6EC3" w:rsidRPr="006C3814"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6C3814">
        <w:rPr>
          <w:rFonts w:eastAsia="Times New Roman" w:cs="Arial"/>
          <w:kern w:val="0"/>
          <w:szCs w:val="24"/>
          <w:lang w:val="en-US" w:bidi="bn-IN"/>
          <w14:ligatures w14:val="none"/>
        </w:rPr>
        <w:t xml:space="preserve">Luce, S. (2021) ‘The living wage, fight for $15, and low-wage worker campaigns in the US’, </w:t>
      </w:r>
      <w:r w:rsidRPr="006C3814">
        <w:rPr>
          <w:rFonts w:eastAsia="Times New Roman" w:cs="Arial"/>
          <w:i/>
          <w:iCs/>
          <w:kern w:val="0"/>
          <w:szCs w:val="24"/>
          <w:lang w:val="en-US" w:bidi="bn-IN"/>
          <w14:ligatures w14:val="none"/>
        </w:rPr>
        <w:t>The Living Wage</w:t>
      </w:r>
      <w:r w:rsidRPr="006C3814">
        <w:rPr>
          <w:rFonts w:eastAsia="Times New Roman" w:cs="Arial"/>
          <w:kern w:val="0"/>
          <w:szCs w:val="24"/>
          <w:lang w:val="en-US" w:bidi="bn-IN"/>
          <w14:ligatures w14:val="none"/>
        </w:rPr>
        <w:t xml:space="preserve">, pp. 135–145. doi:10.4324/9781003054078-13. </w:t>
      </w:r>
    </w:p>
    <w:p w14:paraId="77F2DC8A"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AE3515">
        <w:rPr>
          <w:rFonts w:eastAsia="Times New Roman" w:cs="Arial"/>
          <w:kern w:val="0"/>
          <w:szCs w:val="24"/>
          <w:lang w:val="en-US" w:bidi="bn-IN"/>
          <w14:ligatures w14:val="none"/>
        </w:rPr>
        <w:t xml:space="preserve">May, B. (2023) ‘Global: The worst of the global downturn may be over’, </w:t>
      </w:r>
      <w:r w:rsidRPr="00AE3515">
        <w:rPr>
          <w:rFonts w:eastAsia="Times New Roman" w:cs="Arial"/>
          <w:i/>
          <w:iCs/>
          <w:kern w:val="0"/>
          <w:szCs w:val="24"/>
          <w:lang w:val="en-US" w:bidi="bn-IN"/>
          <w14:ligatures w14:val="none"/>
        </w:rPr>
        <w:t>Economic Outlook</w:t>
      </w:r>
      <w:r w:rsidRPr="00AE3515">
        <w:rPr>
          <w:rFonts w:eastAsia="Times New Roman" w:cs="Arial"/>
          <w:kern w:val="0"/>
          <w:szCs w:val="24"/>
          <w:lang w:val="en-US" w:bidi="bn-IN"/>
          <w14:ligatures w14:val="none"/>
        </w:rPr>
        <w:t xml:space="preserve">, 47(1), pp. 39–40. doi:10.1111/1468-0319.12671. </w:t>
      </w:r>
    </w:p>
    <w:p w14:paraId="3B039697"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AE3515">
        <w:rPr>
          <w:rFonts w:eastAsia="Times New Roman" w:cs="Arial"/>
          <w:kern w:val="0"/>
          <w:szCs w:val="24"/>
          <w:lang w:val="en-US" w:bidi="bn-IN"/>
          <w14:ligatures w14:val="none"/>
        </w:rPr>
        <w:t xml:space="preserve">Ribera, J. (2017) ‘Challenge and freedom: It is vital to give employees challenges and enough freedom so they can find ways to grow’, </w:t>
      </w:r>
      <w:r w:rsidRPr="00AE3515">
        <w:rPr>
          <w:rFonts w:eastAsia="Times New Roman" w:cs="Arial"/>
          <w:i/>
          <w:iCs/>
          <w:kern w:val="0"/>
          <w:szCs w:val="24"/>
          <w:lang w:val="en-US" w:bidi="bn-IN"/>
          <w14:ligatures w14:val="none"/>
        </w:rPr>
        <w:t>IESE Insight</w:t>
      </w:r>
      <w:r w:rsidRPr="00AE3515">
        <w:rPr>
          <w:rFonts w:eastAsia="Times New Roman" w:cs="Arial"/>
          <w:kern w:val="0"/>
          <w:szCs w:val="24"/>
          <w:lang w:val="en-US" w:bidi="bn-IN"/>
          <w14:ligatures w14:val="none"/>
        </w:rPr>
        <w:t xml:space="preserve">, (35), pp. 70–70. </w:t>
      </w:r>
      <w:proofErr w:type="gramStart"/>
      <w:r w:rsidRPr="00AE3515">
        <w:rPr>
          <w:rFonts w:eastAsia="Times New Roman" w:cs="Arial"/>
          <w:kern w:val="0"/>
          <w:szCs w:val="24"/>
          <w:lang w:val="en-US" w:bidi="bn-IN"/>
          <w14:ligatures w14:val="none"/>
        </w:rPr>
        <w:t>doi:10.15581/002.opi</w:t>
      </w:r>
      <w:proofErr w:type="gramEnd"/>
      <w:r w:rsidRPr="00AE3515">
        <w:rPr>
          <w:rFonts w:eastAsia="Times New Roman" w:cs="Arial"/>
          <w:kern w:val="0"/>
          <w:szCs w:val="24"/>
          <w:lang w:val="en-US" w:bidi="bn-IN"/>
          <w14:ligatures w14:val="none"/>
        </w:rPr>
        <w:t xml:space="preserve">-4254. </w:t>
      </w:r>
    </w:p>
    <w:p w14:paraId="13B4ED75"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AE3515">
        <w:rPr>
          <w:rFonts w:eastAsia="Times New Roman" w:cs="Arial"/>
          <w:kern w:val="0"/>
          <w:szCs w:val="24"/>
          <w:lang w:val="en-US" w:bidi="bn-IN"/>
          <w14:ligatures w14:val="none"/>
        </w:rPr>
        <w:t xml:space="preserve">Robak, J.C. (2013) ‘Recruiting and retaining staff in a rebounding economy and employment market’, </w:t>
      </w:r>
      <w:r w:rsidRPr="00AE3515">
        <w:rPr>
          <w:rFonts w:eastAsia="Times New Roman" w:cs="Arial"/>
          <w:i/>
          <w:iCs/>
          <w:kern w:val="0"/>
          <w:szCs w:val="24"/>
          <w:lang w:val="en-US" w:bidi="bn-IN"/>
          <w14:ligatures w14:val="none"/>
        </w:rPr>
        <w:t>Journal AWWA</w:t>
      </w:r>
      <w:r w:rsidRPr="00AE3515">
        <w:rPr>
          <w:rFonts w:eastAsia="Times New Roman" w:cs="Arial"/>
          <w:kern w:val="0"/>
          <w:szCs w:val="24"/>
          <w:lang w:val="en-US" w:bidi="bn-IN"/>
          <w14:ligatures w14:val="none"/>
        </w:rPr>
        <w:t xml:space="preserve">, 105(8), pp. 26–28. doi:10.5942/jawwa.2013.105.0125. </w:t>
      </w:r>
    </w:p>
    <w:p w14:paraId="1F0669BD"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proofErr w:type="spellStart"/>
      <w:r w:rsidRPr="00AE3515">
        <w:rPr>
          <w:rFonts w:eastAsia="Times New Roman" w:cs="Arial"/>
          <w:kern w:val="0"/>
          <w:szCs w:val="24"/>
          <w:lang w:val="en-US" w:bidi="bn-IN"/>
          <w14:ligatures w14:val="none"/>
        </w:rPr>
        <w:t>Simral</w:t>
      </w:r>
      <w:proofErr w:type="spellEnd"/>
      <w:r w:rsidRPr="00AE3515">
        <w:rPr>
          <w:rFonts w:eastAsia="Times New Roman" w:cs="Arial"/>
          <w:kern w:val="0"/>
          <w:szCs w:val="24"/>
          <w:lang w:val="en-US" w:bidi="bn-IN"/>
          <w14:ligatures w14:val="none"/>
        </w:rPr>
        <w:t xml:space="preserve">, V. (2017) ‘The strengths and weaknesses of political funding regulations’, </w:t>
      </w:r>
      <w:r w:rsidRPr="00AE3515">
        <w:rPr>
          <w:rFonts w:eastAsia="Times New Roman" w:cs="Arial"/>
          <w:i/>
          <w:iCs/>
          <w:kern w:val="0"/>
          <w:szCs w:val="24"/>
          <w:lang w:val="en-US" w:bidi="bn-IN"/>
          <w14:ligatures w14:val="none"/>
        </w:rPr>
        <w:t>Corruption and Norms</w:t>
      </w:r>
      <w:r w:rsidRPr="00AE3515">
        <w:rPr>
          <w:rFonts w:eastAsia="Times New Roman" w:cs="Arial"/>
          <w:kern w:val="0"/>
          <w:szCs w:val="24"/>
          <w:lang w:val="en-US" w:bidi="bn-IN"/>
          <w14:ligatures w14:val="none"/>
        </w:rPr>
        <w:t xml:space="preserve">, pp. 269–290. doi:10.1007/978-3-319-66254-1_13. </w:t>
      </w:r>
    </w:p>
    <w:p w14:paraId="54132F08"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r w:rsidRPr="00AE3515">
        <w:rPr>
          <w:rFonts w:eastAsia="Times New Roman" w:cs="Arial"/>
          <w:kern w:val="0"/>
          <w:szCs w:val="24"/>
          <w:lang w:val="en-US" w:bidi="bn-IN"/>
          <w14:ligatures w14:val="none"/>
        </w:rPr>
        <w:t xml:space="preserve">Smith, J. (2022) ‘Covid-19, Brexit and the United Kingdom – a year of uncertainty’, </w:t>
      </w:r>
      <w:r w:rsidRPr="00AE3515">
        <w:rPr>
          <w:rFonts w:eastAsia="Times New Roman" w:cs="Arial"/>
          <w:i/>
          <w:iCs/>
          <w:kern w:val="0"/>
          <w:szCs w:val="24"/>
          <w:lang w:val="en-US" w:bidi="bn-IN"/>
          <w14:ligatures w14:val="none"/>
        </w:rPr>
        <w:t>COVID-19 in the Commonwealth</w:t>
      </w:r>
      <w:r w:rsidRPr="00AE3515">
        <w:rPr>
          <w:rFonts w:eastAsia="Times New Roman" w:cs="Arial"/>
          <w:kern w:val="0"/>
          <w:szCs w:val="24"/>
          <w:lang w:val="en-US" w:bidi="bn-IN"/>
          <w14:ligatures w14:val="none"/>
        </w:rPr>
        <w:t xml:space="preserve">, pp. 53–66. doi:10.4324/9781003341291-5. </w:t>
      </w:r>
    </w:p>
    <w:p w14:paraId="7F0028A9" w14:textId="77777777" w:rsidR="004B6EC3" w:rsidRPr="00AE3515" w:rsidRDefault="004B6EC3" w:rsidP="004B6EC3">
      <w:pPr>
        <w:spacing w:before="100" w:beforeAutospacing="1" w:after="100" w:afterAutospacing="1" w:line="360" w:lineRule="auto"/>
        <w:ind w:left="567" w:hanging="567"/>
        <w:rPr>
          <w:rFonts w:eastAsia="Times New Roman" w:cs="Arial"/>
          <w:kern w:val="0"/>
          <w:szCs w:val="24"/>
          <w:lang w:val="en-US" w:bidi="bn-IN"/>
          <w14:ligatures w14:val="none"/>
        </w:rPr>
      </w:pPr>
      <w:proofErr w:type="spellStart"/>
      <w:r w:rsidRPr="00AE3515">
        <w:rPr>
          <w:rFonts w:eastAsia="Times New Roman" w:cs="Arial"/>
          <w:kern w:val="0"/>
          <w:szCs w:val="24"/>
          <w:lang w:val="en-US" w:bidi="bn-IN"/>
          <w14:ligatures w14:val="none"/>
        </w:rPr>
        <w:lastRenderedPageBreak/>
        <w:t>Terzioğlu</w:t>
      </w:r>
      <w:proofErr w:type="spellEnd"/>
      <w:r w:rsidRPr="00AE3515">
        <w:rPr>
          <w:rFonts w:eastAsia="Times New Roman" w:cs="Arial"/>
          <w:kern w:val="0"/>
          <w:szCs w:val="24"/>
          <w:lang w:val="en-US" w:bidi="bn-IN"/>
          <w14:ligatures w14:val="none"/>
        </w:rPr>
        <w:t xml:space="preserve">, M.K. (2018) ‘Effects of inflation uncertainty on economic policies: Inflation-targeting regime’, </w:t>
      </w:r>
      <w:r w:rsidRPr="00AE3515">
        <w:rPr>
          <w:rFonts w:eastAsia="Times New Roman" w:cs="Arial"/>
          <w:i/>
          <w:iCs/>
          <w:kern w:val="0"/>
          <w:szCs w:val="24"/>
          <w:lang w:val="en-US" w:bidi="bn-IN"/>
          <w14:ligatures w14:val="none"/>
        </w:rPr>
        <w:t>Financial Management from an Emerging Market Perspective</w:t>
      </w:r>
      <w:r w:rsidRPr="00AE3515">
        <w:rPr>
          <w:rFonts w:eastAsia="Times New Roman" w:cs="Arial"/>
          <w:kern w:val="0"/>
          <w:szCs w:val="24"/>
          <w:lang w:val="en-US" w:bidi="bn-IN"/>
          <w14:ligatures w14:val="none"/>
        </w:rPr>
        <w:t xml:space="preserve"> [Preprint]. doi:10.5772/intechopen.71625. </w:t>
      </w:r>
    </w:p>
    <w:p w14:paraId="4424C4AB" w14:textId="77777777" w:rsidR="004B6EC3" w:rsidRPr="00AE3515" w:rsidRDefault="004B6EC3" w:rsidP="004B6EC3">
      <w:pPr>
        <w:spacing w:before="100" w:beforeAutospacing="1" w:after="100" w:afterAutospacing="1" w:line="240" w:lineRule="auto"/>
        <w:ind w:left="567" w:hanging="567"/>
        <w:jc w:val="left"/>
        <w:rPr>
          <w:rFonts w:ascii="Times New Roman" w:eastAsia="Times New Roman" w:hAnsi="Times New Roman" w:cs="Times New Roman"/>
          <w:kern w:val="0"/>
          <w:szCs w:val="24"/>
          <w:lang w:val="en-US" w:bidi="bn-IN"/>
          <w14:ligatures w14:val="none"/>
        </w:rPr>
      </w:pPr>
    </w:p>
    <w:p w14:paraId="5199B5E7" w14:textId="77777777" w:rsidR="004B6EC3" w:rsidRDefault="004B6EC3" w:rsidP="004B6EC3">
      <w:pPr>
        <w:pStyle w:val="NormalWeb"/>
        <w:ind w:left="567" w:hanging="567"/>
      </w:pPr>
    </w:p>
    <w:p w14:paraId="10E43A55" w14:textId="77777777" w:rsidR="004B6EC3" w:rsidRPr="00717445" w:rsidRDefault="004B6EC3" w:rsidP="004B6EC3"/>
    <w:p w14:paraId="1E9E996F" w14:textId="77777777" w:rsidR="004B6EC3" w:rsidRPr="00717445" w:rsidRDefault="004B6EC3" w:rsidP="004B6EC3">
      <w:pPr>
        <w:jc w:val="center"/>
        <w:rPr>
          <w:sz w:val="28"/>
          <w:szCs w:val="28"/>
        </w:rPr>
      </w:pPr>
    </w:p>
    <w:p w14:paraId="7AECE4B0" w14:textId="77777777" w:rsidR="00BD2408" w:rsidRDefault="00BD2408"/>
    <w:sectPr w:rsidR="00BD2408">
      <w:footerReference w:type="default" r:id="rId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7952035"/>
      <w:docPartObj>
        <w:docPartGallery w:val="Page Numbers (Bottom of Page)"/>
        <w:docPartUnique/>
      </w:docPartObj>
    </w:sdtPr>
    <w:sdtEndPr>
      <w:rPr>
        <w:noProof/>
      </w:rPr>
    </w:sdtEndPr>
    <w:sdtContent>
      <w:p w14:paraId="44CD6A3A"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711155"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82F11"/>
    <w:multiLevelType w:val="hybridMultilevel"/>
    <w:tmpl w:val="97F060E0"/>
    <w:lvl w:ilvl="0" w:tplc="E7589D08">
      <w:start w:val="1"/>
      <w:numFmt w:val="decimal"/>
      <w:lvlText w:val="%1."/>
      <w:lvlJc w:val="left"/>
      <w:pPr>
        <w:ind w:left="360" w:hanging="360"/>
      </w:pPr>
      <w:rPr>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E3E440C"/>
    <w:multiLevelType w:val="hybridMultilevel"/>
    <w:tmpl w:val="8F762156"/>
    <w:lvl w:ilvl="0" w:tplc="E33E4BF0">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2BD2FDD"/>
    <w:multiLevelType w:val="hybridMultilevel"/>
    <w:tmpl w:val="C638FC3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5B52287D"/>
    <w:multiLevelType w:val="hybridMultilevel"/>
    <w:tmpl w:val="FAE0F9B0"/>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9D181F"/>
    <w:multiLevelType w:val="hybridMultilevel"/>
    <w:tmpl w:val="336ACF70"/>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168402214">
    <w:abstractNumId w:val="3"/>
  </w:num>
  <w:num w:numId="2" w16cid:durableId="1911308071">
    <w:abstractNumId w:val="5"/>
  </w:num>
  <w:num w:numId="3" w16cid:durableId="1324624322">
    <w:abstractNumId w:val="2"/>
  </w:num>
  <w:num w:numId="4" w16cid:durableId="1186211141">
    <w:abstractNumId w:val="0"/>
  </w:num>
  <w:num w:numId="5" w16cid:durableId="1472795209">
    <w:abstractNumId w:val="1"/>
  </w:num>
  <w:num w:numId="6" w16cid:durableId="17631442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EC3"/>
    <w:rsid w:val="00091A25"/>
    <w:rsid w:val="001832A6"/>
    <w:rsid w:val="0042566A"/>
    <w:rsid w:val="004B6EC3"/>
    <w:rsid w:val="00583A56"/>
    <w:rsid w:val="00600DE8"/>
    <w:rsid w:val="006732B3"/>
    <w:rsid w:val="006A6A46"/>
    <w:rsid w:val="006C46E0"/>
    <w:rsid w:val="00746D1F"/>
    <w:rsid w:val="00800131"/>
    <w:rsid w:val="00812A6B"/>
    <w:rsid w:val="00965548"/>
    <w:rsid w:val="00A0765A"/>
    <w:rsid w:val="00BD2408"/>
    <w:rsid w:val="00DF3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60519"/>
  <w15:chartTrackingRefBased/>
  <w15:docId w15:val="{FFA762D2-235D-4880-89FB-E4902D99C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EC3"/>
    <w:pPr>
      <w:jc w:val="both"/>
    </w:pPr>
    <w:rPr>
      <w:rFonts w:ascii="Arial" w:hAnsi="Arial"/>
      <w:sz w:val="24"/>
    </w:rPr>
  </w:style>
  <w:style w:type="paragraph" w:styleId="Heading1">
    <w:name w:val="heading 1"/>
    <w:basedOn w:val="Normal"/>
    <w:next w:val="Normal"/>
    <w:link w:val="Heading1Char"/>
    <w:uiPriority w:val="9"/>
    <w:qFormat/>
    <w:rsid w:val="004B6EC3"/>
    <w:pPr>
      <w:keepNext/>
      <w:keepLines/>
      <w:spacing w:before="240" w:after="0"/>
      <w:outlineLvl w:val="0"/>
    </w:pPr>
    <w:rPr>
      <w:rFonts w:eastAsiaTheme="majorEastAsia" w:cstheme="majorBidi"/>
      <w:color w:val="000000" w:themeColor="text1"/>
      <w:sz w:val="32"/>
      <w:szCs w:val="32"/>
      <w:lang w:val="en-US"/>
    </w:rPr>
  </w:style>
  <w:style w:type="paragraph" w:styleId="Heading2">
    <w:name w:val="heading 2"/>
    <w:basedOn w:val="Normal"/>
    <w:next w:val="Normal"/>
    <w:link w:val="Heading2Char"/>
    <w:uiPriority w:val="9"/>
    <w:unhideWhenUsed/>
    <w:qFormat/>
    <w:rsid w:val="004B6EC3"/>
    <w:pPr>
      <w:keepNext/>
      <w:keepLines/>
      <w:spacing w:before="40"/>
      <w:outlineLvl w:val="1"/>
    </w:pPr>
    <w:rPr>
      <w:rFonts w:eastAsiaTheme="majorEastAsia" w:cstheme="majorBidi"/>
      <w:color w:val="000000" w:themeColor="tex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EC3"/>
    <w:rPr>
      <w:rFonts w:ascii="Arial" w:eastAsiaTheme="majorEastAsia" w:hAnsi="Arial" w:cstheme="majorBidi"/>
      <w:color w:val="000000" w:themeColor="text1"/>
      <w:sz w:val="32"/>
      <w:szCs w:val="32"/>
      <w:lang w:val="en-US"/>
    </w:rPr>
  </w:style>
  <w:style w:type="character" w:customStyle="1" w:styleId="Heading2Char">
    <w:name w:val="Heading 2 Char"/>
    <w:basedOn w:val="DefaultParagraphFont"/>
    <w:link w:val="Heading2"/>
    <w:uiPriority w:val="9"/>
    <w:rsid w:val="004B6EC3"/>
    <w:rPr>
      <w:rFonts w:ascii="Arial" w:eastAsiaTheme="majorEastAsia" w:hAnsi="Arial" w:cstheme="majorBidi"/>
      <w:color w:val="000000" w:themeColor="text1"/>
      <w:sz w:val="26"/>
      <w:szCs w:val="26"/>
      <w:lang w:val="en-US"/>
    </w:rPr>
  </w:style>
  <w:style w:type="paragraph" w:styleId="Footer">
    <w:name w:val="footer"/>
    <w:basedOn w:val="Normal"/>
    <w:link w:val="FooterChar"/>
    <w:uiPriority w:val="99"/>
    <w:unhideWhenUsed/>
    <w:rsid w:val="004B6E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6EC3"/>
    <w:rPr>
      <w:rFonts w:ascii="Arial" w:hAnsi="Arial"/>
      <w:sz w:val="24"/>
    </w:rPr>
  </w:style>
  <w:style w:type="paragraph" w:styleId="ListParagraph">
    <w:name w:val="List Paragraph"/>
    <w:basedOn w:val="Normal"/>
    <w:uiPriority w:val="34"/>
    <w:qFormat/>
    <w:rsid w:val="004B6EC3"/>
    <w:pPr>
      <w:ind w:left="720"/>
      <w:contextualSpacing/>
    </w:pPr>
  </w:style>
  <w:style w:type="paragraph" w:styleId="TOCHeading">
    <w:name w:val="TOC Heading"/>
    <w:basedOn w:val="Heading1"/>
    <w:next w:val="Normal"/>
    <w:uiPriority w:val="39"/>
    <w:unhideWhenUsed/>
    <w:qFormat/>
    <w:rsid w:val="004B6EC3"/>
    <w:pPr>
      <w:jc w:val="left"/>
      <w:outlineLvl w:val="9"/>
    </w:pPr>
    <w:rPr>
      <w:rFonts w:asciiTheme="majorHAnsi" w:hAnsiTheme="majorHAnsi"/>
      <w:color w:val="2F5496" w:themeColor="accent1" w:themeShade="BF"/>
      <w:kern w:val="0"/>
    </w:rPr>
  </w:style>
  <w:style w:type="paragraph" w:styleId="TOC1">
    <w:name w:val="toc 1"/>
    <w:basedOn w:val="Normal"/>
    <w:next w:val="Normal"/>
    <w:autoRedefine/>
    <w:uiPriority w:val="39"/>
    <w:unhideWhenUsed/>
    <w:rsid w:val="004B6EC3"/>
    <w:pPr>
      <w:spacing w:after="100"/>
    </w:pPr>
  </w:style>
  <w:style w:type="character" w:styleId="Hyperlink">
    <w:name w:val="Hyperlink"/>
    <w:basedOn w:val="DefaultParagraphFont"/>
    <w:uiPriority w:val="99"/>
    <w:unhideWhenUsed/>
    <w:rsid w:val="004B6EC3"/>
    <w:rPr>
      <w:color w:val="0563C1" w:themeColor="hyperlink"/>
      <w:u w:val="single"/>
    </w:rPr>
  </w:style>
  <w:style w:type="paragraph" w:styleId="TOC2">
    <w:name w:val="toc 2"/>
    <w:basedOn w:val="Normal"/>
    <w:next w:val="Normal"/>
    <w:autoRedefine/>
    <w:uiPriority w:val="39"/>
    <w:unhideWhenUsed/>
    <w:rsid w:val="004B6EC3"/>
    <w:pPr>
      <w:spacing w:after="100"/>
      <w:ind w:left="240"/>
    </w:pPr>
  </w:style>
  <w:style w:type="paragraph" w:styleId="NormalWeb">
    <w:name w:val="Normal (Web)"/>
    <w:basedOn w:val="Normal"/>
    <w:uiPriority w:val="99"/>
    <w:semiHidden/>
    <w:unhideWhenUsed/>
    <w:rsid w:val="004B6EC3"/>
    <w:pPr>
      <w:spacing w:before="100" w:beforeAutospacing="1" w:after="100" w:afterAutospacing="1" w:line="240" w:lineRule="auto"/>
      <w:jc w:val="left"/>
    </w:pPr>
    <w:rPr>
      <w:rFonts w:ascii="Times New Roman" w:eastAsia="Times New Roman" w:hAnsi="Times New Roman" w:cs="Times New Roman"/>
      <w:kern w:val="0"/>
      <w:szCs w:val="24"/>
      <w:lang w:val="en-US" w:bidi="bn-IN"/>
    </w:rPr>
  </w:style>
  <w:style w:type="paragraph" w:styleId="Caption">
    <w:name w:val="caption"/>
    <w:basedOn w:val="Normal"/>
    <w:next w:val="Normal"/>
    <w:uiPriority w:val="35"/>
    <w:unhideWhenUsed/>
    <w:qFormat/>
    <w:rsid w:val="004B6EC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3.jpe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Colors" Target="diagrams/colors1.xm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A24F4AC-08F3-4BE9-B92B-B1CE0067F26A}" type="doc">
      <dgm:prSet loTypeId="urn:microsoft.com/office/officeart/2005/8/layout/cycle3" loCatId="cycle" qsTypeId="urn:microsoft.com/office/officeart/2005/8/quickstyle/simple1" qsCatId="simple" csTypeId="urn:microsoft.com/office/officeart/2005/8/colors/colorful4" csCatId="colorful" phldr="1"/>
      <dgm:spPr/>
      <dgm:t>
        <a:bodyPr/>
        <a:lstStyle/>
        <a:p>
          <a:endParaRPr lang="en-US"/>
        </a:p>
      </dgm:t>
    </dgm:pt>
    <dgm:pt modelId="{F6BDA4EB-271C-4656-BA2B-7E0CA1288171}">
      <dgm:prSet phldrT="[Text]" custT="1"/>
      <dgm:spPr/>
      <dgm:t>
        <a:bodyPr/>
        <a:lstStyle/>
        <a:p>
          <a:r>
            <a:rPr lang="en-GB" sz="1400" b="1">
              <a:latin typeface="Arial" panose="020B0604020202020204" pitchFamily="34" charset="0"/>
              <a:cs typeface="Arial" panose="020B0604020202020204" pitchFamily="34" charset="0"/>
            </a:rPr>
            <a:t>Brexit Uncertainties</a:t>
          </a:r>
          <a:endParaRPr lang="en-US" sz="1400">
            <a:latin typeface="Arial" panose="020B0604020202020204" pitchFamily="34" charset="0"/>
            <a:cs typeface="Arial" panose="020B0604020202020204" pitchFamily="34" charset="0"/>
          </a:endParaRPr>
        </a:p>
      </dgm:t>
    </dgm:pt>
    <dgm:pt modelId="{3B219615-D46F-4725-B872-AA7B960406D2}" type="parTrans" cxnId="{03A22BE0-A680-44D9-99B9-C120E60B2CAB}">
      <dgm:prSet/>
      <dgm:spPr/>
      <dgm:t>
        <a:bodyPr/>
        <a:lstStyle/>
        <a:p>
          <a:endParaRPr lang="en-US" sz="1400">
            <a:latin typeface="Arial" panose="020B0604020202020204" pitchFamily="34" charset="0"/>
            <a:cs typeface="Arial" panose="020B0604020202020204" pitchFamily="34" charset="0"/>
          </a:endParaRPr>
        </a:p>
      </dgm:t>
    </dgm:pt>
    <dgm:pt modelId="{19F92BA7-998A-4240-A37B-FEE80FC41470}" type="sibTrans" cxnId="{03A22BE0-A680-44D9-99B9-C120E60B2CAB}">
      <dgm:prSet/>
      <dgm:spPr/>
      <dgm:t>
        <a:bodyPr/>
        <a:lstStyle/>
        <a:p>
          <a:endParaRPr lang="en-US" sz="1400">
            <a:latin typeface="Arial" panose="020B0604020202020204" pitchFamily="34" charset="0"/>
            <a:cs typeface="Arial" panose="020B0604020202020204" pitchFamily="34" charset="0"/>
          </a:endParaRPr>
        </a:p>
      </dgm:t>
    </dgm:pt>
    <dgm:pt modelId="{EF101F97-DE31-4899-8867-CC73F770957D}">
      <dgm:prSet phldrT="[Text]" custT="1"/>
      <dgm:spPr/>
      <dgm:t>
        <a:bodyPr/>
        <a:lstStyle/>
        <a:p>
          <a:r>
            <a:rPr lang="en-GB" sz="1400" b="1">
              <a:latin typeface="Arial" panose="020B0604020202020204" pitchFamily="34" charset="0"/>
              <a:cs typeface="Arial" panose="020B0604020202020204" pitchFamily="34" charset="0"/>
            </a:rPr>
            <a:t>COVID-19 Disruptions</a:t>
          </a:r>
          <a:endParaRPr lang="en-US" sz="1400">
            <a:latin typeface="Arial" panose="020B0604020202020204" pitchFamily="34" charset="0"/>
            <a:cs typeface="Arial" panose="020B0604020202020204" pitchFamily="34" charset="0"/>
          </a:endParaRPr>
        </a:p>
      </dgm:t>
    </dgm:pt>
    <dgm:pt modelId="{8E35BB48-645B-4BB6-B7C1-4CD2AA111A79}" type="parTrans" cxnId="{CE05C9B5-1B18-4BE6-9EE2-255501238093}">
      <dgm:prSet/>
      <dgm:spPr/>
      <dgm:t>
        <a:bodyPr/>
        <a:lstStyle/>
        <a:p>
          <a:endParaRPr lang="en-US" sz="1400">
            <a:latin typeface="Arial" panose="020B0604020202020204" pitchFamily="34" charset="0"/>
            <a:cs typeface="Arial" panose="020B0604020202020204" pitchFamily="34" charset="0"/>
          </a:endParaRPr>
        </a:p>
      </dgm:t>
    </dgm:pt>
    <dgm:pt modelId="{183C53EF-5988-4DC5-B3C3-97BEDFEFAACC}" type="sibTrans" cxnId="{CE05C9B5-1B18-4BE6-9EE2-255501238093}">
      <dgm:prSet/>
      <dgm:spPr/>
      <dgm:t>
        <a:bodyPr/>
        <a:lstStyle/>
        <a:p>
          <a:endParaRPr lang="en-US" sz="1400">
            <a:latin typeface="Arial" panose="020B0604020202020204" pitchFamily="34" charset="0"/>
            <a:cs typeface="Arial" panose="020B0604020202020204" pitchFamily="34" charset="0"/>
          </a:endParaRPr>
        </a:p>
      </dgm:t>
    </dgm:pt>
    <dgm:pt modelId="{B3F8EEA5-0B92-4191-BB4D-F459056E67C9}">
      <dgm:prSet phldrT="[Text]" custT="1"/>
      <dgm:spPr/>
      <dgm:t>
        <a:bodyPr/>
        <a:lstStyle/>
        <a:p>
          <a:r>
            <a:rPr lang="en-GB" sz="1400" b="1">
              <a:latin typeface="Arial" panose="020B0604020202020204" pitchFamily="34" charset="0"/>
              <a:cs typeface="Arial" panose="020B0604020202020204" pitchFamily="34" charset="0"/>
            </a:rPr>
            <a:t>Inflationary Pressures</a:t>
          </a:r>
          <a:endParaRPr lang="en-US" sz="1400">
            <a:latin typeface="Arial" panose="020B0604020202020204" pitchFamily="34" charset="0"/>
            <a:cs typeface="Arial" panose="020B0604020202020204" pitchFamily="34" charset="0"/>
          </a:endParaRPr>
        </a:p>
      </dgm:t>
    </dgm:pt>
    <dgm:pt modelId="{9B7A176F-C81B-4AC6-B6C1-8E15E4307B24}" type="parTrans" cxnId="{BB6DEF7F-27AC-4F33-AC60-46A2617133FF}">
      <dgm:prSet/>
      <dgm:spPr/>
      <dgm:t>
        <a:bodyPr/>
        <a:lstStyle/>
        <a:p>
          <a:endParaRPr lang="en-US" sz="1400">
            <a:latin typeface="Arial" panose="020B0604020202020204" pitchFamily="34" charset="0"/>
            <a:cs typeface="Arial" panose="020B0604020202020204" pitchFamily="34" charset="0"/>
          </a:endParaRPr>
        </a:p>
      </dgm:t>
    </dgm:pt>
    <dgm:pt modelId="{DD7A7B9B-E190-4A62-94A2-C549407B8783}" type="sibTrans" cxnId="{BB6DEF7F-27AC-4F33-AC60-46A2617133FF}">
      <dgm:prSet/>
      <dgm:spPr/>
      <dgm:t>
        <a:bodyPr/>
        <a:lstStyle/>
        <a:p>
          <a:endParaRPr lang="en-US" sz="1400">
            <a:latin typeface="Arial" panose="020B0604020202020204" pitchFamily="34" charset="0"/>
            <a:cs typeface="Arial" panose="020B0604020202020204" pitchFamily="34" charset="0"/>
          </a:endParaRPr>
        </a:p>
      </dgm:t>
    </dgm:pt>
    <dgm:pt modelId="{539534F6-3F84-4C52-8557-1BC4CBAF85FE}">
      <dgm:prSet phldrT="[Text]" custT="1"/>
      <dgm:spPr/>
      <dgm:t>
        <a:bodyPr/>
        <a:lstStyle/>
        <a:p>
          <a:r>
            <a:rPr lang="en-GB" sz="1400" b="1">
              <a:latin typeface="Arial" panose="020B0604020202020204" pitchFamily="34" charset="0"/>
              <a:cs typeface="Arial" panose="020B0604020202020204" pitchFamily="34" charset="0"/>
            </a:rPr>
            <a:t>Economic Uncertainties</a:t>
          </a:r>
          <a:endParaRPr lang="en-US" sz="1400">
            <a:latin typeface="Arial" panose="020B0604020202020204" pitchFamily="34" charset="0"/>
            <a:cs typeface="Arial" panose="020B0604020202020204" pitchFamily="34" charset="0"/>
          </a:endParaRPr>
        </a:p>
      </dgm:t>
    </dgm:pt>
    <dgm:pt modelId="{6768BE32-D034-499A-AFFB-14D84A8B1F2D}" type="parTrans" cxnId="{C8BB38D8-FE43-4FFC-8D62-245FCB0A67B1}">
      <dgm:prSet/>
      <dgm:spPr/>
      <dgm:t>
        <a:bodyPr/>
        <a:lstStyle/>
        <a:p>
          <a:endParaRPr lang="en-US" sz="1400">
            <a:latin typeface="Arial" panose="020B0604020202020204" pitchFamily="34" charset="0"/>
            <a:cs typeface="Arial" panose="020B0604020202020204" pitchFamily="34" charset="0"/>
          </a:endParaRPr>
        </a:p>
      </dgm:t>
    </dgm:pt>
    <dgm:pt modelId="{4CC354DA-BD3F-48EF-AC6C-8694E6A0FDAC}" type="sibTrans" cxnId="{C8BB38D8-FE43-4FFC-8D62-245FCB0A67B1}">
      <dgm:prSet/>
      <dgm:spPr/>
      <dgm:t>
        <a:bodyPr/>
        <a:lstStyle/>
        <a:p>
          <a:endParaRPr lang="en-US" sz="1400">
            <a:latin typeface="Arial" panose="020B0604020202020204" pitchFamily="34" charset="0"/>
            <a:cs typeface="Arial" panose="020B0604020202020204" pitchFamily="34" charset="0"/>
          </a:endParaRPr>
        </a:p>
      </dgm:t>
    </dgm:pt>
    <dgm:pt modelId="{E81F9680-72AB-4FFE-A2A5-303337339C03}">
      <dgm:prSet phldrT="[Text]" custT="1"/>
      <dgm:spPr/>
      <dgm:t>
        <a:bodyPr/>
        <a:lstStyle/>
        <a:p>
          <a:r>
            <a:rPr lang="en-GB" sz="1400" b="1">
              <a:latin typeface="Arial" panose="020B0604020202020204" pitchFamily="34" charset="0"/>
              <a:cs typeface="Arial" panose="020B0604020202020204" pitchFamily="34" charset="0"/>
            </a:rPr>
            <a:t>Global Retirement Tide</a:t>
          </a:r>
          <a:endParaRPr lang="en-US" sz="1400">
            <a:latin typeface="Arial" panose="020B0604020202020204" pitchFamily="34" charset="0"/>
            <a:cs typeface="Arial" panose="020B0604020202020204" pitchFamily="34" charset="0"/>
          </a:endParaRPr>
        </a:p>
      </dgm:t>
    </dgm:pt>
    <dgm:pt modelId="{69C64EB4-4965-4E0C-8EF7-98B9296F6A95}" type="parTrans" cxnId="{6579BA5F-7F7F-43BF-9347-CCA6251AFB1D}">
      <dgm:prSet/>
      <dgm:spPr/>
      <dgm:t>
        <a:bodyPr/>
        <a:lstStyle/>
        <a:p>
          <a:endParaRPr lang="en-US" sz="1400">
            <a:latin typeface="Arial" panose="020B0604020202020204" pitchFamily="34" charset="0"/>
            <a:cs typeface="Arial" panose="020B0604020202020204" pitchFamily="34" charset="0"/>
          </a:endParaRPr>
        </a:p>
      </dgm:t>
    </dgm:pt>
    <dgm:pt modelId="{CDB8DF24-009E-495E-9E27-EE498C43C19F}" type="sibTrans" cxnId="{6579BA5F-7F7F-43BF-9347-CCA6251AFB1D}">
      <dgm:prSet/>
      <dgm:spPr/>
      <dgm:t>
        <a:bodyPr/>
        <a:lstStyle/>
        <a:p>
          <a:endParaRPr lang="en-US" sz="1400">
            <a:latin typeface="Arial" panose="020B0604020202020204" pitchFamily="34" charset="0"/>
            <a:cs typeface="Arial" panose="020B0604020202020204" pitchFamily="34" charset="0"/>
          </a:endParaRPr>
        </a:p>
      </dgm:t>
    </dgm:pt>
    <dgm:pt modelId="{2C2EA5A3-27FD-48A9-A992-52F241D761F9}" type="pres">
      <dgm:prSet presAssocID="{5A24F4AC-08F3-4BE9-B92B-B1CE0067F26A}" presName="Name0" presStyleCnt="0">
        <dgm:presLayoutVars>
          <dgm:dir/>
          <dgm:resizeHandles val="exact"/>
        </dgm:presLayoutVars>
      </dgm:prSet>
      <dgm:spPr/>
    </dgm:pt>
    <dgm:pt modelId="{BC60E0A7-4B78-4066-A4AE-F9125E7688D9}" type="pres">
      <dgm:prSet presAssocID="{5A24F4AC-08F3-4BE9-B92B-B1CE0067F26A}" presName="cycle" presStyleCnt="0"/>
      <dgm:spPr/>
    </dgm:pt>
    <dgm:pt modelId="{71DF34D7-9F15-4B13-A4DE-6DEDB4DC899C}" type="pres">
      <dgm:prSet presAssocID="{F6BDA4EB-271C-4656-BA2B-7E0CA1288171}" presName="nodeFirstNode" presStyleLbl="node1" presStyleIdx="0" presStyleCnt="5">
        <dgm:presLayoutVars>
          <dgm:bulletEnabled val="1"/>
        </dgm:presLayoutVars>
      </dgm:prSet>
      <dgm:spPr/>
    </dgm:pt>
    <dgm:pt modelId="{C0588467-722A-4120-8B35-9A007379F7AD}" type="pres">
      <dgm:prSet presAssocID="{19F92BA7-998A-4240-A37B-FEE80FC41470}" presName="sibTransFirstNode" presStyleLbl="bgShp" presStyleIdx="0" presStyleCnt="1"/>
      <dgm:spPr/>
    </dgm:pt>
    <dgm:pt modelId="{C0968978-74C8-44E4-8EB3-A79DB04EB715}" type="pres">
      <dgm:prSet presAssocID="{EF101F97-DE31-4899-8867-CC73F770957D}" presName="nodeFollowingNodes" presStyleLbl="node1" presStyleIdx="1" presStyleCnt="5">
        <dgm:presLayoutVars>
          <dgm:bulletEnabled val="1"/>
        </dgm:presLayoutVars>
      </dgm:prSet>
      <dgm:spPr/>
    </dgm:pt>
    <dgm:pt modelId="{F4D254A9-79DE-4B75-B8F9-711B9D9F2B89}" type="pres">
      <dgm:prSet presAssocID="{B3F8EEA5-0B92-4191-BB4D-F459056E67C9}" presName="nodeFollowingNodes" presStyleLbl="node1" presStyleIdx="2" presStyleCnt="5">
        <dgm:presLayoutVars>
          <dgm:bulletEnabled val="1"/>
        </dgm:presLayoutVars>
      </dgm:prSet>
      <dgm:spPr/>
    </dgm:pt>
    <dgm:pt modelId="{13953023-34C7-48FA-89D9-ADDAC0E00A82}" type="pres">
      <dgm:prSet presAssocID="{539534F6-3F84-4C52-8557-1BC4CBAF85FE}" presName="nodeFollowingNodes" presStyleLbl="node1" presStyleIdx="3" presStyleCnt="5">
        <dgm:presLayoutVars>
          <dgm:bulletEnabled val="1"/>
        </dgm:presLayoutVars>
      </dgm:prSet>
      <dgm:spPr/>
    </dgm:pt>
    <dgm:pt modelId="{C9A6B13E-2BE1-4851-A220-DD64004D3158}" type="pres">
      <dgm:prSet presAssocID="{E81F9680-72AB-4FFE-A2A5-303337339C03}" presName="nodeFollowingNodes" presStyleLbl="node1" presStyleIdx="4" presStyleCnt="5">
        <dgm:presLayoutVars>
          <dgm:bulletEnabled val="1"/>
        </dgm:presLayoutVars>
      </dgm:prSet>
      <dgm:spPr/>
    </dgm:pt>
  </dgm:ptLst>
  <dgm:cxnLst>
    <dgm:cxn modelId="{943D3613-81EB-4CEE-A4C8-84C507CB6E40}" type="presOf" srcId="{5A24F4AC-08F3-4BE9-B92B-B1CE0067F26A}" destId="{2C2EA5A3-27FD-48A9-A992-52F241D761F9}" srcOrd="0" destOrd="0" presId="urn:microsoft.com/office/officeart/2005/8/layout/cycle3"/>
    <dgm:cxn modelId="{FDEC823A-69B8-4A7B-8B07-E4858B5FE2F6}" type="presOf" srcId="{E81F9680-72AB-4FFE-A2A5-303337339C03}" destId="{C9A6B13E-2BE1-4851-A220-DD64004D3158}" srcOrd="0" destOrd="0" presId="urn:microsoft.com/office/officeart/2005/8/layout/cycle3"/>
    <dgm:cxn modelId="{F9440A3D-2056-4634-B5F6-2D0C6CF25727}" type="presOf" srcId="{B3F8EEA5-0B92-4191-BB4D-F459056E67C9}" destId="{F4D254A9-79DE-4B75-B8F9-711B9D9F2B89}" srcOrd="0" destOrd="0" presId="urn:microsoft.com/office/officeart/2005/8/layout/cycle3"/>
    <dgm:cxn modelId="{6579BA5F-7F7F-43BF-9347-CCA6251AFB1D}" srcId="{5A24F4AC-08F3-4BE9-B92B-B1CE0067F26A}" destId="{E81F9680-72AB-4FFE-A2A5-303337339C03}" srcOrd="4" destOrd="0" parTransId="{69C64EB4-4965-4E0C-8EF7-98B9296F6A95}" sibTransId="{CDB8DF24-009E-495E-9E27-EE498C43C19F}"/>
    <dgm:cxn modelId="{ED14A74B-200B-4BF9-891A-425C324916AF}" type="presOf" srcId="{539534F6-3F84-4C52-8557-1BC4CBAF85FE}" destId="{13953023-34C7-48FA-89D9-ADDAC0E00A82}" srcOrd="0" destOrd="0" presId="urn:microsoft.com/office/officeart/2005/8/layout/cycle3"/>
    <dgm:cxn modelId="{BB6DEF7F-27AC-4F33-AC60-46A2617133FF}" srcId="{5A24F4AC-08F3-4BE9-B92B-B1CE0067F26A}" destId="{B3F8EEA5-0B92-4191-BB4D-F459056E67C9}" srcOrd="2" destOrd="0" parTransId="{9B7A176F-C81B-4AC6-B6C1-8E15E4307B24}" sibTransId="{DD7A7B9B-E190-4A62-94A2-C549407B8783}"/>
    <dgm:cxn modelId="{B4098988-CCB4-4123-A00F-A6ECCE71806E}" type="presOf" srcId="{EF101F97-DE31-4899-8867-CC73F770957D}" destId="{C0968978-74C8-44E4-8EB3-A79DB04EB715}" srcOrd="0" destOrd="0" presId="urn:microsoft.com/office/officeart/2005/8/layout/cycle3"/>
    <dgm:cxn modelId="{CE05C9B5-1B18-4BE6-9EE2-255501238093}" srcId="{5A24F4AC-08F3-4BE9-B92B-B1CE0067F26A}" destId="{EF101F97-DE31-4899-8867-CC73F770957D}" srcOrd="1" destOrd="0" parTransId="{8E35BB48-645B-4BB6-B7C1-4CD2AA111A79}" sibTransId="{183C53EF-5988-4DC5-B3C3-97BEDFEFAACC}"/>
    <dgm:cxn modelId="{B093EDC3-FFAA-49F5-98B3-613504A5D115}" type="presOf" srcId="{19F92BA7-998A-4240-A37B-FEE80FC41470}" destId="{C0588467-722A-4120-8B35-9A007379F7AD}" srcOrd="0" destOrd="0" presId="urn:microsoft.com/office/officeart/2005/8/layout/cycle3"/>
    <dgm:cxn modelId="{23D71CD2-EBBC-4DCE-9745-A43EB556C591}" type="presOf" srcId="{F6BDA4EB-271C-4656-BA2B-7E0CA1288171}" destId="{71DF34D7-9F15-4B13-A4DE-6DEDB4DC899C}" srcOrd="0" destOrd="0" presId="urn:microsoft.com/office/officeart/2005/8/layout/cycle3"/>
    <dgm:cxn modelId="{C8BB38D8-FE43-4FFC-8D62-245FCB0A67B1}" srcId="{5A24F4AC-08F3-4BE9-B92B-B1CE0067F26A}" destId="{539534F6-3F84-4C52-8557-1BC4CBAF85FE}" srcOrd="3" destOrd="0" parTransId="{6768BE32-D034-499A-AFFB-14D84A8B1F2D}" sibTransId="{4CC354DA-BD3F-48EF-AC6C-8694E6A0FDAC}"/>
    <dgm:cxn modelId="{03A22BE0-A680-44D9-99B9-C120E60B2CAB}" srcId="{5A24F4AC-08F3-4BE9-B92B-B1CE0067F26A}" destId="{F6BDA4EB-271C-4656-BA2B-7E0CA1288171}" srcOrd="0" destOrd="0" parTransId="{3B219615-D46F-4725-B872-AA7B960406D2}" sibTransId="{19F92BA7-998A-4240-A37B-FEE80FC41470}"/>
    <dgm:cxn modelId="{51F406B7-4CE4-47EF-8264-87B1F3B39E18}" type="presParOf" srcId="{2C2EA5A3-27FD-48A9-A992-52F241D761F9}" destId="{BC60E0A7-4B78-4066-A4AE-F9125E7688D9}" srcOrd="0" destOrd="0" presId="urn:microsoft.com/office/officeart/2005/8/layout/cycle3"/>
    <dgm:cxn modelId="{06C6623F-08C8-4AE0-8935-6BAEBDCA2974}" type="presParOf" srcId="{BC60E0A7-4B78-4066-A4AE-F9125E7688D9}" destId="{71DF34D7-9F15-4B13-A4DE-6DEDB4DC899C}" srcOrd="0" destOrd="0" presId="urn:microsoft.com/office/officeart/2005/8/layout/cycle3"/>
    <dgm:cxn modelId="{D0C76132-C26C-46B9-B97C-0010B30C24E9}" type="presParOf" srcId="{BC60E0A7-4B78-4066-A4AE-F9125E7688D9}" destId="{C0588467-722A-4120-8B35-9A007379F7AD}" srcOrd="1" destOrd="0" presId="urn:microsoft.com/office/officeart/2005/8/layout/cycle3"/>
    <dgm:cxn modelId="{E46BF64A-2D50-4721-9757-996171C8F5DC}" type="presParOf" srcId="{BC60E0A7-4B78-4066-A4AE-F9125E7688D9}" destId="{C0968978-74C8-44E4-8EB3-A79DB04EB715}" srcOrd="2" destOrd="0" presId="urn:microsoft.com/office/officeart/2005/8/layout/cycle3"/>
    <dgm:cxn modelId="{1FD260D8-BAF7-48DE-8708-2DDD5089B45E}" type="presParOf" srcId="{BC60E0A7-4B78-4066-A4AE-F9125E7688D9}" destId="{F4D254A9-79DE-4B75-B8F9-711B9D9F2B89}" srcOrd="3" destOrd="0" presId="urn:microsoft.com/office/officeart/2005/8/layout/cycle3"/>
    <dgm:cxn modelId="{59C949CF-9155-42F2-8BC2-A53D21835457}" type="presParOf" srcId="{BC60E0A7-4B78-4066-A4AE-F9125E7688D9}" destId="{13953023-34C7-48FA-89D9-ADDAC0E00A82}" srcOrd="4" destOrd="0" presId="urn:microsoft.com/office/officeart/2005/8/layout/cycle3"/>
    <dgm:cxn modelId="{0C096172-9E2C-4D0A-8758-E657D0ECF4A9}" type="presParOf" srcId="{BC60E0A7-4B78-4066-A4AE-F9125E7688D9}" destId="{C9A6B13E-2BE1-4851-A220-DD64004D3158}" srcOrd="5" destOrd="0" presId="urn:microsoft.com/office/officeart/2005/8/layout/cycle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588467-722A-4120-8B35-9A007379F7AD}">
      <dsp:nvSpPr>
        <dsp:cNvPr id="0" name=""/>
        <dsp:cNvSpPr/>
      </dsp:nvSpPr>
      <dsp:spPr>
        <a:xfrm>
          <a:off x="1142926" y="-17254"/>
          <a:ext cx="3200546" cy="3200546"/>
        </a:xfrm>
        <a:prstGeom prst="circularArrow">
          <a:avLst>
            <a:gd name="adj1" fmla="val 5544"/>
            <a:gd name="adj2" fmla="val 330680"/>
            <a:gd name="adj3" fmla="val 13835513"/>
            <a:gd name="adj4" fmla="val 17349805"/>
            <a:gd name="adj5" fmla="val 5757"/>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1DF34D7-9F15-4B13-A4DE-6DEDB4DC899C}">
      <dsp:nvSpPr>
        <dsp:cNvPr id="0" name=""/>
        <dsp:cNvSpPr/>
      </dsp:nvSpPr>
      <dsp:spPr>
        <a:xfrm>
          <a:off x="2013198" y="691"/>
          <a:ext cx="1460003" cy="730001"/>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Brexit Uncertainties</a:t>
          </a:r>
          <a:endParaRPr lang="en-US" sz="1400" kern="1200">
            <a:latin typeface="Arial" panose="020B0604020202020204" pitchFamily="34" charset="0"/>
            <a:cs typeface="Arial" panose="020B0604020202020204" pitchFamily="34" charset="0"/>
          </a:endParaRPr>
        </a:p>
      </dsp:txBody>
      <dsp:txXfrm>
        <a:off x="2048834" y="36327"/>
        <a:ext cx="1388731" cy="658729"/>
      </dsp:txXfrm>
    </dsp:sp>
    <dsp:sp modelId="{C0968978-74C8-44E4-8EB3-A79DB04EB715}">
      <dsp:nvSpPr>
        <dsp:cNvPr id="0" name=""/>
        <dsp:cNvSpPr/>
      </dsp:nvSpPr>
      <dsp:spPr>
        <a:xfrm>
          <a:off x="3311236" y="943771"/>
          <a:ext cx="1460003" cy="730001"/>
        </a:xfrm>
        <a:prstGeom prst="round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COVID-19 Disruptions</a:t>
          </a:r>
          <a:endParaRPr lang="en-US" sz="1400" kern="1200">
            <a:latin typeface="Arial" panose="020B0604020202020204" pitchFamily="34" charset="0"/>
            <a:cs typeface="Arial" panose="020B0604020202020204" pitchFamily="34" charset="0"/>
          </a:endParaRPr>
        </a:p>
      </dsp:txBody>
      <dsp:txXfrm>
        <a:off x="3346872" y="979407"/>
        <a:ext cx="1388731" cy="658729"/>
      </dsp:txXfrm>
    </dsp:sp>
    <dsp:sp modelId="{F4D254A9-79DE-4B75-B8F9-711B9D9F2B89}">
      <dsp:nvSpPr>
        <dsp:cNvPr id="0" name=""/>
        <dsp:cNvSpPr/>
      </dsp:nvSpPr>
      <dsp:spPr>
        <a:xfrm>
          <a:off x="2815429" y="2469707"/>
          <a:ext cx="1460003" cy="730001"/>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Inflationary Pressures</a:t>
          </a:r>
          <a:endParaRPr lang="en-US" sz="1400" kern="1200">
            <a:latin typeface="Arial" panose="020B0604020202020204" pitchFamily="34" charset="0"/>
            <a:cs typeface="Arial" panose="020B0604020202020204" pitchFamily="34" charset="0"/>
          </a:endParaRPr>
        </a:p>
      </dsp:txBody>
      <dsp:txXfrm>
        <a:off x="2851065" y="2505343"/>
        <a:ext cx="1388731" cy="658729"/>
      </dsp:txXfrm>
    </dsp:sp>
    <dsp:sp modelId="{13953023-34C7-48FA-89D9-ADDAC0E00A82}">
      <dsp:nvSpPr>
        <dsp:cNvPr id="0" name=""/>
        <dsp:cNvSpPr/>
      </dsp:nvSpPr>
      <dsp:spPr>
        <a:xfrm>
          <a:off x="1210966" y="2469707"/>
          <a:ext cx="1460003" cy="730001"/>
        </a:xfrm>
        <a:prstGeom prst="round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Economic Uncertainties</a:t>
          </a:r>
          <a:endParaRPr lang="en-US" sz="1400" kern="1200">
            <a:latin typeface="Arial" panose="020B0604020202020204" pitchFamily="34" charset="0"/>
            <a:cs typeface="Arial" panose="020B0604020202020204" pitchFamily="34" charset="0"/>
          </a:endParaRPr>
        </a:p>
      </dsp:txBody>
      <dsp:txXfrm>
        <a:off x="1246602" y="2505343"/>
        <a:ext cx="1388731" cy="658729"/>
      </dsp:txXfrm>
    </dsp:sp>
    <dsp:sp modelId="{C9A6B13E-2BE1-4851-A220-DD64004D3158}">
      <dsp:nvSpPr>
        <dsp:cNvPr id="0" name=""/>
        <dsp:cNvSpPr/>
      </dsp:nvSpPr>
      <dsp:spPr>
        <a:xfrm>
          <a:off x="715159" y="943771"/>
          <a:ext cx="1460003" cy="730001"/>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Global Retirement Tide</a:t>
          </a:r>
          <a:endParaRPr lang="en-US" sz="1400" kern="1200">
            <a:latin typeface="Arial" panose="020B0604020202020204" pitchFamily="34" charset="0"/>
            <a:cs typeface="Arial" panose="020B0604020202020204" pitchFamily="34" charset="0"/>
          </a:endParaRPr>
        </a:p>
      </dsp:txBody>
      <dsp:txXfrm>
        <a:off x="750795" y="979407"/>
        <a:ext cx="1388731" cy="65872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15</Pages>
  <Words>3086</Words>
  <Characters>17592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13</cp:revision>
  <dcterms:created xsi:type="dcterms:W3CDTF">2023-11-10T10:02:00Z</dcterms:created>
  <dcterms:modified xsi:type="dcterms:W3CDTF">2023-11-10T10:28:00Z</dcterms:modified>
</cp:coreProperties>
</file>