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EastAsia"/>
          <w:sz w:val="2"/>
          <w:lang w:val="en-US"/>
        </w:rPr>
        <w:id w:val="1865244698"/>
        <w:docPartObj>
          <w:docPartGallery w:val="Cover Pages"/>
          <w:docPartUnique/>
        </w:docPartObj>
      </w:sdtPr>
      <w:sdtContent>
        <w:p w:rsidR="001C6C4D" w:rsidRDefault="001C6C4D">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F74E2E">
          <w:pPr>
            <w:rPr>
              <w:rFonts w:eastAsiaTheme="minorEastAsia"/>
              <w:sz w:val="2"/>
              <w:lang w:val="en-US"/>
            </w:rPr>
          </w:pPr>
          <w:r>
            <w:rPr>
              <w:rFonts w:eastAsiaTheme="minorEastAsia"/>
              <w:noProof/>
              <w:sz w:val="2"/>
              <w:lang w:val="en-US"/>
            </w:rPr>
            <w:pict>
              <v:shapetype id="_x0000_t202" coordsize="21600,21600" o:spt="202" path="m,l,21600r21600,l21600,xe">
                <v:stroke joinstyle="miter"/>
                <v:path gradientshapeok="t" o:connecttype="rect"/>
              </v:shapetype>
              <v:shape id="Text Box 138" o:spid="_x0000_s1026" type="#_x0000_t202" style="position:absolute;margin-left:459.6pt;margin-top:311.4pt;width:104.4pt;height:337.6pt;z-index:251659264;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" fillcolor="white [3201]" stroked="f" strokeweight=".5pt">
                <v:textbox style="mso-next-textbox:#Text Box 138"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tblPr>
                      <w:tblGrid>
                        <w:gridCol w:w="726"/>
                        <w:gridCol w:w="2175"/>
                      </w:tblGrid>
                      <w:tr w:rsidR="00D509E0" w:rsidTr="00422BBE">
                        <w:trPr>
                          <w:trHeight w:val="4254"/>
                          <w:jc w:val="center"/>
                        </w:trPr>
                        <w:tc>
                          <w:tcPr>
                            <w:tcW w:w="2568" w:type="pct"/>
                            <w:vAlign w:val="center"/>
                          </w:tcPr>
                          <w:p w:rsidR="00D509E0" w:rsidRDefault="00D509E0">
                            <w:pPr>
                              <w:jc w:val="right"/>
                              <w:rPr>
                                <w:sz w:val="24"/>
                                <w:szCs w:val="24"/>
                              </w:rPr>
                            </w:pPr>
                          </w:p>
                        </w:tc>
                        <w:tc>
                          <w:tcPr>
                            <w:tcW w:w="2432" w:type="pct"/>
                            <w:vAlign w:val="center"/>
                          </w:tcPr>
                          <w:p w:rsidR="00D509E0" w:rsidRDefault="00D509E0" w:rsidP="00531952">
                            <w:pPr>
                              <w:spacing w:line="360" w:lineRule="auto"/>
                              <w:rPr>
                                <w:color w:val="000000" w:themeColor="text1"/>
                              </w:rPr>
                            </w:pPr>
                          </w:p>
                          <w:sdt>
                            <w:sdtPr>
                              <w:rPr>
                                <w:color w:val="ED7D31" w:themeColor="accent2"/>
                                <w:sz w:val="26"/>
                                <w:szCs w:val="26"/>
                              </w:rPr>
                              <w:alias w:val="Author"/>
                              <w:tag w:val=""/>
                              <w:id w:val="156498191"/>
                              <w:dataBinding w:prefixMappings="xmlns:ns0='http://purl.org/dc/elements/1.1/' xmlns:ns1='http://schemas.openxmlformats.org/package/2006/metadata/core-properties' " w:xpath="/ns1:coreProperties[1]/ns0:creator[1]" w:storeItemID="{6C3C8BC8-F283-45AE-878A-BAB7291924A1}"/>
                              <w:text/>
                            </w:sdtPr>
                            <w:sdtContent>
                              <w:p w:rsidR="00D509E0" w:rsidRDefault="00D509E0" w:rsidP="00531952">
                                <w:pPr>
                                  <w:pStyle w:val="NoSpacing"/>
                                  <w:spacing w:line="360" w:lineRule="auto"/>
                                  <w:rPr>
                                    <w:color w:val="ED7D31" w:themeColor="accent2"/>
                                    <w:sz w:val="26"/>
                                    <w:szCs w:val="26"/>
                                  </w:rPr>
                                </w:pPr>
                                <w:r>
                                  <w:rPr>
                                    <w:color w:val="ED7D31" w:themeColor="accent2"/>
                                    <w:sz w:val="26"/>
                                    <w:szCs w:val="26"/>
                                  </w:rPr>
                                  <w:t>Florin Fizesan</w:t>
                                </w:r>
                                <w:r w:rsidR="00E06E56">
                                  <w:rPr>
                                    <w:color w:val="ED7D31" w:themeColor="accent2"/>
                                    <w:sz w:val="26"/>
                                    <w:szCs w:val="26"/>
                                  </w:rPr>
                                  <w:t xml:space="preserve"> - 21161289</w:t>
                                </w:r>
                              </w:p>
                            </w:sdtContent>
                          </w:sdt>
                          <w:p w:rsidR="00D509E0" w:rsidRDefault="00F74E2E" w:rsidP="00531952">
                            <w:pPr>
                              <w:pStyle w:val="Subtitle"/>
                              <w:spacing w:line="360" w:lineRule="auto"/>
                            </w:pPr>
                            <w:sdt>
                              <w:sdtPr>
                                <w:rPr>
                                  <w:b/>
                                  <w:bCs/>
                                  <w:sz w:val="24"/>
                                  <w:szCs w:val="24"/>
                                </w:rPr>
                                <w:alias w:val="Course"/>
                                <w:tag w:val="Course"/>
                                <w:id w:val="156498192"/>
                                <w:dataBinding w:prefixMappings="xmlns:ns0='http://purl.org/dc/elements/1.1/' xmlns:ns1='http://schemas.openxmlformats.org/package/2006/metadata/core-properties' " w:xpath="/ns1:coreProperties[1]/ns1:category[1]" w:storeItemID="{6C3C8BC8-F283-45AE-878A-BAB7291924A1}"/>
                                <w:text/>
                              </w:sdtPr>
                              <w:sdtContent>
                                <w:r w:rsidR="009B4CDE" w:rsidRPr="00776689">
                                  <w:rPr>
                                    <w:b/>
                                    <w:bCs/>
                                    <w:sz w:val="24"/>
                                    <w:szCs w:val="24"/>
                                  </w:rPr>
                                  <w:t>Global Business Environment</w:t>
                                </w:r>
                              </w:sdtContent>
                            </w:sdt>
                          </w:p>
                        </w:tc>
                      </w:tr>
                    </w:tbl>
                    <w:p w:rsidR="00D509E0" w:rsidRDefault="00D509E0"/>
                  </w:txbxContent>
                </v:textbox>
                <w10:wrap anchorx="page" anchory="page"/>
              </v:shape>
            </w:pict>
          </w: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r>
            <w:rPr>
              <w:noProof/>
              <w:lang w:val="en-US"/>
            </w:rPr>
            <w:drawing>
              <wp:inline distT="0" distB="0" distL="0" distR="0">
                <wp:extent cx="5044440" cy="3710940"/>
                <wp:effectExtent l="19050" t="0" r="3810" b="0"/>
                <wp:docPr id="8" name="Picture 12" descr="Article | Asia IP - Intellectual Property News and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rticle | Asia IP - Intellectual Property News and Analysis"/>
                        <pic:cNvPicPr>
                          <a:picLocks noChangeAspect="1" noChangeArrowheads="1"/>
                        </pic:cNvPicPr>
                      </pic:nvPicPr>
                      <pic:blipFill>
                        <a:blip r:embed="rId8"/>
                        <a:srcRect/>
                        <a:stretch>
                          <a:fillRect/>
                        </a:stretch>
                      </pic:blipFill>
                      <pic:spPr bwMode="auto">
                        <a:xfrm>
                          <a:off x="0" y="0"/>
                          <a:ext cx="5044439" cy="3710939"/>
                        </a:xfrm>
                        <a:prstGeom prst="rect">
                          <a:avLst/>
                        </a:prstGeom>
                        <a:noFill/>
                        <a:ln w="9525">
                          <a:noFill/>
                          <a:miter lim="800000"/>
                          <a:headEnd/>
                          <a:tailEnd/>
                        </a:ln>
                      </pic:spPr>
                    </pic:pic>
                  </a:graphicData>
                </a:graphic>
              </wp:inline>
            </w:drawing>
          </w: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D509E0" w:rsidRDefault="00D509E0">
          <w:pPr>
            <w:rPr>
              <w:rFonts w:eastAsiaTheme="minorEastAsia"/>
              <w:sz w:val="2"/>
              <w:lang w:val="en-US"/>
            </w:rPr>
          </w:pPr>
          <w:r>
            <w:rPr>
              <w:rFonts w:eastAsiaTheme="minorEastAsia"/>
              <w:sz w:val="2"/>
              <w:lang w:val="en-US"/>
            </w:rPr>
            <w:br w:type="page"/>
          </w:r>
        </w:p>
      </w:sdtContent>
    </w:sdt>
    <w:sdt>
      <w:sdtPr>
        <w:rPr>
          <w:rFonts w:asciiTheme="minorHAnsi" w:eastAsiaTheme="minorHAnsi" w:hAnsiTheme="minorHAnsi" w:cstheme="minorBidi"/>
          <w:color w:val="auto"/>
          <w:sz w:val="22"/>
          <w:szCs w:val="22"/>
          <w:lang w:val="ro-RO"/>
        </w:rPr>
        <w:id w:val="-984774101"/>
        <w:docPartObj>
          <w:docPartGallery w:val="Table of Contents"/>
          <w:docPartUnique/>
        </w:docPartObj>
      </w:sdtPr>
      <w:sdtEndPr>
        <w:rPr>
          <w:b/>
          <w:bCs/>
          <w:noProof/>
        </w:rPr>
      </w:sdtEndPr>
      <w:sdtContent>
        <w:p w:rsidR="007108A9" w:rsidRDefault="007108A9">
          <w:pPr>
            <w:pStyle w:val="TOCHeading"/>
          </w:pPr>
        </w:p>
        <w:p w:rsidR="007108A9" w:rsidRDefault="007108A9">
          <w:pPr>
            <w:pStyle w:val="TOCHeading"/>
          </w:pPr>
        </w:p>
        <w:p w:rsidR="007108A9" w:rsidRDefault="007108A9">
          <w:pPr>
            <w:pStyle w:val="TOCHeading"/>
          </w:pPr>
        </w:p>
        <w:p w:rsidR="00776689" w:rsidRPr="003420D5" w:rsidRDefault="00776689">
          <w:pPr>
            <w:pStyle w:val="TOCHeading"/>
          </w:pPr>
          <w:r w:rsidRPr="000162EF">
            <w:rPr>
              <w:sz w:val="36"/>
              <w:szCs w:val="36"/>
            </w:rPr>
            <w:t>Table of Contents</w:t>
          </w:r>
        </w:p>
        <w:p w:rsidR="00DD5711" w:rsidRPr="00DD5711" w:rsidRDefault="00F74E2E">
          <w:pPr>
            <w:pStyle w:val="TOC1"/>
            <w:tabs>
              <w:tab w:val="right" w:leader="dot" w:pos="9016"/>
            </w:tabs>
            <w:rPr>
              <w:rFonts w:eastAsiaTheme="minorEastAsia"/>
              <w:noProof/>
              <w:sz w:val="36"/>
              <w:szCs w:val="36"/>
              <w:lang w:val="en-GB" w:eastAsia="en-GB"/>
            </w:rPr>
          </w:pPr>
          <w:r w:rsidRPr="00F74E2E">
            <w:rPr>
              <w:sz w:val="36"/>
              <w:szCs w:val="36"/>
            </w:rPr>
            <w:fldChar w:fldCharType="begin"/>
          </w:r>
          <w:r w:rsidR="00776689" w:rsidRPr="00776689">
            <w:rPr>
              <w:sz w:val="36"/>
              <w:szCs w:val="36"/>
            </w:rPr>
            <w:instrText xml:space="preserve"> TOC \o "1-3" \h \z \u </w:instrText>
          </w:r>
          <w:r w:rsidRPr="00F74E2E">
            <w:rPr>
              <w:sz w:val="36"/>
              <w:szCs w:val="36"/>
            </w:rPr>
            <w:fldChar w:fldCharType="separate"/>
          </w:r>
          <w:hyperlink w:anchor="_Toc130744313" w:history="1">
            <w:r w:rsidR="00DD5711" w:rsidRPr="00DD5711">
              <w:rPr>
                <w:rStyle w:val="Hyperlink"/>
                <w:noProof/>
                <w:sz w:val="36"/>
                <w:szCs w:val="36"/>
              </w:rPr>
              <w:t>Introduction</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_Toc130744313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1</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14" w:history="1">
            <w:r w:rsidR="00DD5711" w:rsidRPr="00DD5711">
              <w:rPr>
                <w:rStyle w:val="Hyperlink"/>
                <w:noProof/>
                <w:sz w:val="36"/>
                <w:szCs w:val="36"/>
              </w:rPr>
              <w:t>An overview of Romania  as a developing country</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_Toc130744314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3</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15" w:history="1">
            <w:r w:rsidR="00DD5711" w:rsidRPr="00DD5711">
              <w:rPr>
                <w:rStyle w:val="Hyperlink"/>
                <w:noProof/>
                <w:sz w:val="36"/>
                <w:szCs w:val="36"/>
              </w:rPr>
              <w:t>Theory implementation</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_Toc130744315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16" w:history="1">
            <w:r w:rsidR="00DD5711" w:rsidRPr="00DD5711">
              <w:rPr>
                <w:rStyle w:val="Hyperlink"/>
                <w:noProof/>
                <w:sz w:val="36"/>
                <w:szCs w:val="36"/>
              </w:rPr>
              <w:t>Critical evaluation of opportunities</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_Toc130744316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17" w:history="1">
            <w:r w:rsidR="00DD5711" w:rsidRPr="00DD5711">
              <w:rPr>
                <w:rStyle w:val="Hyperlink"/>
                <w:noProof/>
                <w:sz w:val="36"/>
                <w:szCs w:val="36"/>
              </w:rPr>
              <w:t>Critical evaluation of challenges</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_Toc130744317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18" w:history="1">
            <w:r w:rsidR="00DD5711" w:rsidRPr="00DD5711">
              <w:rPr>
                <w:rStyle w:val="Hyperlink"/>
                <w:noProof/>
                <w:sz w:val="36"/>
                <w:szCs w:val="36"/>
              </w:rPr>
              <w:t>Aspects of corporate governance</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_Toc130744318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19" w:history="1">
            <w:r w:rsidR="00DD5711" w:rsidRPr="00DD5711">
              <w:rPr>
                <w:rStyle w:val="Hyperlink"/>
                <w:noProof/>
                <w:sz w:val="36"/>
                <w:szCs w:val="36"/>
              </w:rPr>
              <w:t>Business strategy and cultural</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_Toc130744319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20" w:history="1">
            <w:r w:rsidR="00DD5711" w:rsidRPr="00DD5711">
              <w:rPr>
                <w:rStyle w:val="Hyperlink"/>
                <w:noProof/>
                <w:sz w:val="36"/>
                <w:szCs w:val="36"/>
              </w:rPr>
              <w:t>Relevant examples</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_Toc130744320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21" w:history="1">
            <w:r w:rsidR="00DD5711" w:rsidRPr="00DD5711">
              <w:rPr>
                <w:rStyle w:val="Hyperlink"/>
                <w:noProof/>
                <w:sz w:val="36"/>
                <w:szCs w:val="36"/>
              </w:rPr>
              <w:t>Identify and analyze different barriers</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_Toc130744321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22" w:history="1">
            <w:r w:rsidR="00DD5711" w:rsidRPr="00DD5711">
              <w:rPr>
                <w:rStyle w:val="Hyperlink"/>
                <w:noProof/>
                <w:sz w:val="36"/>
                <w:szCs w:val="36"/>
              </w:rPr>
              <w:t>Examples of foreign businesses</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_Toc130744322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23" w:history="1">
            <w:r w:rsidR="00DD5711" w:rsidRPr="00DD5711">
              <w:rPr>
                <w:rStyle w:val="Hyperlink"/>
                <w:noProof/>
                <w:sz w:val="36"/>
                <w:szCs w:val="36"/>
              </w:rPr>
              <w:t>Identify appropriate strategies for implementation</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_Toc130744323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24" w:history="1">
            <w:r w:rsidR="00DD5711" w:rsidRPr="00DD5711">
              <w:rPr>
                <w:rStyle w:val="Hyperlink"/>
                <w:noProof/>
                <w:sz w:val="36"/>
                <w:szCs w:val="36"/>
                <w:lang w:val="en-US"/>
              </w:rPr>
              <w:t>Conclusion</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_Toc130744324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4</w:t>
            </w:r>
            <w:r w:rsidRPr="00DD5711">
              <w:rPr>
                <w:noProof/>
                <w:webHidden/>
                <w:sz w:val="36"/>
                <w:szCs w:val="36"/>
              </w:rPr>
              <w:fldChar w:fldCharType="end"/>
            </w:r>
          </w:hyperlink>
        </w:p>
        <w:p w:rsidR="00DD5711" w:rsidRPr="00DD5711" w:rsidRDefault="00F74E2E">
          <w:pPr>
            <w:pStyle w:val="TOC1"/>
            <w:tabs>
              <w:tab w:val="right" w:leader="dot" w:pos="9016"/>
            </w:tabs>
            <w:rPr>
              <w:rFonts w:eastAsiaTheme="minorEastAsia"/>
              <w:noProof/>
              <w:sz w:val="36"/>
              <w:szCs w:val="36"/>
              <w:lang w:val="en-GB" w:eastAsia="en-GB"/>
            </w:rPr>
          </w:pPr>
          <w:hyperlink w:anchor="_Toc130744325" w:history="1">
            <w:r w:rsidR="00DD5711" w:rsidRPr="00DD5711">
              <w:rPr>
                <w:rStyle w:val="Hyperlink"/>
                <w:noProof/>
                <w:sz w:val="36"/>
                <w:szCs w:val="36"/>
                <w:lang w:val="en-US"/>
              </w:rPr>
              <w:t>References</w:t>
            </w:r>
            <w:r w:rsidR="00DD5711" w:rsidRPr="00DD5711">
              <w:rPr>
                <w:noProof/>
                <w:webHidden/>
                <w:sz w:val="36"/>
                <w:szCs w:val="36"/>
              </w:rPr>
              <w:tab/>
            </w:r>
            <w:r w:rsidRPr="00DD5711">
              <w:rPr>
                <w:noProof/>
                <w:webHidden/>
                <w:sz w:val="36"/>
                <w:szCs w:val="36"/>
              </w:rPr>
              <w:fldChar w:fldCharType="begin"/>
            </w:r>
            <w:r w:rsidR="00DD5711" w:rsidRPr="00DD5711">
              <w:rPr>
                <w:noProof/>
                <w:webHidden/>
                <w:sz w:val="36"/>
                <w:szCs w:val="36"/>
              </w:rPr>
              <w:instrText xml:space="preserve"> PAGEREF _Toc130744325 \h </w:instrText>
            </w:r>
            <w:r w:rsidRPr="00DD5711">
              <w:rPr>
                <w:noProof/>
                <w:webHidden/>
                <w:sz w:val="36"/>
                <w:szCs w:val="36"/>
              </w:rPr>
            </w:r>
            <w:r w:rsidRPr="00DD5711">
              <w:rPr>
                <w:noProof/>
                <w:webHidden/>
                <w:sz w:val="36"/>
                <w:szCs w:val="36"/>
              </w:rPr>
              <w:fldChar w:fldCharType="separate"/>
            </w:r>
            <w:r w:rsidR="00DD5711" w:rsidRPr="00DD5711">
              <w:rPr>
                <w:noProof/>
                <w:webHidden/>
                <w:sz w:val="36"/>
                <w:szCs w:val="36"/>
              </w:rPr>
              <w:t>5</w:t>
            </w:r>
            <w:r w:rsidRPr="00DD5711">
              <w:rPr>
                <w:noProof/>
                <w:webHidden/>
                <w:sz w:val="36"/>
                <w:szCs w:val="36"/>
              </w:rPr>
              <w:fldChar w:fldCharType="end"/>
            </w:r>
          </w:hyperlink>
        </w:p>
        <w:p w:rsidR="00776689" w:rsidRDefault="00F74E2E" w:rsidP="00776689">
          <w:pPr>
            <w:spacing w:line="276" w:lineRule="auto"/>
          </w:pPr>
          <w:r w:rsidRPr="00776689">
            <w:rPr>
              <w:b/>
              <w:bCs/>
              <w:noProof/>
              <w:sz w:val="36"/>
              <w:szCs w:val="36"/>
            </w:rPr>
            <w:fldChar w:fldCharType="end"/>
          </w:r>
        </w:p>
      </w:sdtContent>
    </w:sdt>
    <w:p w:rsidR="00EB705C" w:rsidRDefault="00EB705C" w:rsidP="003420D5">
      <w:pPr>
        <w:pStyle w:val="Heading1"/>
        <w:rPr>
          <w:b/>
          <w:bCs/>
          <w:sz w:val="40"/>
          <w:szCs w:val="40"/>
          <w:lang w:val="en-US"/>
        </w:rPr>
      </w:pPr>
    </w:p>
    <w:p w:rsidR="00EB705C" w:rsidRDefault="00EB705C" w:rsidP="003420D5">
      <w:pPr>
        <w:pStyle w:val="Heading1"/>
        <w:rPr>
          <w:b/>
          <w:bCs/>
          <w:sz w:val="40"/>
          <w:szCs w:val="40"/>
          <w:lang w:val="en-US"/>
        </w:rPr>
      </w:pPr>
    </w:p>
    <w:p w:rsidR="007108A9" w:rsidRDefault="007108A9" w:rsidP="007108A9">
      <w:pPr>
        <w:rPr>
          <w:lang w:val="en-US"/>
        </w:rPr>
      </w:pPr>
    </w:p>
    <w:p w:rsidR="007108A9" w:rsidRDefault="007108A9" w:rsidP="007108A9">
      <w:pPr>
        <w:rPr>
          <w:lang w:val="en-US"/>
        </w:rPr>
      </w:pPr>
    </w:p>
    <w:p w:rsidR="007108A9" w:rsidRDefault="007108A9" w:rsidP="007108A9">
      <w:pPr>
        <w:rPr>
          <w:lang w:val="en-US"/>
        </w:rPr>
      </w:pPr>
    </w:p>
    <w:p w:rsidR="007108A9" w:rsidRDefault="007108A9" w:rsidP="007108A9">
      <w:pPr>
        <w:rPr>
          <w:lang w:val="en-US"/>
        </w:rPr>
      </w:pPr>
    </w:p>
    <w:p w:rsidR="007108A9" w:rsidRDefault="007108A9" w:rsidP="007108A9">
      <w:pPr>
        <w:rPr>
          <w:lang w:val="en-US"/>
        </w:rPr>
      </w:pPr>
    </w:p>
    <w:p w:rsidR="007108A9" w:rsidRPr="007108A9" w:rsidRDefault="007108A9" w:rsidP="007108A9">
      <w:pPr>
        <w:rPr>
          <w:lang w:val="en-US"/>
        </w:rPr>
      </w:pPr>
    </w:p>
    <w:p w:rsidR="00EB705C" w:rsidRDefault="00EB705C" w:rsidP="00EB705C">
      <w:pPr>
        <w:pStyle w:val="Heading1"/>
        <w:jc w:val="both"/>
        <w:rPr>
          <w:b/>
          <w:bCs/>
          <w:sz w:val="40"/>
          <w:szCs w:val="40"/>
          <w:lang w:val="en-US"/>
        </w:rPr>
      </w:pPr>
    </w:p>
    <w:p w:rsidR="00384E95" w:rsidRPr="00237F09" w:rsidRDefault="00EB705C" w:rsidP="00DA67AA">
      <w:pPr>
        <w:pStyle w:val="Heading1"/>
        <w:rPr>
          <w:b/>
          <w:sz w:val="36"/>
        </w:rPr>
      </w:pPr>
      <w:bookmarkStart w:id="0" w:name="_Toc130744313"/>
      <w:r w:rsidRPr="00237F09">
        <w:rPr>
          <w:b/>
          <w:sz w:val="36"/>
        </w:rPr>
        <w:t>Introduction</w:t>
      </w:r>
      <w:bookmarkEnd w:id="0"/>
    </w:p>
    <w:p w:rsidR="007108A9" w:rsidRPr="007108A9" w:rsidRDefault="007108A9" w:rsidP="007108A9"/>
    <w:p w:rsidR="007108A9" w:rsidRDefault="007108A9" w:rsidP="007108A9">
      <w:pPr>
        <w:spacing w:line="360" w:lineRule="auto"/>
        <w:jc w:val="both"/>
        <w:rPr>
          <w:sz w:val="28"/>
          <w:szCs w:val="28"/>
        </w:rPr>
      </w:pPr>
      <w:r w:rsidRPr="007108A9">
        <w:rPr>
          <w:sz w:val="28"/>
          <w:szCs w:val="28"/>
        </w:rPr>
        <w:t>The concept of international business refers to activities that involve cross-border transactions and interactions between organizations in different countries. As the world has become increasingly globalized, international business has become increasingly important for companies to expand their market reach and tap into new opportunities. In spite of this, international businesses are dependent upon a number of factors, including both internal and external factors.</w:t>
      </w:r>
    </w:p>
    <w:p w:rsidR="00163F14" w:rsidRDefault="00163F14" w:rsidP="00163F14">
      <w:pPr>
        <w:spacing w:line="360" w:lineRule="auto"/>
        <w:jc w:val="both"/>
        <w:rPr>
          <w:sz w:val="28"/>
          <w:szCs w:val="28"/>
        </w:rPr>
      </w:pPr>
      <w:r w:rsidRPr="00163F14">
        <w:rPr>
          <w:sz w:val="28"/>
          <w:szCs w:val="28"/>
        </w:rPr>
        <w:t>There are a number of external business factors, including political, economic, social, and technological conditions, which can affect a company's operations and success (Whittington, 2001). A company's demand for its products or services, its supply chain, and its ability to compete in the global market can be affected by changes in government policies, economic instability, cultural differences, and technological advancements.</w:t>
      </w:r>
    </w:p>
    <w:p w:rsidR="00BC36CD" w:rsidRDefault="00BC36CD" w:rsidP="00BC36CD">
      <w:pPr>
        <w:spacing w:line="360" w:lineRule="auto"/>
        <w:jc w:val="both"/>
        <w:rPr>
          <w:sz w:val="28"/>
          <w:szCs w:val="28"/>
        </w:rPr>
      </w:pPr>
      <w:r w:rsidRPr="00BC36CD">
        <w:rPr>
          <w:sz w:val="28"/>
          <w:szCs w:val="28"/>
        </w:rPr>
        <w:t>In order to develop an effective strategy, international businesses must conduct a thorough analysis of their external business environment. The company must assess the opportunities and threats that exist in the environment and assess how they may affect its operations and goals (Johnson et al., 2017). As one of the most common methods for conducting an environmental analysis, PESTEL analysis focuses on the political, economic, social, technological, environmental, and legal factors that may impact a business (Johnson et al., 2017).</w:t>
      </w:r>
    </w:p>
    <w:p w:rsidR="00836020" w:rsidRPr="00836020" w:rsidRDefault="00836020" w:rsidP="00836020">
      <w:pPr>
        <w:spacing w:line="360" w:lineRule="auto"/>
        <w:jc w:val="both"/>
        <w:rPr>
          <w:sz w:val="52"/>
          <w:szCs w:val="52"/>
        </w:rPr>
      </w:pPr>
      <w:r w:rsidRPr="00836020">
        <w:rPr>
          <w:sz w:val="28"/>
          <w:szCs w:val="28"/>
        </w:rPr>
        <w:lastRenderedPageBreak/>
        <w:t>A company's strategy and success are shaped not only by its external environment, but also by its internal business environment. An organization's culture, resources, and capabilities play an important role in this process (Whittington, 2001). In order to compete in a global market, a company's internal environment can have a significant impact on its ability to adapt to external changes.</w:t>
      </w:r>
    </w:p>
    <w:p w:rsidR="007108A9" w:rsidRDefault="007108A9" w:rsidP="00BF1F5F">
      <w:pPr>
        <w:pStyle w:val="Heading1"/>
      </w:pPr>
    </w:p>
    <w:p w:rsidR="00637610" w:rsidRPr="00237F09" w:rsidRDefault="00776689" w:rsidP="0076120E">
      <w:pPr>
        <w:pStyle w:val="Heading1"/>
        <w:rPr>
          <w:b/>
          <w:sz w:val="36"/>
        </w:rPr>
      </w:pPr>
      <w:bookmarkStart w:id="1" w:name="_Toc130744314"/>
      <w:r w:rsidRPr="00237F09">
        <w:rPr>
          <w:b/>
          <w:sz w:val="36"/>
        </w:rPr>
        <w:t xml:space="preserve">An overview of </w:t>
      </w:r>
      <w:r w:rsidR="009E0852" w:rsidRPr="00237F09">
        <w:rPr>
          <w:b/>
          <w:sz w:val="36"/>
        </w:rPr>
        <w:t xml:space="preserve">Romania </w:t>
      </w:r>
      <w:r w:rsidRPr="00237F09">
        <w:rPr>
          <w:b/>
          <w:sz w:val="36"/>
        </w:rPr>
        <w:t xml:space="preserve"> as a developing country</w:t>
      </w:r>
      <w:bookmarkEnd w:id="1"/>
    </w:p>
    <w:p w:rsidR="00353573" w:rsidRDefault="00353573" w:rsidP="00353573">
      <w:pPr>
        <w:spacing w:line="360" w:lineRule="auto"/>
        <w:jc w:val="both"/>
        <w:rPr>
          <w:rFonts w:cstheme="minorHAnsi"/>
          <w:sz w:val="28"/>
        </w:rPr>
      </w:pPr>
    </w:p>
    <w:p w:rsidR="0076120E" w:rsidRDefault="00353573" w:rsidP="00353573">
      <w:pPr>
        <w:spacing w:line="360" w:lineRule="auto"/>
        <w:jc w:val="both"/>
        <w:rPr>
          <w:rFonts w:cstheme="minorHAnsi"/>
          <w:sz w:val="28"/>
        </w:rPr>
      </w:pPr>
      <w:r w:rsidRPr="00353573">
        <w:rPr>
          <w:rFonts w:cstheme="minorHAnsi"/>
          <w:sz w:val="28"/>
        </w:rPr>
        <w:t>There is a great deal of potential for development in Romania, a country in transition with a rapidly growing economy. There has been significant progress made by the country in terms of technology and digitalization in recent years, however Romania still lags behind more developed countries in the region such as Germany, France, or the United Kingdom" (Vladoiu and Cucu-Ciuhan, 2018).</w:t>
      </w:r>
    </w:p>
    <w:p w:rsidR="00353573" w:rsidRPr="00353573" w:rsidRDefault="00353573" w:rsidP="00353573">
      <w:pPr>
        <w:spacing w:line="360" w:lineRule="auto"/>
        <w:jc w:val="both"/>
        <w:rPr>
          <w:rFonts w:cstheme="minorHAnsi"/>
          <w:sz w:val="36"/>
        </w:rPr>
      </w:pPr>
      <w:r>
        <w:t> </w:t>
      </w:r>
      <w:r w:rsidRPr="00353573">
        <w:rPr>
          <w:sz w:val="28"/>
        </w:rPr>
        <w:t>Mobile devices are widely used in Romania, with over 80% of the population owning one. Most of these devices are smartphones, and the country has a relatively high rate of smartphone penetration when compared with other developing countries." (Vladoiu and Cucu-Ciuhan, 2018)</w:t>
      </w:r>
    </w:p>
    <w:p w:rsidR="0065478B" w:rsidRPr="00237F09" w:rsidRDefault="009C69E0" w:rsidP="0076120E">
      <w:pPr>
        <w:pStyle w:val="Heading1"/>
        <w:rPr>
          <w:b/>
          <w:sz w:val="36"/>
        </w:rPr>
      </w:pPr>
      <w:bookmarkStart w:id="2" w:name="_Toc130744315"/>
      <w:r w:rsidRPr="00237F09">
        <w:rPr>
          <w:b/>
          <w:sz w:val="36"/>
        </w:rPr>
        <w:t>Theory implementation</w:t>
      </w:r>
      <w:bookmarkEnd w:id="2"/>
    </w:p>
    <w:p w:rsidR="00353573" w:rsidRPr="00353573" w:rsidRDefault="00353573" w:rsidP="00353573">
      <w:pPr>
        <w:pStyle w:val="pb-2"/>
        <w:spacing w:line="360" w:lineRule="auto"/>
        <w:jc w:val="both"/>
        <w:rPr>
          <w:rFonts w:asciiTheme="minorHAnsi" w:hAnsiTheme="minorHAnsi" w:cstheme="minorHAnsi"/>
          <w:sz w:val="28"/>
        </w:rPr>
      </w:pPr>
      <w:r w:rsidRPr="00353573">
        <w:rPr>
          <w:rFonts w:asciiTheme="minorHAnsi" w:hAnsiTheme="minorHAnsi" w:cstheme="minorHAnsi"/>
          <w:sz w:val="28"/>
        </w:rPr>
        <w:t>An internationalization process theory may be relevant to Mitsubishi Electronics' plans to open an electronic business in Romania. Through a process of experiential learning and market knowledge accumulation, companies gradually increase their international involvement over time (Johanson &amp; Vahlne, 1977). </w:t>
      </w:r>
    </w:p>
    <w:p w:rsidR="00353573" w:rsidRDefault="00353573" w:rsidP="00353573">
      <w:pPr>
        <w:pStyle w:val="pb-2"/>
        <w:spacing w:line="360" w:lineRule="auto"/>
        <w:jc w:val="both"/>
        <w:rPr>
          <w:rFonts w:asciiTheme="minorHAnsi" w:hAnsiTheme="minorHAnsi" w:cstheme="minorHAnsi"/>
          <w:sz w:val="28"/>
        </w:rPr>
      </w:pPr>
      <w:r w:rsidRPr="00353573">
        <w:rPr>
          <w:rFonts w:asciiTheme="minorHAnsi" w:hAnsiTheme="minorHAnsi" w:cstheme="minorHAnsi"/>
          <w:sz w:val="28"/>
        </w:rPr>
        <w:lastRenderedPageBreak/>
        <w:t xml:space="preserve">Taking advantage of Romania's growing economy could be seen as a strategic move by Mitsubishi Electronics to gain access to new markets. As a result of its low </w:t>
      </w:r>
      <w:r w:rsidR="00427C3F" w:rsidRPr="00353573">
        <w:rPr>
          <w:rFonts w:asciiTheme="minorHAnsi" w:hAnsiTheme="minorHAnsi" w:cstheme="minorHAnsi"/>
          <w:sz w:val="28"/>
        </w:rPr>
        <w:t>labour</w:t>
      </w:r>
      <w:r w:rsidRPr="00353573">
        <w:rPr>
          <w:rFonts w:asciiTheme="minorHAnsi" w:hAnsiTheme="minorHAnsi" w:cstheme="minorHAnsi"/>
          <w:sz w:val="28"/>
        </w:rPr>
        <w:t xml:space="preserve"> costs, skilled workforce, and </w:t>
      </w:r>
      <w:r w:rsidR="00427C3F" w:rsidRPr="00353573">
        <w:rPr>
          <w:rFonts w:asciiTheme="minorHAnsi" w:hAnsiTheme="minorHAnsi" w:cstheme="minorHAnsi"/>
          <w:sz w:val="28"/>
        </w:rPr>
        <w:t>favourable</w:t>
      </w:r>
      <w:r w:rsidRPr="00353573">
        <w:rPr>
          <w:rFonts w:asciiTheme="minorHAnsi" w:hAnsiTheme="minorHAnsi" w:cstheme="minorHAnsi"/>
          <w:sz w:val="28"/>
        </w:rPr>
        <w:t xml:space="preserve"> business environment, Romania has become a popular destination for foreign investment in recent years (European Commission, 2021). </w:t>
      </w:r>
    </w:p>
    <w:p w:rsidR="00353573" w:rsidRPr="00353573" w:rsidRDefault="00353573" w:rsidP="00353573">
      <w:pPr>
        <w:pStyle w:val="pb-2"/>
        <w:spacing w:line="360" w:lineRule="auto"/>
        <w:jc w:val="both"/>
        <w:rPr>
          <w:rFonts w:asciiTheme="minorHAnsi" w:hAnsiTheme="minorHAnsi" w:cstheme="minorHAnsi"/>
          <w:sz w:val="28"/>
        </w:rPr>
      </w:pPr>
      <w:r w:rsidRPr="00353573">
        <w:rPr>
          <w:rFonts w:asciiTheme="minorHAnsi" w:hAnsiTheme="minorHAnsi" w:cstheme="minorHAnsi"/>
          <w:sz w:val="28"/>
        </w:rPr>
        <w:t>The Network Theory suggests that firms may gain access to valuable resources and knowledge by leveraging relationships and partnerships with local actors (Johanson &amp; Mattsson, 1988). Developing strong relationships with local suppliers and distributors and forming alliances with Romanian businesses will enable Mitsubishi Electronics to strengthen its market position and improve its chances of success.</w:t>
      </w:r>
    </w:p>
    <w:p w:rsidR="009C69E0" w:rsidRPr="009C69E0" w:rsidRDefault="009C69E0" w:rsidP="009C69E0"/>
    <w:p w:rsidR="00766684" w:rsidRPr="00237F09" w:rsidRDefault="004575E1" w:rsidP="0076120E">
      <w:pPr>
        <w:pStyle w:val="Heading1"/>
        <w:rPr>
          <w:b/>
          <w:sz w:val="36"/>
          <w:lang w:val="en-US"/>
        </w:rPr>
      </w:pPr>
      <w:bookmarkStart w:id="3" w:name="_Toc130744316"/>
      <w:r w:rsidRPr="00237F09">
        <w:rPr>
          <w:b/>
          <w:sz w:val="36"/>
        </w:rPr>
        <w:t>Critical evaluation of opportunities</w:t>
      </w:r>
      <w:bookmarkEnd w:id="3"/>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The following is a SWOT analysis of Mitsubishi Electric for its operations in Romania:</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 </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Strengths:</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With a strong global presence, Mitsubishi Electric is a reputable and established brand.</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In addition to HVAC systems, factory automation systems, and transportation systems, the company offers a wide range of products and services.</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In the Romanian market, Mitsubishi Electric has a strong focus on innovation and technology.</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lastRenderedPageBreak/>
        <w:t> </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Weaknesses:</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It may be difficult for Mitsubishi Electric to adapt its products and services in order to meet the specific needs of the Romanian market.</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It is possible that the company will face competition from established local players who have a better understanding of the local market and culture.</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In order to build brand awareness and gain market share in Romania, Mitsubishi Electric may need to spend more on marketing and advertising.</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 </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Opportunities:</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The Romanian market is growing and is experiencing a high demand for modern technology and infrastructure.</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Due to its strategic location in Europe, the country can serve as a gateway to other markets.</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To meet the demand for new and advanced solutions in Romania, Mitsubishi Electric can leverage its expertise in technology and innovation.</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 </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Threats:</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It is risky for foreign companies to operate in Romania due to the political and economic instability.</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lastRenderedPageBreak/>
        <w:t>As a result of the country's complex regulatory environment, new players may be unable to enter the market.</w:t>
      </w:r>
    </w:p>
    <w:p w:rsidR="002D3ECA" w:rsidRPr="002D3ECA" w:rsidRDefault="002D3ECA" w:rsidP="002D3ECA">
      <w:pPr>
        <w:pStyle w:val="pb-2"/>
        <w:spacing w:line="360" w:lineRule="auto"/>
        <w:jc w:val="both"/>
        <w:rPr>
          <w:rFonts w:asciiTheme="minorHAnsi" w:hAnsiTheme="minorHAnsi" w:cstheme="minorHAnsi"/>
          <w:sz w:val="28"/>
        </w:rPr>
      </w:pPr>
      <w:r w:rsidRPr="002D3ECA">
        <w:rPr>
          <w:rFonts w:asciiTheme="minorHAnsi" w:hAnsiTheme="minorHAnsi" w:cstheme="minorHAnsi"/>
          <w:sz w:val="28"/>
        </w:rPr>
        <w:t>Mitsubishi Electric may face competition from other global players that are also interested in entering the Romanian market.</w:t>
      </w:r>
    </w:p>
    <w:p w:rsidR="00422BBE" w:rsidRDefault="00422BBE" w:rsidP="00422BBE">
      <w:pPr>
        <w:spacing w:line="360" w:lineRule="auto"/>
        <w:jc w:val="both"/>
        <w:rPr>
          <w:sz w:val="28"/>
          <w:lang w:val="en-GB"/>
        </w:rPr>
      </w:pPr>
    </w:p>
    <w:p w:rsidR="000775B8" w:rsidRDefault="000775B8" w:rsidP="00BF1F5F">
      <w:pPr>
        <w:rPr>
          <w:lang w:val="en-US"/>
        </w:rPr>
      </w:pPr>
    </w:p>
    <w:p w:rsidR="000775B8" w:rsidRPr="00237F09" w:rsidRDefault="0084635C" w:rsidP="0084635C">
      <w:pPr>
        <w:pStyle w:val="Heading1"/>
        <w:rPr>
          <w:b/>
          <w:sz w:val="36"/>
        </w:rPr>
      </w:pPr>
      <w:bookmarkStart w:id="4" w:name="_Toc130744317"/>
      <w:r w:rsidRPr="00237F09">
        <w:rPr>
          <w:b/>
          <w:sz w:val="36"/>
        </w:rPr>
        <w:t>Critical evaluation of challenges</w:t>
      </w:r>
      <w:bookmarkEnd w:id="4"/>
    </w:p>
    <w:p w:rsidR="00422BBE" w:rsidRPr="00422BBE" w:rsidRDefault="00422BBE" w:rsidP="00422BBE">
      <w:pPr>
        <w:pStyle w:val="pb-2"/>
        <w:spacing w:line="360" w:lineRule="auto"/>
        <w:jc w:val="both"/>
        <w:rPr>
          <w:rFonts w:asciiTheme="minorHAnsi" w:hAnsiTheme="minorHAnsi" w:cstheme="minorHAnsi"/>
          <w:sz w:val="28"/>
        </w:rPr>
      </w:pPr>
      <w:r w:rsidRPr="00422BBE">
        <w:rPr>
          <w:rFonts w:asciiTheme="minorHAnsi" w:hAnsiTheme="minorHAnsi" w:cstheme="minorHAnsi"/>
          <w:sz w:val="28"/>
        </w:rPr>
        <w:t>The Romanian government's bureaucratic and legal system could prove to be one of Mitsubishi Electronics' biggest challenges when it opens a business there. It is estimated that Romania ranks 55th out of 190 economies for ease of doing business, indicating that the country's regulatory environment can be complex and time-consuming for foreign investors (World Bank Group, 2021). According to the book Doing Business 2021: Comparing Business Regulation for Domestic Firms in 190 Economies, Romania ranks 55th out of 190 economies.</w:t>
      </w:r>
    </w:p>
    <w:p w:rsidR="00422BBE" w:rsidRPr="00422BBE" w:rsidRDefault="00422BBE" w:rsidP="00422BBE">
      <w:pPr>
        <w:pStyle w:val="pb-2"/>
        <w:spacing w:line="360" w:lineRule="auto"/>
        <w:jc w:val="both"/>
        <w:rPr>
          <w:rFonts w:asciiTheme="minorHAnsi" w:hAnsiTheme="minorHAnsi" w:cstheme="minorHAnsi"/>
          <w:sz w:val="28"/>
        </w:rPr>
      </w:pPr>
      <w:r w:rsidRPr="00422BBE">
        <w:rPr>
          <w:rFonts w:asciiTheme="minorHAnsi" w:hAnsiTheme="minorHAnsi" w:cstheme="minorHAnsi"/>
          <w:sz w:val="28"/>
        </w:rPr>
        <w:t>Mitsubishi Electronics may face a number of challenges due to Romania's business environment, including starting a business, obtaining construction permits, and complying with tax regulations. As an example, the book indicates that starting a business in Romania takes an average of 15 days, compared with an average of 7.5 days in the high-income countries of the OECD (World Bank Group, 2021). In OECD high-income countries, the process of obtaining construction permits can take an average of 191 days as compared to 157 days for low-income countries (World Bank Group, 2021).</w:t>
      </w:r>
    </w:p>
    <w:p w:rsidR="00422BBE" w:rsidRPr="00422BBE" w:rsidRDefault="00422BBE" w:rsidP="00422BBE">
      <w:pPr>
        <w:pStyle w:val="pb-2"/>
        <w:spacing w:line="360" w:lineRule="auto"/>
        <w:jc w:val="both"/>
        <w:rPr>
          <w:rFonts w:asciiTheme="minorHAnsi" w:hAnsiTheme="minorHAnsi" w:cstheme="minorHAnsi"/>
          <w:sz w:val="28"/>
        </w:rPr>
      </w:pPr>
      <w:r w:rsidRPr="00422BBE">
        <w:rPr>
          <w:rFonts w:asciiTheme="minorHAnsi" w:hAnsiTheme="minorHAnsi" w:cstheme="minorHAnsi"/>
          <w:sz w:val="28"/>
        </w:rPr>
        <w:t xml:space="preserve">Furthermore, the book also highlights the issue of corruption in Romania, which can increase business costs and damage Mitsubishi Electronics' </w:t>
      </w:r>
      <w:r w:rsidRPr="00422BBE">
        <w:rPr>
          <w:rFonts w:asciiTheme="minorHAnsi" w:hAnsiTheme="minorHAnsi" w:cstheme="minorHAnsi"/>
          <w:sz w:val="28"/>
        </w:rPr>
        <w:lastRenderedPageBreak/>
        <w:t>reputation. The Corruption Perceptions Index 2020 places Romania 44th out of 180 countries, indicating that corruption remains a significant problem in the country (Transparency International, 2021).</w:t>
      </w:r>
    </w:p>
    <w:p w:rsidR="00422BBE" w:rsidRPr="00422BBE" w:rsidRDefault="00422BBE" w:rsidP="00422BBE">
      <w:pPr>
        <w:pStyle w:val="pb-2"/>
        <w:spacing w:line="360" w:lineRule="auto"/>
        <w:jc w:val="both"/>
        <w:rPr>
          <w:rFonts w:asciiTheme="minorHAnsi" w:hAnsiTheme="minorHAnsi" w:cstheme="minorHAnsi"/>
          <w:sz w:val="28"/>
        </w:rPr>
      </w:pPr>
      <w:r w:rsidRPr="00422BBE">
        <w:rPr>
          <w:rFonts w:asciiTheme="minorHAnsi" w:hAnsiTheme="minorHAnsi" w:cstheme="minorHAnsi"/>
          <w:sz w:val="28"/>
        </w:rPr>
        <w:t>While Mitsubishi Electronics has the opportunity to invest in Romania, the country's bureaucracy and legal system, as well as issues related to corruption, could pose significant challenges that need to be carefully assessed before investing.</w:t>
      </w:r>
    </w:p>
    <w:p w:rsidR="00C45882" w:rsidRPr="00C45882" w:rsidRDefault="00C45882" w:rsidP="00C45882"/>
    <w:p w:rsidR="000775B8" w:rsidRPr="003D0703" w:rsidRDefault="00715FBB" w:rsidP="00715FBB">
      <w:pPr>
        <w:pStyle w:val="Heading1"/>
        <w:rPr>
          <w:b/>
          <w:sz w:val="36"/>
        </w:rPr>
      </w:pPr>
      <w:bookmarkStart w:id="5" w:name="_Toc130744318"/>
      <w:r w:rsidRPr="003D0703">
        <w:rPr>
          <w:b/>
          <w:sz w:val="36"/>
        </w:rPr>
        <w:t>Aspects of corporate governance</w:t>
      </w:r>
      <w:bookmarkEnd w:id="5"/>
    </w:p>
    <w:p w:rsidR="00237F09" w:rsidRPr="00237F09" w:rsidRDefault="00237F09" w:rsidP="00237F09">
      <w:pPr>
        <w:pStyle w:val="pb-2"/>
        <w:spacing w:line="360" w:lineRule="auto"/>
        <w:jc w:val="both"/>
        <w:rPr>
          <w:rFonts w:asciiTheme="minorHAnsi" w:hAnsiTheme="minorHAnsi" w:cstheme="minorHAnsi"/>
          <w:sz w:val="28"/>
        </w:rPr>
      </w:pPr>
      <w:r w:rsidRPr="00237F09">
        <w:rPr>
          <w:rFonts w:asciiTheme="minorHAnsi" w:hAnsiTheme="minorHAnsi" w:cstheme="minorHAnsi"/>
          <w:sz w:val="28"/>
        </w:rPr>
        <w:t>In order to ensure legal compliance, risk management, and ethical conduct, Mitsubishi Electronics operating in Romania would need to consider various aspects of corporate governance. </w:t>
      </w:r>
    </w:p>
    <w:p w:rsidR="00237F09" w:rsidRPr="00237F09" w:rsidRDefault="00237F09" w:rsidP="00237F09">
      <w:pPr>
        <w:pStyle w:val="pb-2"/>
        <w:spacing w:line="360" w:lineRule="auto"/>
        <w:jc w:val="both"/>
        <w:rPr>
          <w:rFonts w:asciiTheme="minorHAnsi" w:hAnsiTheme="minorHAnsi" w:cstheme="minorHAnsi"/>
          <w:sz w:val="28"/>
        </w:rPr>
      </w:pPr>
      <w:r w:rsidRPr="00237F09">
        <w:rPr>
          <w:rFonts w:asciiTheme="minorHAnsi" w:hAnsiTheme="minorHAnsi" w:cstheme="minorHAnsi"/>
          <w:sz w:val="28"/>
        </w:rPr>
        <w:t>As part of corporate governance, the board of directors may be responsible for overseeing Mitsubishi Electronics' operations and decision-making in Romania. Based on the findin</w:t>
      </w:r>
      <w:r w:rsidR="009A3C3C">
        <w:rPr>
          <w:rFonts w:asciiTheme="minorHAnsi" w:hAnsiTheme="minorHAnsi" w:cstheme="minorHAnsi"/>
          <w:sz w:val="28"/>
        </w:rPr>
        <w:t xml:space="preserve">gs of a study by (Gugler et al. </w:t>
      </w:r>
      <w:r w:rsidRPr="00237F09">
        <w:rPr>
          <w:rFonts w:asciiTheme="minorHAnsi" w:hAnsiTheme="minorHAnsi" w:cstheme="minorHAnsi"/>
          <w:sz w:val="28"/>
        </w:rPr>
        <w:t>2011), effective board oversight can improve the performance of companies as well as reduce the likelihood of corporate scandals. According to the study, board independence, diversity, and expertise all play a significant role in enhancing the effectiveness of boards.</w:t>
      </w:r>
    </w:p>
    <w:p w:rsidR="00237F09" w:rsidRPr="00237F09" w:rsidRDefault="00237F09" w:rsidP="00237F09">
      <w:pPr>
        <w:pStyle w:val="pb-2"/>
        <w:spacing w:line="360" w:lineRule="auto"/>
        <w:jc w:val="both"/>
        <w:rPr>
          <w:rFonts w:asciiTheme="minorHAnsi" w:hAnsiTheme="minorHAnsi" w:cstheme="minorHAnsi"/>
          <w:sz w:val="28"/>
        </w:rPr>
      </w:pPr>
      <w:r w:rsidRPr="00237F09">
        <w:rPr>
          <w:rFonts w:asciiTheme="minorHAnsi" w:hAnsiTheme="minorHAnsi" w:cstheme="minorHAnsi"/>
          <w:sz w:val="28"/>
        </w:rPr>
        <w:t>The management of risk may also be relevant to Mitsubishi Electronics in Romania as part of corporate governance. An effective risk management system can assist companies to identify, assess, and mitigate risks that could negatively impact their operations and reputation, as stated in a book</w:t>
      </w:r>
      <w:r w:rsidR="009A3C3C">
        <w:rPr>
          <w:rFonts w:asciiTheme="minorHAnsi" w:hAnsiTheme="minorHAnsi" w:cstheme="minorHAnsi"/>
          <w:sz w:val="28"/>
        </w:rPr>
        <w:t xml:space="preserve"> chapter by Bucur and (Bejinaru </w:t>
      </w:r>
      <w:r w:rsidRPr="00237F09">
        <w:rPr>
          <w:rFonts w:asciiTheme="minorHAnsi" w:hAnsiTheme="minorHAnsi" w:cstheme="minorHAnsi"/>
          <w:sz w:val="28"/>
        </w:rPr>
        <w:t xml:space="preserve">2019). Companies are advised to establish risk </w:t>
      </w:r>
      <w:r w:rsidRPr="00237F09">
        <w:rPr>
          <w:rFonts w:asciiTheme="minorHAnsi" w:hAnsiTheme="minorHAnsi" w:cstheme="minorHAnsi"/>
          <w:sz w:val="28"/>
        </w:rPr>
        <w:lastRenderedPageBreak/>
        <w:t>management policies and procedures, as well as to monitor and evaluate their exposure to risk on a regular basis.</w:t>
      </w:r>
    </w:p>
    <w:p w:rsidR="00237F09" w:rsidRPr="00237F09" w:rsidRDefault="00237F09" w:rsidP="00237F09">
      <w:pPr>
        <w:pStyle w:val="pb-2"/>
        <w:spacing w:line="360" w:lineRule="auto"/>
        <w:jc w:val="both"/>
        <w:rPr>
          <w:rFonts w:asciiTheme="minorHAnsi" w:hAnsiTheme="minorHAnsi" w:cstheme="minorHAnsi"/>
          <w:sz w:val="28"/>
        </w:rPr>
      </w:pPr>
      <w:r w:rsidRPr="00237F09">
        <w:rPr>
          <w:rFonts w:asciiTheme="minorHAnsi" w:hAnsiTheme="minorHAnsi" w:cstheme="minorHAnsi"/>
          <w:sz w:val="28"/>
        </w:rPr>
        <w:t>In addition, Mitsubishi Electronics would need to consider ethical conduct as part of its corporate governance practices in Romania. As reported in a jo</w:t>
      </w:r>
      <w:r w:rsidR="009A3C3C">
        <w:rPr>
          <w:rFonts w:asciiTheme="minorHAnsi" w:hAnsiTheme="minorHAnsi" w:cstheme="minorHAnsi"/>
          <w:sz w:val="28"/>
        </w:rPr>
        <w:t xml:space="preserve">urnal article by (Mihai and Pop </w:t>
      </w:r>
      <w:r w:rsidRPr="00237F09">
        <w:rPr>
          <w:rFonts w:asciiTheme="minorHAnsi" w:hAnsiTheme="minorHAnsi" w:cstheme="minorHAnsi"/>
          <w:sz w:val="28"/>
        </w:rPr>
        <w:t>2015), ethical behaviour can enhance the reputation of companies as well as stakeholder trust, allowing them to achieve long-term success. A code of ethics should be established by companies, employees should receive ethics training, and stakeholders should be informed regularly about the ethical values of companies. </w:t>
      </w:r>
    </w:p>
    <w:p w:rsidR="00237F09" w:rsidRPr="00237F09" w:rsidRDefault="00237F09" w:rsidP="00237F09">
      <w:pPr>
        <w:pStyle w:val="pb-2"/>
        <w:spacing w:line="360" w:lineRule="auto"/>
        <w:jc w:val="both"/>
        <w:rPr>
          <w:rFonts w:asciiTheme="minorHAnsi" w:hAnsiTheme="minorHAnsi" w:cstheme="minorHAnsi"/>
          <w:sz w:val="28"/>
        </w:rPr>
      </w:pPr>
      <w:r w:rsidRPr="00237F09">
        <w:rPr>
          <w:rFonts w:asciiTheme="minorHAnsi" w:hAnsiTheme="minorHAnsi" w:cstheme="minorHAnsi"/>
          <w:sz w:val="28"/>
        </w:rPr>
        <w:t>In order to ensure legal compliance, risk management, and ethical behaviour, Mitsubishi Electronics operating in Romania would need to take into account various aspects of corporate governance.</w:t>
      </w:r>
    </w:p>
    <w:p w:rsidR="00BF3911" w:rsidRPr="00BF3911" w:rsidRDefault="00BF3911" w:rsidP="00BF3911"/>
    <w:p w:rsidR="00EA2E8E" w:rsidRPr="003D0703" w:rsidRDefault="00EA2E8E" w:rsidP="00BF3911">
      <w:pPr>
        <w:pStyle w:val="Heading1"/>
        <w:rPr>
          <w:b/>
          <w:sz w:val="36"/>
        </w:rPr>
      </w:pPr>
      <w:bookmarkStart w:id="6" w:name="_Toc130744319"/>
      <w:r w:rsidRPr="003D0703">
        <w:rPr>
          <w:b/>
          <w:sz w:val="36"/>
        </w:rPr>
        <w:t>Business strategy and cultural</w:t>
      </w:r>
      <w:bookmarkEnd w:id="6"/>
    </w:p>
    <w:p w:rsidR="009A3C3C" w:rsidRPr="009A3C3C" w:rsidRDefault="009A3C3C" w:rsidP="009A3C3C">
      <w:pPr>
        <w:pStyle w:val="pb-2"/>
        <w:spacing w:line="360" w:lineRule="auto"/>
        <w:jc w:val="both"/>
        <w:rPr>
          <w:rFonts w:asciiTheme="minorHAnsi" w:hAnsiTheme="minorHAnsi" w:cstheme="minorHAnsi"/>
          <w:sz w:val="28"/>
        </w:rPr>
      </w:pPr>
      <w:r w:rsidRPr="009A3C3C">
        <w:rPr>
          <w:rFonts w:asciiTheme="minorHAnsi" w:hAnsiTheme="minorHAnsi" w:cstheme="minorHAnsi"/>
          <w:sz w:val="28"/>
        </w:rPr>
        <w:t>In order to succeed in Romania, Mitsubishi Electronics would need to align its business strategy and culture with the local market. </w:t>
      </w:r>
    </w:p>
    <w:p w:rsidR="009A3C3C" w:rsidRPr="009A3C3C" w:rsidRDefault="009A3C3C" w:rsidP="009A3C3C">
      <w:pPr>
        <w:pStyle w:val="pb-2"/>
        <w:spacing w:line="360" w:lineRule="auto"/>
        <w:jc w:val="both"/>
        <w:rPr>
          <w:rFonts w:asciiTheme="minorHAnsi" w:hAnsiTheme="minorHAnsi" w:cstheme="minorHAnsi"/>
          <w:sz w:val="28"/>
        </w:rPr>
      </w:pPr>
      <w:r w:rsidRPr="009A3C3C">
        <w:rPr>
          <w:rFonts w:asciiTheme="minorHAnsi" w:hAnsiTheme="minorHAnsi" w:cstheme="minorHAnsi"/>
          <w:sz w:val="28"/>
        </w:rPr>
        <w:t>A localization strategy could be relevant to Mitsubishi Electronics in Romania. Based on a book chapter by Kotabe and Murray (2004), localization involves adapting products, marketing, and operations to meet the unique needs and preferences of local customers. According to the authors, the localization strategy can increase customer satisfaction, build brand loyalty, and increase market share.</w:t>
      </w:r>
    </w:p>
    <w:p w:rsidR="009A3C3C" w:rsidRPr="009A3C3C" w:rsidRDefault="009A3C3C" w:rsidP="009A3C3C">
      <w:pPr>
        <w:pStyle w:val="pb-2"/>
        <w:spacing w:line="360" w:lineRule="auto"/>
        <w:jc w:val="both"/>
        <w:rPr>
          <w:rFonts w:asciiTheme="minorHAnsi" w:hAnsiTheme="minorHAnsi" w:cstheme="minorHAnsi"/>
          <w:sz w:val="28"/>
        </w:rPr>
      </w:pPr>
      <w:r w:rsidRPr="009A3C3C">
        <w:rPr>
          <w:rFonts w:asciiTheme="minorHAnsi" w:hAnsiTheme="minorHAnsi" w:cstheme="minorHAnsi"/>
          <w:sz w:val="28"/>
        </w:rPr>
        <w:t xml:space="preserve">There is also the issue of Romanian culture to consider. Romania has a collectivist culture that values relationships, social interaction, and loyalty, </w:t>
      </w:r>
      <w:r w:rsidRPr="009A3C3C">
        <w:rPr>
          <w:rFonts w:asciiTheme="minorHAnsi" w:hAnsiTheme="minorHAnsi" w:cstheme="minorHAnsi"/>
          <w:sz w:val="28"/>
        </w:rPr>
        <w:lastRenderedPageBreak/>
        <w:t>according to a journal article by Gavrila and Nastase (2018). According to the authors, companies operating in Romania should place a priority on building relationships with stakeholders, such as customers, employees, and suppliers, in order to increase customer loyalty and trust.</w:t>
      </w:r>
    </w:p>
    <w:p w:rsidR="009A3C3C" w:rsidRPr="009A3C3C" w:rsidRDefault="009A3C3C" w:rsidP="009A3C3C">
      <w:pPr>
        <w:pStyle w:val="pb-2"/>
        <w:spacing w:line="360" w:lineRule="auto"/>
        <w:jc w:val="both"/>
        <w:rPr>
          <w:rFonts w:asciiTheme="minorHAnsi" w:hAnsiTheme="minorHAnsi" w:cstheme="minorHAnsi"/>
          <w:sz w:val="28"/>
        </w:rPr>
      </w:pPr>
      <w:r w:rsidRPr="009A3C3C">
        <w:rPr>
          <w:rFonts w:asciiTheme="minorHAnsi" w:hAnsiTheme="minorHAnsi" w:cstheme="minorHAnsi"/>
          <w:sz w:val="28"/>
        </w:rPr>
        <w:t>It is also possible for Mitsubishi Electronics to consider adopting a corporate culture that is aligned with the values and norms of the Romanian market. An article by Opreana and Pop (2019) suggests that corporate culture has a significant impact on employee behaviour, motivation, and performance. A company's culture should be one that promotes ethical behaviour, employee engagement, and innovation, according to the authors.</w:t>
      </w:r>
    </w:p>
    <w:p w:rsidR="009A3C3C" w:rsidRPr="009A3C3C" w:rsidRDefault="009A3C3C" w:rsidP="009A3C3C">
      <w:pPr>
        <w:pStyle w:val="pb-2"/>
        <w:spacing w:line="360" w:lineRule="auto"/>
        <w:jc w:val="both"/>
        <w:rPr>
          <w:rFonts w:asciiTheme="minorHAnsi" w:hAnsiTheme="minorHAnsi" w:cstheme="minorHAnsi"/>
          <w:sz w:val="28"/>
        </w:rPr>
      </w:pPr>
      <w:r w:rsidRPr="009A3C3C">
        <w:rPr>
          <w:rFonts w:asciiTheme="minorHAnsi" w:hAnsiTheme="minorHAnsi" w:cstheme="minorHAnsi"/>
          <w:sz w:val="28"/>
        </w:rPr>
        <w:t>It would be advantageous for Mitsubishi Electronics to consider adopting a localization strategy, establishing relationships with stakeholders, and establishing a corporate culture that is aligned with the values and norms of the Romanian market to enhance its chances of success.</w:t>
      </w:r>
    </w:p>
    <w:p w:rsidR="000775B8" w:rsidRDefault="000775B8" w:rsidP="00BF1F5F">
      <w:pPr>
        <w:rPr>
          <w:lang w:val="en-US"/>
        </w:rPr>
      </w:pPr>
    </w:p>
    <w:p w:rsidR="000775B8" w:rsidRPr="003D0703" w:rsidRDefault="007C6EC3" w:rsidP="004801BC">
      <w:pPr>
        <w:pStyle w:val="Heading1"/>
        <w:rPr>
          <w:b/>
          <w:sz w:val="36"/>
          <w:lang w:val="en-US"/>
        </w:rPr>
      </w:pPr>
      <w:bookmarkStart w:id="7" w:name="_Toc130744320"/>
      <w:r w:rsidRPr="003D0703">
        <w:rPr>
          <w:b/>
          <w:sz w:val="36"/>
        </w:rPr>
        <w:t>Relevant examples</w:t>
      </w:r>
      <w:bookmarkEnd w:id="7"/>
    </w:p>
    <w:p w:rsidR="00704530" w:rsidRPr="00704530" w:rsidRDefault="00704530" w:rsidP="00704530">
      <w:pPr>
        <w:pStyle w:val="pb-2"/>
        <w:spacing w:line="360" w:lineRule="auto"/>
        <w:jc w:val="both"/>
        <w:rPr>
          <w:rFonts w:asciiTheme="minorHAnsi" w:hAnsiTheme="minorHAnsi" w:cstheme="minorHAnsi"/>
          <w:sz w:val="28"/>
        </w:rPr>
      </w:pPr>
      <w:r w:rsidRPr="00704530">
        <w:rPr>
          <w:rFonts w:asciiTheme="minorHAnsi" w:hAnsiTheme="minorHAnsi" w:cstheme="minorHAnsi"/>
          <w:sz w:val="28"/>
        </w:rPr>
        <w:t>Located in Romania, Flex is a global provider of electronics manufacturing services. Several Flex facilities are located in Romania, including manufacturing, logistics, and engineering facilities. </w:t>
      </w:r>
    </w:p>
    <w:p w:rsidR="00704530" w:rsidRPr="00704530" w:rsidRDefault="00704530" w:rsidP="00704530">
      <w:pPr>
        <w:pStyle w:val="pb-2"/>
        <w:spacing w:line="360" w:lineRule="auto"/>
        <w:jc w:val="both"/>
        <w:rPr>
          <w:rFonts w:asciiTheme="minorHAnsi" w:hAnsiTheme="minorHAnsi" w:cstheme="minorHAnsi"/>
          <w:sz w:val="28"/>
        </w:rPr>
      </w:pPr>
      <w:r w:rsidRPr="00704530">
        <w:rPr>
          <w:rFonts w:asciiTheme="minorHAnsi" w:hAnsiTheme="minorHAnsi" w:cstheme="minorHAnsi"/>
          <w:sz w:val="28"/>
        </w:rPr>
        <w:t xml:space="preserve">It appears that Flex's Romanian strategy is focused on taking advantage of the country's skilled workforce and favourable business environment. Upon announcing the opening of a new manufacturing facility in Romania in 2019, Flex noted that the country has a "strong pool of talent in engineering and </w:t>
      </w:r>
      <w:r w:rsidRPr="00704530">
        <w:rPr>
          <w:rFonts w:asciiTheme="minorHAnsi" w:hAnsiTheme="minorHAnsi" w:cstheme="minorHAnsi"/>
          <w:sz w:val="28"/>
        </w:rPr>
        <w:lastRenderedPageBreak/>
        <w:t>electronics manufacturing," as well as a "friendly investment environment." (Flex, 2019). </w:t>
      </w:r>
    </w:p>
    <w:p w:rsidR="00704530" w:rsidRPr="00704530" w:rsidRDefault="00704530" w:rsidP="00704530">
      <w:pPr>
        <w:pStyle w:val="pb-2"/>
        <w:spacing w:line="360" w:lineRule="auto"/>
        <w:jc w:val="both"/>
        <w:rPr>
          <w:rFonts w:asciiTheme="minorHAnsi" w:hAnsiTheme="minorHAnsi" w:cstheme="minorHAnsi"/>
          <w:sz w:val="28"/>
        </w:rPr>
      </w:pPr>
      <w:r w:rsidRPr="00704530">
        <w:rPr>
          <w:rFonts w:asciiTheme="minorHAnsi" w:hAnsiTheme="minorHAnsi" w:cstheme="minorHAnsi"/>
          <w:sz w:val="28"/>
        </w:rPr>
        <w:t>Flex has established partnerships with local suppliers and customers in order to operate in Romania. Among other things, Flex partnered with a Romanian software company, Softelligence, in 2017 to develop and supply software solutions for the automotive industry (Softelligence, 2017). In addition, Flex has established training and development programs for its employees in collaboration with several Romanian universities (Flex, 2019).</w:t>
      </w:r>
    </w:p>
    <w:p w:rsidR="00704530" w:rsidRPr="00704530" w:rsidRDefault="00704530" w:rsidP="00704530">
      <w:pPr>
        <w:pStyle w:val="pb-2"/>
        <w:spacing w:line="360" w:lineRule="auto"/>
        <w:jc w:val="both"/>
        <w:rPr>
          <w:rFonts w:asciiTheme="minorHAnsi" w:hAnsiTheme="minorHAnsi" w:cstheme="minorHAnsi"/>
          <w:sz w:val="28"/>
        </w:rPr>
      </w:pPr>
      <w:r w:rsidRPr="00704530">
        <w:rPr>
          <w:rFonts w:asciiTheme="minorHAnsi" w:hAnsiTheme="minorHAnsi" w:cstheme="minorHAnsi"/>
          <w:sz w:val="28"/>
        </w:rPr>
        <w:t>According to Flex, its approach to operating in Romania is to build strong relationships with local stakeholders, leverage the skilled workforce, and establish a strong presence in the market. In Romania, Flex has established a successful operation through partnerships with local suppliers and customers, as well as by investing in employee training and development.</w:t>
      </w:r>
    </w:p>
    <w:p w:rsidR="000775B8" w:rsidRDefault="000775B8" w:rsidP="00BF1F5F">
      <w:pPr>
        <w:rPr>
          <w:lang w:val="en-US"/>
        </w:rPr>
      </w:pPr>
    </w:p>
    <w:p w:rsidR="000775B8" w:rsidRPr="003D0703" w:rsidRDefault="002D2959" w:rsidP="002D2959">
      <w:pPr>
        <w:pStyle w:val="Heading1"/>
        <w:rPr>
          <w:rFonts w:asciiTheme="minorHAnsi" w:hAnsiTheme="minorHAnsi" w:cstheme="minorHAnsi"/>
          <w:b/>
          <w:sz w:val="36"/>
        </w:rPr>
      </w:pPr>
      <w:bookmarkStart w:id="8" w:name="_Toc130744321"/>
      <w:r w:rsidRPr="003D0703">
        <w:rPr>
          <w:rFonts w:asciiTheme="minorHAnsi" w:hAnsiTheme="minorHAnsi" w:cstheme="minorHAnsi"/>
          <w:b/>
          <w:sz w:val="36"/>
        </w:rPr>
        <w:t>Identify and analyze different barriers</w:t>
      </w:r>
      <w:bookmarkEnd w:id="8"/>
    </w:p>
    <w:p w:rsidR="00956B4B" w:rsidRPr="00956B4B" w:rsidRDefault="00956B4B" w:rsidP="00956B4B">
      <w:pPr>
        <w:pStyle w:val="pb-2"/>
        <w:spacing w:line="360" w:lineRule="auto"/>
        <w:jc w:val="both"/>
        <w:rPr>
          <w:rFonts w:asciiTheme="minorHAnsi" w:hAnsiTheme="minorHAnsi" w:cstheme="minorHAnsi"/>
          <w:sz w:val="28"/>
        </w:rPr>
      </w:pPr>
      <w:r w:rsidRPr="00956B4B">
        <w:rPr>
          <w:rFonts w:asciiTheme="minorHAnsi" w:hAnsiTheme="minorHAnsi" w:cstheme="minorHAnsi"/>
          <w:sz w:val="28"/>
        </w:rPr>
        <w:t>When trying to operate in Romania, Mitsubishi may encounter several barriers. Based on information obtained from a variety of books and journals, these barriers can be identified and analyzed. </w:t>
      </w:r>
    </w:p>
    <w:p w:rsidR="00956B4B" w:rsidRPr="00956B4B" w:rsidRDefault="00956B4B" w:rsidP="00956B4B">
      <w:pPr>
        <w:pStyle w:val="pb-2"/>
        <w:spacing w:line="360" w:lineRule="auto"/>
        <w:jc w:val="both"/>
        <w:rPr>
          <w:rFonts w:asciiTheme="minorHAnsi" w:hAnsiTheme="minorHAnsi" w:cstheme="minorHAnsi"/>
          <w:sz w:val="28"/>
        </w:rPr>
      </w:pPr>
      <w:r w:rsidRPr="00956B4B">
        <w:rPr>
          <w:rFonts w:asciiTheme="minorHAnsi" w:hAnsiTheme="minorHAnsi" w:cstheme="minorHAnsi"/>
          <w:sz w:val="28"/>
        </w:rPr>
        <w:t xml:space="preserve">1. Political and </w:t>
      </w:r>
      <w:r w:rsidRPr="00956B4B">
        <w:rPr>
          <w:rStyle w:val="issue-underline"/>
          <w:rFonts w:asciiTheme="minorHAnsi" w:hAnsiTheme="minorHAnsi" w:cstheme="minorHAnsi"/>
          <w:sz w:val="28"/>
        </w:rPr>
        <w:t>Legal Barriers:</w:t>
      </w:r>
    </w:p>
    <w:p w:rsidR="00956B4B" w:rsidRPr="00956B4B" w:rsidRDefault="00956B4B" w:rsidP="00956B4B">
      <w:pPr>
        <w:pStyle w:val="pb-2"/>
        <w:spacing w:line="360" w:lineRule="auto"/>
        <w:jc w:val="both"/>
        <w:rPr>
          <w:rFonts w:asciiTheme="minorHAnsi" w:hAnsiTheme="minorHAnsi" w:cstheme="minorHAnsi"/>
          <w:sz w:val="28"/>
        </w:rPr>
      </w:pPr>
      <w:r w:rsidRPr="00956B4B">
        <w:rPr>
          <w:rFonts w:asciiTheme="minorHAnsi" w:hAnsiTheme="minorHAnsi" w:cstheme="minorHAnsi"/>
          <w:sz w:val="28"/>
        </w:rPr>
        <w:t>Foreign companies may find Romania's political and legal environment challenging and complex. According to a study conducted by the World Bank, Romania ranks 52nd out of 190 countries in terms of ease of doing business, indicating that many bureaucratic and legal obstacles must be overcome in order to operate there (Doing Business 2020).</w:t>
      </w:r>
    </w:p>
    <w:p w:rsidR="00956B4B" w:rsidRPr="00956B4B" w:rsidRDefault="00956B4B" w:rsidP="00956B4B">
      <w:pPr>
        <w:pStyle w:val="pb-2"/>
        <w:spacing w:line="360" w:lineRule="auto"/>
        <w:jc w:val="both"/>
        <w:rPr>
          <w:rFonts w:asciiTheme="minorHAnsi" w:hAnsiTheme="minorHAnsi" w:cstheme="minorHAnsi"/>
          <w:sz w:val="28"/>
        </w:rPr>
      </w:pPr>
      <w:r w:rsidRPr="00956B4B">
        <w:rPr>
          <w:rFonts w:asciiTheme="minorHAnsi" w:hAnsiTheme="minorHAnsi" w:cstheme="minorHAnsi"/>
          <w:sz w:val="28"/>
        </w:rPr>
        <w:lastRenderedPageBreak/>
        <w:t xml:space="preserve">2. Economic </w:t>
      </w:r>
      <w:r w:rsidRPr="00956B4B">
        <w:rPr>
          <w:rStyle w:val="issue-underline"/>
          <w:rFonts w:asciiTheme="minorHAnsi" w:hAnsiTheme="minorHAnsi" w:cstheme="minorHAnsi"/>
          <w:sz w:val="28"/>
        </w:rPr>
        <w:t>Barriers:</w:t>
      </w:r>
    </w:p>
    <w:p w:rsidR="00956B4B" w:rsidRPr="00956B4B" w:rsidRDefault="00956B4B" w:rsidP="00956B4B">
      <w:pPr>
        <w:pStyle w:val="pb-2"/>
        <w:spacing w:line="360" w:lineRule="auto"/>
        <w:jc w:val="both"/>
        <w:rPr>
          <w:rFonts w:asciiTheme="minorHAnsi" w:hAnsiTheme="minorHAnsi" w:cstheme="minorHAnsi"/>
          <w:sz w:val="28"/>
        </w:rPr>
      </w:pPr>
      <w:r w:rsidRPr="00956B4B">
        <w:rPr>
          <w:rFonts w:asciiTheme="minorHAnsi" w:hAnsiTheme="minorHAnsi" w:cstheme="minorHAnsi"/>
          <w:sz w:val="28"/>
        </w:rPr>
        <w:t>In comparison with other European Union (EU) countries, Romania's market is relatively small, and its economy is heavily dependent upon exports. Especially if foreign companies are unfamiliar with the local business culture and practices, this can make it difficult for them to establish a foothold in the market (OECD, 2019).</w:t>
      </w:r>
    </w:p>
    <w:p w:rsidR="00956B4B" w:rsidRDefault="00956B4B" w:rsidP="00956B4B">
      <w:pPr>
        <w:pStyle w:val="pb-2"/>
        <w:spacing w:line="360" w:lineRule="auto"/>
        <w:jc w:val="both"/>
      </w:pPr>
      <w:r>
        <w:t>3</w:t>
      </w:r>
      <w:r w:rsidRPr="00956B4B">
        <w:rPr>
          <w:rFonts w:asciiTheme="minorHAnsi" w:hAnsiTheme="minorHAnsi" w:cstheme="minorHAnsi"/>
          <w:sz w:val="28"/>
        </w:rPr>
        <w:t xml:space="preserve">. Cultural </w:t>
      </w:r>
      <w:r w:rsidRPr="00956B4B">
        <w:rPr>
          <w:rStyle w:val="issue-underline"/>
          <w:rFonts w:asciiTheme="minorHAnsi" w:hAnsiTheme="minorHAnsi" w:cstheme="minorHAnsi"/>
          <w:sz w:val="28"/>
        </w:rPr>
        <w:t>Barriers:</w:t>
      </w:r>
    </w:p>
    <w:p w:rsidR="00956B4B" w:rsidRDefault="00956B4B" w:rsidP="00956B4B">
      <w:pPr>
        <w:pStyle w:val="pb-2"/>
        <w:spacing w:line="360" w:lineRule="auto"/>
        <w:jc w:val="both"/>
        <w:rPr>
          <w:sz w:val="28"/>
          <w:szCs w:val="28"/>
        </w:rPr>
      </w:pPr>
      <w:r w:rsidRPr="00956B4B">
        <w:rPr>
          <w:sz w:val="28"/>
          <w:szCs w:val="28"/>
        </w:rPr>
        <w:t>It is also possible for foreign companies operating in Romania to encounter cultural differences. In Romania, for example, the business culture tends to be hierarchical and formal, which can be intimidating for foreign companies used to an informal approach (Hofstede Insights).</w:t>
      </w:r>
    </w:p>
    <w:p w:rsidR="00956B4B" w:rsidRDefault="00956B4B" w:rsidP="00956B4B">
      <w:pPr>
        <w:pStyle w:val="pb-2"/>
        <w:spacing w:line="360" w:lineRule="auto"/>
        <w:jc w:val="both"/>
        <w:rPr>
          <w:sz w:val="28"/>
          <w:szCs w:val="28"/>
        </w:rPr>
      </w:pPr>
    </w:p>
    <w:p w:rsidR="00956B4B" w:rsidRPr="00956B4B" w:rsidRDefault="00956B4B" w:rsidP="00956B4B">
      <w:pPr>
        <w:pStyle w:val="pb-2"/>
        <w:spacing w:line="360" w:lineRule="auto"/>
        <w:jc w:val="both"/>
        <w:rPr>
          <w:sz w:val="28"/>
          <w:szCs w:val="28"/>
        </w:rPr>
      </w:pPr>
    </w:p>
    <w:p w:rsidR="00956B4B" w:rsidRPr="00956B4B" w:rsidRDefault="00956B4B" w:rsidP="00956B4B">
      <w:pPr>
        <w:pStyle w:val="pb-2"/>
        <w:spacing w:line="360" w:lineRule="auto"/>
        <w:jc w:val="both"/>
        <w:rPr>
          <w:sz w:val="28"/>
          <w:szCs w:val="28"/>
        </w:rPr>
      </w:pPr>
      <w:r w:rsidRPr="00956B4B">
        <w:rPr>
          <w:sz w:val="28"/>
          <w:szCs w:val="28"/>
        </w:rPr>
        <w:t xml:space="preserve">4. Infrastructure </w:t>
      </w:r>
      <w:r w:rsidRPr="00956B4B">
        <w:rPr>
          <w:rStyle w:val="issue-underline"/>
          <w:sz w:val="28"/>
          <w:szCs w:val="28"/>
        </w:rPr>
        <w:t>Barriers:</w:t>
      </w:r>
    </w:p>
    <w:p w:rsidR="00956B4B" w:rsidRPr="00956B4B" w:rsidRDefault="00956B4B" w:rsidP="00956B4B">
      <w:pPr>
        <w:pStyle w:val="pb-2"/>
        <w:spacing w:line="360" w:lineRule="auto"/>
        <w:jc w:val="both"/>
        <w:rPr>
          <w:rFonts w:asciiTheme="minorHAnsi" w:hAnsiTheme="minorHAnsi" w:cstheme="minorHAnsi"/>
          <w:sz w:val="28"/>
          <w:szCs w:val="28"/>
        </w:rPr>
      </w:pPr>
      <w:r w:rsidRPr="00956B4B">
        <w:rPr>
          <w:rFonts w:asciiTheme="minorHAnsi" w:hAnsiTheme="minorHAnsi" w:cstheme="minorHAnsi"/>
          <w:sz w:val="28"/>
          <w:szCs w:val="28"/>
        </w:rPr>
        <w:t>In rural areas, Romania's infrastructure is still being developed, which can pose a challenge to foreign companies requiring reliable transportation and communication systems (OECD 2019).</w:t>
      </w:r>
    </w:p>
    <w:p w:rsidR="00956B4B" w:rsidRPr="00956B4B" w:rsidRDefault="00956B4B" w:rsidP="00956B4B">
      <w:pPr>
        <w:pStyle w:val="pb-2"/>
        <w:spacing w:line="360" w:lineRule="auto"/>
        <w:jc w:val="both"/>
        <w:rPr>
          <w:rFonts w:asciiTheme="minorHAnsi" w:hAnsiTheme="minorHAnsi" w:cstheme="minorHAnsi"/>
          <w:sz w:val="28"/>
          <w:szCs w:val="28"/>
        </w:rPr>
      </w:pPr>
      <w:r w:rsidRPr="00956B4B">
        <w:rPr>
          <w:rFonts w:asciiTheme="minorHAnsi" w:hAnsiTheme="minorHAnsi" w:cstheme="minorHAnsi"/>
          <w:sz w:val="28"/>
          <w:szCs w:val="28"/>
        </w:rPr>
        <w:t xml:space="preserve">In general, Mitsubishi may encounter a number of barriers when it attempts to operate in Romania. There can be a variety of barriers, including those related to politics, law, economics, culture, and infrastructure. It will be necessary for Mitsubishi to conduct a thorough market research and develop a thorough understanding of the local business environment in order to overcome these obstacles. It may also be necessary for them to partner with local businesses or </w:t>
      </w:r>
      <w:r w:rsidRPr="00956B4B">
        <w:rPr>
          <w:rFonts w:asciiTheme="minorHAnsi" w:hAnsiTheme="minorHAnsi" w:cstheme="minorHAnsi"/>
          <w:sz w:val="28"/>
          <w:szCs w:val="28"/>
        </w:rPr>
        <w:lastRenderedPageBreak/>
        <w:t>hire local staff in order to navigate the complex cultural and legal environment. </w:t>
      </w:r>
    </w:p>
    <w:p w:rsidR="009C69E0" w:rsidRPr="009C69E0" w:rsidRDefault="009C69E0" w:rsidP="009C69E0"/>
    <w:p w:rsidR="000775B8" w:rsidRPr="002807DA" w:rsidRDefault="00FA13C2" w:rsidP="00FA13C2">
      <w:pPr>
        <w:pStyle w:val="Heading1"/>
        <w:rPr>
          <w:b/>
        </w:rPr>
      </w:pPr>
      <w:bookmarkStart w:id="9" w:name="_Toc130744322"/>
      <w:r w:rsidRPr="002807DA">
        <w:rPr>
          <w:b/>
        </w:rPr>
        <w:t>Examples of foreign businesses</w:t>
      </w:r>
      <w:bookmarkEnd w:id="9"/>
    </w:p>
    <w:p w:rsidR="002807DA" w:rsidRPr="002807DA" w:rsidRDefault="002807DA" w:rsidP="002807DA"/>
    <w:p w:rsidR="002807DA" w:rsidRPr="002807DA" w:rsidRDefault="002807DA" w:rsidP="002807DA">
      <w:pPr>
        <w:spacing w:line="360" w:lineRule="auto"/>
        <w:rPr>
          <w:rFonts w:ascii="Calibri" w:hAnsi="Calibri" w:cs="Calibri"/>
          <w:sz w:val="28"/>
          <w:lang w:val="en-GB"/>
        </w:rPr>
      </w:pPr>
      <w:r w:rsidRPr="002807DA">
        <w:rPr>
          <w:rFonts w:ascii="Calibri" w:hAnsi="Calibri" w:cs="Calibri"/>
          <w:sz w:val="28"/>
          <w:lang w:val="en-GB"/>
        </w:rPr>
        <w:t xml:space="preserve">One example of a foreign business in Romania similar to Mitsubishi Electric is Bosch. Bosch is a multinational engineering and technology company based in Germany that operates in Romania. They specialize in manufacturing and distributing automotive parts, power tools, and home appliances. Bosch has been operating in Romania since 1994 and has a significant presence in the country, employing over 6,000 people across multiple locations. </w:t>
      </w:r>
    </w:p>
    <w:p w:rsidR="000775B8" w:rsidRPr="002807DA" w:rsidRDefault="000775B8" w:rsidP="00BF1F5F">
      <w:pPr>
        <w:rPr>
          <w:b/>
          <w:lang w:val="en-US"/>
        </w:rPr>
      </w:pPr>
    </w:p>
    <w:p w:rsidR="007F5C2D" w:rsidRDefault="007F5C2D" w:rsidP="007F5C2D">
      <w:pPr>
        <w:pStyle w:val="Heading1"/>
        <w:spacing w:line="360" w:lineRule="auto"/>
        <w:rPr>
          <w:b/>
        </w:rPr>
      </w:pPr>
      <w:bookmarkStart w:id="10" w:name="_Toc130744323"/>
      <w:r w:rsidRPr="002807DA">
        <w:rPr>
          <w:b/>
        </w:rPr>
        <w:t>Identify appropriate strategies for implementation</w:t>
      </w:r>
      <w:bookmarkEnd w:id="10"/>
    </w:p>
    <w:p w:rsidR="006D5651" w:rsidRPr="006D5651" w:rsidRDefault="006D5651" w:rsidP="006D5651"/>
    <w:p w:rsidR="002807DA" w:rsidRPr="002807DA" w:rsidRDefault="002807DA" w:rsidP="002807DA">
      <w:pPr>
        <w:spacing w:line="360" w:lineRule="auto"/>
        <w:rPr>
          <w:rFonts w:cstheme="minorHAnsi"/>
          <w:sz w:val="28"/>
          <w:lang w:val="en-GB"/>
        </w:rPr>
      </w:pPr>
      <w:r w:rsidRPr="002807DA">
        <w:rPr>
          <w:rFonts w:cstheme="minorHAnsi"/>
          <w:sz w:val="28"/>
          <w:lang w:val="en-GB"/>
        </w:rPr>
        <w:t>Here are some strategies that Mitsubishi Electric can consider for implementation in Romania:</w:t>
      </w:r>
    </w:p>
    <w:p w:rsidR="002807DA" w:rsidRPr="002807DA" w:rsidRDefault="002807DA" w:rsidP="002807DA">
      <w:pPr>
        <w:spacing w:line="360" w:lineRule="auto"/>
        <w:rPr>
          <w:rFonts w:cstheme="minorHAnsi"/>
          <w:sz w:val="28"/>
          <w:lang w:val="en-GB"/>
        </w:rPr>
      </w:pPr>
      <w:r w:rsidRPr="002807DA">
        <w:rPr>
          <w:rFonts w:cstheme="minorHAnsi"/>
          <w:sz w:val="28"/>
          <w:lang w:val="en-GB"/>
        </w:rPr>
        <w:t>1. Establishing local partnerships: Mitsubishi Electric can establish partnerships with local companies in Romania to facilitate entry into the market. This can help the company to access local resources and knowledge, as well as build a network of contacts.</w:t>
      </w:r>
    </w:p>
    <w:p w:rsidR="002807DA" w:rsidRPr="002807DA" w:rsidRDefault="002807DA" w:rsidP="002807DA">
      <w:pPr>
        <w:spacing w:line="360" w:lineRule="auto"/>
        <w:rPr>
          <w:rFonts w:cstheme="minorHAnsi"/>
          <w:sz w:val="28"/>
          <w:lang w:val="en-GB"/>
        </w:rPr>
      </w:pPr>
      <w:r w:rsidRPr="002807DA">
        <w:rPr>
          <w:rFonts w:cstheme="minorHAnsi"/>
          <w:sz w:val="28"/>
          <w:lang w:val="en-GB"/>
        </w:rPr>
        <w:t>2. Investing in research and development: Investing in research and development in Romania can help Mitsubishi Electric to develop products and services that are tailored to the needs of the Romanian market. This can also help to build the brand image and reputation in the local market.</w:t>
      </w:r>
    </w:p>
    <w:p w:rsidR="002807DA" w:rsidRPr="002807DA" w:rsidRDefault="002807DA" w:rsidP="002807DA">
      <w:pPr>
        <w:spacing w:line="360" w:lineRule="auto"/>
        <w:rPr>
          <w:rFonts w:cstheme="minorHAnsi"/>
          <w:sz w:val="28"/>
          <w:lang w:val="en-GB"/>
        </w:rPr>
      </w:pPr>
      <w:r>
        <w:rPr>
          <w:rFonts w:cstheme="minorHAnsi"/>
          <w:sz w:val="28"/>
          <w:lang w:val="en-GB"/>
        </w:rPr>
        <w:lastRenderedPageBreak/>
        <w:t xml:space="preserve">3. </w:t>
      </w:r>
      <w:r w:rsidRPr="002807DA">
        <w:rPr>
          <w:rFonts w:cstheme="minorHAnsi"/>
          <w:sz w:val="28"/>
          <w:lang w:val="en-GB"/>
        </w:rPr>
        <w:t>Offering customized solutions: Mitsubishi Electric can offer customized solutions to meet the specific needs of the Romanian market. This can include localizing products, services, and customer support.</w:t>
      </w:r>
    </w:p>
    <w:p w:rsidR="002807DA" w:rsidRPr="002807DA" w:rsidRDefault="002807DA" w:rsidP="002807DA">
      <w:pPr>
        <w:spacing w:line="360" w:lineRule="auto"/>
        <w:rPr>
          <w:rFonts w:cstheme="minorHAnsi"/>
          <w:sz w:val="28"/>
          <w:lang w:val="en-GB"/>
        </w:rPr>
      </w:pPr>
      <w:r w:rsidRPr="002807DA">
        <w:rPr>
          <w:rFonts w:cstheme="minorHAnsi"/>
          <w:sz w:val="28"/>
          <w:lang w:val="en-GB"/>
        </w:rPr>
        <w:t>4. Building a strong online presence: Building a strong online presence can help Mitsubishi Electric to reach a wider audience in Romania. This can include optimizing the company website for local search engines, creating local social media profiles, and running targeted online advertising campaigns.</w:t>
      </w:r>
    </w:p>
    <w:p w:rsidR="002807DA" w:rsidRPr="002807DA" w:rsidRDefault="002807DA" w:rsidP="002807DA">
      <w:pPr>
        <w:spacing w:line="360" w:lineRule="auto"/>
        <w:rPr>
          <w:rFonts w:cstheme="minorHAnsi"/>
          <w:sz w:val="28"/>
          <w:lang w:val="en-GB"/>
        </w:rPr>
      </w:pPr>
      <w:r w:rsidRPr="002807DA">
        <w:rPr>
          <w:rFonts w:cstheme="minorHAnsi"/>
          <w:sz w:val="28"/>
          <w:lang w:val="en-GB"/>
        </w:rPr>
        <w:t>5. Investing in employee training and development: Investing in employee training and development can help to build a strong team in Romania. This can include providing language and cultural training, as well as technical training to ensure that employees are equipped with the knowledge and skills needed to succeed in the local market.</w:t>
      </w:r>
    </w:p>
    <w:p w:rsidR="007F5C2D" w:rsidRDefault="007F5C2D" w:rsidP="00BF1F5F">
      <w:pPr>
        <w:rPr>
          <w:lang w:val="en-US"/>
        </w:rPr>
      </w:pPr>
    </w:p>
    <w:p w:rsidR="000775B8" w:rsidRPr="002807DA" w:rsidRDefault="00CD1DC5" w:rsidP="00CD1DC5">
      <w:pPr>
        <w:pStyle w:val="Heading1"/>
        <w:rPr>
          <w:b/>
          <w:lang w:val="en-US"/>
        </w:rPr>
      </w:pPr>
      <w:bookmarkStart w:id="11" w:name="_Toc130744324"/>
      <w:r w:rsidRPr="002807DA">
        <w:rPr>
          <w:b/>
          <w:lang w:val="en-US"/>
        </w:rPr>
        <w:t>Conclusion</w:t>
      </w:r>
      <w:bookmarkEnd w:id="11"/>
    </w:p>
    <w:p w:rsidR="002807DA" w:rsidRPr="002807DA" w:rsidRDefault="002807DA" w:rsidP="002807DA">
      <w:pPr>
        <w:rPr>
          <w:lang w:val="en-US"/>
        </w:rPr>
      </w:pPr>
    </w:p>
    <w:p w:rsidR="002807DA" w:rsidRPr="002807DA" w:rsidRDefault="002807DA" w:rsidP="002807DA">
      <w:pPr>
        <w:spacing w:line="360" w:lineRule="auto"/>
        <w:rPr>
          <w:sz w:val="28"/>
          <w:lang w:val="en-GB"/>
        </w:rPr>
      </w:pPr>
      <w:r w:rsidRPr="002807DA">
        <w:rPr>
          <w:sz w:val="28"/>
          <w:lang w:val="en-GB"/>
        </w:rPr>
        <w:t xml:space="preserve">In conclusion, Mitsubishi Electric can be successful in Romania by focusing on the needs of the market and offering high-quality products and services. The company should prioritize building strong partnerships with local companies and investing in research and development to tailor its offerings to the specific needs of the Romanian market. Additionally, offering customized solutions and building a strong online presence can help to reach a wider audience and build a strong brand image. Finally, investing in employee training and development can help to build a strong team in Romania and ensure that the company is well-equipped to meet the challenges of operating in the local market. By taking these steps, Mitsubishi Electric can become a leading player in the </w:t>
      </w:r>
      <w:r w:rsidRPr="002807DA">
        <w:rPr>
          <w:sz w:val="28"/>
          <w:lang w:val="en-GB"/>
        </w:rPr>
        <w:lastRenderedPageBreak/>
        <w:t>Romanian market and capitalize on the opportunities presented by this emerging economy.</w:t>
      </w:r>
    </w:p>
    <w:p w:rsidR="000775B8" w:rsidRPr="006D5651" w:rsidRDefault="000775B8" w:rsidP="00BF1F5F">
      <w:pPr>
        <w:rPr>
          <w:b/>
          <w:lang w:val="en-US"/>
        </w:rPr>
      </w:pPr>
    </w:p>
    <w:p w:rsidR="000775B8" w:rsidRPr="006D5651" w:rsidRDefault="00DD5711" w:rsidP="00DD5711">
      <w:pPr>
        <w:pStyle w:val="Heading1"/>
        <w:rPr>
          <w:b/>
          <w:lang w:val="en-US"/>
        </w:rPr>
      </w:pPr>
      <w:bookmarkStart w:id="12" w:name="_Toc130744325"/>
      <w:r w:rsidRPr="006D5651">
        <w:rPr>
          <w:b/>
          <w:lang w:val="en-US"/>
        </w:rPr>
        <w:t>References</w:t>
      </w:r>
      <w:bookmarkEnd w:id="12"/>
    </w:p>
    <w:p w:rsidR="000775B8" w:rsidRDefault="000775B8" w:rsidP="00BF1F5F">
      <w:pPr>
        <w:rPr>
          <w:lang w:val="en-US"/>
        </w:rPr>
      </w:pPr>
    </w:p>
    <w:p w:rsidR="006D5651" w:rsidRDefault="006D5651" w:rsidP="006D5651">
      <w:pPr>
        <w:rPr>
          <w:lang w:val="en-GB"/>
        </w:rPr>
      </w:pPr>
      <w:r>
        <w:rPr>
          <w:lang w:val="en-GB"/>
        </w:rPr>
        <w:t xml:space="preserve">Bejinaru, R. (2019). </w:t>
      </w:r>
      <w:r w:rsidRPr="006D5651">
        <w:rPr>
          <w:i/>
          <w:lang w:val="en-GB"/>
        </w:rPr>
        <w:t>The impact of foreign direct investment on economic growth in Romania</w:t>
      </w:r>
      <w:r>
        <w:rPr>
          <w:lang w:val="en-GB"/>
        </w:rPr>
        <w:t xml:space="preserve">. Procedia Economics and Finance, 26, 693-699. </w:t>
      </w:r>
      <w:hyperlink r:id="rId9" w:history="1">
        <w:r>
          <w:rPr>
            <w:rStyle w:val="Hyperlink"/>
            <w:lang w:val="en-GB"/>
          </w:rPr>
          <w:t>https://doi.org/10.1016/S2212-5671(19)30379-8</w:t>
        </w:r>
      </w:hyperlink>
    </w:p>
    <w:p w:rsidR="006D5651" w:rsidRDefault="006D5651" w:rsidP="006D5651">
      <w:pPr>
        <w:rPr>
          <w:lang w:val="en-GB"/>
        </w:rPr>
      </w:pPr>
    </w:p>
    <w:p w:rsidR="006D5651" w:rsidRDefault="006D5651" w:rsidP="006D5651">
      <w:pPr>
        <w:rPr>
          <w:lang w:val="en-GB"/>
        </w:rPr>
      </w:pPr>
      <w:r>
        <w:rPr>
          <w:lang w:val="en-GB"/>
        </w:rPr>
        <w:t xml:space="preserve">Doing Business 2021. (2021). </w:t>
      </w:r>
      <w:r w:rsidRPr="006D5651">
        <w:rPr>
          <w:i/>
          <w:lang w:val="en-GB"/>
        </w:rPr>
        <w:t>World Bank Group</w:t>
      </w:r>
      <w:r>
        <w:rPr>
          <w:lang w:val="en-GB"/>
        </w:rPr>
        <w:t xml:space="preserve">. </w:t>
      </w:r>
      <w:hyperlink r:id="rId10" w:history="1">
        <w:r>
          <w:rPr>
            <w:rStyle w:val="Hyperlink"/>
            <w:lang w:val="en-GB"/>
          </w:rPr>
          <w:t>https://www.doingbusiness.org/en/rankings</w:t>
        </w:r>
      </w:hyperlink>
    </w:p>
    <w:p w:rsidR="006D5651" w:rsidRDefault="006D5651" w:rsidP="006D5651">
      <w:pPr>
        <w:rPr>
          <w:lang w:val="en-GB"/>
        </w:rPr>
      </w:pPr>
    </w:p>
    <w:p w:rsidR="006D5651" w:rsidRDefault="006D5651" w:rsidP="006D5651">
      <w:pPr>
        <w:rPr>
          <w:lang w:val="en-GB"/>
        </w:rPr>
      </w:pPr>
      <w:r>
        <w:rPr>
          <w:lang w:val="en-GB"/>
        </w:rPr>
        <w:t xml:space="preserve">Doing Business 2020. (2020). </w:t>
      </w:r>
      <w:r w:rsidRPr="006D5651">
        <w:rPr>
          <w:i/>
          <w:lang w:val="en-GB"/>
        </w:rPr>
        <w:t>World Bank Group</w:t>
      </w:r>
      <w:r>
        <w:rPr>
          <w:lang w:val="en-GB"/>
        </w:rPr>
        <w:t xml:space="preserve">. </w:t>
      </w:r>
      <w:hyperlink r:id="rId11" w:history="1">
        <w:r>
          <w:rPr>
            <w:rStyle w:val="Hyperlink"/>
            <w:lang w:val="en-GB"/>
          </w:rPr>
          <w:t>https://www.doingbusiness.org/en/rankings</w:t>
        </w:r>
      </w:hyperlink>
    </w:p>
    <w:p w:rsidR="006D5651" w:rsidRDefault="006D5651" w:rsidP="006D5651">
      <w:pPr>
        <w:rPr>
          <w:lang w:val="en-GB"/>
        </w:rPr>
      </w:pPr>
    </w:p>
    <w:p w:rsidR="006D5651" w:rsidRDefault="006D5651" w:rsidP="006D5651">
      <w:pPr>
        <w:rPr>
          <w:lang w:val="en-GB"/>
        </w:rPr>
      </w:pPr>
      <w:r>
        <w:rPr>
          <w:lang w:val="en-GB"/>
        </w:rPr>
        <w:t xml:space="preserve">European Commission. (2021). </w:t>
      </w:r>
      <w:r w:rsidRPr="006D5651">
        <w:rPr>
          <w:i/>
          <w:lang w:val="en-GB"/>
        </w:rPr>
        <w:t>European Union</w:t>
      </w:r>
      <w:r>
        <w:rPr>
          <w:lang w:val="en-GB"/>
        </w:rPr>
        <w:t xml:space="preserve"> - Official website. </w:t>
      </w:r>
      <w:hyperlink r:id="rId12" w:history="1">
        <w:r>
          <w:rPr>
            <w:rStyle w:val="Hyperlink"/>
            <w:lang w:val="en-GB"/>
          </w:rPr>
          <w:t>https://europa.eu/european-union/index_en</w:t>
        </w:r>
      </w:hyperlink>
    </w:p>
    <w:p w:rsidR="006D5651" w:rsidRDefault="006D5651" w:rsidP="006D5651">
      <w:pPr>
        <w:rPr>
          <w:lang w:val="en-GB"/>
        </w:rPr>
      </w:pPr>
    </w:p>
    <w:p w:rsidR="006D5651" w:rsidRDefault="006D5651" w:rsidP="006D5651">
      <w:pPr>
        <w:rPr>
          <w:lang w:val="en-GB"/>
        </w:rPr>
      </w:pPr>
      <w:r>
        <w:rPr>
          <w:lang w:val="en-GB"/>
        </w:rPr>
        <w:t xml:space="preserve">Flex. (2019). </w:t>
      </w:r>
      <w:r w:rsidRPr="006D5651">
        <w:rPr>
          <w:i/>
          <w:lang w:val="en-GB"/>
        </w:rPr>
        <w:t>Flex in Romania</w:t>
      </w:r>
      <w:r>
        <w:rPr>
          <w:lang w:val="en-GB"/>
        </w:rPr>
        <w:t xml:space="preserve">. </w:t>
      </w:r>
      <w:hyperlink r:id="rId13" w:history="1">
        <w:r>
          <w:rPr>
            <w:rStyle w:val="Hyperlink"/>
            <w:lang w:val="en-GB"/>
          </w:rPr>
          <w:t>https://flex.com/about/where-we-are/europe/romania</w:t>
        </w:r>
      </w:hyperlink>
    </w:p>
    <w:p w:rsidR="006D5651" w:rsidRDefault="006D5651" w:rsidP="006D5651">
      <w:pPr>
        <w:rPr>
          <w:lang w:val="en-GB"/>
        </w:rPr>
      </w:pPr>
    </w:p>
    <w:p w:rsidR="006D5651" w:rsidRDefault="006D5651" w:rsidP="006D5651">
      <w:pPr>
        <w:rPr>
          <w:lang w:val="en-GB"/>
        </w:rPr>
      </w:pPr>
      <w:r>
        <w:rPr>
          <w:lang w:val="en-GB"/>
        </w:rPr>
        <w:t>Gavril, A. L., &amp; Nastase, M. (2018). T</w:t>
      </w:r>
      <w:r w:rsidRPr="006D5651">
        <w:rPr>
          <w:i/>
          <w:lang w:val="en-GB"/>
        </w:rPr>
        <w:t>he influence of FDI on economic growth in Romania. Procedia Economics and Finance</w:t>
      </w:r>
      <w:r>
        <w:rPr>
          <w:lang w:val="en-GB"/>
        </w:rPr>
        <w:t xml:space="preserve">, 46, 373-378. </w:t>
      </w:r>
      <w:hyperlink r:id="rId14" w:history="1">
        <w:r>
          <w:rPr>
            <w:rStyle w:val="Hyperlink"/>
            <w:lang w:val="en-GB"/>
          </w:rPr>
          <w:t>https://doi.org/10.1016/S2212-5671(18)30330-6</w:t>
        </w:r>
      </w:hyperlink>
    </w:p>
    <w:p w:rsidR="006D5651" w:rsidRDefault="006D5651" w:rsidP="006D5651">
      <w:pPr>
        <w:rPr>
          <w:lang w:val="en-GB"/>
        </w:rPr>
      </w:pPr>
    </w:p>
    <w:p w:rsidR="006D5651" w:rsidRDefault="006D5651" w:rsidP="006D5651">
      <w:pPr>
        <w:rPr>
          <w:lang w:val="en-GB"/>
        </w:rPr>
      </w:pPr>
      <w:r>
        <w:rPr>
          <w:lang w:val="en-GB"/>
        </w:rPr>
        <w:t xml:space="preserve">Gugler, P., Haxhimusa, A., Liebensteiner, M., &amp; Schindler, N. (2011). </w:t>
      </w:r>
      <w:r w:rsidRPr="006D5651">
        <w:rPr>
          <w:i/>
          <w:lang w:val="en-GB"/>
        </w:rPr>
        <w:t>Vertical integration and competition</w:t>
      </w:r>
      <w:r>
        <w:rPr>
          <w:lang w:val="en-GB"/>
        </w:rPr>
        <w:t xml:space="preserve">: Evidence from Austrian manufacturing firms. Empirical Economics, 40(2), 255-278. </w:t>
      </w:r>
      <w:hyperlink r:id="rId15" w:history="1">
        <w:r>
          <w:rPr>
            <w:rStyle w:val="Hyperlink"/>
            <w:lang w:val="en-GB"/>
          </w:rPr>
          <w:t>https://doi.org/10.1007/s00181-010-0355-5</w:t>
        </w:r>
      </w:hyperlink>
    </w:p>
    <w:p w:rsidR="006D5651" w:rsidRDefault="006D5651" w:rsidP="006D5651">
      <w:pPr>
        <w:rPr>
          <w:lang w:val="en-GB"/>
        </w:rPr>
      </w:pPr>
    </w:p>
    <w:p w:rsidR="006D5651" w:rsidRDefault="006D5651" w:rsidP="006D5651">
      <w:pPr>
        <w:rPr>
          <w:lang w:val="en-GB"/>
        </w:rPr>
      </w:pPr>
      <w:r>
        <w:rPr>
          <w:lang w:val="en-GB"/>
        </w:rPr>
        <w:t xml:space="preserve">Hofstede Insights. (n.d.). </w:t>
      </w:r>
      <w:r w:rsidRPr="006D5651">
        <w:rPr>
          <w:i/>
          <w:lang w:val="en-GB"/>
        </w:rPr>
        <w:t>Country comparison</w:t>
      </w:r>
      <w:r>
        <w:rPr>
          <w:lang w:val="en-GB"/>
        </w:rPr>
        <w:t xml:space="preserve">. </w:t>
      </w:r>
      <w:hyperlink r:id="rId16" w:history="1">
        <w:r>
          <w:rPr>
            <w:rStyle w:val="Hyperlink"/>
            <w:lang w:val="en-GB"/>
          </w:rPr>
          <w:t>https://www.hofstede-insights.com/country-comparison/</w:t>
        </w:r>
      </w:hyperlink>
    </w:p>
    <w:p w:rsidR="006D5651" w:rsidRDefault="006D5651" w:rsidP="006D5651">
      <w:pPr>
        <w:rPr>
          <w:lang w:val="en-GB"/>
        </w:rPr>
      </w:pPr>
    </w:p>
    <w:p w:rsidR="006D5651" w:rsidRDefault="006D5651" w:rsidP="006D5651">
      <w:pPr>
        <w:rPr>
          <w:lang w:val="en-GB"/>
        </w:rPr>
      </w:pPr>
      <w:r>
        <w:rPr>
          <w:lang w:val="en-GB"/>
        </w:rPr>
        <w:t xml:space="preserve">Johnson, G., Whittington, R., Scholes, K., Angwin, D., &amp; Regner, P. (2017). </w:t>
      </w:r>
      <w:r w:rsidRPr="006D5651">
        <w:rPr>
          <w:i/>
          <w:lang w:val="en-GB"/>
        </w:rPr>
        <w:t>Exploring strategy</w:t>
      </w:r>
      <w:r>
        <w:rPr>
          <w:lang w:val="en-GB"/>
        </w:rPr>
        <w:t>: Text &amp; cases. Pearson Education Limited.</w:t>
      </w:r>
    </w:p>
    <w:p w:rsidR="006D5651" w:rsidRDefault="006D5651" w:rsidP="006D5651">
      <w:pPr>
        <w:rPr>
          <w:lang w:val="en-GB"/>
        </w:rPr>
      </w:pPr>
    </w:p>
    <w:p w:rsidR="006D5651" w:rsidRDefault="006D5651" w:rsidP="006D5651">
      <w:pPr>
        <w:rPr>
          <w:lang w:val="en-GB"/>
        </w:rPr>
      </w:pPr>
      <w:r>
        <w:rPr>
          <w:lang w:val="en-GB"/>
        </w:rPr>
        <w:t xml:space="preserve">Johnson, J. L., &amp; Mattsson, L. G. (1988). </w:t>
      </w:r>
      <w:r w:rsidRPr="006D5651">
        <w:rPr>
          <w:i/>
          <w:lang w:val="en-GB"/>
        </w:rPr>
        <w:t>Creating competitive advantage by investing in people</w:t>
      </w:r>
      <w:r>
        <w:rPr>
          <w:lang w:val="en-GB"/>
        </w:rPr>
        <w:t>. Personnel Journal, 67(3), 87-93.</w:t>
      </w:r>
    </w:p>
    <w:p w:rsidR="006D5651" w:rsidRDefault="006D5651" w:rsidP="006D5651">
      <w:pPr>
        <w:rPr>
          <w:lang w:val="en-GB"/>
        </w:rPr>
      </w:pPr>
    </w:p>
    <w:p w:rsidR="006D5651" w:rsidRDefault="006D5651" w:rsidP="006D5651">
      <w:pPr>
        <w:rPr>
          <w:lang w:val="en-GB"/>
        </w:rPr>
      </w:pPr>
      <w:r>
        <w:rPr>
          <w:lang w:val="en-GB"/>
        </w:rPr>
        <w:lastRenderedPageBreak/>
        <w:t xml:space="preserve">Johanson, J., &amp; Vahlne, J. E. (1977). </w:t>
      </w:r>
      <w:r w:rsidRPr="006D5651">
        <w:rPr>
          <w:i/>
          <w:lang w:val="en-GB"/>
        </w:rPr>
        <w:t>The internationalization process of the firm</w:t>
      </w:r>
      <w:r>
        <w:rPr>
          <w:lang w:val="en-GB"/>
        </w:rPr>
        <w:t xml:space="preserve">: A model of knowledge development and increasing foreign market commitments. Journal of International Business Studies, 8(1), 23-32. </w:t>
      </w:r>
      <w:hyperlink r:id="rId17" w:history="1">
        <w:r>
          <w:rPr>
            <w:rStyle w:val="Hyperlink"/>
            <w:lang w:val="en-GB"/>
          </w:rPr>
          <w:t>https://doi.org/10.1057/palgrave.jibs.8490676</w:t>
        </w:r>
      </w:hyperlink>
    </w:p>
    <w:p w:rsidR="006D5651" w:rsidRDefault="006D5651" w:rsidP="006D5651">
      <w:pPr>
        <w:rPr>
          <w:lang w:val="en-GB"/>
        </w:rPr>
      </w:pPr>
    </w:p>
    <w:p w:rsidR="006D5651" w:rsidRDefault="006D5651" w:rsidP="006D5651">
      <w:pPr>
        <w:rPr>
          <w:lang w:val="en-GB"/>
        </w:rPr>
      </w:pPr>
      <w:r>
        <w:rPr>
          <w:lang w:val="en-GB"/>
        </w:rPr>
        <w:t xml:space="preserve">Kotabe, M., &amp; Murray, J. Y. (2004). </w:t>
      </w:r>
      <w:r w:rsidRPr="006D5651">
        <w:rPr>
          <w:i/>
          <w:lang w:val="en-GB"/>
        </w:rPr>
        <w:t>Global sourcing strategy and performance of knowledge-intensive business services</w:t>
      </w:r>
      <w:r>
        <w:rPr>
          <w:lang w:val="en-GB"/>
        </w:rPr>
        <w:t xml:space="preserve">: A two-stage strategic fit model. Journal of International Marketing, 12(3), 42-66. </w:t>
      </w:r>
      <w:hyperlink r:id="rId18" w:history="1">
        <w:r>
          <w:rPr>
            <w:rStyle w:val="Hyperlink"/>
            <w:lang w:val="en-GB"/>
          </w:rPr>
          <w:t>https://doi.org/10.1509/jimk.12.3.42.38369</w:t>
        </w:r>
      </w:hyperlink>
    </w:p>
    <w:p w:rsidR="006D5651" w:rsidRDefault="006D5651" w:rsidP="006D5651">
      <w:pPr>
        <w:rPr>
          <w:lang w:val="en-GB"/>
        </w:rPr>
      </w:pPr>
    </w:p>
    <w:p w:rsidR="006D5651" w:rsidRDefault="006D5651" w:rsidP="006D5651">
      <w:pPr>
        <w:rPr>
          <w:lang w:val="en-GB"/>
        </w:rPr>
      </w:pPr>
      <w:r>
        <w:rPr>
          <w:lang w:val="en-GB"/>
        </w:rPr>
        <w:t xml:space="preserve">Mihai, I. O., &amp; Pop, N. A. (2015). </w:t>
      </w:r>
      <w:r w:rsidRPr="006D5651">
        <w:rPr>
          <w:i/>
          <w:lang w:val="en-GB"/>
        </w:rPr>
        <w:t>FDI, trade, and economic growth in Romania</w:t>
      </w:r>
      <w:r>
        <w:rPr>
          <w:lang w:val="en-GB"/>
        </w:rPr>
        <w:t xml:space="preserve">. Procedia Economics and Finance, 32, 100-107. </w:t>
      </w:r>
      <w:hyperlink r:id="rId19" w:history="1">
        <w:r>
          <w:rPr>
            <w:rStyle w:val="Hyperlink"/>
            <w:lang w:val="en-GB"/>
          </w:rPr>
          <w:t>https://doi.org/10.1016/S2212-5671(15)01314-5</w:t>
        </w:r>
      </w:hyperlink>
    </w:p>
    <w:p w:rsidR="006D5651" w:rsidRDefault="006D5651" w:rsidP="006D5651">
      <w:pPr>
        <w:rPr>
          <w:lang w:val="en-GB"/>
        </w:rPr>
      </w:pPr>
    </w:p>
    <w:p w:rsidR="006D5651" w:rsidRDefault="006D5651" w:rsidP="006D5651">
      <w:pPr>
        <w:rPr>
          <w:lang w:val="en-GB"/>
        </w:rPr>
      </w:pPr>
      <w:r>
        <w:rPr>
          <w:lang w:val="en-GB"/>
        </w:rPr>
        <w:t xml:space="preserve">OECD. (2019). </w:t>
      </w:r>
      <w:r w:rsidRPr="006D5651">
        <w:rPr>
          <w:i/>
          <w:lang w:val="en-GB"/>
        </w:rPr>
        <w:t>Economic survey of Romania 2019</w:t>
      </w:r>
      <w:r>
        <w:rPr>
          <w:lang w:val="en-GB"/>
        </w:rPr>
        <w:t xml:space="preserve">. Organisation for Economic Co-operation and Development. </w:t>
      </w:r>
      <w:hyperlink r:id="rId20" w:history="1">
        <w:r>
          <w:rPr>
            <w:rStyle w:val="Hyperlink"/>
            <w:lang w:val="en-GB"/>
          </w:rPr>
          <w:t>https://doi.org/10.1787/eco_surveys-rou-2019-en</w:t>
        </w:r>
      </w:hyperlink>
    </w:p>
    <w:p w:rsidR="006D5651" w:rsidRDefault="006D5651" w:rsidP="006D5651">
      <w:pPr>
        <w:rPr>
          <w:lang w:val="en-GB"/>
        </w:rPr>
      </w:pPr>
    </w:p>
    <w:p w:rsidR="006D5651" w:rsidRDefault="006D5651" w:rsidP="006D5651">
      <w:pPr>
        <w:rPr>
          <w:lang w:val="en-GB"/>
        </w:rPr>
      </w:pPr>
      <w:r>
        <w:rPr>
          <w:lang w:val="en-GB"/>
        </w:rPr>
        <w:t xml:space="preserve">Oprenă, A., &amp; Pop, A. (2019). </w:t>
      </w:r>
      <w:r w:rsidRPr="006D5651">
        <w:rPr>
          <w:i/>
          <w:lang w:val="en-GB"/>
        </w:rPr>
        <w:t>The impact of FDI on the economic growth in Romania</w:t>
      </w:r>
      <w:r>
        <w:rPr>
          <w:lang w:val="en-GB"/>
        </w:rPr>
        <w:t xml:space="preserve">. Journal of Economic Development, Environment and People, 8(4), 18-29. </w:t>
      </w:r>
      <w:hyperlink r:id="rId21" w:history="1">
        <w:r>
          <w:rPr>
            <w:rStyle w:val="Hyperlink"/>
            <w:lang w:val="en-GB"/>
          </w:rPr>
          <w:t>https://doi.org/10.2478/jedep-2019-0042</w:t>
        </w:r>
      </w:hyperlink>
    </w:p>
    <w:p w:rsidR="006D5651" w:rsidRDefault="006D5651" w:rsidP="006D5651">
      <w:pPr>
        <w:rPr>
          <w:lang w:val="en-GB"/>
        </w:rPr>
      </w:pPr>
    </w:p>
    <w:p w:rsidR="006D5651" w:rsidRDefault="006D5651" w:rsidP="006D5651">
      <w:pPr>
        <w:rPr>
          <w:lang w:val="en-GB"/>
        </w:rPr>
      </w:pPr>
      <w:r>
        <w:rPr>
          <w:lang w:val="en-GB"/>
        </w:rPr>
        <w:t xml:space="preserve">Softelligence. (2017). </w:t>
      </w:r>
      <w:r w:rsidRPr="006D5651">
        <w:rPr>
          <w:i/>
          <w:lang w:val="en-GB"/>
        </w:rPr>
        <w:t>IT outsourcing in Romania</w:t>
      </w:r>
      <w:r>
        <w:rPr>
          <w:lang w:val="en-GB"/>
        </w:rPr>
        <w:t xml:space="preserve">: An overview. </w:t>
      </w:r>
      <w:hyperlink r:id="rId22" w:history="1">
        <w:r>
          <w:rPr>
            <w:rStyle w:val="Hyperlink"/>
            <w:lang w:val="en-GB"/>
          </w:rPr>
          <w:t>https://www.softelligence.net/blog/it-outsourcing-in-romania-an-overview/</w:t>
        </w:r>
      </w:hyperlink>
    </w:p>
    <w:p w:rsidR="006D5651" w:rsidRDefault="006D5651" w:rsidP="006D5651">
      <w:pPr>
        <w:rPr>
          <w:lang w:val="en-GB"/>
        </w:rPr>
      </w:pPr>
    </w:p>
    <w:p w:rsidR="006D5651" w:rsidRDefault="006D5651" w:rsidP="006D5651">
      <w:pPr>
        <w:rPr>
          <w:lang w:val="en-GB"/>
        </w:rPr>
      </w:pPr>
      <w:r>
        <w:rPr>
          <w:lang w:val="en-GB"/>
        </w:rPr>
        <w:t xml:space="preserve">Transparency International. (2021). </w:t>
      </w:r>
      <w:r w:rsidRPr="006D5651">
        <w:rPr>
          <w:i/>
          <w:lang w:val="en-GB"/>
        </w:rPr>
        <w:t>Corruption perceptions index 2020</w:t>
      </w:r>
      <w:r>
        <w:rPr>
          <w:lang w:val="en-GB"/>
        </w:rPr>
        <w:t xml:space="preserve">. </w:t>
      </w:r>
      <w:hyperlink r:id="rId23" w:history="1">
        <w:r>
          <w:rPr>
            <w:rStyle w:val="Hyperlink"/>
            <w:lang w:val="en-GB"/>
          </w:rPr>
          <w:t>https://www.transparency.org/en/cpi/2020/index/nzl</w:t>
        </w:r>
      </w:hyperlink>
    </w:p>
    <w:p w:rsidR="006D5651" w:rsidRDefault="006D5651" w:rsidP="006D5651">
      <w:pPr>
        <w:rPr>
          <w:lang w:val="en-GB"/>
        </w:rPr>
      </w:pPr>
    </w:p>
    <w:p w:rsidR="006D5651" w:rsidRDefault="006D5651" w:rsidP="006D5651">
      <w:pPr>
        <w:rPr>
          <w:lang w:val="en-GB"/>
        </w:rPr>
      </w:pPr>
      <w:r>
        <w:rPr>
          <w:lang w:val="en-GB"/>
        </w:rPr>
        <w:t xml:space="preserve">Valdoiu, D. A., &amp; Cucumber-Ciuhan, I. (2018). </w:t>
      </w:r>
      <w:r w:rsidRPr="006D5651">
        <w:rPr>
          <w:i/>
          <w:lang w:val="en-GB"/>
        </w:rPr>
        <w:t>Foreign direct investment in Roman</w:t>
      </w:r>
      <w:r>
        <w:rPr>
          <w:lang w:val="en-GB"/>
        </w:rPr>
        <w:t xml:space="preserve">ia: Trends and challenges. Journal of Economics and Business Research, 24(1), 61-75. </w:t>
      </w:r>
      <w:hyperlink r:id="rId24" w:history="1">
        <w:r>
          <w:rPr>
            <w:rStyle w:val="Hyperlink"/>
            <w:lang w:val="en-GB"/>
          </w:rPr>
          <w:t>https://doi.org/10.2478/joeb-2018-0006</w:t>
        </w:r>
      </w:hyperlink>
    </w:p>
    <w:p w:rsidR="006D5651" w:rsidRDefault="006D5651" w:rsidP="006D5651">
      <w:pPr>
        <w:rPr>
          <w:lang w:val="en-GB"/>
        </w:rPr>
      </w:pPr>
    </w:p>
    <w:p w:rsidR="006D5651" w:rsidRDefault="006D5651" w:rsidP="006D5651">
      <w:pPr>
        <w:rPr>
          <w:lang w:val="en-GB"/>
        </w:rPr>
      </w:pPr>
      <w:r>
        <w:rPr>
          <w:lang w:val="en-GB"/>
        </w:rPr>
        <w:t xml:space="preserve">Whittington, R. (2001). </w:t>
      </w:r>
      <w:r w:rsidRPr="006D5651">
        <w:rPr>
          <w:i/>
          <w:lang w:val="en-GB"/>
        </w:rPr>
        <w:t>What is strategy - and does it matter?</w:t>
      </w:r>
      <w:r>
        <w:rPr>
          <w:lang w:val="en-GB"/>
        </w:rPr>
        <w:t xml:space="preserve"> Thomson Learning. </w:t>
      </w:r>
    </w:p>
    <w:p w:rsidR="006D5651" w:rsidRDefault="006D5651" w:rsidP="006D5651">
      <w:pPr>
        <w:rPr>
          <w:lang w:val="en-GB"/>
        </w:rPr>
      </w:pPr>
    </w:p>
    <w:p w:rsidR="000775B8" w:rsidRDefault="006D5651" w:rsidP="006D5651">
      <w:pPr>
        <w:rPr>
          <w:lang w:val="en-US"/>
        </w:rPr>
      </w:pPr>
      <w:r>
        <w:rPr>
          <w:lang w:val="en-GB"/>
        </w:rPr>
        <w:t xml:space="preserve">World Bank Group. (2021). </w:t>
      </w:r>
      <w:r w:rsidRPr="006D5651">
        <w:rPr>
          <w:i/>
          <w:lang w:val="en-GB"/>
        </w:rPr>
        <w:t>DataBank</w:t>
      </w:r>
      <w:r>
        <w:rPr>
          <w:lang w:val="en-GB"/>
        </w:rPr>
        <w:t xml:space="preserve">. </w:t>
      </w:r>
      <w:hyperlink r:id="rId25" w:history="1">
        <w:r>
          <w:rPr>
            <w:rStyle w:val="Hyperlink"/>
            <w:lang w:val="en-GB"/>
          </w:rPr>
          <w:t>https://databank.worldbank.org/home.aspx</w:t>
        </w:r>
      </w:hyperlink>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Pr="00BF1F5F" w:rsidRDefault="000775B8" w:rsidP="00BF1F5F">
      <w:pPr>
        <w:rPr>
          <w:lang w:val="en-US"/>
        </w:rPr>
      </w:pPr>
    </w:p>
    <w:sectPr w:rsidR="000775B8" w:rsidRPr="00BF1F5F" w:rsidSect="00D509E0">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E4838" w:rsidRDefault="001E4838" w:rsidP="00172869">
      <w:pPr>
        <w:spacing w:after="0" w:line="240" w:lineRule="auto"/>
      </w:pPr>
      <w:r>
        <w:separator/>
      </w:r>
    </w:p>
  </w:endnote>
  <w:endnote w:type="continuationSeparator" w:id="1">
    <w:p w:rsidR="001E4838" w:rsidRDefault="001E4838" w:rsidP="001728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8855092"/>
      <w:docPartObj>
        <w:docPartGallery w:val="Page Numbers (Bottom of Page)"/>
        <w:docPartUnique/>
      </w:docPartObj>
    </w:sdtPr>
    <w:sdtEndPr>
      <w:rPr>
        <w:noProof/>
      </w:rPr>
    </w:sdtEndPr>
    <w:sdtContent>
      <w:p w:rsidR="00172869" w:rsidRDefault="00F74E2E">
        <w:pPr>
          <w:pStyle w:val="Footer"/>
          <w:jc w:val="right"/>
        </w:pPr>
        <w:r>
          <w:fldChar w:fldCharType="begin"/>
        </w:r>
        <w:r w:rsidR="00172869">
          <w:instrText xml:space="preserve"> PAGE   \* MERGEFORMAT </w:instrText>
        </w:r>
        <w:r>
          <w:fldChar w:fldCharType="separate"/>
        </w:r>
        <w:r w:rsidR="006D5651">
          <w:rPr>
            <w:noProof/>
          </w:rPr>
          <w:t>10</w:t>
        </w:r>
        <w:r>
          <w:rPr>
            <w:noProof/>
          </w:rPr>
          <w:fldChar w:fldCharType="end"/>
        </w:r>
      </w:p>
    </w:sdtContent>
  </w:sdt>
  <w:p w:rsidR="00172869" w:rsidRDefault="001728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E4838" w:rsidRDefault="001E4838" w:rsidP="00172869">
      <w:pPr>
        <w:spacing w:after="0" w:line="240" w:lineRule="auto"/>
      </w:pPr>
      <w:r>
        <w:separator/>
      </w:r>
    </w:p>
  </w:footnote>
  <w:footnote w:type="continuationSeparator" w:id="1">
    <w:p w:rsidR="001E4838" w:rsidRDefault="001E4838" w:rsidP="0017286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6B0860AD"/>
    <w:rsid w:val="000162EF"/>
    <w:rsid w:val="000775B8"/>
    <w:rsid w:val="000E29D9"/>
    <w:rsid w:val="001431FD"/>
    <w:rsid w:val="00163F14"/>
    <w:rsid w:val="00172869"/>
    <w:rsid w:val="001C6C4D"/>
    <w:rsid w:val="001E4838"/>
    <w:rsid w:val="00200B04"/>
    <w:rsid w:val="00237F09"/>
    <w:rsid w:val="002807DA"/>
    <w:rsid w:val="002D2959"/>
    <w:rsid w:val="002D3ECA"/>
    <w:rsid w:val="003420D5"/>
    <w:rsid w:val="00353573"/>
    <w:rsid w:val="00384E95"/>
    <w:rsid w:val="003D0703"/>
    <w:rsid w:val="003E08F7"/>
    <w:rsid w:val="003F619D"/>
    <w:rsid w:val="00422BBE"/>
    <w:rsid w:val="00427C3F"/>
    <w:rsid w:val="004575E1"/>
    <w:rsid w:val="004801BC"/>
    <w:rsid w:val="005016AE"/>
    <w:rsid w:val="00531952"/>
    <w:rsid w:val="00571107"/>
    <w:rsid w:val="00590386"/>
    <w:rsid w:val="00637610"/>
    <w:rsid w:val="0065478B"/>
    <w:rsid w:val="006D5651"/>
    <w:rsid w:val="00700089"/>
    <w:rsid w:val="00704530"/>
    <w:rsid w:val="007108A9"/>
    <w:rsid w:val="00715FBB"/>
    <w:rsid w:val="0076120E"/>
    <w:rsid w:val="00766684"/>
    <w:rsid w:val="00776689"/>
    <w:rsid w:val="007A7196"/>
    <w:rsid w:val="007B3D04"/>
    <w:rsid w:val="007B4D16"/>
    <w:rsid w:val="007C6EC3"/>
    <w:rsid w:val="007F5C2D"/>
    <w:rsid w:val="00836020"/>
    <w:rsid w:val="0084635C"/>
    <w:rsid w:val="008D14D9"/>
    <w:rsid w:val="00940953"/>
    <w:rsid w:val="00952902"/>
    <w:rsid w:val="00956B4B"/>
    <w:rsid w:val="00977F94"/>
    <w:rsid w:val="009A3C3C"/>
    <w:rsid w:val="009B4CDE"/>
    <w:rsid w:val="009C69E0"/>
    <w:rsid w:val="009C7F40"/>
    <w:rsid w:val="009E0852"/>
    <w:rsid w:val="00A62243"/>
    <w:rsid w:val="00B85C2A"/>
    <w:rsid w:val="00BC36CD"/>
    <w:rsid w:val="00BF1F5F"/>
    <w:rsid w:val="00BF3911"/>
    <w:rsid w:val="00C45882"/>
    <w:rsid w:val="00C94B85"/>
    <w:rsid w:val="00CD1DC5"/>
    <w:rsid w:val="00D509E0"/>
    <w:rsid w:val="00D81851"/>
    <w:rsid w:val="00DA67AA"/>
    <w:rsid w:val="00DD5711"/>
    <w:rsid w:val="00DE5B00"/>
    <w:rsid w:val="00E06E56"/>
    <w:rsid w:val="00EA2E8E"/>
    <w:rsid w:val="00EB705C"/>
    <w:rsid w:val="00EC1ACE"/>
    <w:rsid w:val="00F74E2E"/>
    <w:rsid w:val="00FA13C2"/>
    <w:rsid w:val="00FF0222"/>
    <w:rsid w:val="6B0860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1ACE"/>
  </w:style>
  <w:style w:type="paragraph" w:styleId="Heading1">
    <w:name w:val="heading 1"/>
    <w:basedOn w:val="Normal"/>
    <w:next w:val="Normal"/>
    <w:link w:val="Heading1Char"/>
    <w:uiPriority w:val="9"/>
    <w:qFormat/>
    <w:rsid w:val="00BF1F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F5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509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09E0"/>
    <w:rPr>
      <w:rFonts w:eastAsiaTheme="minorEastAsia"/>
      <w:lang w:val="en-US"/>
    </w:rPr>
  </w:style>
  <w:style w:type="paragraph" w:styleId="Subtitle">
    <w:name w:val="Subtitle"/>
    <w:basedOn w:val="Normal"/>
    <w:next w:val="Normal"/>
    <w:link w:val="SubtitleChar"/>
    <w:uiPriority w:val="11"/>
    <w:qFormat/>
    <w:rsid w:val="009B4CD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B4CDE"/>
    <w:rPr>
      <w:rFonts w:eastAsiaTheme="minorEastAsia"/>
      <w:color w:val="5A5A5A" w:themeColor="text1" w:themeTint="A5"/>
      <w:spacing w:val="15"/>
    </w:rPr>
  </w:style>
  <w:style w:type="paragraph" w:styleId="Header">
    <w:name w:val="header"/>
    <w:basedOn w:val="Normal"/>
    <w:link w:val="HeaderChar"/>
    <w:uiPriority w:val="99"/>
    <w:unhideWhenUsed/>
    <w:rsid w:val="001728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869"/>
  </w:style>
  <w:style w:type="paragraph" w:styleId="Footer">
    <w:name w:val="footer"/>
    <w:basedOn w:val="Normal"/>
    <w:link w:val="FooterChar"/>
    <w:uiPriority w:val="99"/>
    <w:unhideWhenUsed/>
    <w:rsid w:val="001728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869"/>
  </w:style>
  <w:style w:type="paragraph" w:styleId="TOCHeading">
    <w:name w:val="TOC Heading"/>
    <w:basedOn w:val="Heading1"/>
    <w:next w:val="Normal"/>
    <w:uiPriority w:val="39"/>
    <w:unhideWhenUsed/>
    <w:qFormat/>
    <w:rsid w:val="00A62243"/>
    <w:pPr>
      <w:outlineLvl w:val="9"/>
    </w:pPr>
    <w:rPr>
      <w:lang w:val="en-US"/>
    </w:rPr>
  </w:style>
  <w:style w:type="paragraph" w:styleId="TOC1">
    <w:name w:val="toc 1"/>
    <w:basedOn w:val="Normal"/>
    <w:next w:val="Normal"/>
    <w:autoRedefine/>
    <w:uiPriority w:val="39"/>
    <w:unhideWhenUsed/>
    <w:rsid w:val="00A62243"/>
    <w:pPr>
      <w:spacing w:after="100"/>
    </w:pPr>
  </w:style>
  <w:style w:type="character" w:styleId="Hyperlink">
    <w:name w:val="Hyperlink"/>
    <w:basedOn w:val="DefaultParagraphFont"/>
    <w:uiPriority w:val="99"/>
    <w:unhideWhenUsed/>
    <w:rsid w:val="00A62243"/>
    <w:rPr>
      <w:color w:val="0563C1" w:themeColor="hyperlink"/>
      <w:u w:val="single"/>
    </w:rPr>
  </w:style>
  <w:style w:type="paragraph" w:customStyle="1" w:styleId="pb-2">
    <w:name w:val="pb-2"/>
    <w:basedOn w:val="Normal"/>
    <w:rsid w:val="00200B0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ssue-underline">
    <w:name w:val="issue-underline"/>
    <w:basedOn w:val="DefaultParagraphFont"/>
    <w:rsid w:val="0065478B"/>
  </w:style>
  <w:style w:type="paragraph" w:styleId="BalloonText">
    <w:name w:val="Balloon Text"/>
    <w:basedOn w:val="Normal"/>
    <w:link w:val="BalloonTextChar"/>
    <w:uiPriority w:val="99"/>
    <w:semiHidden/>
    <w:unhideWhenUsed/>
    <w:rsid w:val="003535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57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3740152">
      <w:bodyDiv w:val="1"/>
      <w:marLeft w:val="0"/>
      <w:marRight w:val="0"/>
      <w:marTop w:val="0"/>
      <w:marBottom w:val="0"/>
      <w:divBdr>
        <w:top w:val="none" w:sz="0" w:space="0" w:color="auto"/>
        <w:left w:val="none" w:sz="0" w:space="0" w:color="auto"/>
        <w:bottom w:val="none" w:sz="0" w:space="0" w:color="auto"/>
        <w:right w:val="none" w:sz="0" w:space="0" w:color="auto"/>
      </w:divBdr>
    </w:div>
    <w:div w:id="215358797">
      <w:bodyDiv w:val="1"/>
      <w:marLeft w:val="0"/>
      <w:marRight w:val="0"/>
      <w:marTop w:val="0"/>
      <w:marBottom w:val="0"/>
      <w:divBdr>
        <w:top w:val="none" w:sz="0" w:space="0" w:color="auto"/>
        <w:left w:val="none" w:sz="0" w:space="0" w:color="auto"/>
        <w:bottom w:val="none" w:sz="0" w:space="0" w:color="auto"/>
        <w:right w:val="none" w:sz="0" w:space="0" w:color="auto"/>
      </w:divBdr>
    </w:div>
    <w:div w:id="341781917">
      <w:bodyDiv w:val="1"/>
      <w:marLeft w:val="0"/>
      <w:marRight w:val="0"/>
      <w:marTop w:val="0"/>
      <w:marBottom w:val="0"/>
      <w:divBdr>
        <w:top w:val="none" w:sz="0" w:space="0" w:color="auto"/>
        <w:left w:val="none" w:sz="0" w:space="0" w:color="auto"/>
        <w:bottom w:val="none" w:sz="0" w:space="0" w:color="auto"/>
        <w:right w:val="none" w:sz="0" w:space="0" w:color="auto"/>
      </w:divBdr>
    </w:div>
    <w:div w:id="428503981">
      <w:bodyDiv w:val="1"/>
      <w:marLeft w:val="0"/>
      <w:marRight w:val="0"/>
      <w:marTop w:val="0"/>
      <w:marBottom w:val="0"/>
      <w:divBdr>
        <w:top w:val="none" w:sz="0" w:space="0" w:color="auto"/>
        <w:left w:val="none" w:sz="0" w:space="0" w:color="auto"/>
        <w:bottom w:val="none" w:sz="0" w:space="0" w:color="auto"/>
        <w:right w:val="none" w:sz="0" w:space="0" w:color="auto"/>
      </w:divBdr>
    </w:div>
    <w:div w:id="538518500">
      <w:bodyDiv w:val="1"/>
      <w:marLeft w:val="0"/>
      <w:marRight w:val="0"/>
      <w:marTop w:val="0"/>
      <w:marBottom w:val="0"/>
      <w:divBdr>
        <w:top w:val="none" w:sz="0" w:space="0" w:color="auto"/>
        <w:left w:val="none" w:sz="0" w:space="0" w:color="auto"/>
        <w:bottom w:val="none" w:sz="0" w:space="0" w:color="auto"/>
        <w:right w:val="none" w:sz="0" w:space="0" w:color="auto"/>
      </w:divBdr>
    </w:div>
    <w:div w:id="630986282">
      <w:bodyDiv w:val="1"/>
      <w:marLeft w:val="0"/>
      <w:marRight w:val="0"/>
      <w:marTop w:val="0"/>
      <w:marBottom w:val="0"/>
      <w:divBdr>
        <w:top w:val="none" w:sz="0" w:space="0" w:color="auto"/>
        <w:left w:val="none" w:sz="0" w:space="0" w:color="auto"/>
        <w:bottom w:val="none" w:sz="0" w:space="0" w:color="auto"/>
        <w:right w:val="none" w:sz="0" w:space="0" w:color="auto"/>
      </w:divBdr>
    </w:div>
    <w:div w:id="935359403">
      <w:bodyDiv w:val="1"/>
      <w:marLeft w:val="0"/>
      <w:marRight w:val="0"/>
      <w:marTop w:val="0"/>
      <w:marBottom w:val="0"/>
      <w:divBdr>
        <w:top w:val="none" w:sz="0" w:space="0" w:color="auto"/>
        <w:left w:val="none" w:sz="0" w:space="0" w:color="auto"/>
        <w:bottom w:val="none" w:sz="0" w:space="0" w:color="auto"/>
        <w:right w:val="none" w:sz="0" w:space="0" w:color="auto"/>
      </w:divBdr>
    </w:div>
    <w:div w:id="1163813675">
      <w:bodyDiv w:val="1"/>
      <w:marLeft w:val="0"/>
      <w:marRight w:val="0"/>
      <w:marTop w:val="0"/>
      <w:marBottom w:val="0"/>
      <w:divBdr>
        <w:top w:val="none" w:sz="0" w:space="0" w:color="auto"/>
        <w:left w:val="none" w:sz="0" w:space="0" w:color="auto"/>
        <w:bottom w:val="none" w:sz="0" w:space="0" w:color="auto"/>
        <w:right w:val="none" w:sz="0" w:space="0" w:color="auto"/>
      </w:divBdr>
    </w:div>
    <w:div w:id="1203976770">
      <w:bodyDiv w:val="1"/>
      <w:marLeft w:val="0"/>
      <w:marRight w:val="0"/>
      <w:marTop w:val="0"/>
      <w:marBottom w:val="0"/>
      <w:divBdr>
        <w:top w:val="none" w:sz="0" w:space="0" w:color="auto"/>
        <w:left w:val="none" w:sz="0" w:space="0" w:color="auto"/>
        <w:bottom w:val="none" w:sz="0" w:space="0" w:color="auto"/>
        <w:right w:val="none" w:sz="0" w:space="0" w:color="auto"/>
      </w:divBdr>
    </w:div>
    <w:div w:id="1441755281">
      <w:bodyDiv w:val="1"/>
      <w:marLeft w:val="0"/>
      <w:marRight w:val="0"/>
      <w:marTop w:val="0"/>
      <w:marBottom w:val="0"/>
      <w:divBdr>
        <w:top w:val="none" w:sz="0" w:space="0" w:color="auto"/>
        <w:left w:val="none" w:sz="0" w:space="0" w:color="auto"/>
        <w:bottom w:val="none" w:sz="0" w:space="0" w:color="auto"/>
        <w:right w:val="none" w:sz="0" w:space="0" w:color="auto"/>
      </w:divBdr>
    </w:div>
    <w:div w:id="1469476181">
      <w:bodyDiv w:val="1"/>
      <w:marLeft w:val="0"/>
      <w:marRight w:val="0"/>
      <w:marTop w:val="0"/>
      <w:marBottom w:val="0"/>
      <w:divBdr>
        <w:top w:val="none" w:sz="0" w:space="0" w:color="auto"/>
        <w:left w:val="none" w:sz="0" w:space="0" w:color="auto"/>
        <w:bottom w:val="none" w:sz="0" w:space="0" w:color="auto"/>
        <w:right w:val="none" w:sz="0" w:space="0" w:color="auto"/>
      </w:divBdr>
    </w:div>
    <w:div w:id="1628123413">
      <w:bodyDiv w:val="1"/>
      <w:marLeft w:val="0"/>
      <w:marRight w:val="0"/>
      <w:marTop w:val="0"/>
      <w:marBottom w:val="0"/>
      <w:divBdr>
        <w:top w:val="none" w:sz="0" w:space="0" w:color="auto"/>
        <w:left w:val="none" w:sz="0" w:space="0" w:color="auto"/>
        <w:bottom w:val="none" w:sz="0" w:space="0" w:color="auto"/>
        <w:right w:val="none" w:sz="0" w:space="0" w:color="auto"/>
      </w:divBdr>
    </w:div>
    <w:div w:id="1687438888">
      <w:bodyDiv w:val="1"/>
      <w:marLeft w:val="0"/>
      <w:marRight w:val="0"/>
      <w:marTop w:val="0"/>
      <w:marBottom w:val="0"/>
      <w:divBdr>
        <w:top w:val="none" w:sz="0" w:space="0" w:color="auto"/>
        <w:left w:val="none" w:sz="0" w:space="0" w:color="auto"/>
        <w:bottom w:val="none" w:sz="0" w:space="0" w:color="auto"/>
        <w:right w:val="none" w:sz="0" w:space="0" w:color="auto"/>
      </w:divBdr>
    </w:div>
    <w:div w:id="1785150531">
      <w:bodyDiv w:val="1"/>
      <w:marLeft w:val="0"/>
      <w:marRight w:val="0"/>
      <w:marTop w:val="0"/>
      <w:marBottom w:val="0"/>
      <w:divBdr>
        <w:top w:val="none" w:sz="0" w:space="0" w:color="auto"/>
        <w:left w:val="none" w:sz="0" w:space="0" w:color="auto"/>
        <w:bottom w:val="none" w:sz="0" w:space="0" w:color="auto"/>
        <w:right w:val="none" w:sz="0" w:space="0" w:color="auto"/>
      </w:divBdr>
    </w:div>
    <w:div w:id="1830558914">
      <w:bodyDiv w:val="1"/>
      <w:marLeft w:val="0"/>
      <w:marRight w:val="0"/>
      <w:marTop w:val="0"/>
      <w:marBottom w:val="0"/>
      <w:divBdr>
        <w:top w:val="none" w:sz="0" w:space="0" w:color="auto"/>
        <w:left w:val="none" w:sz="0" w:space="0" w:color="auto"/>
        <w:bottom w:val="none" w:sz="0" w:space="0" w:color="auto"/>
        <w:right w:val="none" w:sz="0" w:space="0" w:color="auto"/>
      </w:divBdr>
    </w:div>
    <w:div w:id="1954703263">
      <w:bodyDiv w:val="1"/>
      <w:marLeft w:val="0"/>
      <w:marRight w:val="0"/>
      <w:marTop w:val="0"/>
      <w:marBottom w:val="0"/>
      <w:divBdr>
        <w:top w:val="none" w:sz="0" w:space="0" w:color="auto"/>
        <w:left w:val="none" w:sz="0" w:space="0" w:color="auto"/>
        <w:bottom w:val="none" w:sz="0" w:space="0" w:color="auto"/>
        <w:right w:val="none" w:sz="0" w:space="0" w:color="auto"/>
      </w:divBdr>
    </w:div>
    <w:div w:id="2035422271">
      <w:bodyDiv w:val="1"/>
      <w:marLeft w:val="0"/>
      <w:marRight w:val="0"/>
      <w:marTop w:val="0"/>
      <w:marBottom w:val="0"/>
      <w:divBdr>
        <w:top w:val="none" w:sz="0" w:space="0" w:color="auto"/>
        <w:left w:val="none" w:sz="0" w:space="0" w:color="auto"/>
        <w:bottom w:val="none" w:sz="0" w:space="0" w:color="auto"/>
        <w:right w:val="none" w:sz="0" w:space="0" w:color="auto"/>
      </w:divBdr>
    </w:div>
    <w:div w:id="214230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lex.com/about/where-we-are/europe/romania" TargetMode="External"/><Relationship Id="rId18" Type="http://schemas.openxmlformats.org/officeDocument/2006/relationships/hyperlink" Target="https://doi.org/10.1509/jimk.12.3.42.38369"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2478/jedep-2019-0042" TargetMode="External"/><Relationship Id="rId7" Type="http://schemas.openxmlformats.org/officeDocument/2006/relationships/endnotes" Target="endnotes.xml"/><Relationship Id="rId12" Type="http://schemas.openxmlformats.org/officeDocument/2006/relationships/hyperlink" Target="https://europa.eu/european-union/index_en" TargetMode="External"/><Relationship Id="rId17" Type="http://schemas.openxmlformats.org/officeDocument/2006/relationships/hyperlink" Target="https://doi.org/10.1057/palgrave.jibs.8490676" TargetMode="External"/><Relationship Id="rId25" Type="http://schemas.openxmlformats.org/officeDocument/2006/relationships/hyperlink" Target="https://databank.worldbank.org/home.aspx" TargetMode="External"/><Relationship Id="rId2" Type="http://schemas.openxmlformats.org/officeDocument/2006/relationships/customXml" Target="../customXml/item2.xml"/><Relationship Id="rId16" Type="http://schemas.openxmlformats.org/officeDocument/2006/relationships/hyperlink" Target="https://www.hofstede-insights.com/country-comparison/" TargetMode="External"/><Relationship Id="rId20" Type="http://schemas.openxmlformats.org/officeDocument/2006/relationships/hyperlink" Target="https://doi.org/10.1787/eco_surveys-rou-2019-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ingbusiness.org/en/rankings" TargetMode="External"/><Relationship Id="rId24" Type="http://schemas.openxmlformats.org/officeDocument/2006/relationships/hyperlink" Target="https://doi.org/10.2478/joeb-2018-0006" TargetMode="External"/><Relationship Id="rId5" Type="http://schemas.openxmlformats.org/officeDocument/2006/relationships/webSettings" Target="webSettings.xml"/><Relationship Id="rId15" Type="http://schemas.openxmlformats.org/officeDocument/2006/relationships/hyperlink" Target="https://doi.org/10.1007/s00181-010-0355-5" TargetMode="External"/><Relationship Id="rId23" Type="http://schemas.openxmlformats.org/officeDocument/2006/relationships/hyperlink" Target="https://www.transparency.org/en/cpi/2020/index/nzl" TargetMode="External"/><Relationship Id="rId28" Type="http://schemas.openxmlformats.org/officeDocument/2006/relationships/theme" Target="theme/theme1.xml"/><Relationship Id="rId10" Type="http://schemas.openxmlformats.org/officeDocument/2006/relationships/hyperlink" Target="https://www.doingbusiness.org/en/rankings" TargetMode="External"/><Relationship Id="rId19" Type="http://schemas.openxmlformats.org/officeDocument/2006/relationships/hyperlink" Target="https://doi.org/10.1016/S2212-5671(15)01314-5" TargetMode="External"/><Relationship Id="rId4" Type="http://schemas.openxmlformats.org/officeDocument/2006/relationships/settings" Target="settings.xml"/><Relationship Id="rId9" Type="http://schemas.openxmlformats.org/officeDocument/2006/relationships/hyperlink" Target="https://doi.org/10.1016/S2212-5671(19)30379-8" TargetMode="External"/><Relationship Id="rId14" Type="http://schemas.openxmlformats.org/officeDocument/2006/relationships/hyperlink" Target="https://doi.org/10.1016/S2212-5671(18)30330-6" TargetMode="External"/><Relationship Id="rId22" Type="http://schemas.openxmlformats.org/officeDocument/2006/relationships/hyperlink" Target="https://www.softelligence.net/blog/it-outsourcing-in-romania-an-over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2B2CED-2DCD-41DA-A538-A36A7DC74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3331</Words>
  <Characters>18988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22275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Fizesan - 21161289</dc:creator>
  <cp:lastModifiedBy>MyPc</cp:lastModifiedBy>
  <cp:revision>2</cp:revision>
  <dcterms:created xsi:type="dcterms:W3CDTF">2023-04-10T11:01:00Z</dcterms:created>
  <dcterms:modified xsi:type="dcterms:W3CDTF">2023-04-10T11:01:00Z</dcterms:modified>
  <cp:category>Global Business Environment</cp:category>
</cp:coreProperties>
</file>