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78398547"/>
        <w:docPartObj>
          <w:docPartGallery w:val="Cover Pages"/>
          <w:docPartUnique/>
        </w:docPartObj>
      </w:sdtPr>
      <w:sdtEndPr/>
      <w:sdtContent>
        <w:p w14:paraId="601C96FE" w14:textId="3FFB3530" w:rsidR="003F2E36" w:rsidRDefault="00C4268B" w:rsidP="00CB1D3E">
          <w:pPr>
            <w:spacing w:before="120" w:after="120"/>
            <w:jc w:val="center"/>
            <w:rPr>
              <w:rFonts w:ascii="Arial" w:hAnsi="Arial" w:cs="Arial"/>
              <w:b/>
              <w:sz w:val="22"/>
              <w:szCs w:val="22"/>
            </w:rPr>
          </w:pPr>
          <w:r>
            <w:rPr>
              <w:noProof/>
            </w:rPr>
            <mc:AlternateContent>
              <mc:Choice Requires="wpg">
                <w:drawing>
                  <wp:anchor distT="0" distB="0" distL="114300" distR="114300" simplePos="0" relativeHeight="251659264" behindDoc="1" locked="0" layoutInCell="1" allowOverlap="1" wp14:anchorId="46686630" wp14:editId="23345ABD">
                    <wp:simplePos x="0" y="0"/>
                    <wp:positionH relativeFrom="page">
                      <wp:posOffset>469265</wp:posOffset>
                    </wp:positionH>
                    <wp:positionV relativeFrom="margin">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69D4B0B" w14:textId="58894311" w:rsidR="00BE16D1" w:rsidRDefault="00CF46EE">
                                      <w:pPr>
                                        <w:pStyle w:val="NoSpacing"/>
                                        <w:spacing w:before="120"/>
                                        <w:jc w:val="center"/>
                                        <w:rPr>
                                          <w:color w:val="FFFFFF" w:themeColor="background1"/>
                                        </w:rPr>
                                      </w:pPr>
                                      <w:r>
                                        <w:rPr>
                                          <w:color w:val="FFFFFF" w:themeColor="background1"/>
                                        </w:rPr>
                                        <w:t xml:space="preserve">Student: </w:t>
                                      </w:r>
                                      <w:r w:rsidR="00BE16D1">
                                        <w:rPr>
                                          <w:color w:val="FFFFFF" w:themeColor="background1"/>
                                        </w:rPr>
                                        <w:t>Mariana Codreanu</w:t>
                                      </w:r>
                                      <w:r>
                                        <w:rPr>
                                          <w:color w:val="FFFFFF" w:themeColor="background1"/>
                                        </w:rPr>
                                        <w:t xml:space="preserve"> 2118364</w:t>
                                      </w:r>
                                    </w:p>
                                  </w:sdtContent>
                                </w:sdt>
                                <w:p w14:paraId="1B54BF96" w14:textId="7CEEBEEA" w:rsidR="00BE16D1" w:rsidRDefault="00C4268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F46EE">
                                        <w:rPr>
                                          <w:caps/>
                                          <w:color w:val="FFFFFF" w:themeColor="background1"/>
                                        </w:rPr>
                                        <w:t>Lecturer:</w:t>
                                      </w:r>
                                    </w:sdtContent>
                                  </w:sdt>
                                  <w:r w:rsidR="00CF46EE">
                                    <w:rPr>
                                      <w:caps/>
                                      <w:color w:val="FFFFFF" w:themeColor="background1"/>
                                    </w:rPr>
                                    <w:t xml:space="preserve"> De</w:t>
                                  </w:r>
                                  <w:r w:rsidR="00BD433F">
                                    <w:rPr>
                                      <w:caps/>
                                      <w:color w:val="FFFFFF" w:themeColor="background1"/>
                                    </w:rPr>
                                    <w:t>n</w:t>
                                  </w:r>
                                  <w:r w:rsidR="00CF46EE">
                                    <w:rPr>
                                      <w:caps/>
                                      <w:color w:val="FFFFFF" w:themeColor="background1"/>
                                    </w:rPr>
                                    <w:t>nis pepple</w:t>
                                  </w:r>
                                  <w:r w:rsidR="00BE16D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F46EE">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AAC83CE" w14:textId="77CA0377" w:rsidR="00BE16D1" w:rsidRDefault="00CB1D3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change </w:t>
                                      </w:r>
                                      <w:r w:rsidRPr="004863DB">
                                        <w:rPr>
                                          <w:rFonts w:asciiTheme="majorHAnsi" w:eastAsiaTheme="majorEastAsia" w:hAnsiTheme="majorHAnsi" w:cstheme="majorBidi"/>
                                          <w:caps/>
                                          <w:color w:val="156082" w:themeColor="accent1"/>
                                          <w:sz w:val="72"/>
                                          <w:szCs w:val="72"/>
                                        </w:rPr>
                                        <w:t>MANAGEMENT</w:t>
                                      </w:r>
                                      <w:r>
                                        <w:rPr>
                                          <w:rFonts w:asciiTheme="majorHAnsi" w:eastAsiaTheme="majorEastAsia" w:hAnsiTheme="majorHAnsi" w:cstheme="majorBidi"/>
                                          <w:caps/>
                                          <w:color w:val="156082" w:themeColor="accent1"/>
                                          <w:sz w:val="72"/>
                                          <w:szCs w:val="72"/>
                                        </w:rPr>
                                        <w:t xml:space="preserve"> Portofolio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686630" id="Group 198" o:spid="_x0000_s1026" style="position:absolute;left:0;text-align:left;margin-left:36.95pt;margin-top:0;width:540.55pt;height:718.4pt;z-index:-251657216;mso-width-percent:882;mso-height-percent:909;mso-position-horizontal-relative:page;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69D4B0B" w14:textId="58894311" w:rsidR="00BE16D1" w:rsidRDefault="00CF46EE">
                                <w:pPr>
                                  <w:pStyle w:val="NoSpacing"/>
                                  <w:spacing w:before="120"/>
                                  <w:jc w:val="center"/>
                                  <w:rPr>
                                    <w:color w:val="FFFFFF" w:themeColor="background1"/>
                                  </w:rPr>
                                </w:pPr>
                                <w:r>
                                  <w:rPr>
                                    <w:color w:val="FFFFFF" w:themeColor="background1"/>
                                  </w:rPr>
                                  <w:t xml:space="preserve">Student: </w:t>
                                </w:r>
                                <w:r w:rsidR="00BE16D1">
                                  <w:rPr>
                                    <w:color w:val="FFFFFF" w:themeColor="background1"/>
                                  </w:rPr>
                                  <w:t>Mariana Codreanu</w:t>
                                </w:r>
                                <w:r>
                                  <w:rPr>
                                    <w:color w:val="FFFFFF" w:themeColor="background1"/>
                                  </w:rPr>
                                  <w:t xml:space="preserve"> 2118364</w:t>
                                </w:r>
                              </w:p>
                            </w:sdtContent>
                          </w:sdt>
                          <w:p w14:paraId="1B54BF96" w14:textId="7CEEBEEA" w:rsidR="00BE16D1" w:rsidRDefault="00C4268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F46EE">
                                  <w:rPr>
                                    <w:caps/>
                                    <w:color w:val="FFFFFF" w:themeColor="background1"/>
                                  </w:rPr>
                                  <w:t>Lecturer:</w:t>
                                </w:r>
                              </w:sdtContent>
                            </w:sdt>
                            <w:r w:rsidR="00CF46EE">
                              <w:rPr>
                                <w:caps/>
                                <w:color w:val="FFFFFF" w:themeColor="background1"/>
                              </w:rPr>
                              <w:t xml:space="preserve"> De</w:t>
                            </w:r>
                            <w:r w:rsidR="00BD433F">
                              <w:rPr>
                                <w:caps/>
                                <w:color w:val="FFFFFF" w:themeColor="background1"/>
                              </w:rPr>
                              <w:t>n</w:t>
                            </w:r>
                            <w:r w:rsidR="00CF46EE">
                              <w:rPr>
                                <w:caps/>
                                <w:color w:val="FFFFFF" w:themeColor="background1"/>
                              </w:rPr>
                              <w:t>nis pepple</w:t>
                            </w:r>
                            <w:r w:rsidR="00BE16D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F46EE">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AAC83CE" w14:textId="77CA0377" w:rsidR="00BE16D1" w:rsidRDefault="00CB1D3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change </w:t>
                                </w:r>
                                <w:r w:rsidRPr="004863DB">
                                  <w:rPr>
                                    <w:rFonts w:asciiTheme="majorHAnsi" w:eastAsiaTheme="majorEastAsia" w:hAnsiTheme="majorHAnsi" w:cstheme="majorBidi"/>
                                    <w:caps/>
                                    <w:color w:val="156082" w:themeColor="accent1"/>
                                    <w:sz w:val="72"/>
                                    <w:szCs w:val="72"/>
                                  </w:rPr>
                                  <w:t>MANAGEMENT</w:t>
                                </w:r>
                                <w:r>
                                  <w:rPr>
                                    <w:rFonts w:asciiTheme="majorHAnsi" w:eastAsiaTheme="majorEastAsia" w:hAnsiTheme="majorHAnsi" w:cstheme="majorBidi"/>
                                    <w:caps/>
                                    <w:color w:val="156082" w:themeColor="accent1"/>
                                    <w:sz w:val="72"/>
                                    <w:szCs w:val="72"/>
                                  </w:rPr>
                                  <w:t xml:space="preserve"> Portofolio</w:t>
                                </w:r>
                              </w:p>
                            </w:sdtContent>
                          </w:sdt>
                        </w:txbxContent>
                      </v:textbox>
                    </v:shape>
                    <w10:wrap anchorx="page" anchory="margin"/>
                  </v:group>
                </w:pict>
              </mc:Fallback>
            </mc:AlternateContent>
          </w:r>
          <w:r w:rsidR="00CB1D3E">
            <w:rPr>
              <w:rFonts w:ascii="Arial" w:hAnsi="Arial" w:cs="Arial"/>
              <w:b/>
              <w:sz w:val="22"/>
              <w:szCs w:val="22"/>
            </w:rPr>
            <w:t>BA Leadership</w:t>
          </w:r>
          <w:r w:rsidR="003F2E36">
            <w:rPr>
              <w:rFonts w:ascii="Arial" w:hAnsi="Arial" w:cs="Arial"/>
              <w:b/>
              <w:sz w:val="22"/>
              <w:szCs w:val="22"/>
            </w:rPr>
            <w:t xml:space="preserve"> and Management Skills for the Workplace</w:t>
          </w:r>
        </w:p>
        <w:p w14:paraId="21549F1A" w14:textId="3CAC7B19" w:rsidR="00BE16D1" w:rsidRDefault="00BE16D1"/>
        <w:p w14:paraId="1F807228" w14:textId="5E64A031" w:rsidR="00BE16D1" w:rsidRDefault="00BE16D1">
          <w:r>
            <w:br w:type="page"/>
          </w:r>
        </w:p>
      </w:sdtContent>
    </w:sdt>
    <w:p w14:paraId="2FEF4465" w14:textId="410C5211" w:rsidR="00050E29" w:rsidRDefault="00050E29" w:rsidP="00050E29"/>
    <w:p w14:paraId="0E22D71D" w14:textId="77777777" w:rsidR="00F5615E" w:rsidRDefault="00F5615E" w:rsidP="00050E29"/>
    <w:sdt>
      <w:sdtPr>
        <w:rPr>
          <w:rFonts w:asciiTheme="minorHAnsi" w:eastAsiaTheme="minorHAnsi" w:hAnsiTheme="minorHAnsi" w:cstheme="minorBidi"/>
          <w:color w:val="auto"/>
          <w:kern w:val="2"/>
          <w:sz w:val="24"/>
          <w:szCs w:val="24"/>
          <w:lang w:val="en-GB"/>
          <w14:ligatures w14:val="standardContextual"/>
        </w:rPr>
        <w:id w:val="-1307856622"/>
        <w:docPartObj>
          <w:docPartGallery w:val="Table of Contents"/>
          <w:docPartUnique/>
        </w:docPartObj>
      </w:sdtPr>
      <w:sdtEndPr>
        <w:rPr>
          <w:rFonts w:ascii="Arial" w:hAnsi="Arial" w:cs="Arial"/>
          <w:b/>
          <w:bCs/>
          <w:noProof/>
          <w:sz w:val="22"/>
          <w:szCs w:val="22"/>
        </w:rPr>
      </w:sdtEndPr>
      <w:sdtContent>
        <w:p w14:paraId="2CDA41B1" w14:textId="67378C16" w:rsidR="0034177F" w:rsidRDefault="0034177F">
          <w:pPr>
            <w:pStyle w:val="TOCHeading"/>
          </w:pPr>
          <w:r>
            <w:t>Contents</w:t>
          </w:r>
        </w:p>
        <w:p w14:paraId="71D779E9" w14:textId="271B2205" w:rsidR="009848FD" w:rsidRPr="00170367" w:rsidRDefault="0034177F">
          <w:pPr>
            <w:pStyle w:val="TOC1"/>
            <w:tabs>
              <w:tab w:val="right" w:leader="dot" w:pos="9016"/>
            </w:tabs>
            <w:rPr>
              <w:rFonts w:ascii="Arial" w:eastAsiaTheme="minorEastAsia" w:hAnsi="Arial" w:cs="Arial"/>
              <w:noProof/>
              <w:sz w:val="22"/>
              <w:szCs w:val="22"/>
              <w:lang w:eastAsia="en-GB"/>
            </w:rPr>
          </w:pPr>
          <w:r w:rsidRPr="00170367">
            <w:rPr>
              <w:rFonts w:ascii="Arial" w:hAnsi="Arial" w:cs="Arial"/>
              <w:sz w:val="22"/>
              <w:szCs w:val="22"/>
            </w:rPr>
            <w:fldChar w:fldCharType="begin"/>
          </w:r>
          <w:r w:rsidRPr="00170367">
            <w:rPr>
              <w:rFonts w:ascii="Arial" w:hAnsi="Arial" w:cs="Arial"/>
              <w:sz w:val="22"/>
              <w:szCs w:val="22"/>
            </w:rPr>
            <w:instrText xml:space="preserve"> TOC \o "1-3" \h \z \u </w:instrText>
          </w:r>
          <w:r w:rsidRPr="00170367">
            <w:rPr>
              <w:rFonts w:ascii="Arial" w:hAnsi="Arial" w:cs="Arial"/>
              <w:sz w:val="22"/>
              <w:szCs w:val="22"/>
            </w:rPr>
            <w:fldChar w:fldCharType="separate"/>
          </w:r>
          <w:hyperlink w:anchor="_Toc172965430" w:history="1">
            <w:r w:rsidR="009848FD" w:rsidRPr="00170367">
              <w:rPr>
                <w:rStyle w:val="Hyperlink"/>
                <w:rFonts w:ascii="Arial" w:hAnsi="Arial" w:cs="Arial"/>
                <w:noProof/>
                <w:sz w:val="22"/>
                <w:szCs w:val="22"/>
              </w:rPr>
              <w:t>Introduction</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_Toc172965430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2</w:t>
            </w:r>
            <w:r w:rsidR="009848FD" w:rsidRPr="00170367">
              <w:rPr>
                <w:rFonts w:ascii="Arial" w:hAnsi="Arial" w:cs="Arial"/>
                <w:noProof/>
                <w:webHidden/>
                <w:sz w:val="22"/>
                <w:szCs w:val="22"/>
              </w:rPr>
              <w:fldChar w:fldCharType="end"/>
            </w:r>
          </w:hyperlink>
        </w:p>
        <w:p w14:paraId="726CE2D7" w14:textId="18F645A4" w:rsidR="009848FD" w:rsidRPr="00170367" w:rsidRDefault="00C4268B">
          <w:pPr>
            <w:pStyle w:val="TOC1"/>
            <w:tabs>
              <w:tab w:val="left" w:pos="720"/>
              <w:tab w:val="right" w:leader="dot" w:pos="9016"/>
            </w:tabs>
            <w:rPr>
              <w:rFonts w:ascii="Arial" w:eastAsiaTheme="minorEastAsia" w:hAnsi="Arial" w:cs="Arial"/>
              <w:noProof/>
              <w:sz w:val="22"/>
              <w:szCs w:val="22"/>
              <w:lang w:eastAsia="en-GB"/>
            </w:rPr>
          </w:pPr>
          <w:hyperlink w:anchor="_Toc172965431" w:history="1">
            <w:r w:rsidR="009848FD" w:rsidRPr="00170367">
              <w:rPr>
                <w:rStyle w:val="Hyperlink"/>
                <w:rFonts w:ascii="Arial" w:hAnsi="Arial" w:cs="Arial"/>
                <w:noProof/>
                <w:sz w:val="22"/>
                <w:szCs w:val="22"/>
              </w:rPr>
              <w:t>1.1</w:t>
            </w:r>
            <w:r w:rsidR="009848FD" w:rsidRPr="00170367">
              <w:rPr>
                <w:rFonts w:ascii="Arial" w:eastAsiaTheme="minorEastAsia" w:hAnsi="Arial" w:cs="Arial"/>
                <w:noProof/>
                <w:sz w:val="22"/>
                <w:szCs w:val="22"/>
                <w:lang w:eastAsia="en-GB"/>
              </w:rPr>
              <w:tab/>
            </w:r>
            <w:r w:rsidR="009848FD" w:rsidRPr="00170367">
              <w:rPr>
                <w:rStyle w:val="Hyperlink"/>
                <w:rFonts w:ascii="Arial" w:hAnsi="Arial" w:cs="Arial"/>
                <w:noProof/>
                <w:sz w:val="22"/>
                <w:szCs w:val="22"/>
              </w:rPr>
              <w:t>Stakeholder analysis models</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_Toc172965431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3</w:t>
            </w:r>
            <w:r w:rsidR="009848FD" w:rsidRPr="00170367">
              <w:rPr>
                <w:rFonts w:ascii="Arial" w:hAnsi="Arial" w:cs="Arial"/>
                <w:noProof/>
                <w:webHidden/>
                <w:sz w:val="22"/>
                <w:szCs w:val="22"/>
              </w:rPr>
              <w:fldChar w:fldCharType="end"/>
            </w:r>
          </w:hyperlink>
        </w:p>
        <w:p w14:paraId="56475468" w14:textId="0F19BA34" w:rsidR="009848FD" w:rsidRPr="00170367" w:rsidRDefault="00C4268B">
          <w:pPr>
            <w:pStyle w:val="TOC1"/>
            <w:tabs>
              <w:tab w:val="left" w:pos="720"/>
              <w:tab w:val="right" w:leader="dot" w:pos="9016"/>
            </w:tabs>
            <w:rPr>
              <w:rFonts w:ascii="Arial" w:eastAsiaTheme="minorEastAsia" w:hAnsi="Arial" w:cs="Arial"/>
              <w:noProof/>
              <w:sz w:val="22"/>
              <w:szCs w:val="22"/>
              <w:lang w:eastAsia="en-GB"/>
            </w:rPr>
          </w:pPr>
          <w:hyperlink w:anchor="_Toc172965432" w:history="1">
            <w:r w:rsidR="009848FD" w:rsidRPr="00170367">
              <w:rPr>
                <w:rStyle w:val="Hyperlink"/>
                <w:rFonts w:ascii="Arial" w:hAnsi="Arial" w:cs="Arial"/>
                <w:noProof/>
                <w:sz w:val="22"/>
                <w:szCs w:val="22"/>
              </w:rPr>
              <w:t>1.2</w:t>
            </w:r>
            <w:r w:rsidR="009848FD" w:rsidRPr="00170367">
              <w:rPr>
                <w:rFonts w:ascii="Arial" w:eastAsiaTheme="minorEastAsia" w:hAnsi="Arial" w:cs="Arial"/>
                <w:noProof/>
                <w:sz w:val="22"/>
                <w:szCs w:val="22"/>
                <w:lang w:eastAsia="en-GB"/>
              </w:rPr>
              <w:tab/>
            </w:r>
            <w:r w:rsidR="009848FD" w:rsidRPr="00170367">
              <w:rPr>
                <w:rStyle w:val="Hyperlink"/>
                <w:rFonts w:ascii="Arial" w:hAnsi="Arial" w:cs="Arial"/>
                <w:noProof/>
                <w:sz w:val="22"/>
                <w:szCs w:val="22"/>
              </w:rPr>
              <w:t>Stakeholder analysis matrix</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_Toc172965432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5</w:t>
            </w:r>
            <w:r w:rsidR="009848FD" w:rsidRPr="00170367">
              <w:rPr>
                <w:rFonts w:ascii="Arial" w:hAnsi="Arial" w:cs="Arial"/>
                <w:noProof/>
                <w:webHidden/>
                <w:sz w:val="22"/>
                <w:szCs w:val="22"/>
              </w:rPr>
              <w:fldChar w:fldCharType="end"/>
            </w:r>
          </w:hyperlink>
        </w:p>
        <w:p w14:paraId="097DEED4" w14:textId="739C6D45" w:rsidR="009848FD" w:rsidRPr="00170367" w:rsidRDefault="00C4268B">
          <w:pPr>
            <w:pStyle w:val="TOC1"/>
            <w:tabs>
              <w:tab w:val="left" w:pos="720"/>
              <w:tab w:val="right" w:leader="dot" w:pos="9016"/>
            </w:tabs>
            <w:rPr>
              <w:rFonts w:ascii="Arial" w:eastAsiaTheme="minorEastAsia" w:hAnsi="Arial" w:cs="Arial"/>
              <w:noProof/>
              <w:sz w:val="22"/>
              <w:szCs w:val="22"/>
              <w:lang w:eastAsia="en-GB"/>
            </w:rPr>
          </w:pPr>
          <w:hyperlink w:anchor="_Toc172965433" w:history="1">
            <w:r w:rsidR="009848FD" w:rsidRPr="00170367">
              <w:rPr>
                <w:rStyle w:val="Hyperlink"/>
                <w:rFonts w:ascii="Arial" w:hAnsi="Arial" w:cs="Arial"/>
                <w:noProof/>
                <w:sz w:val="22"/>
                <w:szCs w:val="22"/>
              </w:rPr>
              <w:t>1.3</w:t>
            </w:r>
            <w:r w:rsidR="009848FD" w:rsidRPr="00170367">
              <w:rPr>
                <w:rFonts w:ascii="Arial" w:eastAsiaTheme="minorEastAsia" w:hAnsi="Arial" w:cs="Arial"/>
                <w:noProof/>
                <w:sz w:val="22"/>
                <w:szCs w:val="22"/>
                <w:lang w:eastAsia="en-GB"/>
              </w:rPr>
              <w:tab/>
            </w:r>
            <w:r w:rsidR="009848FD" w:rsidRPr="00170367">
              <w:rPr>
                <w:rStyle w:val="Hyperlink"/>
                <w:rFonts w:ascii="Arial" w:hAnsi="Arial" w:cs="Arial"/>
                <w:noProof/>
                <w:sz w:val="22"/>
                <w:szCs w:val="22"/>
              </w:rPr>
              <w:t>Advantages and Disadvantages of stakeholder analysis matrix</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_Toc172965433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10</w:t>
            </w:r>
            <w:r w:rsidR="009848FD" w:rsidRPr="00170367">
              <w:rPr>
                <w:rFonts w:ascii="Arial" w:hAnsi="Arial" w:cs="Arial"/>
                <w:noProof/>
                <w:webHidden/>
                <w:sz w:val="22"/>
                <w:szCs w:val="22"/>
              </w:rPr>
              <w:fldChar w:fldCharType="end"/>
            </w:r>
          </w:hyperlink>
        </w:p>
        <w:p w14:paraId="3F3FF4B6" w14:textId="5FE7E9B3" w:rsidR="009848FD" w:rsidRPr="00170367" w:rsidRDefault="00C4268B">
          <w:pPr>
            <w:pStyle w:val="TOC1"/>
            <w:tabs>
              <w:tab w:val="right" w:leader="dot" w:pos="9016"/>
            </w:tabs>
            <w:rPr>
              <w:rFonts w:ascii="Arial" w:eastAsiaTheme="minorEastAsia" w:hAnsi="Arial" w:cs="Arial"/>
              <w:noProof/>
              <w:sz w:val="22"/>
              <w:szCs w:val="22"/>
              <w:lang w:eastAsia="en-GB"/>
            </w:rPr>
          </w:pPr>
          <w:hyperlink w:anchor="_Toc172965434" w:history="1">
            <w:r w:rsidR="009848FD" w:rsidRPr="00170367">
              <w:rPr>
                <w:rStyle w:val="Hyperlink"/>
                <w:rFonts w:ascii="Arial" w:hAnsi="Arial" w:cs="Arial"/>
                <w:noProof/>
                <w:sz w:val="22"/>
                <w:szCs w:val="22"/>
              </w:rPr>
              <w:t>2.1 Conflict resolution models</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_Toc172965434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11</w:t>
            </w:r>
            <w:r w:rsidR="009848FD" w:rsidRPr="00170367">
              <w:rPr>
                <w:rFonts w:ascii="Arial" w:hAnsi="Arial" w:cs="Arial"/>
                <w:noProof/>
                <w:webHidden/>
                <w:sz w:val="22"/>
                <w:szCs w:val="22"/>
              </w:rPr>
              <w:fldChar w:fldCharType="end"/>
            </w:r>
          </w:hyperlink>
        </w:p>
        <w:p w14:paraId="139BBEB7" w14:textId="1FCC2E8E" w:rsidR="009848FD" w:rsidRPr="00170367" w:rsidRDefault="00C4268B">
          <w:pPr>
            <w:pStyle w:val="TOC1"/>
            <w:tabs>
              <w:tab w:val="right" w:leader="dot" w:pos="9016"/>
            </w:tabs>
            <w:rPr>
              <w:rFonts w:ascii="Arial" w:eastAsiaTheme="minorEastAsia" w:hAnsi="Arial" w:cs="Arial"/>
              <w:noProof/>
              <w:sz w:val="22"/>
              <w:szCs w:val="22"/>
              <w:lang w:eastAsia="en-GB"/>
            </w:rPr>
          </w:pPr>
          <w:hyperlink w:anchor="_Toc172965435" w:history="1">
            <w:r w:rsidR="009848FD" w:rsidRPr="00170367">
              <w:rPr>
                <w:rStyle w:val="Hyperlink"/>
                <w:rFonts w:ascii="Arial" w:hAnsi="Arial" w:cs="Arial"/>
                <w:noProof/>
                <w:sz w:val="22"/>
                <w:szCs w:val="22"/>
              </w:rPr>
              <w:t>2.2 Interest-based conflict resolution model</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_Toc172965435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13</w:t>
            </w:r>
            <w:r w:rsidR="009848FD" w:rsidRPr="00170367">
              <w:rPr>
                <w:rFonts w:ascii="Arial" w:hAnsi="Arial" w:cs="Arial"/>
                <w:noProof/>
                <w:webHidden/>
                <w:sz w:val="22"/>
                <w:szCs w:val="22"/>
              </w:rPr>
              <w:fldChar w:fldCharType="end"/>
            </w:r>
          </w:hyperlink>
        </w:p>
        <w:p w14:paraId="58F028BA" w14:textId="08E95359" w:rsidR="009848FD" w:rsidRPr="00170367" w:rsidRDefault="00C4268B">
          <w:pPr>
            <w:pStyle w:val="TOC1"/>
            <w:tabs>
              <w:tab w:val="right" w:leader="dot" w:pos="9016"/>
            </w:tabs>
            <w:rPr>
              <w:rFonts w:ascii="Arial" w:eastAsiaTheme="minorEastAsia" w:hAnsi="Arial" w:cs="Arial"/>
              <w:noProof/>
              <w:sz w:val="22"/>
              <w:szCs w:val="22"/>
              <w:lang w:eastAsia="en-GB"/>
            </w:rPr>
          </w:pPr>
          <w:hyperlink w:anchor="_Toc172965436" w:history="1">
            <w:r w:rsidR="009848FD" w:rsidRPr="00170367">
              <w:rPr>
                <w:rStyle w:val="Hyperlink"/>
                <w:rFonts w:ascii="Arial" w:hAnsi="Arial" w:cs="Arial"/>
                <w:noProof/>
                <w:sz w:val="22"/>
                <w:szCs w:val="22"/>
              </w:rPr>
              <w:t>3. Critical analysis</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_Toc172965436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15</w:t>
            </w:r>
            <w:r w:rsidR="009848FD" w:rsidRPr="00170367">
              <w:rPr>
                <w:rFonts w:ascii="Arial" w:hAnsi="Arial" w:cs="Arial"/>
                <w:noProof/>
                <w:webHidden/>
                <w:sz w:val="22"/>
                <w:szCs w:val="22"/>
              </w:rPr>
              <w:fldChar w:fldCharType="end"/>
            </w:r>
          </w:hyperlink>
        </w:p>
        <w:p w14:paraId="105754E5" w14:textId="7564F967" w:rsidR="009848FD" w:rsidRPr="00170367" w:rsidRDefault="00C4268B">
          <w:pPr>
            <w:pStyle w:val="TOC1"/>
            <w:tabs>
              <w:tab w:val="left" w:pos="480"/>
              <w:tab w:val="right" w:leader="dot" w:pos="9016"/>
            </w:tabs>
            <w:rPr>
              <w:rFonts w:ascii="Arial" w:eastAsiaTheme="minorEastAsia" w:hAnsi="Arial" w:cs="Arial"/>
              <w:noProof/>
              <w:sz w:val="22"/>
              <w:szCs w:val="22"/>
              <w:lang w:eastAsia="en-GB"/>
            </w:rPr>
          </w:pPr>
          <w:hyperlink w:anchor="_Toc172965437" w:history="1">
            <w:r w:rsidR="009848FD" w:rsidRPr="00170367">
              <w:rPr>
                <w:rStyle w:val="Hyperlink"/>
                <w:rFonts w:ascii="Arial" w:hAnsi="Arial" w:cs="Arial"/>
                <w:noProof/>
                <w:sz w:val="22"/>
                <w:szCs w:val="22"/>
              </w:rPr>
              <w:t>4.</w:t>
            </w:r>
            <w:r w:rsidR="009848FD" w:rsidRPr="00170367">
              <w:rPr>
                <w:rFonts w:ascii="Arial" w:eastAsiaTheme="minorEastAsia" w:hAnsi="Arial" w:cs="Arial"/>
                <w:noProof/>
                <w:sz w:val="22"/>
                <w:szCs w:val="22"/>
                <w:lang w:eastAsia="en-GB"/>
              </w:rPr>
              <w:tab/>
            </w:r>
            <w:r w:rsidR="009848FD" w:rsidRPr="00170367">
              <w:rPr>
                <w:rStyle w:val="Hyperlink"/>
                <w:rFonts w:ascii="Arial" w:hAnsi="Arial" w:cs="Arial"/>
                <w:noProof/>
                <w:sz w:val="22"/>
                <w:szCs w:val="22"/>
              </w:rPr>
              <w:t>The importance of stakeholder’s analysis and conflict resolution at the workplace</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_Toc172965437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17</w:t>
            </w:r>
            <w:r w:rsidR="009848FD" w:rsidRPr="00170367">
              <w:rPr>
                <w:rFonts w:ascii="Arial" w:hAnsi="Arial" w:cs="Arial"/>
                <w:noProof/>
                <w:webHidden/>
                <w:sz w:val="22"/>
                <w:szCs w:val="22"/>
              </w:rPr>
              <w:fldChar w:fldCharType="end"/>
            </w:r>
          </w:hyperlink>
        </w:p>
        <w:p w14:paraId="01608932" w14:textId="11A0F646" w:rsidR="009848FD" w:rsidRPr="00170367" w:rsidRDefault="00C4268B">
          <w:pPr>
            <w:pStyle w:val="TOC1"/>
            <w:tabs>
              <w:tab w:val="right" w:leader="dot" w:pos="9016"/>
            </w:tabs>
            <w:rPr>
              <w:rFonts w:ascii="Arial" w:eastAsiaTheme="minorEastAsia" w:hAnsi="Arial" w:cs="Arial"/>
              <w:noProof/>
              <w:sz w:val="22"/>
              <w:szCs w:val="22"/>
              <w:lang w:eastAsia="en-GB"/>
            </w:rPr>
          </w:pPr>
          <w:hyperlink w:anchor="_Toc172965438" w:history="1">
            <w:r w:rsidR="009848FD" w:rsidRPr="00170367">
              <w:rPr>
                <w:rStyle w:val="Hyperlink"/>
                <w:rFonts w:ascii="Arial" w:hAnsi="Arial" w:cs="Arial"/>
                <w:noProof/>
                <w:sz w:val="22"/>
                <w:szCs w:val="22"/>
              </w:rPr>
              <w:t>Conclusion</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_Toc172965438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19</w:t>
            </w:r>
            <w:r w:rsidR="009848FD" w:rsidRPr="00170367">
              <w:rPr>
                <w:rFonts w:ascii="Arial" w:hAnsi="Arial" w:cs="Arial"/>
                <w:noProof/>
                <w:webHidden/>
                <w:sz w:val="22"/>
                <w:szCs w:val="22"/>
              </w:rPr>
              <w:fldChar w:fldCharType="end"/>
            </w:r>
          </w:hyperlink>
        </w:p>
        <w:p w14:paraId="6F7BF8E3" w14:textId="290763C2" w:rsidR="009848FD" w:rsidRPr="00170367" w:rsidRDefault="00C4268B">
          <w:pPr>
            <w:pStyle w:val="TOC1"/>
            <w:tabs>
              <w:tab w:val="right" w:leader="dot" w:pos="9016"/>
            </w:tabs>
            <w:rPr>
              <w:rFonts w:ascii="Arial" w:eastAsiaTheme="minorEastAsia" w:hAnsi="Arial" w:cs="Arial"/>
              <w:noProof/>
              <w:sz w:val="22"/>
              <w:szCs w:val="22"/>
              <w:lang w:eastAsia="en-GB"/>
            </w:rPr>
          </w:pPr>
          <w:hyperlink w:anchor="_Toc172965439" w:history="1">
            <w:r w:rsidR="009848FD" w:rsidRPr="00170367">
              <w:rPr>
                <w:rStyle w:val="Hyperlink"/>
                <w:rFonts w:ascii="Arial" w:hAnsi="Arial" w:cs="Arial"/>
                <w:noProof/>
                <w:sz w:val="22"/>
                <w:szCs w:val="22"/>
              </w:rPr>
              <w:t>References</w:t>
            </w:r>
            <w:r w:rsidR="009848FD" w:rsidRPr="00170367">
              <w:rPr>
                <w:rFonts w:ascii="Arial" w:hAnsi="Arial" w:cs="Arial"/>
                <w:noProof/>
                <w:webHidden/>
                <w:sz w:val="22"/>
                <w:szCs w:val="22"/>
              </w:rPr>
              <w:tab/>
            </w:r>
            <w:r w:rsidR="009848FD" w:rsidRPr="00170367">
              <w:rPr>
                <w:rFonts w:ascii="Arial" w:hAnsi="Arial" w:cs="Arial"/>
                <w:noProof/>
                <w:webHidden/>
                <w:sz w:val="22"/>
                <w:szCs w:val="22"/>
              </w:rPr>
              <w:fldChar w:fldCharType="begin"/>
            </w:r>
            <w:r w:rsidR="009848FD" w:rsidRPr="00170367">
              <w:rPr>
                <w:rFonts w:ascii="Arial" w:hAnsi="Arial" w:cs="Arial"/>
                <w:noProof/>
                <w:webHidden/>
                <w:sz w:val="22"/>
                <w:szCs w:val="22"/>
              </w:rPr>
              <w:instrText xml:space="preserve"> PAGEREF _Toc172965439 \h </w:instrText>
            </w:r>
            <w:r w:rsidR="009848FD" w:rsidRPr="00170367">
              <w:rPr>
                <w:rFonts w:ascii="Arial" w:hAnsi="Arial" w:cs="Arial"/>
                <w:noProof/>
                <w:webHidden/>
                <w:sz w:val="22"/>
                <w:szCs w:val="22"/>
              </w:rPr>
            </w:r>
            <w:r w:rsidR="009848FD" w:rsidRPr="00170367">
              <w:rPr>
                <w:rFonts w:ascii="Arial" w:hAnsi="Arial" w:cs="Arial"/>
                <w:noProof/>
                <w:webHidden/>
                <w:sz w:val="22"/>
                <w:szCs w:val="22"/>
              </w:rPr>
              <w:fldChar w:fldCharType="separate"/>
            </w:r>
            <w:r w:rsidR="009848FD" w:rsidRPr="00170367">
              <w:rPr>
                <w:rFonts w:ascii="Arial" w:hAnsi="Arial" w:cs="Arial"/>
                <w:noProof/>
                <w:webHidden/>
                <w:sz w:val="22"/>
                <w:szCs w:val="22"/>
              </w:rPr>
              <w:t>20</w:t>
            </w:r>
            <w:r w:rsidR="009848FD" w:rsidRPr="00170367">
              <w:rPr>
                <w:rFonts w:ascii="Arial" w:hAnsi="Arial" w:cs="Arial"/>
                <w:noProof/>
                <w:webHidden/>
                <w:sz w:val="22"/>
                <w:szCs w:val="22"/>
              </w:rPr>
              <w:fldChar w:fldCharType="end"/>
            </w:r>
          </w:hyperlink>
        </w:p>
        <w:p w14:paraId="4C16EA2F" w14:textId="0207FF60" w:rsidR="0034177F" w:rsidRDefault="0034177F">
          <w:r w:rsidRPr="00170367">
            <w:rPr>
              <w:rFonts w:ascii="Arial" w:hAnsi="Arial" w:cs="Arial"/>
              <w:b/>
              <w:bCs/>
              <w:noProof/>
              <w:sz w:val="22"/>
              <w:szCs w:val="22"/>
            </w:rPr>
            <w:fldChar w:fldCharType="end"/>
          </w:r>
        </w:p>
      </w:sdtContent>
    </w:sdt>
    <w:p w14:paraId="38785B36" w14:textId="7C4FEC13" w:rsidR="005B347D" w:rsidRDefault="005B347D">
      <w:r>
        <w:br w:type="page"/>
      </w:r>
    </w:p>
    <w:p w14:paraId="47FB3E21" w14:textId="713279D2" w:rsidR="00F45C5C" w:rsidRDefault="00F45C5C" w:rsidP="005B347D">
      <w:pPr>
        <w:pStyle w:val="Heading1"/>
        <w:rPr>
          <w:sz w:val="28"/>
          <w:szCs w:val="28"/>
        </w:rPr>
      </w:pPr>
      <w:bookmarkStart w:id="0" w:name="_Toc172965430"/>
      <w:r w:rsidRPr="00A65CB1">
        <w:rPr>
          <w:sz w:val="28"/>
          <w:szCs w:val="28"/>
        </w:rPr>
        <w:lastRenderedPageBreak/>
        <w:t>Introduction</w:t>
      </w:r>
      <w:bookmarkEnd w:id="0"/>
    </w:p>
    <w:p w14:paraId="14C6FD27" w14:textId="77777777" w:rsidR="00A65CB1" w:rsidRPr="00A65CB1" w:rsidRDefault="00A65CB1" w:rsidP="00A65CB1"/>
    <w:p w14:paraId="48A1C455" w14:textId="4D380EFE" w:rsidR="003C2C6B" w:rsidRPr="00D016CB" w:rsidRDefault="009A4574" w:rsidP="00D016CB">
      <w:pPr>
        <w:spacing w:line="360" w:lineRule="auto"/>
        <w:ind w:firstLine="720"/>
        <w:jc w:val="both"/>
        <w:rPr>
          <w:rFonts w:ascii="Arial" w:hAnsi="Arial" w:cs="Arial"/>
          <w:sz w:val="22"/>
          <w:szCs w:val="22"/>
        </w:rPr>
      </w:pPr>
      <w:r w:rsidRPr="009A4574">
        <w:rPr>
          <w:rFonts w:ascii="Arial" w:hAnsi="Arial" w:cs="Arial"/>
          <w:sz w:val="22"/>
          <w:szCs w:val="22"/>
        </w:rPr>
        <w:t xml:space="preserve">Stakeholder analysis is a method or collection of methods used to gather information about individuals and organisations involved in a particular situation. Its purpose is to understand their actions, intentions, relationships, and interests, as well as to evaluate the impact and resources they have on decision-making or implementation processes. The analysis provides valuable insights into the evolution of policies and enables the evaluation of the viability of future policy directions. It also aids in the execution of projects, specific decisions, and organisational goals, as well as the formulation of strategies for effectively managing key stakeholders. </w:t>
      </w:r>
      <w:r w:rsidR="003C2C6B" w:rsidRPr="00D016CB">
        <w:rPr>
          <w:rFonts w:ascii="Arial" w:hAnsi="Arial" w:cs="Arial"/>
          <w:sz w:val="22"/>
          <w:szCs w:val="22"/>
        </w:rPr>
        <w:t>Stakeholder analysis is commonly defined by the Project Management Institute (PMI) as the process of identifying persons or groups who have the potential to influence or be influenced by a decision, action, or outcome of a project. (PMI, 2017). Stakeholder analysis is a methodical process of identifying and examining individuals or groups, evaluating their degree of influence, and determining their level of interest in the</w:t>
      </w:r>
      <w:r w:rsidR="0092377D" w:rsidRPr="00D016CB">
        <w:rPr>
          <w:rFonts w:ascii="Arial" w:hAnsi="Arial" w:cs="Arial"/>
          <w:sz w:val="22"/>
          <w:szCs w:val="22"/>
        </w:rPr>
        <w:t xml:space="preserve"> </w:t>
      </w:r>
      <w:r w:rsidR="003C2C6B" w:rsidRPr="00D016CB">
        <w:rPr>
          <w:rFonts w:ascii="Arial" w:hAnsi="Arial" w:cs="Arial"/>
          <w:sz w:val="22"/>
          <w:szCs w:val="22"/>
        </w:rPr>
        <w:t>organization'</w:t>
      </w:r>
      <w:r w:rsidR="0092377D" w:rsidRPr="00D016CB">
        <w:rPr>
          <w:rFonts w:ascii="Arial" w:hAnsi="Arial" w:cs="Arial"/>
          <w:sz w:val="22"/>
          <w:szCs w:val="22"/>
        </w:rPr>
        <w:t>s</w:t>
      </w:r>
      <w:r w:rsidR="00C045C7">
        <w:rPr>
          <w:rFonts w:ascii="Arial" w:hAnsi="Arial" w:cs="Arial"/>
          <w:sz w:val="22"/>
          <w:szCs w:val="22"/>
        </w:rPr>
        <w:t xml:space="preserve"> </w:t>
      </w:r>
      <w:r w:rsidR="003C2C6B" w:rsidRPr="00D016CB">
        <w:rPr>
          <w:rFonts w:ascii="Arial" w:hAnsi="Arial" w:cs="Arial"/>
          <w:sz w:val="22"/>
          <w:szCs w:val="22"/>
        </w:rPr>
        <w:t>actions. Stakeholder analysis holds significant importance for organisations due to multiple factors. Firstly, it assists organisations in identifying crucial stakeholders and prioritising their wants and concerns, allowing them to efficiently manage these relationships and secure their backing for the organization's goals and objectives. Furthermore, stakeholder analysis enables organisations to predict possible risks and problems that may develop from interacting with stakeholders, enabling them to take proactive measures to tackle these challenges and minimise their consequences.</w:t>
      </w:r>
      <w:r w:rsidR="00C045C7">
        <w:rPr>
          <w:rFonts w:ascii="Arial" w:hAnsi="Arial" w:cs="Arial"/>
          <w:sz w:val="22"/>
          <w:szCs w:val="22"/>
        </w:rPr>
        <w:t xml:space="preserve"> </w:t>
      </w:r>
      <w:r w:rsidR="003C2C6B" w:rsidRPr="00D016CB">
        <w:rPr>
          <w:rFonts w:ascii="Arial" w:hAnsi="Arial" w:cs="Arial"/>
          <w:sz w:val="22"/>
          <w:szCs w:val="22"/>
        </w:rPr>
        <w:t>Moreover, doing stakeholder analysis enables organisations to pinpoint potential areas for cooperation and alliance with stakeholders, resulting in mutually advantageous results. Organisations may enhance their communication and engagement strategies by comprehending the interests and viewpoints of stakeholders. This enables them to effectively involve and communicate with these crucial groups in decision-making processes.</w:t>
      </w:r>
    </w:p>
    <w:p w14:paraId="58076404" w14:textId="16AB0EEF" w:rsidR="00A872C4" w:rsidRPr="00D016CB" w:rsidRDefault="00BB4AFC" w:rsidP="00C045C7">
      <w:pPr>
        <w:spacing w:line="360" w:lineRule="auto"/>
        <w:ind w:firstLine="588"/>
        <w:jc w:val="both"/>
        <w:rPr>
          <w:rFonts w:ascii="Arial" w:hAnsi="Arial" w:cs="Arial"/>
          <w:sz w:val="22"/>
          <w:szCs w:val="22"/>
        </w:rPr>
      </w:pPr>
      <w:r w:rsidRPr="00BB4AFC">
        <w:rPr>
          <w:rFonts w:ascii="Arial" w:hAnsi="Arial" w:cs="Arial"/>
          <w:sz w:val="22"/>
          <w:szCs w:val="22"/>
        </w:rPr>
        <w:t>In May 2022, postal workers in the United Kingdom initiated a sequence of strikes and industrial conflicts. The individuals primarily participating in the protest were primarily members of Unite and the Communication Workers Union (CWU) from both Royal Mail and the Post Office. The Royal Mail strikes concluded in July 2023 following the acceptance of a three-year wage agreement by the workers and Royal Mail.</w:t>
      </w:r>
      <w:r w:rsidR="00A872C4" w:rsidRPr="00D016CB">
        <w:rPr>
          <w:rFonts w:ascii="Arial" w:hAnsi="Arial" w:cs="Arial"/>
          <w:sz w:val="22"/>
          <w:szCs w:val="22"/>
        </w:rPr>
        <w:t xml:space="preserve"> On 3 May 2022, members of the CWU engaged in a one-day strike due to a pay dispute. In 2021, their wages were not increased, and for 2022, they were offered a 2% rise along with a one-time payment of £250. The CWU criticised the offer as being "exceptionally inadequate" </w:t>
      </w:r>
      <w:r w:rsidR="00264651" w:rsidRPr="00D016CB">
        <w:rPr>
          <w:rFonts w:ascii="Arial" w:hAnsi="Arial" w:cs="Arial"/>
          <w:sz w:val="22"/>
          <w:szCs w:val="22"/>
        </w:rPr>
        <w:t>because</w:t>
      </w:r>
      <w:r w:rsidR="00A872C4" w:rsidRPr="00D016CB">
        <w:rPr>
          <w:rFonts w:ascii="Arial" w:hAnsi="Arial" w:cs="Arial"/>
          <w:sz w:val="22"/>
          <w:szCs w:val="22"/>
        </w:rPr>
        <w:t xml:space="preserve"> Retail Price Index </w:t>
      </w:r>
      <w:r w:rsidR="00A872C4" w:rsidRPr="00D016CB">
        <w:rPr>
          <w:rFonts w:ascii="Arial" w:hAnsi="Arial" w:cs="Arial"/>
          <w:sz w:val="22"/>
          <w:szCs w:val="22"/>
        </w:rPr>
        <w:lastRenderedPageBreak/>
        <w:t xml:space="preserve">inflation had surged to 9%. The Post Office asserted that </w:t>
      </w:r>
      <w:r w:rsidR="00264651" w:rsidRPr="00D016CB">
        <w:rPr>
          <w:rFonts w:ascii="Arial" w:hAnsi="Arial" w:cs="Arial"/>
          <w:sz w:val="22"/>
          <w:szCs w:val="22"/>
        </w:rPr>
        <w:t>most</w:t>
      </w:r>
      <w:r w:rsidR="00A872C4" w:rsidRPr="00D016CB">
        <w:rPr>
          <w:rFonts w:ascii="Arial" w:hAnsi="Arial" w:cs="Arial"/>
          <w:sz w:val="22"/>
          <w:szCs w:val="22"/>
        </w:rPr>
        <w:t xml:space="preserve"> branches would remain unaffected. The disagreement impacted approximately 3,500 members.</w:t>
      </w:r>
    </w:p>
    <w:p w14:paraId="48590798" w14:textId="77777777" w:rsidR="00B33F1C" w:rsidRPr="00B33F1C" w:rsidRDefault="00B33F1C" w:rsidP="00C045C7">
      <w:pPr>
        <w:spacing w:line="360" w:lineRule="auto"/>
        <w:ind w:firstLine="588"/>
        <w:jc w:val="both"/>
        <w:rPr>
          <w:rFonts w:ascii="Arial" w:hAnsi="Arial" w:cs="Arial"/>
          <w:sz w:val="22"/>
          <w:szCs w:val="22"/>
        </w:rPr>
      </w:pPr>
      <w:r w:rsidRPr="00B33F1C">
        <w:rPr>
          <w:rFonts w:ascii="Arial" w:hAnsi="Arial" w:cs="Arial"/>
          <w:sz w:val="22"/>
          <w:szCs w:val="22"/>
        </w:rPr>
        <w:t xml:space="preserve">This paper provides instructions on the structure of the stakeholder analysis, techniques for identifying and engaging stakeholders, sources and methods for collecting data, and strategies for organising, analysing, presenting, and utilising the data to resolve the Post office strike problem. </w:t>
      </w:r>
    </w:p>
    <w:p w14:paraId="250AECA4" w14:textId="77777777" w:rsidR="00B33F1C" w:rsidRPr="00D016CB" w:rsidRDefault="00B33F1C" w:rsidP="00D016CB">
      <w:pPr>
        <w:spacing w:line="360" w:lineRule="auto"/>
        <w:jc w:val="both"/>
        <w:rPr>
          <w:rFonts w:ascii="Arial" w:hAnsi="Arial" w:cs="Arial"/>
          <w:sz w:val="22"/>
          <w:szCs w:val="22"/>
        </w:rPr>
      </w:pPr>
    </w:p>
    <w:p w14:paraId="314504F9" w14:textId="77777777" w:rsidR="00F5615E" w:rsidRPr="00050E29" w:rsidRDefault="00F5615E" w:rsidP="00D016CB">
      <w:pPr>
        <w:spacing w:line="360" w:lineRule="auto"/>
        <w:jc w:val="both"/>
        <w:rPr>
          <w:rFonts w:ascii="Arial" w:hAnsi="Arial" w:cs="Arial"/>
          <w:sz w:val="22"/>
          <w:szCs w:val="22"/>
        </w:rPr>
      </w:pPr>
    </w:p>
    <w:p w14:paraId="27505EF9" w14:textId="0546D64C" w:rsidR="00BD433F" w:rsidRPr="00D016CB" w:rsidRDefault="003B6064" w:rsidP="00D016CB">
      <w:pPr>
        <w:pStyle w:val="Heading1"/>
        <w:numPr>
          <w:ilvl w:val="1"/>
          <w:numId w:val="2"/>
        </w:numPr>
        <w:spacing w:line="360" w:lineRule="auto"/>
        <w:jc w:val="both"/>
        <w:rPr>
          <w:rFonts w:ascii="Arial" w:hAnsi="Arial" w:cs="Arial"/>
          <w:sz w:val="28"/>
          <w:szCs w:val="28"/>
        </w:rPr>
      </w:pPr>
      <w:bookmarkStart w:id="1" w:name="_Toc172965431"/>
      <w:r w:rsidRPr="00D016CB">
        <w:rPr>
          <w:rFonts w:ascii="Arial" w:hAnsi="Arial" w:cs="Arial"/>
          <w:sz w:val="28"/>
          <w:szCs w:val="28"/>
        </w:rPr>
        <w:t>Stakeholder</w:t>
      </w:r>
      <w:r w:rsidR="0026675E" w:rsidRPr="00D016CB">
        <w:rPr>
          <w:rFonts w:ascii="Arial" w:hAnsi="Arial" w:cs="Arial"/>
          <w:sz w:val="28"/>
          <w:szCs w:val="28"/>
        </w:rPr>
        <w:t xml:space="preserve"> analysis models</w:t>
      </w:r>
      <w:bookmarkEnd w:id="1"/>
    </w:p>
    <w:p w14:paraId="23B5EB34" w14:textId="77777777" w:rsidR="00013A6E" w:rsidRPr="00D016CB" w:rsidRDefault="00013A6E" w:rsidP="00D016CB">
      <w:pPr>
        <w:spacing w:line="360" w:lineRule="auto"/>
        <w:jc w:val="both"/>
        <w:rPr>
          <w:rFonts w:ascii="Arial" w:hAnsi="Arial" w:cs="Arial"/>
          <w:sz w:val="22"/>
          <w:szCs w:val="22"/>
        </w:rPr>
      </w:pPr>
    </w:p>
    <w:p w14:paraId="0D816983" w14:textId="7308788C" w:rsidR="00692093" w:rsidRPr="00692093" w:rsidRDefault="00692093" w:rsidP="0090267F">
      <w:pPr>
        <w:spacing w:line="360" w:lineRule="auto"/>
        <w:ind w:firstLine="588"/>
        <w:jc w:val="both"/>
        <w:rPr>
          <w:rFonts w:ascii="Arial" w:hAnsi="Arial" w:cs="Arial"/>
          <w:sz w:val="22"/>
          <w:szCs w:val="22"/>
        </w:rPr>
      </w:pPr>
      <w:r w:rsidRPr="00692093">
        <w:rPr>
          <w:rFonts w:ascii="Arial" w:hAnsi="Arial" w:cs="Arial"/>
          <w:sz w:val="22"/>
          <w:szCs w:val="22"/>
        </w:rPr>
        <w:t xml:space="preserve">Stakeholder analysis is a process used by organizations to identify and understand the interests, needs, and perspectives of individuals or groups that have a stake in a project or decision. It involves identifying key stakeholders, assessing their level of influence, understanding their interests, and determining the best strategies to engage with them </w:t>
      </w:r>
      <w:r w:rsidR="0090267F" w:rsidRPr="00692093">
        <w:rPr>
          <w:rFonts w:ascii="Arial" w:hAnsi="Arial" w:cs="Arial"/>
          <w:sz w:val="22"/>
          <w:szCs w:val="22"/>
        </w:rPr>
        <w:t>effectively. Stakeholder</w:t>
      </w:r>
      <w:r w:rsidRPr="00692093">
        <w:rPr>
          <w:rFonts w:ascii="Arial" w:hAnsi="Arial" w:cs="Arial"/>
          <w:sz w:val="22"/>
          <w:szCs w:val="22"/>
        </w:rPr>
        <w:t xml:space="preserve"> analysis is important because it helps organizations better manage relationships with stakeholders, anticipate potential challenges or resistance, and make informed decisions that consider the interests of all parties involved.</w:t>
      </w:r>
    </w:p>
    <w:p w14:paraId="0032440F" w14:textId="4D5AA7D2" w:rsidR="00013A6E" w:rsidRPr="00013A6E" w:rsidRDefault="00013A6E" w:rsidP="00D016CB">
      <w:pPr>
        <w:spacing w:line="360" w:lineRule="auto"/>
        <w:jc w:val="both"/>
        <w:rPr>
          <w:rFonts w:ascii="Arial" w:hAnsi="Arial" w:cs="Arial"/>
          <w:sz w:val="22"/>
          <w:szCs w:val="22"/>
        </w:rPr>
      </w:pPr>
      <w:r w:rsidRPr="00013A6E">
        <w:rPr>
          <w:rFonts w:ascii="Arial" w:hAnsi="Arial" w:cs="Arial"/>
          <w:sz w:val="22"/>
          <w:szCs w:val="22"/>
        </w:rPr>
        <w:t>Organisations have access to multiple stakeholder analysis models that can be utilised to identify and rank important stakeholders. Several frequently utilised stakeholder analysis models include:</w:t>
      </w:r>
    </w:p>
    <w:p w14:paraId="65E99D88" w14:textId="77777777" w:rsidR="00A50D96" w:rsidRPr="00D016CB" w:rsidRDefault="00A50D96" w:rsidP="00D016CB">
      <w:pPr>
        <w:spacing w:line="360" w:lineRule="auto"/>
        <w:jc w:val="both"/>
        <w:rPr>
          <w:rFonts w:ascii="Arial" w:hAnsi="Arial" w:cs="Arial"/>
          <w:sz w:val="22"/>
          <w:szCs w:val="22"/>
        </w:rPr>
      </w:pPr>
      <w:r w:rsidRPr="0090267F">
        <w:rPr>
          <w:rFonts w:ascii="Arial" w:hAnsi="Arial" w:cs="Arial"/>
          <w:sz w:val="22"/>
          <w:szCs w:val="22"/>
          <w:u w:val="single"/>
        </w:rPr>
        <w:t>Power/Interest Grid</w:t>
      </w:r>
      <w:r w:rsidRPr="00D016CB">
        <w:rPr>
          <w:rFonts w:ascii="Arial" w:hAnsi="Arial" w:cs="Arial"/>
          <w:sz w:val="22"/>
          <w:szCs w:val="22"/>
        </w:rPr>
        <w:t>: This model categorizes stakeholders based on their level of power and their level of interest in the organization's activities. Stakeholders are classified as either high power/high interest, high power/low interest, low power/high interest, or low power/low interest, and organizations can tailor their engagement strategies accordingly (Freeman, 1984).</w:t>
      </w:r>
    </w:p>
    <w:p w14:paraId="68099B95" w14:textId="77777777" w:rsidR="005B7BCE" w:rsidRPr="00D016CB" w:rsidRDefault="00B76F78" w:rsidP="00D016CB">
      <w:pPr>
        <w:keepNext/>
        <w:spacing w:line="360" w:lineRule="auto"/>
        <w:jc w:val="both"/>
        <w:rPr>
          <w:rFonts w:ascii="Arial" w:hAnsi="Arial" w:cs="Arial"/>
          <w:sz w:val="22"/>
          <w:szCs w:val="22"/>
        </w:rPr>
      </w:pPr>
      <w:r w:rsidRPr="00D016CB">
        <w:rPr>
          <w:rFonts w:ascii="Arial" w:hAnsi="Arial" w:cs="Arial"/>
          <w:noProof/>
          <w:sz w:val="22"/>
          <w:szCs w:val="22"/>
        </w:rPr>
        <w:lastRenderedPageBreak/>
        <w:drawing>
          <wp:inline distT="0" distB="0" distL="0" distR="0" wp14:anchorId="1978E33C" wp14:editId="4C478435">
            <wp:extent cx="3489960" cy="2583180"/>
            <wp:effectExtent l="0" t="0" r="0" b="7620"/>
            <wp:docPr id="176010282" name="Picture 2" descr="Power - 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wer - Interest Gr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9960" cy="2583180"/>
                    </a:xfrm>
                    <a:prstGeom prst="rect">
                      <a:avLst/>
                    </a:prstGeom>
                    <a:noFill/>
                    <a:ln>
                      <a:noFill/>
                    </a:ln>
                  </pic:spPr>
                </pic:pic>
              </a:graphicData>
            </a:graphic>
          </wp:inline>
        </w:drawing>
      </w:r>
    </w:p>
    <w:p w14:paraId="4E4D4598" w14:textId="72163DE5" w:rsidR="00A50D96" w:rsidRPr="00D016CB" w:rsidRDefault="005B7BCE" w:rsidP="00D016CB">
      <w:pPr>
        <w:pStyle w:val="Caption"/>
        <w:spacing w:line="360" w:lineRule="auto"/>
        <w:jc w:val="both"/>
        <w:rPr>
          <w:rFonts w:ascii="Arial" w:hAnsi="Arial" w:cs="Arial"/>
          <w:sz w:val="22"/>
          <w:szCs w:val="22"/>
        </w:rPr>
      </w:pPr>
      <w:r w:rsidRPr="00D016CB">
        <w:rPr>
          <w:rFonts w:ascii="Arial" w:hAnsi="Arial" w:cs="Arial"/>
          <w:sz w:val="22"/>
          <w:szCs w:val="22"/>
        </w:rPr>
        <w:t xml:space="preserve">Figure </w:t>
      </w:r>
      <w:r w:rsidRPr="00D016CB">
        <w:rPr>
          <w:rFonts w:ascii="Arial" w:hAnsi="Arial" w:cs="Arial"/>
          <w:sz w:val="22"/>
          <w:szCs w:val="22"/>
        </w:rPr>
        <w:fldChar w:fldCharType="begin"/>
      </w:r>
      <w:r w:rsidRPr="00D016CB">
        <w:rPr>
          <w:rFonts w:ascii="Arial" w:hAnsi="Arial" w:cs="Arial"/>
          <w:sz w:val="22"/>
          <w:szCs w:val="22"/>
        </w:rPr>
        <w:instrText xml:space="preserve"> SEQ Figure \* ARABIC </w:instrText>
      </w:r>
      <w:r w:rsidRPr="00D016CB">
        <w:rPr>
          <w:rFonts w:ascii="Arial" w:hAnsi="Arial" w:cs="Arial"/>
          <w:sz w:val="22"/>
          <w:szCs w:val="22"/>
        </w:rPr>
        <w:fldChar w:fldCharType="separate"/>
      </w:r>
      <w:r w:rsidR="009848FD">
        <w:rPr>
          <w:rFonts w:ascii="Arial" w:hAnsi="Arial" w:cs="Arial"/>
          <w:noProof/>
          <w:sz w:val="22"/>
          <w:szCs w:val="22"/>
        </w:rPr>
        <w:t>1</w:t>
      </w:r>
      <w:r w:rsidRPr="00D016CB">
        <w:rPr>
          <w:rFonts w:ascii="Arial" w:hAnsi="Arial" w:cs="Arial"/>
          <w:sz w:val="22"/>
          <w:szCs w:val="22"/>
        </w:rPr>
        <w:fldChar w:fldCharType="end"/>
      </w:r>
      <w:r w:rsidRPr="00D016CB">
        <w:rPr>
          <w:rFonts w:ascii="Arial" w:hAnsi="Arial" w:cs="Arial"/>
          <w:sz w:val="22"/>
          <w:szCs w:val="22"/>
        </w:rPr>
        <w:t>. Power interest grid</w:t>
      </w:r>
    </w:p>
    <w:p w14:paraId="0573B43C" w14:textId="77777777" w:rsidR="00A50D96" w:rsidRPr="00D016CB" w:rsidRDefault="00A50D96" w:rsidP="00D016CB">
      <w:pPr>
        <w:spacing w:line="360" w:lineRule="auto"/>
        <w:jc w:val="both"/>
        <w:rPr>
          <w:rFonts w:ascii="Arial" w:hAnsi="Arial" w:cs="Arial"/>
          <w:sz w:val="22"/>
          <w:szCs w:val="22"/>
        </w:rPr>
      </w:pPr>
    </w:p>
    <w:p w14:paraId="42D6175F" w14:textId="77777777" w:rsidR="00A50D96" w:rsidRPr="00D016CB" w:rsidRDefault="00A50D96" w:rsidP="00D016CB">
      <w:pPr>
        <w:spacing w:line="360" w:lineRule="auto"/>
        <w:jc w:val="both"/>
        <w:rPr>
          <w:rFonts w:ascii="Arial" w:hAnsi="Arial" w:cs="Arial"/>
          <w:sz w:val="22"/>
          <w:szCs w:val="22"/>
        </w:rPr>
      </w:pPr>
      <w:r w:rsidRPr="0090267F">
        <w:rPr>
          <w:rFonts w:ascii="Arial" w:hAnsi="Arial" w:cs="Arial"/>
          <w:sz w:val="22"/>
          <w:szCs w:val="22"/>
          <w:u w:val="single"/>
        </w:rPr>
        <w:t>Salience Model</w:t>
      </w:r>
      <w:r w:rsidRPr="00D016CB">
        <w:rPr>
          <w:rFonts w:ascii="Arial" w:hAnsi="Arial" w:cs="Arial"/>
          <w:sz w:val="22"/>
          <w:szCs w:val="22"/>
        </w:rPr>
        <w:t>: Developed by Mitchell, Agle, and Wood (1997), the salience model identifies stakeholders based on their three attributes: power, legitimacy, and urgency. This model helps organizations prioritize stakeholders based on their salience or significance to the organization's success.</w:t>
      </w:r>
    </w:p>
    <w:p w14:paraId="3F37F3F3" w14:textId="77777777" w:rsidR="005B7BCE" w:rsidRPr="00D016CB" w:rsidRDefault="00D15AE5" w:rsidP="00D016CB">
      <w:pPr>
        <w:keepNext/>
        <w:spacing w:line="360" w:lineRule="auto"/>
        <w:jc w:val="both"/>
        <w:rPr>
          <w:rFonts w:ascii="Arial" w:hAnsi="Arial" w:cs="Arial"/>
          <w:sz w:val="22"/>
          <w:szCs w:val="22"/>
        </w:rPr>
      </w:pPr>
      <w:r w:rsidRPr="00D016CB">
        <w:rPr>
          <w:rFonts w:ascii="Arial" w:hAnsi="Arial" w:cs="Arial"/>
          <w:noProof/>
          <w:sz w:val="22"/>
          <w:szCs w:val="22"/>
        </w:rPr>
        <w:drawing>
          <wp:inline distT="0" distB="0" distL="0" distR="0" wp14:anchorId="4EF5A6D9" wp14:editId="06351317">
            <wp:extent cx="3599907" cy="3032760"/>
            <wp:effectExtent l="0" t="0" r="0" b="0"/>
            <wp:docPr id="1586798284" name="Picture 3" descr="Salience Model Diagram for Stakeholder Class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lience Model Diagram for Stakeholder Classif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7314" cy="3039000"/>
                    </a:xfrm>
                    <a:prstGeom prst="rect">
                      <a:avLst/>
                    </a:prstGeom>
                    <a:noFill/>
                    <a:ln>
                      <a:noFill/>
                    </a:ln>
                  </pic:spPr>
                </pic:pic>
              </a:graphicData>
            </a:graphic>
          </wp:inline>
        </w:drawing>
      </w:r>
    </w:p>
    <w:p w14:paraId="2A4B6C7B" w14:textId="4263C8F3" w:rsidR="00A50D96" w:rsidRPr="00D016CB" w:rsidRDefault="005B7BCE" w:rsidP="00D016CB">
      <w:pPr>
        <w:pStyle w:val="Caption"/>
        <w:spacing w:line="360" w:lineRule="auto"/>
        <w:jc w:val="both"/>
        <w:rPr>
          <w:rFonts w:ascii="Arial" w:hAnsi="Arial" w:cs="Arial"/>
          <w:sz w:val="22"/>
          <w:szCs w:val="22"/>
        </w:rPr>
      </w:pPr>
      <w:r w:rsidRPr="00D016CB">
        <w:rPr>
          <w:rFonts w:ascii="Arial" w:hAnsi="Arial" w:cs="Arial"/>
          <w:sz w:val="22"/>
          <w:szCs w:val="22"/>
        </w:rPr>
        <w:t xml:space="preserve">Figure </w:t>
      </w:r>
      <w:r w:rsidRPr="00D016CB">
        <w:rPr>
          <w:rFonts w:ascii="Arial" w:hAnsi="Arial" w:cs="Arial"/>
          <w:sz w:val="22"/>
          <w:szCs w:val="22"/>
        </w:rPr>
        <w:fldChar w:fldCharType="begin"/>
      </w:r>
      <w:r w:rsidRPr="00D016CB">
        <w:rPr>
          <w:rFonts w:ascii="Arial" w:hAnsi="Arial" w:cs="Arial"/>
          <w:sz w:val="22"/>
          <w:szCs w:val="22"/>
        </w:rPr>
        <w:instrText xml:space="preserve"> SEQ Figure \* ARABIC </w:instrText>
      </w:r>
      <w:r w:rsidRPr="00D016CB">
        <w:rPr>
          <w:rFonts w:ascii="Arial" w:hAnsi="Arial" w:cs="Arial"/>
          <w:sz w:val="22"/>
          <w:szCs w:val="22"/>
        </w:rPr>
        <w:fldChar w:fldCharType="separate"/>
      </w:r>
      <w:r w:rsidR="009848FD">
        <w:rPr>
          <w:rFonts w:ascii="Arial" w:hAnsi="Arial" w:cs="Arial"/>
          <w:noProof/>
          <w:sz w:val="22"/>
          <w:szCs w:val="22"/>
        </w:rPr>
        <w:t>2</w:t>
      </w:r>
      <w:r w:rsidRPr="00D016CB">
        <w:rPr>
          <w:rFonts w:ascii="Arial" w:hAnsi="Arial" w:cs="Arial"/>
          <w:sz w:val="22"/>
          <w:szCs w:val="22"/>
        </w:rPr>
        <w:fldChar w:fldCharType="end"/>
      </w:r>
      <w:r w:rsidRPr="00D016CB">
        <w:rPr>
          <w:rFonts w:ascii="Arial" w:hAnsi="Arial" w:cs="Arial"/>
          <w:sz w:val="22"/>
          <w:szCs w:val="22"/>
        </w:rPr>
        <w:t>. Salience stakeholder's model</w:t>
      </w:r>
    </w:p>
    <w:p w14:paraId="2A8D83C6" w14:textId="77777777" w:rsidR="00A50D96" w:rsidRPr="00D016CB" w:rsidRDefault="00A50D96" w:rsidP="00D016CB">
      <w:pPr>
        <w:spacing w:line="360" w:lineRule="auto"/>
        <w:jc w:val="both"/>
        <w:rPr>
          <w:rFonts w:ascii="Arial" w:hAnsi="Arial" w:cs="Arial"/>
          <w:sz w:val="22"/>
          <w:szCs w:val="22"/>
        </w:rPr>
      </w:pPr>
      <w:r w:rsidRPr="0090267F">
        <w:rPr>
          <w:rFonts w:ascii="Arial" w:hAnsi="Arial" w:cs="Arial"/>
          <w:sz w:val="22"/>
          <w:szCs w:val="22"/>
          <w:u w:val="single"/>
        </w:rPr>
        <w:t>Stakeholder Mapping:</w:t>
      </w:r>
      <w:r w:rsidRPr="00D016CB">
        <w:rPr>
          <w:rFonts w:ascii="Arial" w:hAnsi="Arial" w:cs="Arial"/>
          <w:sz w:val="22"/>
          <w:szCs w:val="22"/>
        </w:rPr>
        <w:t xml:space="preserve"> Stakeholder mapping involves visually representing stakeholders based on their level of influence and interest in the organization's activities. This model helps </w:t>
      </w:r>
      <w:r w:rsidRPr="00D016CB">
        <w:rPr>
          <w:rFonts w:ascii="Arial" w:hAnsi="Arial" w:cs="Arial"/>
          <w:sz w:val="22"/>
          <w:szCs w:val="22"/>
        </w:rPr>
        <w:lastRenderedPageBreak/>
        <w:t>organizations visualize the relationships between stakeholders and identify key influencers and advocates (Mendelow, 1991).</w:t>
      </w:r>
    </w:p>
    <w:p w14:paraId="6902652D" w14:textId="77777777" w:rsidR="00A50D96" w:rsidRPr="00D016CB" w:rsidRDefault="00A50D96" w:rsidP="00D016CB">
      <w:pPr>
        <w:spacing w:line="360" w:lineRule="auto"/>
        <w:jc w:val="both"/>
        <w:rPr>
          <w:rFonts w:ascii="Arial" w:hAnsi="Arial" w:cs="Arial"/>
          <w:sz w:val="22"/>
          <w:szCs w:val="22"/>
        </w:rPr>
      </w:pPr>
      <w:r w:rsidRPr="0090267F">
        <w:rPr>
          <w:rFonts w:ascii="Arial" w:hAnsi="Arial" w:cs="Arial"/>
          <w:sz w:val="22"/>
          <w:szCs w:val="22"/>
          <w:u w:val="single"/>
        </w:rPr>
        <w:t>Stakeholder Identification Matrix:</w:t>
      </w:r>
      <w:r w:rsidRPr="00D016CB">
        <w:rPr>
          <w:rFonts w:ascii="Arial" w:hAnsi="Arial" w:cs="Arial"/>
          <w:sz w:val="22"/>
          <w:szCs w:val="22"/>
        </w:rPr>
        <w:t xml:space="preserve"> This model categorizes stakeholders based on their influence, impact, and interest in the organization. By conducting a detailed analysis of stakeholders using this matrix, organizations can prioritize their engagement efforts and address the needs and concerns of key stakeholders (Olander and Landin, 2005).</w:t>
      </w:r>
    </w:p>
    <w:p w14:paraId="0B2A2C9D" w14:textId="6FA70067" w:rsidR="00013A6E" w:rsidRPr="00D016CB" w:rsidRDefault="00A50D96" w:rsidP="00D016CB">
      <w:pPr>
        <w:spacing w:line="360" w:lineRule="auto"/>
        <w:jc w:val="both"/>
        <w:rPr>
          <w:rFonts w:ascii="Arial" w:hAnsi="Arial" w:cs="Arial"/>
          <w:sz w:val="22"/>
          <w:szCs w:val="22"/>
        </w:rPr>
      </w:pPr>
      <w:r w:rsidRPr="00D016CB">
        <w:rPr>
          <w:rFonts w:ascii="Arial" w:hAnsi="Arial" w:cs="Arial"/>
          <w:sz w:val="22"/>
          <w:szCs w:val="22"/>
        </w:rPr>
        <w:t>These are just a few examples of stakeholder analysis models that organizations can use to effectively identify and engage with key stakeholders. Each model offers a unique perspective on stakeholder analysis and provides valuable insights that can inform organizations' decision-making processes.</w:t>
      </w:r>
    </w:p>
    <w:p w14:paraId="0AAEB588" w14:textId="69812EEC" w:rsidR="0026675E" w:rsidRPr="009848FD" w:rsidRDefault="0026675E" w:rsidP="00D016CB">
      <w:pPr>
        <w:pStyle w:val="Heading1"/>
        <w:numPr>
          <w:ilvl w:val="1"/>
          <w:numId w:val="2"/>
        </w:numPr>
        <w:spacing w:line="360" w:lineRule="auto"/>
        <w:jc w:val="both"/>
        <w:rPr>
          <w:rFonts w:ascii="Arial" w:hAnsi="Arial" w:cs="Arial"/>
          <w:sz w:val="28"/>
          <w:szCs w:val="28"/>
        </w:rPr>
      </w:pPr>
      <w:bookmarkStart w:id="2" w:name="_Toc172965432"/>
      <w:r w:rsidRPr="009848FD">
        <w:rPr>
          <w:rFonts w:ascii="Arial" w:hAnsi="Arial" w:cs="Arial"/>
          <w:sz w:val="28"/>
          <w:szCs w:val="28"/>
        </w:rPr>
        <w:t xml:space="preserve">Stakeholder analysis </w:t>
      </w:r>
      <w:r w:rsidR="008107FB" w:rsidRPr="009848FD">
        <w:rPr>
          <w:rFonts w:ascii="Arial" w:hAnsi="Arial" w:cs="Arial"/>
          <w:sz w:val="28"/>
          <w:szCs w:val="28"/>
        </w:rPr>
        <w:t>matrix</w:t>
      </w:r>
      <w:bookmarkEnd w:id="2"/>
    </w:p>
    <w:p w14:paraId="28553FE6" w14:textId="77777777" w:rsidR="00994C5C" w:rsidRPr="00D016CB" w:rsidRDefault="00994C5C" w:rsidP="00D016CB">
      <w:pPr>
        <w:spacing w:line="360" w:lineRule="auto"/>
        <w:jc w:val="both"/>
        <w:rPr>
          <w:rFonts w:ascii="Arial" w:hAnsi="Arial" w:cs="Arial"/>
          <w:sz w:val="22"/>
          <w:szCs w:val="22"/>
        </w:rPr>
      </w:pPr>
    </w:p>
    <w:p w14:paraId="3F79213F" w14:textId="5BC9E9E1" w:rsidR="001C71D8" w:rsidRPr="00D016CB" w:rsidRDefault="00876B2A" w:rsidP="0090267F">
      <w:pPr>
        <w:spacing w:line="360" w:lineRule="auto"/>
        <w:ind w:firstLine="588"/>
        <w:jc w:val="both"/>
        <w:rPr>
          <w:rFonts w:ascii="Arial" w:hAnsi="Arial" w:cs="Arial"/>
          <w:sz w:val="22"/>
          <w:szCs w:val="22"/>
        </w:rPr>
      </w:pPr>
      <w:r w:rsidRPr="00876B2A">
        <w:rPr>
          <w:rFonts w:ascii="Arial" w:hAnsi="Arial" w:cs="Arial"/>
          <w:sz w:val="22"/>
          <w:szCs w:val="22"/>
        </w:rPr>
        <w:t xml:space="preserve">Mitchell et al. have observed that managing </w:t>
      </w:r>
      <w:r w:rsidR="00994C14" w:rsidRPr="00D016CB">
        <w:rPr>
          <w:rFonts w:ascii="Arial" w:hAnsi="Arial" w:cs="Arial"/>
          <w:sz w:val="22"/>
          <w:szCs w:val="22"/>
        </w:rPr>
        <w:t>many</w:t>
      </w:r>
      <w:r w:rsidRPr="00876B2A">
        <w:rPr>
          <w:rFonts w:ascii="Arial" w:hAnsi="Arial" w:cs="Arial"/>
          <w:sz w:val="22"/>
          <w:szCs w:val="22"/>
        </w:rPr>
        <w:t xml:space="preserve"> stakeholders can be exceedingly complex for managers (p. 857). Freeman, a prominent stakeholder management researcher, has recognised the importance of power and interest as key aspects. He has proposed the utilisation of a 'Power-Interest Grid' to help maintain a balance between considering a wide range of stakeholders and keeping the number of stakeholders manageable.</w:t>
      </w:r>
      <w:r w:rsidR="005345BD" w:rsidRPr="00D016CB">
        <w:rPr>
          <w:rFonts w:ascii="Arial" w:hAnsi="Arial" w:cs="Arial"/>
          <w:sz w:val="22"/>
          <w:szCs w:val="22"/>
        </w:rPr>
        <w:t xml:space="preserve"> </w:t>
      </w:r>
      <w:r w:rsidR="001C71D8" w:rsidRPr="00D016CB">
        <w:rPr>
          <w:rFonts w:ascii="Arial" w:hAnsi="Arial" w:cs="Arial"/>
          <w:sz w:val="22"/>
          <w:szCs w:val="22"/>
        </w:rPr>
        <w:t>the Stakeholder Power Interest Grid, is a tool used in stakeholder analysis to categorize stakeholders based on their level of power and interest in a particular project or organization.</w:t>
      </w:r>
    </w:p>
    <w:p w14:paraId="2148982E" w14:textId="3EB251C5" w:rsidR="001C71D8" w:rsidRPr="00D016CB" w:rsidRDefault="001C71D8" w:rsidP="00D016CB">
      <w:pPr>
        <w:spacing w:line="360" w:lineRule="auto"/>
        <w:jc w:val="both"/>
        <w:rPr>
          <w:rFonts w:ascii="Arial" w:hAnsi="Arial" w:cs="Arial"/>
          <w:sz w:val="22"/>
          <w:szCs w:val="22"/>
        </w:rPr>
      </w:pPr>
      <w:r w:rsidRPr="00D016CB">
        <w:rPr>
          <w:rFonts w:ascii="Arial" w:hAnsi="Arial" w:cs="Arial"/>
          <w:sz w:val="22"/>
          <w:szCs w:val="22"/>
        </w:rPr>
        <w:t>The grid consists of four quadrants</w:t>
      </w:r>
      <w:r w:rsidR="00BF327F" w:rsidRPr="00D016CB">
        <w:rPr>
          <w:rFonts w:ascii="Arial" w:hAnsi="Arial" w:cs="Arial"/>
          <w:sz w:val="22"/>
          <w:szCs w:val="22"/>
        </w:rPr>
        <w:t xml:space="preserve"> (</w:t>
      </w:r>
      <w:r w:rsidR="00BF327F" w:rsidRPr="00D016CB">
        <w:rPr>
          <w:rFonts w:ascii="Arial" w:hAnsi="Arial" w:cs="Arial"/>
          <w:i/>
          <w:iCs/>
          <w:sz w:val="22"/>
          <w:szCs w:val="22"/>
        </w:rPr>
        <w:t>see Figure1</w:t>
      </w:r>
      <w:r w:rsidR="00BF327F" w:rsidRPr="00D016CB">
        <w:rPr>
          <w:rFonts w:ascii="Arial" w:hAnsi="Arial" w:cs="Arial"/>
          <w:sz w:val="22"/>
          <w:szCs w:val="22"/>
        </w:rPr>
        <w:t>)</w:t>
      </w:r>
      <w:r w:rsidRPr="00D016CB">
        <w:rPr>
          <w:rFonts w:ascii="Arial" w:hAnsi="Arial" w:cs="Arial"/>
          <w:sz w:val="22"/>
          <w:szCs w:val="22"/>
        </w:rPr>
        <w:t>, each representing a different combination of power and interest levels:</w:t>
      </w:r>
    </w:p>
    <w:p w14:paraId="57767A53" w14:textId="77777777" w:rsidR="001E30B3" w:rsidRPr="00D016CB" w:rsidRDefault="001C71D8" w:rsidP="00D016CB">
      <w:pPr>
        <w:pStyle w:val="ListParagraph"/>
        <w:numPr>
          <w:ilvl w:val="0"/>
          <w:numId w:val="4"/>
        </w:numPr>
        <w:spacing w:line="360" w:lineRule="auto"/>
        <w:jc w:val="both"/>
        <w:rPr>
          <w:rFonts w:ascii="Arial" w:hAnsi="Arial" w:cs="Arial"/>
          <w:sz w:val="22"/>
          <w:szCs w:val="22"/>
        </w:rPr>
      </w:pPr>
      <w:r w:rsidRPr="00D016CB">
        <w:rPr>
          <w:rFonts w:ascii="Arial" w:hAnsi="Arial" w:cs="Arial"/>
          <w:sz w:val="22"/>
          <w:szCs w:val="22"/>
        </w:rPr>
        <w:t>High Power, High Interest: Stakeholders in this quadrant have both the power to influence decisions and the interest in doing so. They are considered key stakeholders who should be actively engaged and managed closely.</w:t>
      </w:r>
    </w:p>
    <w:p w14:paraId="12A021BA" w14:textId="77777777" w:rsidR="001E30B3" w:rsidRPr="00D016CB" w:rsidRDefault="001C71D8" w:rsidP="00D016CB">
      <w:pPr>
        <w:pStyle w:val="ListParagraph"/>
        <w:numPr>
          <w:ilvl w:val="0"/>
          <w:numId w:val="4"/>
        </w:numPr>
        <w:spacing w:line="360" w:lineRule="auto"/>
        <w:jc w:val="both"/>
        <w:rPr>
          <w:rFonts w:ascii="Arial" w:hAnsi="Arial" w:cs="Arial"/>
          <w:sz w:val="22"/>
          <w:szCs w:val="22"/>
        </w:rPr>
      </w:pPr>
      <w:r w:rsidRPr="00D016CB">
        <w:rPr>
          <w:rFonts w:ascii="Arial" w:hAnsi="Arial" w:cs="Arial"/>
          <w:sz w:val="22"/>
          <w:szCs w:val="22"/>
        </w:rPr>
        <w:t>High Power, Low Interest: Stakeholders in this quadrant have the power to influence decisions but may not have a significant interest in doing so. They should be kept informed and consulted as needed to ensure their support for the project or organization.</w:t>
      </w:r>
    </w:p>
    <w:p w14:paraId="2B992CEB" w14:textId="77777777" w:rsidR="001E30B3" w:rsidRPr="00D016CB" w:rsidRDefault="001C71D8" w:rsidP="00D016CB">
      <w:pPr>
        <w:pStyle w:val="ListParagraph"/>
        <w:numPr>
          <w:ilvl w:val="0"/>
          <w:numId w:val="4"/>
        </w:numPr>
        <w:spacing w:line="360" w:lineRule="auto"/>
        <w:jc w:val="both"/>
        <w:rPr>
          <w:rFonts w:ascii="Arial" w:hAnsi="Arial" w:cs="Arial"/>
          <w:sz w:val="22"/>
          <w:szCs w:val="22"/>
        </w:rPr>
      </w:pPr>
      <w:r w:rsidRPr="00D016CB">
        <w:rPr>
          <w:rFonts w:ascii="Arial" w:hAnsi="Arial" w:cs="Arial"/>
          <w:sz w:val="22"/>
          <w:szCs w:val="22"/>
        </w:rPr>
        <w:t>Low Power, High Interest: Stakeholders in this quadrant have a high level of interest in the project or organization but may not have much power to influence decisions. They should be kept satisfied and engaged to prevent potential resistance or opposition.</w:t>
      </w:r>
    </w:p>
    <w:p w14:paraId="54557BFC" w14:textId="15710352" w:rsidR="001C71D8" w:rsidRPr="00D016CB" w:rsidRDefault="001C71D8" w:rsidP="00D016CB">
      <w:pPr>
        <w:pStyle w:val="ListParagraph"/>
        <w:numPr>
          <w:ilvl w:val="0"/>
          <w:numId w:val="4"/>
        </w:numPr>
        <w:spacing w:line="360" w:lineRule="auto"/>
        <w:jc w:val="both"/>
        <w:rPr>
          <w:rFonts w:ascii="Arial" w:hAnsi="Arial" w:cs="Arial"/>
          <w:sz w:val="22"/>
          <w:szCs w:val="22"/>
        </w:rPr>
      </w:pPr>
      <w:r w:rsidRPr="00D016CB">
        <w:rPr>
          <w:rFonts w:ascii="Arial" w:hAnsi="Arial" w:cs="Arial"/>
          <w:sz w:val="22"/>
          <w:szCs w:val="22"/>
        </w:rPr>
        <w:lastRenderedPageBreak/>
        <w:t>Low Power, Low Interest: Stakeholders in this quadrant have neither the power nor the interest to significantly impact the project or organization. They may be monitored but are not typically a priority for engagement efforts.</w:t>
      </w:r>
    </w:p>
    <w:p w14:paraId="416BBC4D" w14:textId="77777777" w:rsidR="00147EBF" w:rsidRPr="00D016CB" w:rsidRDefault="001C71D8" w:rsidP="00D016CB">
      <w:pPr>
        <w:spacing w:line="360" w:lineRule="auto"/>
        <w:jc w:val="both"/>
        <w:rPr>
          <w:rFonts w:ascii="Arial" w:hAnsi="Arial" w:cs="Arial"/>
          <w:sz w:val="22"/>
          <w:szCs w:val="22"/>
        </w:rPr>
      </w:pPr>
      <w:r w:rsidRPr="00D016CB">
        <w:rPr>
          <w:rFonts w:ascii="Arial" w:hAnsi="Arial" w:cs="Arial"/>
          <w:sz w:val="22"/>
          <w:szCs w:val="22"/>
        </w:rPr>
        <w:t>By categorizing stakeholders in this way, organizations can develop tailored strategies for engaging with and managing different stakeholder groups. This can help to build support for projects, anticipate and address potential challenges, and ultimately improve the overall success of the initiative.</w:t>
      </w:r>
      <w:r w:rsidR="009B5D74" w:rsidRPr="00D016CB">
        <w:rPr>
          <w:rFonts w:ascii="Arial" w:hAnsi="Arial" w:cs="Arial"/>
          <w:sz w:val="22"/>
          <w:szCs w:val="22"/>
        </w:rPr>
        <w:t xml:space="preserve"> </w:t>
      </w:r>
    </w:p>
    <w:p w14:paraId="4AA3E74C" w14:textId="274E0B3F" w:rsidR="00C90D1C" w:rsidRPr="00D016CB" w:rsidRDefault="00C90D1C" w:rsidP="00D016CB">
      <w:pPr>
        <w:spacing w:line="360" w:lineRule="auto"/>
        <w:jc w:val="both"/>
        <w:rPr>
          <w:rFonts w:ascii="Arial" w:hAnsi="Arial" w:cs="Arial"/>
          <w:sz w:val="22"/>
          <w:szCs w:val="22"/>
        </w:rPr>
      </w:pPr>
      <w:r w:rsidRPr="00D016CB">
        <w:rPr>
          <w:rFonts w:ascii="Arial" w:hAnsi="Arial" w:cs="Arial"/>
          <w:sz w:val="22"/>
          <w:szCs w:val="22"/>
        </w:rPr>
        <w:t>Identifying stakeholders is an important step in the planning and execution of a project, as it helps ensure that their needs and concerns are considered and addressed.</w:t>
      </w:r>
      <w:r w:rsidR="004167D2" w:rsidRPr="00D016CB">
        <w:rPr>
          <w:rFonts w:ascii="Arial" w:hAnsi="Arial" w:cs="Arial"/>
          <w:color w:val="374151"/>
          <w:sz w:val="22"/>
          <w:szCs w:val="22"/>
          <w:shd w:val="clear" w:color="auto" w:fill="F7F7F8"/>
        </w:rPr>
        <w:t xml:space="preserve"> </w:t>
      </w:r>
      <w:r w:rsidR="004167D2" w:rsidRPr="00D016CB">
        <w:rPr>
          <w:rFonts w:ascii="Arial" w:hAnsi="Arial" w:cs="Arial"/>
          <w:sz w:val="22"/>
          <w:szCs w:val="22"/>
        </w:rPr>
        <w:t>It is important to engage with stakeholders throughout the project lifecycle to understand their perspectives, gather feedback, and address any issues or concerns they may have. Effective stakeholder management can help build support for the project, mitigate risks, and enhance the overall success and sustainability of the initiative.</w:t>
      </w:r>
      <w:r w:rsidR="004167D2" w:rsidRPr="00D016CB">
        <w:rPr>
          <w:rFonts w:ascii="Arial" w:hAnsi="Arial" w:cs="Arial"/>
          <w:color w:val="374151"/>
          <w:sz w:val="22"/>
          <w:szCs w:val="22"/>
          <w:shd w:val="clear" w:color="auto" w:fill="F7F7F8"/>
        </w:rPr>
        <w:t xml:space="preserve"> </w:t>
      </w:r>
      <w:r w:rsidR="004167D2" w:rsidRPr="00D016CB">
        <w:rPr>
          <w:rFonts w:ascii="Arial" w:hAnsi="Arial" w:cs="Arial"/>
          <w:sz w:val="22"/>
          <w:szCs w:val="22"/>
        </w:rPr>
        <w:t>Some common stakeholders of this project may include:</w:t>
      </w:r>
    </w:p>
    <w:p w14:paraId="67FBF16D" w14:textId="7777777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t>Customers: The primary stakeholders of a post office are its customers who use its services for sending and receiving mail, packages, and parcels. Customers' satisfaction and feedback are essential for the success of the post office.</w:t>
      </w:r>
    </w:p>
    <w:p w14:paraId="4769DD2E" w14:textId="7777777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t>Employees: Employees of the post office are also key stakeholders as they play a crucial role in delivering services efficiently and effectively. Their satisfaction, training, and well-being can impact the overall performance of the post office.</w:t>
      </w:r>
    </w:p>
    <w:p w14:paraId="43570DD8" w14:textId="7777777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t>Government: The government is a stakeholder in the post office as it regulates and oversees postal services and may have financial interests in the organization's operations.</w:t>
      </w:r>
    </w:p>
    <w:p w14:paraId="7DBAF307" w14:textId="7777777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t>Suppliers: Suppliers of goods and services to the post office, such as providers of mail-sorting equipment, vehicles, and office supplies, are also stakeholders as their relationships with the post office can impact their own business operations.</w:t>
      </w:r>
    </w:p>
    <w:p w14:paraId="080A5266" w14:textId="7777777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t>Local communities: The post office is often an important part of the local community, providing essential services and contributing to the economic and social fabric of the area. Community members are stakeholders in ensuring access to postal services.</w:t>
      </w:r>
    </w:p>
    <w:p w14:paraId="0F07DA77" w14:textId="7777777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t>Competitors: Other postal service providers or delivery companies can also be stakeholders as they compete for market share and influence the competitive landscape in which the post office operates.</w:t>
      </w:r>
    </w:p>
    <w:p w14:paraId="3B54BEAE" w14:textId="7777777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lastRenderedPageBreak/>
        <w:t>Regulatory bodies: Regulatory agencies or organizations that oversee postal services, such as the Postal Regulatory Commission in the United States, are stakeholders in ensuring compliance with laws and regulations governing postal operations.</w:t>
      </w:r>
    </w:p>
    <w:p w14:paraId="3D23DC92" w14:textId="0919AB17" w:rsidR="00501FF0" w:rsidRPr="0089172B" w:rsidRDefault="00501FF0" w:rsidP="00D016CB">
      <w:pPr>
        <w:numPr>
          <w:ilvl w:val="0"/>
          <w:numId w:val="8"/>
        </w:numPr>
        <w:spacing w:line="360" w:lineRule="auto"/>
        <w:jc w:val="both"/>
        <w:rPr>
          <w:rFonts w:ascii="Arial" w:hAnsi="Arial" w:cs="Arial"/>
          <w:sz w:val="22"/>
          <w:szCs w:val="22"/>
        </w:rPr>
      </w:pPr>
      <w:r w:rsidRPr="0089172B">
        <w:rPr>
          <w:rFonts w:ascii="Arial" w:hAnsi="Arial" w:cs="Arial"/>
          <w:sz w:val="22"/>
          <w:szCs w:val="22"/>
        </w:rPr>
        <w:t>Trade unions: Labo</w:t>
      </w:r>
      <w:r w:rsidR="00AA29FD" w:rsidRPr="00D016CB">
        <w:rPr>
          <w:rFonts w:ascii="Arial" w:hAnsi="Arial" w:cs="Arial"/>
          <w:sz w:val="22"/>
          <w:szCs w:val="22"/>
        </w:rPr>
        <w:t>u</w:t>
      </w:r>
      <w:r w:rsidRPr="0089172B">
        <w:rPr>
          <w:rFonts w:ascii="Arial" w:hAnsi="Arial" w:cs="Arial"/>
          <w:sz w:val="22"/>
          <w:szCs w:val="22"/>
        </w:rPr>
        <w:t xml:space="preserve">r unions representing postal workers may be stakeholders in negotiating </w:t>
      </w:r>
      <w:r w:rsidRPr="00D016CB">
        <w:rPr>
          <w:rFonts w:ascii="Arial" w:hAnsi="Arial" w:cs="Arial"/>
          <w:sz w:val="22"/>
          <w:szCs w:val="22"/>
        </w:rPr>
        <w:t>labour</w:t>
      </w:r>
      <w:r w:rsidRPr="0089172B">
        <w:rPr>
          <w:rFonts w:ascii="Arial" w:hAnsi="Arial" w:cs="Arial"/>
          <w:sz w:val="22"/>
          <w:szCs w:val="22"/>
        </w:rPr>
        <w:t xml:space="preserve"> agreements, advocating for employee rights, and influencing working conditions within the post office.</w:t>
      </w:r>
    </w:p>
    <w:p w14:paraId="55D8D5FD" w14:textId="77777777" w:rsidR="00C56825" w:rsidRPr="00D016CB" w:rsidRDefault="00C56825" w:rsidP="00D016CB">
      <w:pPr>
        <w:spacing w:line="360" w:lineRule="auto"/>
        <w:jc w:val="both"/>
        <w:rPr>
          <w:rFonts w:ascii="Arial" w:hAnsi="Arial" w:cs="Arial"/>
          <w:sz w:val="22"/>
          <w:szCs w:val="22"/>
        </w:rPr>
      </w:pPr>
      <w:r w:rsidRPr="00D016CB">
        <w:rPr>
          <w:rFonts w:ascii="Arial" w:hAnsi="Arial" w:cs="Arial"/>
          <w:sz w:val="22"/>
          <w:szCs w:val="22"/>
        </w:rPr>
        <w:t>Identifying and engaging with these stakeholders is important for the post office to manage relationships, address concerns, and secure support for its operations and strategic initiatives.</w:t>
      </w:r>
    </w:p>
    <w:p w14:paraId="4692D231" w14:textId="5C9EF5F7" w:rsidR="009B5D74" w:rsidRPr="00D016CB" w:rsidRDefault="000B3346" w:rsidP="00D016CB">
      <w:pPr>
        <w:spacing w:line="360" w:lineRule="auto"/>
        <w:ind w:firstLine="720"/>
        <w:jc w:val="both"/>
        <w:rPr>
          <w:rFonts w:ascii="Arial" w:hAnsi="Arial" w:cs="Arial"/>
          <w:sz w:val="22"/>
          <w:szCs w:val="22"/>
        </w:rPr>
      </w:pPr>
      <w:r w:rsidRPr="00D016CB">
        <w:rPr>
          <w:rFonts w:ascii="Arial" w:hAnsi="Arial" w:cs="Arial"/>
          <w:sz w:val="22"/>
          <w:szCs w:val="22"/>
        </w:rPr>
        <w:t>I</w:t>
      </w:r>
      <w:r w:rsidR="00CF7826" w:rsidRPr="00D016CB">
        <w:rPr>
          <w:rFonts w:ascii="Arial" w:hAnsi="Arial" w:cs="Arial"/>
          <w:sz w:val="22"/>
          <w:szCs w:val="22"/>
        </w:rPr>
        <w:t>n</w:t>
      </w:r>
      <w:r w:rsidR="009B5D74" w:rsidRPr="00D016CB">
        <w:rPr>
          <w:rFonts w:ascii="Arial" w:hAnsi="Arial" w:cs="Arial"/>
          <w:sz w:val="22"/>
          <w:szCs w:val="22"/>
        </w:rPr>
        <w:t xml:space="preserve"> </w:t>
      </w:r>
      <w:r w:rsidR="006147B5" w:rsidRPr="00D016CB">
        <w:rPr>
          <w:rFonts w:ascii="Arial" w:hAnsi="Arial" w:cs="Arial"/>
          <w:sz w:val="22"/>
          <w:szCs w:val="22"/>
        </w:rPr>
        <w:t xml:space="preserve">the following grid </w:t>
      </w:r>
      <w:r w:rsidR="00CF7826" w:rsidRPr="00D016CB">
        <w:rPr>
          <w:rFonts w:ascii="Arial" w:hAnsi="Arial" w:cs="Arial"/>
          <w:sz w:val="22"/>
          <w:szCs w:val="22"/>
        </w:rPr>
        <w:t>are</w:t>
      </w:r>
      <w:r w:rsidR="006147B5" w:rsidRPr="00D016CB">
        <w:rPr>
          <w:rFonts w:ascii="Arial" w:hAnsi="Arial" w:cs="Arial"/>
          <w:sz w:val="22"/>
          <w:szCs w:val="22"/>
        </w:rPr>
        <w:t xml:space="preserve"> align</w:t>
      </w:r>
      <w:r w:rsidR="00CF7826" w:rsidRPr="00D016CB">
        <w:rPr>
          <w:rFonts w:ascii="Arial" w:hAnsi="Arial" w:cs="Arial"/>
          <w:sz w:val="22"/>
          <w:szCs w:val="22"/>
        </w:rPr>
        <w:t>ed</w:t>
      </w:r>
      <w:r w:rsidR="006147B5" w:rsidRPr="00D016CB">
        <w:rPr>
          <w:rFonts w:ascii="Arial" w:hAnsi="Arial" w:cs="Arial"/>
          <w:sz w:val="22"/>
          <w:szCs w:val="22"/>
        </w:rPr>
        <w:t xml:space="preserve"> </w:t>
      </w:r>
      <w:r w:rsidR="0035601F" w:rsidRPr="00D016CB">
        <w:rPr>
          <w:rFonts w:ascii="Arial" w:hAnsi="Arial" w:cs="Arial"/>
          <w:sz w:val="22"/>
          <w:szCs w:val="22"/>
        </w:rPr>
        <w:t xml:space="preserve">the Post Office stakeholders and to identify the </w:t>
      </w:r>
      <w:r w:rsidR="009A7AE5" w:rsidRPr="00D016CB">
        <w:rPr>
          <w:rFonts w:ascii="Arial" w:hAnsi="Arial" w:cs="Arial"/>
          <w:sz w:val="22"/>
          <w:szCs w:val="22"/>
        </w:rPr>
        <w:t xml:space="preserve">level of influence and </w:t>
      </w:r>
      <w:r w:rsidR="00674106" w:rsidRPr="00D016CB">
        <w:rPr>
          <w:rFonts w:ascii="Arial" w:hAnsi="Arial" w:cs="Arial"/>
          <w:sz w:val="22"/>
          <w:szCs w:val="22"/>
        </w:rPr>
        <w:t>interest each stakeholder has.</w:t>
      </w:r>
    </w:p>
    <w:p w14:paraId="5BD42D9F" w14:textId="77777777" w:rsidR="00D12A0F" w:rsidRPr="00D016CB" w:rsidRDefault="00D12A0F" w:rsidP="00D016CB">
      <w:pPr>
        <w:spacing w:line="360" w:lineRule="auto"/>
        <w:jc w:val="both"/>
        <w:rPr>
          <w:rFonts w:ascii="Arial" w:hAnsi="Arial" w:cs="Arial"/>
          <w:noProof/>
          <w:sz w:val="22"/>
          <w:szCs w:val="22"/>
        </w:rPr>
      </w:pPr>
    </w:p>
    <w:p w14:paraId="1D19CDA0" w14:textId="77777777" w:rsidR="009848FD" w:rsidRDefault="00D12A0F" w:rsidP="009848FD">
      <w:pPr>
        <w:keepNext/>
        <w:spacing w:line="360" w:lineRule="auto"/>
        <w:jc w:val="both"/>
      </w:pPr>
      <w:r w:rsidRPr="00D016CB">
        <w:rPr>
          <w:rFonts w:ascii="Arial" w:hAnsi="Arial" w:cs="Arial"/>
          <w:noProof/>
          <w:sz w:val="22"/>
          <w:szCs w:val="22"/>
        </w:rPr>
        <w:drawing>
          <wp:inline distT="0" distB="0" distL="0" distR="0" wp14:anchorId="2D9009EC" wp14:editId="5BF0E34C">
            <wp:extent cx="4747260" cy="4337755"/>
            <wp:effectExtent l="0" t="0" r="0" b="5715"/>
            <wp:docPr id="828927048" name="Picture 4" descr="Stakeholder Matrix Template | Visual Paradigm Onlin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927048" name="Picture 828927048" descr="Stakeholder Matrix Template | Visual Paradigm Online - Google Chrome"/>
                    <pic:cNvPicPr/>
                  </pic:nvPicPr>
                  <pic:blipFill rotWithShape="1">
                    <a:blip r:embed="rId10">
                      <a:extLst>
                        <a:ext uri="{28A0092B-C50C-407E-A947-70E740481C1C}">
                          <a14:useLocalDpi xmlns:a14="http://schemas.microsoft.com/office/drawing/2010/main" val="0"/>
                        </a:ext>
                      </a:extLst>
                    </a:blip>
                    <a:srcRect l="34567" t="16126" r="16242"/>
                    <a:stretch/>
                  </pic:blipFill>
                  <pic:spPr bwMode="auto">
                    <a:xfrm>
                      <a:off x="0" y="0"/>
                      <a:ext cx="4762565" cy="4351740"/>
                    </a:xfrm>
                    <a:prstGeom prst="rect">
                      <a:avLst/>
                    </a:prstGeom>
                    <a:ln>
                      <a:noFill/>
                    </a:ln>
                    <a:extLst>
                      <a:ext uri="{53640926-AAD7-44D8-BBD7-CCE9431645EC}">
                        <a14:shadowObscured xmlns:a14="http://schemas.microsoft.com/office/drawing/2010/main"/>
                      </a:ext>
                    </a:extLst>
                  </pic:spPr>
                </pic:pic>
              </a:graphicData>
            </a:graphic>
          </wp:inline>
        </w:drawing>
      </w:r>
    </w:p>
    <w:p w14:paraId="3FE9CF12" w14:textId="05658619" w:rsidR="00207D7B" w:rsidRPr="00D016CB" w:rsidRDefault="009848FD" w:rsidP="009848FD">
      <w:pPr>
        <w:pStyle w:val="Caption"/>
        <w:jc w:val="both"/>
        <w:rPr>
          <w:rFonts w:ascii="Arial" w:hAnsi="Arial" w:cs="Arial"/>
          <w:sz w:val="22"/>
          <w:szCs w:val="22"/>
        </w:rPr>
      </w:pPr>
      <w:r>
        <w:t xml:space="preserve">Figure </w:t>
      </w:r>
      <w:fldSimple w:instr=" SEQ Figure \* ARABIC ">
        <w:r>
          <w:rPr>
            <w:noProof/>
          </w:rPr>
          <w:t>3</w:t>
        </w:r>
      </w:fldSimple>
      <w:r>
        <w:t>. Post Office Stakeholder analysis matrix</w:t>
      </w:r>
    </w:p>
    <w:p w14:paraId="622B6EE1" w14:textId="77777777" w:rsidR="00994C14" w:rsidRPr="00577579" w:rsidRDefault="00994C14" w:rsidP="00D016CB">
      <w:pPr>
        <w:spacing w:line="360" w:lineRule="auto"/>
        <w:jc w:val="both"/>
        <w:rPr>
          <w:rFonts w:ascii="Arial" w:hAnsi="Arial" w:cs="Arial"/>
          <w:sz w:val="22"/>
          <w:szCs w:val="22"/>
        </w:rPr>
      </w:pPr>
    </w:p>
    <w:p w14:paraId="0996841C" w14:textId="305603B4"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lastRenderedPageBreak/>
        <w:t>Customers: High power, high interest - Place</w:t>
      </w:r>
      <w:r w:rsidR="00A820A2" w:rsidRPr="00D016CB">
        <w:rPr>
          <w:rFonts w:ascii="Arial" w:hAnsi="Arial" w:cs="Arial"/>
          <w:sz w:val="22"/>
          <w:szCs w:val="22"/>
        </w:rPr>
        <w:t>d</w:t>
      </w:r>
      <w:r w:rsidRPr="00577579">
        <w:rPr>
          <w:rFonts w:ascii="Arial" w:hAnsi="Arial" w:cs="Arial"/>
          <w:sz w:val="22"/>
          <w:szCs w:val="22"/>
        </w:rPr>
        <w:t xml:space="preserve"> customers in the "Key Players" box as they have a strong influence on the success of the business and a high level of interest in its products or services.</w:t>
      </w:r>
    </w:p>
    <w:p w14:paraId="6E56E5A2" w14:textId="6ED8E582"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t>Employees: High power, moderate interest - Place</w:t>
      </w:r>
      <w:r w:rsidR="00A820A2" w:rsidRPr="00D016CB">
        <w:rPr>
          <w:rFonts w:ascii="Arial" w:hAnsi="Arial" w:cs="Arial"/>
          <w:sz w:val="22"/>
          <w:szCs w:val="22"/>
        </w:rPr>
        <w:t>d</w:t>
      </w:r>
      <w:r w:rsidRPr="00577579">
        <w:rPr>
          <w:rFonts w:ascii="Arial" w:hAnsi="Arial" w:cs="Arial"/>
          <w:sz w:val="22"/>
          <w:szCs w:val="22"/>
        </w:rPr>
        <w:t xml:space="preserve"> employees in the "Keep Informed" box as they have the power to disrupt operations through strikes or other </w:t>
      </w:r>
      <w:r w:rsidR="00CF7826" w:rsidRPr="00D016CB">
        <w:rPr>
          <w:rFonts w:ascii="Arial" w:hAnsi="Arial" w:cs="Arial"/>
          <w:sz w:val="22"/>
          <w:szCs w:val="22"/>
        </w:rPr>
        <w:t>actions but</w:t>
      </w:r>
      <w:r w:rsidRPr="00577579">
        <w:rPr>
          <w:rFonts w:ascii="Arial" w:hAnsi="Arial" w:cs="Arial"/>
          <w:sz w:val="22"/>
          <w:szCs w:val="22"/>
        </w:rPr>
        <w:t xml:space="preserve"> may not have as much interest in all aspects of the business.</w:t>
      </w:r>
    </w:p>
    <w:p w14:paraId="16B4724A" w14:textId="11E99342"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t>Government: High power, low interest - Place</w:t>
      </w:r>
      <w:r w:rsidR="00A820A2" w:rsidRPr="00D016CB">
        <w:rPr>
          <w:rFonts w:ascii="Arial" w:hAnsi="Arial" w:cs="Arial"/>
          <w:sz w:val="22"/>
          <w:szCs w:val="22"/>
        </w:rPr>
        <w:t>d</w:t>
      </w:r>
      <w:r w:rsidRPr="00577579">
        <w:rPr>
          <w:rFonts w:ascii="Arial" w:hAnsi="Arial" w:cs="Arial"/>
          <w:sz w:val="22"/>
          <w:szCs w:val="22"/>
        </w:rPr>
        <w:t xml:space="preserve"> government in the "Keep Satisfied" box as they have the power to regulate and enforce </w:t>
      </w:r>
      <w:r w:rsidR="00CF7826" w:rsidRPr="00D016CB">
        <w:rPr>
          <w:rFonts w:ascii="Arial" w:hAnsi="Arial" w:cs="Arial"/>
          <w:sz w:val="22"/>
          <w:szCs w:val="22"/>
        </w:rPr>
        <w:t>laws but</w:t>
      </w:r>
      <w:r w:rsidRPr="00577579">
        <w:rPr>
          <w:rFonts w:ascii="Arial" w:hAnsi="Arial" w:cs="Arial"/>
          <w:sz w:val="22"/>
          <w:szCs w:val="22"/>
        </w:rPr>
        <w:t xml:space="preserve"> may not have a high interest in day-to-day operations unless there are regulatory issues.</w:t>
      </w:r>
    </w:p>
    <w:p w14:paraId="23912CDE" w14:textId="48C2F529"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t>Suppliers: Moderate power, high interest - Place</w:t>
      </w:r>
      <w:r w:rsidR="00A820A2" w:rsidRPr="00D016CB">
        <w:rPr>
          <w:rFonts w:ascii="Arial" w:hAnsi="Arial" w:cs="Arial"/>
          <w:sz w:val="22"/>
          <w:szCs w:val="22"/>
        </w:rPr>
        <w:t>d</w:t>
      </w:r>
      <w:r w:rsidRPr="00577579">
        <w:rPr>
          <w:rFonts w:ascii="Arial" w:hAnsi="Arial" w:cs="Arial"/>
          <w:sz w:val="22"/>
          <w:szCs w:val="22"/>
        </w:rPr>
        <w:t xml:space="preserve"> suppliers in the "Manage Closely" box as they have a significant impact on the supply chain and may have a high level of interest in the business to ensure their own success.</w:t>
      </w:r>
    </w:p>
    <w:p w14:paraId="13730C08" w14:textId="7A4409D8"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t>Local communities: Moderate power, moderate interest - Place</w:t>
      </w:r>
      <w:r w:rsidR="00A820A2" w:rsidRPr="00D016CB">
        <w:rPr>
          <w:rFonts w:ascii="Arial" w:hAnsi="Arial" w:cs="Arial"/>
          <w:sz w:val="22"/>
          <w:szCs w:val="22"/>
        </w:rPr>
        <w:t>d</w:t>
      </w:r>
      <w:r w:rsidRPr="00577579">
        <w:rPr>
          <w:rFonts w:ascii="Arial" w:hAnsi="Arial" w:cs="Arial"/>
          <w:sz w:val="22"/>
          <w:szCs w:val="22"/>
        </w:rPr>
        <w:t xml:space="preserve"> local communities in the "Monitor" box as they may have some influence over the business through public opinion or local regulations, but their interest may vary depending on the specific project.</w:t>
      </w:r>
    </w:p>
    <w:p w14:paraId="3FA1380B" w14:textId="1F3AAF83"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t>Competitors: Low power, high interest - Place</w:t>
      </w:r>
      <w:r w:rsidR="00A820A2" w:rsidRPr="00D016CB">
        <w:rPr>
          <w:rFonts w:ascii="Arial" w:hAnsi="Arial" w:cs="Arial"/>
          <w:sz w:val="22"/>
          <w:szCs w:val="22"/>
        </w:rPr>
        <w:t>d</w:t>
      </w:r>
      <w:r w:rsidRPr="00577579">
        <w:rPr>
          <w:rFonts w:ascii="Arial" w:hAnsi="Arial" w:cs="Arial"/>
          <w:sz w:val="22"/>
          <w:szCs w:val="22"/>
        </w:rPr>
        <w:t xml:space="preserve"> competitors in the "Keep Informed" box as they may have a high level of interest in the business to stay competitive, but they typically do not have direct power over the organization.</w:t>
      </w:r>
    </w:p>
    <w:p w14:paraId="26EFCD1F" w14:textId="2E6EDA8A"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t>Regulatory bodies: High power, low interest - Place</w:t>
      </w:r>
      <w:r w:rsidR="00937F41" w:rsidRPr="00D016CB">
        <w:rPr>
          <w:rFonts w:ascii="Arial" w:hAnsi="Arial" w:cs="Arial"/>
          <w:sz w:val="22"/>
          <w:szCs w:val="22"/>
        </w:rPr>
        <w:t>d</w:t>
      </w:r>
      <w:r w:rsidRPr="00577579">
        <w:rPr>
          <w:rFonts w:ascii="Arial" w:hAnsi="Arial" w:cs="Arial"/>
          <w:sz w:val="22"/>
          <w:szCs w:val="22"/>
        </w:rPr>
        <w:t xml:space="preserve"> regulatory bodies in the "Keep Satisfied" box as they have the power to enforce laws and </w:t>
      </w:r>
      <w:r w:rsidRPr="00D016CB">
        <w:rPr>
          <w:rFonts w:ascii="Arial" w:hAnsi="Arial" w:cs="Arial"/>
          <w:sz w:val="22"/>
          <w:szCs w:val="22"/>
        </w:rPr>
        <w:t>regulations but</w:t>
      </w:r>
      <w:r w:rsidRPr="00577579">
        <w:rPr>
          <w:rFonts w:ascii="Arial" w:hAnsi="Arial" w:cs="Arial"/>
          <w:sz w:val="22"/>
          <w:szCs w:val="22"/>
        </w:rPr>
        <w:t xml:space="preserve"> may not have a high level of interest in the day-to-day operations of the business.</w:t>
      </w:r>
    </w:p>
    <w:p w14:paraId="589CF0E8" w14:textId="6DC29ACD" w:rsidR="009B5D74" w:rsidRPr="00577579" w:rsidRDefault="009B5D74" w:rsidP="00D016CB">
      <w:pPr>
        <w:numPr>
          <w:ilvl w:val="0"/>
          <w:numId w:val="7"/>
        </w:numPr>
        <w:spacing w:line="360" w:lineRule="auto"/>
        <w:jc w:val="both"/>
        <w:rPr>
          <w:rFonts w:ascii="Arial" w:hAnsi="Arial" w:cs="Arial"/>
          <w:sz w:val="22"/>
          <w:szCs w:val="22"/>
        </w:rPr>
      </w:pPr>
      <w:r w:rsidRPr="00577579">
        <w:rPr>
          <w:rFonts w:ascii="Arial" w:hAnsi="Arial" w:cs="Arial"/>
          <w:sz w:val="22"/>
          <w:szCs w:val="22"/>
        </w:rPr>
        <w:t>Trade unions: High power, high interest - Place</w:t>
      </w:r>
      <w:r w:rsidR="00937F41" w:rsidRPr="00D016CB">
        <w:rPr>
          <w:rFonts w:ascii="Arial" w:hAnsi="Arial" w:cs="Arial"/>
          <w:sz w:val="22"/>
          <w:szCs w:val="22"/>
        </w:rPr>
        <w:t>d</w:t>
      </w:r>
      <w:r w:rsidRPr="00577579">
        <w:rPr>
          <w:rFonts w:ascii="Arial" w:hAnsi="Arial" w:cs="Arial"/>
          <w:sz w:val="22"/>
          <w:szCs w:val="22"/>
        </w:rPr>
        <w:t xml:space="preserve"> trade unions in the "Key Players" box as they have a strong influence on </w:t>
      </w:r>
      <w:r w:rsidRPr="00D016CB">
        <w:rPr>
          <w:rFonts w:ascii="Arial" w:hAnsi="Arial" w:cs="Arial"/>
          <w:sz w:val="22"/>
          <w:szCs w:val="22"/>
        </w:rPr>
        <w:t>labour</w:t>
      </w:r>
      <w:r w:rsidRPr="00577579">
        <w:rPr>
          <w:rFonts w:ascii="Arial" w:hAnsi="Arial" w:cs="Arial"/>
          <w:sz w:val="22"/>
          <w:szCs w:val="22"/>
        </w:rPr>
        <w:t xml:space="preserve"> relations and may have a high level of interest in the business to protect the rights of their members.</w:t>
      </w:r>
    </w:p>
    <w:p w14:paraId="17D2DB89" w14:textId="190BE4EB" w:rsidR="009B5D74" w:rsidRPr="00577579" w:rsidRDefault="009B5D74" w:rsidP="00D016CB">
      <w:pPr>
        <w:spacing w:line="360" w:lineRule="auto"/>
        <w:jc w:val="both"/>
        <w:rPr>
          <w:rFonts w:ascii="Arial" w:hAnsi="Arial" w:cs="Arial"/>
          <w:sz w:val="22"/>
          <w:szCs w:val="22"/>
        </w:rPr>
      </w:pPr>
      <w:r w:rsidRPr="00577579">
        <w:rPr>
          <w:rFonts w:ascii="Arial" w:hAnsi="Arial" w:cs="Arial"/>
          <w:sz w:val="22"/>
          <w:szCs w:val="22"/>
        </w:rPr>
        <w:t xml:space="preserve">By aligning stakeholders within the Power Interest Grid, </w:t>
      </w:r>
      <w:r w:rsidR="00394AB1" w:rsidRPr="00D016CB">
        <w:rPr>
          <w:rFonts w:ascii="Arial" w:hAnsi="Arial" w:cs="Arial"/>
          <w:sz w:val="22"/>
          <w:szCs w:val="22"/>
        </w:rPr>
        <w:t>companies</w:t>
      </w:r>
      <w:r w:rsidRPr="00577579">
        <w:rPr>
          <w:rFonts w:ascii="Arial" w:hAnsi="Arial" w:cs="Arial"/>
          <w:sz w:val="22"/>
          <w:szCs w:val="22"/>
        </w:rPr>
        <w:t xml:space="preserve"> can effectively manage relationships, communication, and engagement with each group to ensure successful decision-making and project implementation.</w:t>
      </w:r>
    </w:p>
    <w:p w14:paraId="56955DC3" w14:textId="77777777" w:rsidR="0045676E" w:rsidRPr="00D016CB" w:rsidRDefault="001D01B0" w:rsidP="00D016CB">
      <w:pPr>
        <w:spacing w:line="360" w:lineRule="auto"/>
        <w:jc w:val="both"/>
        <w:rPr>
          <w:rFonts w:ascii="Arial" w:hAnsi="Arial" w:cs="Arial"/>
          <w:sz w:val="22"/>
          <w:szCs w:val="22"/>
        </w:rPr>
      </w:pPr>
      <w:r w:rsidRPr="001D01B0">
        <w:rPr>
          <w:rFonts w:ascii="Arial" w:hAnsi="Arial" w:cs="Arial"/>
          <w:sz w:val="22"/>
          <w:szCs w:val="22"/>
        </w:rPr>
        <w:t>After applying the Stakeholders power interest grid and identifying the main stakeholders, it is essential to involve them in the resolution process to effectively address the wage dispute between Post Office workers and management. The following stakeholders should be involved in resolving the situation, along with explanations regarding their significance to the case:</w:t>
      </w:r>
    </w:p>
    <w:p w14:paraId="52E47656" w14:textId="0B45BFBB" w:rsidR="00876B2A" w:rsidRPr="00D016CB" w:rsidRDefault="00F02FDA" w:rsidP="00D016CB">
      <w:pPr>
        <w:pStyle w:val="ListParagraph"/>
        <w:numPr>
          <w:ilvl w:val="0"/>
          <w:numId w:val="18"/>
        </w:numPr>
        <w:spacing w:line="360" w:lineRule="auto"/>
        <w:jc w:val="both"/>
        <w:rPr>
          <w:rFonts w:ascii="Arial" w:hAnsi="Arial" w:cs="Arial"/>
          <w:sz w:val="22"/>
          <w:szCs w:val="22"/>
        </w:rPr>
      </w:pPr>
      <w:r w:rsidRPr="00D016CB">
        <w:rPr>
          <w:rFonts w:ascii="Arial" w:hAnsi="Arial" w:cs="Arial"/>
          <w:sz w:val="22"/>
          <w:szCs w:val="22"/>
        </w:rPr>
        <w:lastRenderedPageBreak/>
        <w:t>Post Office workers are directly affected by the pay freeze and the proposed pay increase. They are the primary stakeholders in this conflict as their wages and financial well-being are at stake. Engaging the workers is essential to understand their concerns, expectations, and interests in resolving the crisis.</w:t>
      </w:r>
    </w:p>
    <w:p w14:paraId="5F4C0E60" w14:textId="4757072C" w:rsidR="0045676E" w:rsidRPr="00D016CB" w:rsidRDefault="00F41965" w:rsidP="00D016CB">
      <w:pPr>
        <w:pStyle w:val="ListParagraph"/>
        <w:numPr>
          <w:ilvl w:val="0"/>
          <w:numId w:val="18"/>
        </w:numPr>
        <w:spacing w:line="360" w:lineRule="auto"/>
        <w:jc w:val="both"/>
        <w:rPr>
          <w:rFonts w:ascii="Arial" w:hAnsi="Arial" w:cs="Arial"/>
          <w:sz w:val="22"/>
          <w:szCs w:val="22"/>
        </w:rPr>
      </w:pPr>
      <w:r w:rsidRPr="00D016CB">
        <w:rPr>
          <w:rFonts w:ascii="Arial" w:hAnsi="Arial" w:cs="Arial"/>
          <w:sz w:val="22"/>
          <w:szCs w:val="22"/>
        </w:rPr>
        <w:t>Post Office management is responsible for making decisions regarding wages, budget allocation, and organizational policies. Engaging management is crucial to understand their perspective on the pay proposal, budget constraints, and overall goals for the organization. Collaboration with management is essential to reaching a mutually acceptable solution.</w:t>
      </w:r>
    </w:p>
    <w:p w14:paraId="7A567CB1" w14:textId="479FE242" w:rsidR="00294A28" w:rsidRPr="00D016CB" w:rsidRDefault="00294A28" w:rsidP="00D016CB">
      <w:pPr>
        <w:pStyle w:val="ListParagraph"/>
        <w:numPr>
          <w:ilvl w:val="0"/>
          <w:numId w:val="18"/>
        </w:numPr>
        <w:spacing w:line="360" w:lineRule="auto"/>
        <w:jc w:val="both"/>
        <w:rPr>
          <w:rFonts w:ascii="Arial" w:hAnsi="Arial" w:cs="Arial"/>
          <w:sz w:val="22"/>
          <w:szCs w:val="22"/>
        </w:rPr>
      </w:pPr>
      <w:r w:rsidRPr="00D016CB">
        <w:rPr>
          <w:rFonts w:ascii="Arial" w:hAnsi="Arial" w:cs="Arial"/>
          <w:sz w:val="22"/>
          <w:szCs w:val="22"/>
        </w:rPr>
        <w:t xml:space="preserve">Financial analysts </w:t>
      </w:r>
      <w:r w:rsidR="001A561D" w:rsidRPr="00D016CB">
        <w:rPr>
          <w:rFonts w:ascii="Arial" w:hAnsi="Arial" w:cs="Arial"/>
          <w:sz w:val="22"/>
          <w:szCs w:val="22"/>
        </w:rPr>
        <w:t xml:space="preserve">as trade union </w:t>
      </w:r>
      <w:r w:rsidRPr="00D016CB">
        <w:rPr>
          <w:rFonts w:ascii="Arial" w:hAnsi="Arial" w:cs="Arial"/>
          <w:sz w:val="22"/>
          <w:szCs w:val="22"/>
        </w:rPr>
        <w:t>can provide valuable insights into the Post Office's financial situation, budget constraints, and feasibility of different pay proposals. Engaging financial analysts can help assess the organization's capacity to offer competitive wages, mitigate financial risks, and make informed decisions that balance the interests of stakeholders.</w:t>
      </w:r>
    </w:p>
    <w:p w14:paraId="0AFF0106" w14:textId="77777777" w:rsidR="00AF64CD" w:rsidRPr="00D016CB" w:rsidRDefault="00AF64CD" w:rsidP="00D016CB">
      <w:pPr>
        <w:pStyle w:val="ListParagraph"/>
        <w:spacing w:line="360" w:lineRule="auto"/>
        <w:jc w:val="both"/>
        <w:rPr>
          <w:rFonts w:ascii="Arial" w:hAnsi="Arial" w:cs="Arial"/>
          <w:sz w:val="22"/>
          <w:szCs w:val="22"/>
        </w:rPr>
      </w:pPr>
    </w:p>
    <w:p w14:paraId="62073C2C" w14:textId="5360ACF5" w:rsidR="00AF64CD" w:rsidRPr="00D016CB" w:rsidRDefault="00C529A0" w:rsidP="00D016CB">
      <w:pPr>
        <w:spacing w:line="360" w:lineRule="auto"/>
        <w:jc w:val="both"/>
        <w:rPr>
          <w:rFonts w:ascii="Arial" w:hAnsi="Arial" w:cs="Arial"/>
          <w:sz w:val="22"/>
          <w:szCs w:val="22"/>
        </w:rPr>
      </w:pPr>
      <w:r w:rsidRPr="00D016CB">
        <w:rPr>
          <w:rFonts w:ascii="Arial" w:hAnsi="Arial" w:cs="Arial"/>
          <w:sz w:val="22"/>
          <w:szCs w:val="22"/>
        </w:rPr>
        <w:t>But also, Government representatives may have a regulatory oversight role in the Post Office operations and labour disputes. Engaging government representatives can help provide a broader perspective on labour issues, regulatory compliance, and potential solutions. Involving governmental stakeholders can also ensure transparency and adherence to relevant labour laws and regulations.</w:t>
      </w:r>
      <w:r w:rsidR="00083D3E" w:rsidRPr="00D016CB">
        <w:rPr>
          <w:rFonts w:ascii="Arial" w:hAnsi="Arial" w:cs="Arial"/>
          <w:sz w:val="22"/>
          <w:szCs w:val="22"/>
        </w:rPr>
        <w:t xml:space="preserve"> </w:t>
      </w:r>
      <w:r w:rsidR="009B42F7" w:rsidRPr="00D016CB">
        <w:rPr>
          <w:rFonts w:ascii="Arial" w:hAnsi="Arial" w:cs="Arial"/>
          <w:sz w:val="22"/>
          <w:szCs w:val="22"/>
        </w:rPr>
        <w:t>Post Office customers are affected by the strike and disruptions in services. Engaging customers is essential to communicate any potential impacts on service delivery, address concerns, and maintain customer satisfaction. Customers play</w:t>
      </w:r>
      <w:r w:rsidR="002308C4" w:rsidRPr="00D016CB">
        <w:rPr>
          <w:rFonts w:ascii="Arial" w:hAnsi="Arial" w:cs="Arial"/>
          <w:sz w:val="22"/>
          <w:szCs w:val="22"/>
        </w:rPr>
        <w:t xml:space="preserve"> a vital role as well</w:t>
      </w:r>
      <w:r w:rsidR="009B42F7" w:rsidRPr="00D016CB">
        <w:rPr>
          <w:rFonts w:ascii="Arial" w:hAnsi="Arial" w:cs="Arial"/>
          <w:sz w:val="22"/>
          <w:szCs w:val="22"/>
        </w:rPr>
        <w:t xml:space="preserve"> in supporting the Post Office, and their feedback and support are important for the organization's reputation and success.</w:t>
      </w:r>
      <w:r w:rsidR="00D23F47" w:rsidRPr="00D016CB">
        <w:rPr>
          <w:rFonts w:ascii="Arial" w:hAnsi="Arial" w:cs="Arial"/>
          <w:sz w:val="22"/>
          <w:szCs w:val="22"/>
        </w:rPr>
        <w:t xml:space="preserve"> </w:t>
      </w:r>
    </w:p>
    <w:p w14:paraId="027160A2" w14:textId="59BA44EE" w:rsidR="00D23F47" w:rsidRPr="00D016CB" w:rsidRDefault="00D23F47" w:rsidP="00D016CB">
      <w:pPr>
        <w:spacing w:line="360" w:lineRule="auto"/>
        <w:jc w:val="both"/>
        <w:rPr>
          <w:rFonts w:ascii="Arial" w:hAnsi="Arial" w:cs="Arial"/>
          <w:sz w:val="22"/>
          <w:szCs w:val="22"/>
        </w:rPr>
      </w:pPr>
      <w:r w:rsidRPr="00D016CB">
        <w:rPr>
          <w:rFonts w:ascii="Arial" w:hAnsi="Arial" w:cs="Arial"/>
          <w:sz w:val="22"/>
          <w:szCs w:val="22"/>
        </w:rPr>
        <w:t>By engaging these key stakeholders in the resolution process, Post Office workers and management can foster constructive dialogue, address concerns, and collaborate towards finding a fair and sustainable solution to the pay dispute. Each stakeholder brings unique perspectives, expertise, and interests to the table, making their involvement essential in reaching a comprehensive and mutually beneficial resolution.</w:t>
      </w:r>
    </w:p>
    <w:p w14:paraId="7BADE8DC" w14:textId="77777777" w:rsidR="007E1C89" w:rsidRDefault="007E1C89" w:rsidP="00D016CB">
      <w:pPr>
        <w:spacing w:line="360" w:lineRule="auto"/>
        <w:jc w:val="both"/>
        <w:rPr>
          <w:rFonts w:ascii="Arial" w:hAnsi="Arial" w:cs="Arial"/>
          <w:sz w:val="22"/>
          <w:szCs w:val="22"/>
        </w:rPr>
      </w:pPr>
    </w:p>
    <w:p w14:paraId="7987869D" w14:textId="77777777" w:rsidR="009848FD" w:rsidRDefault="009848FD" w:rsidP="00D016CB">
      <w:pPr>
        <w:spacing w:line="360" w:lineRule="auto"/>
        <w:jc w:val="both"/>
        <w:rPr>
          <w:rFonts w:ascii="Arial" w:hAnsi="Arial" w:cs="Arial"/>
          <w:sz w:val="22"/>
          <w:szCs w:val="22"/>
        </w:rPr>
      </w:pPr>
    </w:p>
    <w:p w14:paraId="54067626" w14:textId="77777777" w:rsidR="009848FD" w:rsidRPr="00D016CB" w:rsidRDefault="009848FD" w:rsidP="00D016CB">
      <w:pPr>
        <w:spacing w:line="360" w:lineRule="auto"/>
        <w:jc w:val="both"/>
        <w:rPr>
          <w:rFonts w:ascii="Arial" w:hAnsi="Arial" w:cs="Arial"/>
          <w:sz w:val="22"/>
          <w:szCs w:val="22"/>
        </w:rPr>
      </w:pPr>
    </w:p>
    <w:p w14:paraId="50BF85DF" w14:textId="234852CE" w:rsidR="008107FB" w:rsidRPr="009848FD" w:rsidRDefault="00711B62" w:rsidP="00D016CB">
      <w:pPr>
        <w:pStyle w:val="Heading1"/>
        <w:numPr>
          <w:ilvl w:val="1"/>
          <w:numId w:val="2"/>
        </w:numPr>
        <w:spacing w:line="360" w:lineRule="auto"/>
        <w:jc w:val="both"/>
        <w:rPr>
          <w:rFonts w:ascii="Arial" w:hAnsi="Arial" w:cs="Arial"/>
          <w:sz w:val="28"/>
          <w:szCs w:val="28"/>
        </w:rPr>
      </w:pPr>
      <w:r w:rsidRPr="009848FD">
        <w:rPr>
          <w:rFonts w:ascii="Arial" w:hAnsi="Arial" w:cs="Arial"/>
          <w:sz w:val="28"/>
          <w:szCs w:val="28"/>
        </w:rPr>
        <w:lastRenderedPageBreak/>
        <w:t xml:space="preserve"> </w:t>
      </w:r>
      <w:bookmarkStart w:id="3" w:name="_Toc172965433"/>
      <w:r w:rsidRPr="009848FD">
        <w:rPr>
          <w:rFonts w:ascii="Arial" w:hAnsi="Arial" w:cs="Arial"/>
          <w:sz w:val="28"/>
          <w:szCs w:val="28"/>
        </w:rPr>
        <w:t>Adv</w:t>
      </w:r>
      <w:r w:rsidR="00CD60D6" w:rsidRPr="009848FD">
        <w:rPr>
          <w:rFonts w:ascii="Arial" w:hAnsi="Arial" w:cs="Arial"/>
          <w:sz w:val="28"/>
          <w:szCs w:val="28"/>
        </w:rPr>
        <w:t xml:space="preserve">antages and </w:t>
      </w:r>
      <w:r w:rsidR="009E3D7F" w:rsidRPr="009848FD">
        <w:rPr>
          <w:rFonts w:ascii="Arial" w:hAnsi="Arial" w:cs="Arial"/>
          <w:sz w:val="28"/>
          <w:szCs w:val="28"/>
        </w:rPr>
        <w:t>Disadvantages of stakeholder analysis matrix</w:t>
      </w:r>
      <w:bookmarkEnd w:id="3"/>
    </w:p>
    <w:p w14:paraId="3A1321E8" w14:textId="77777777" w:rsidR="00CD60D6" w:rsidRPr="00D016CB" w:rsidRDefault="00CD60D6" w:rsidP="00D016CB">
      <w:pPr>
        <w:spacing w:line="360" w:lineRule="auto"/>
        <w:jc w:val="both"/>
        <w:rPr>
          <w:rFonts w:ascii="Arial" w:hAnsi="Arial" w:cs="Arial"/>
          <w:sz w:val="22"/>
          <w:szCs w:val="22"/>
        </w:rPr>
      </w:pPr>
    </w:p>
    <w:p w14:paraId="22CA426A" w14:textId="289D6AB3" w:rsidR="004F4AA7" w:rsidRPr="00D016CB" w:rsidRDefault="004F4AA7" w:rsidP="00D016CB">
      <w:pPr>
        <w:spacing w:line="360" w:lineRule="auto"/>
        <w:jc w:val="both"/>
        <w:rPr>
          <w:rFonts w:ascii="Arial" w:hAnsi="Arial" w:cs="Arial"/>
          <w:sz w:val="22"/>
          <w:szCs w:val="22"/>
        </w:rPr>
      </w:pPr>
      <w:r w:rsidRPr="00D016CB">
        <w:rPr>
          <w:rFonts w:ascii="Arial" w:hAnsi="Arial" w:cs="Arial"/>
          <w:sz w:val="22"/>
          <w:szCs w:val="22"/>
        </w:rPr>
        <w:t>A power/interest matrix model is a tool commonly used in stakeholder analysis to assess the influence and level of interest that various stakeholders have in a project or organization. By categorizing stakeholders based on their power (ability to influence decisions) and interest (degree of concern or stake in the project), this model helps in determining the most effective strategies for engaging and managing relationships with stakeholders. While the power/interest matrix model offers several advantages, it also comes with its share of disadvantages that need to be considered for a more nuanced stakeholder analysis.</w:t>
      </w:r>
    </w:p>
    <w:p w14:paraId="1936CECD" w14:textId="77777777" w:rsidR="004F4AA7" w:rsidRPr="00D016CB" w:rsidRDefault="004F4AA7" w:rsidP="00D016CB">
      <w:pPr>
        <w:spacing w:line="360" w:lineRule="auto"/>
        <w:jc w:val="both"/>
        <w:rPr>
          <w:rFonts w:ascii="Arial" w:hAnsi="Arial" w:cs="Arial"/>
          <w:b/>
          <w:bCs/>
          <w:sz w:val="22"/>
          <w:szCs w:val="22"/>
        </w:rPr>
      </w:pPr>
      <w:r w:rsidRPr="00D016CB">
        <w:rPr>
          <w:rFonts w:ascii="Arial" w:hAnsi="Arial" w:cs="Arial"/>
          <w:b/>
          <w:bCs/>
          <w:sz w:val="22"/>
          <w:szCs w:val="22"/>
        </w:rPr>
        <w:t>Advantages of Power/Interest Matrix Model:</w:t>
      </w:r>
    </w:p>
    <w:p w14:paraId="60786283" w14:textId="77777777" w:rsidR="00730613" w:rsidRPr="00D016CB" w:rsidRDefault="004F4AA7" w:rsidP="00D016CB">
      <w:pPr>
        <w:pStyle w:val="ListParagraph"/>
        <w:numPr>
          <w:ilvl w:val="0"/>
          <w:numId w:val="5"/>
        </w:numPr>
        <w:spacing w:line="360" w:lineRule="auto"/>
        <w:jc w:val="both"/>
        <w:rPr>
          <w:rFonts w:ascii="Arial" w:hAnsi="Arial" w:cs="Arial"/>
          <w:sz w:val="22"/>
          <w:szCs w:val="22"/>
        </w:rPr>
      </w:pPr>
      <w:r w:rsidRPr="00D016CB">
        <w:rPr>
          <w:rFonts w:ascii="Arial" w:hAnsi="Arial" w:cs="Arial"/>
          <w:sz w:val="22"/>
          <w:szCs w:val="22"/>
        </w:rPr>
        <w:t>Clear identification of key stakeholders: One of the main advantages of the power/interest matrix model is its ability to clearly identify and prioritize key stakeholders based on their level of influence and interest. This helps in focusing efforts and resources on engaging with stakeholders who have the most significant impact on the project or organization.</w:t>
      </w:r>
    </w:p>
    <w:p w14:paraId="1C6C2DAF" w14:textId="77777777" w:rsidR="00730613" w:rsidRPr="00D016CB" w:rsidRDefault="004F4AA7" w:rsidP="00D016CB">
      <w:pPr>
        <w:pStyle w:val="ListParagraph"/>
        <w:numPr>
          <w:ilvl w:val="0"/>
          <w:numId w:val="5"/>
        </w:numPr>
        <w:spacing w:line="360" w:lineRule="auto"/>
        <w:jc w:val="both"/>
        <w:rPr>
          <w:rFonts w:ascii="Arial" w:hAnsi="Arial" w:cs="Arial"/>
          <w:sz w:val="22"/>
          <w:szCs w:val="22"/>
        </w:rPr>
      </w:pPr>
      <w:r w:rsidRPr="00D016CB">
        <w:rPr>
          <w:rFonts w:ascii="Arial" w:hAnsi="Arial" w:cs="Arial"/>
          <w:sz w:val="22"/>
          <w:szCs w:val="22"/>
        </w:rPr>
        <w:t>Tailored communication and engagement strategies: By categorizing stakeholders into different quadrants based on their power and interest, organizations can develop tailored communication and engagement strategies to effectively manage relationships with each group. This ensures that stakeholders are engaged in a way that is most relevant and meaningful to their level of influence and interest.</w:t>
      </w:r>
    </w:p>
    <w:p w14:paraId="6D416003" w14:textId="4545A8DE" w:rsidR="004F4AA7" w:rsidRPr="00D016CB" w:rsidRDefault="004F4AA7" w:rsidP="00D016CB">
      <w:pPr>
        <w:pStyle w:val="ListParagraph"/>
        <w:numPr>
          <w:ilvl w:val="0"/>
          <w:numId w:val="5"/>
        </w:numPr>
        <w:spacing w:line="360" w:lineRule="auto"/>
        <w:jc w:val="both"/>
        <w:rPr>
          <w:rFonts w:ascii="Arial" w:hAnsi="Arial" w:cs="Arial"/>
          <w:sz w:val="22"/>
          <w:szCs w:val="22"/>
        </w:rPr>
      </w:pPr>
      <w:r w:rsidRPr="00D016CB">
        <w:rPr>
          <w:rFonts w:ascii="Arial" w:hAnsi="Arial" w:cs="Arial"/>
          <w:sz w:val="22"/>
          <w:szCs w:val="22"/>
        </w:rPr>
        <w:t>Strategic decision-making: The power/interest matrix model enables organizations to make more strategic decisions by considering the perspectives and expectations of different stakeholder groups. By understanding the varying needs and priorities of stakeholders, organizations can make informed choices that are aligned with the interests of key stakeholders.</w:t>
      </w:r>
    </w:p>
    <w:p w14:paraId="000D4FB3" w14:textId="77777777" w:rsidR="004F4AA7" w:rsidRPr="00D016CB" w:rsidRDefault="004F4AA7" w:rsidP="00D016CB">
      <w:pPr>
        <w:spacing w:line="360" w:lineRule="auto"/>
        <w:jc w:val="both"/>
        <w:rPr>
          <w:rFonts w:ascii="Arial" w:hAnsi="Arial" w:cs="Arial"/>
          <w:sz w:val="22"/>
          <w:szCs w:val="22"/>
        </w:rPr>
      </w:pPr>
    </w:p>
    <w:p w14:paraId="19B73C34" w14:textId="77777777" w:rsidR="004F4AA7" w:rsidRPr="00D016CB" w:rsidRDefault="004F4AA7" w:rsidP="00D016CB">
      <w:pPr>
        <w:spacing w:line="360" w:lineRule="auto"/>
        <w:jc w:val="both"/>
        <w:rPr>
          <w:rFonts w:ascii="Arial" w:hAnsi="Arial" w:cs="Arial"/>
          <w:b/>
          <w:bCs/>
          <w:sz w:val="22"/>
          <w:szCs w:val="22"/>
        </w:rPr>
      </w:pPr>
      <w:r w:rsidRPr="00D016CB">
        <w:rPr>
          <w:rFonts w:ascii="Arial" w:hAnsi="Arial" w:cs="Arial"/>
          <w:b/>
          <w:bCs/>
          <w:sz w:val="22"/>
          <w:szCs w:val="22"/>
        </w:rPr>
        <w:t>Disadvantages of Power/Interest Matrix Model:</w:t>
      </w:r>
    </w:p>
    <w:p w14:paraId="05593546" w14:textId="77777777" w:rsidR="00730613" w:rsidRPr="00D016CB" w:rsidRDefault="004F4AA7" w:rsidP="00D016CB">
      <w:pPr>
        <w:pStyle w:val="ListParagraph"/>
        <w:numPr>
          <w:ilvl w:val="0"/>
          <w:numId w:val="6"/>
        </w:numPr>
        <w:spacing w:line="360" w:lineRule="auto"/>
        <w:jc w:val="both"/>
        <w:rPr>
          <w:rFonts w:ascii="Arial" w:hAnsi="Arial" w:cs="Arial"/>
          <w:sz w:val="22"/>
          <w:szCs w:val="22"/>
        </w:rPr>
      </w:pPr>
      <w:r w:rsidRPr="00D016CB">
        <w:rPr>
          <w:rFonts w:ascii="Arial" w:hAnsi="Arial" w:cs="Arial"/>
          <w:sz w:val="22"/>
          <w:szCs w:val="22"/>
        </w:rPr>
        <w:t>Oversimplification of stakeholder relationships: One of the limitations of the power/interest matrix model is that it may oversimplify the complex relationships between stakeholders by reducing them to a two-dimensional grid. This can overlook the nuances and dynamics of stakeholder interactions, leading to a limited understanding of their perspectives and concerns.</w:t>
      </w:r>
    </w:p>
    <w:p w14:paraId="14345162" w14:textId="77777777" w:rsidR="00730613" w:rsidRPr="00D016CB" w:rsidRDefault="004F4AA7" w:rsidP="00D016CB">
      <w:pPr>
        <w:pStyle w:val="ListParagraph"/>
        <w:numPr>
          <w:ilvl w:val="0"/>
          <w:numId w:val="6"/>
        </w:numPr>
        <w:spacing w:line="360" w:lineRule="auto"/>
        <w:jc w:val="both"/>
        <w:rPr>
          <w:rFonts w:ascii="Arial" w:hAnsi="Arial" w:cs="Arial"/>
          <w:sz w:val="22"/>
          <w:szCs w:val="22"/>
        </w:rPr>
      </w:pPr>
      <w:r w:rsidRPr="00D016CB">
        <w:rPr>
          <w:rFonts w:ascii="Arial" w:hAnsi="Arial" w:cs="Arial"/>
          <w:sz w:val="22"/>
          <w:szCs w:val="22"/>
        </w:rPr>
        <w:lastRenderedPageBreak/>
        <w:t>Static nature of stakeholder analysis: The power/interest matrix model may be static in nature, capturing a snapshot of stakeholder influence and interest at a specific point in time. This can limit its effectiveness in capturing the evolving nature of stakeholder relationships and dynamics, particularly in dynamic and complex environments.</w:t>
      </w:r>
    </w:p>
    <w:p w14:paraId="5F8EBA5A" w14:textId="1555B603" w:rsidR="004F4AA7" w:rsidRPr="00D016CB" w:rsidRDefault="004F4AA7" w:rsidP="00D016CB">
      <w:pPr>
        <w:pStyle w:val="ListParagraph"/>
        <w:numPr>
          <w:ilvl w:val="0"/>
          <w:numId w:val="6"/>
        </w:numPr>
        <w:spacing w:line="360" w:lineRule="auto"/>
        <w:jc w:val="both"/>
        <w:rPr>
          <w:rFonts w:ascii="Arial" w:hAnsi="Arial" w:cs="Arial"/>
          <w:sz w:val="22"/>
          <w:szCs w:val="22"/>
        </w:rPr>
      </w:pPr>
      <w:r w:rsidRPr="00D016CB">
        <w:rPr>
          <w:rFonts w:ascii="Arial" w:hAnsi="Arial" w:cs="Arial"/>
          <w:sz w:val="22"/>
          <w:szCs w:val="22"/>
        </w:rPr>
        <w:t>Biases in power and interest assessment: Assessing the power and interest of stakeholders in a subjective manner can introduce biases into the analysis, potentially leading to misinterpretation or misrepresentation of stakeholder relationships. This can result in overlooking key stakeholders or underestimating their influence on the project.</w:t>
      </w:r>
    </w:p>
    <w:p w14:paraId="476BCE84" w14:textId="01350866" w:rsidR="004F4AA7" w:rsidRPr="00D016CB" w:rsidRDefault="00711B62" w:rsidP="00D016CB">
      <w:pPr>
        <w:spacing w:line="360" w:lineRule="auto"/>
        <w:jc w:val="both"/>
        <w:rPr>
          <w:rFonts w:ascii="Arial" w:hAnsi="Arial" w:cs="Arial"/>
          <w:sz w:val="22"/>
          <w:szCs w:val="22"/>
        </w:rPr>
      </w:pPr>
      <w:r w:rsidRPr="00D016CB">
        <w:rPr>
          <w:rFonts w:ascii="Arial" w:hAnsi="Arial" w:cs="Arial"/>
          <w:sz w:val="22"/>
          <w:szCs w:val="22"/>
        </w:rPr>
        <w:t>As organizations utilize the power/interest matrix model in stakeholder analysis, it is essential to be mindful of these advantages</w:t>
      </w:r>
    </w:p>
    <w:p w14:paraId="7E9A072A" w14:textId="77777777" w:rsidR="00711B62" w:rsidRPr="00D016CB" w:rsidRDefault="00711B62" w:rsidP="00D016CB">
      <w:pPr>
        <w:spacing w:line="360" w:lineRule="auto"/>
        <w:jc w:val="both"/>
        <w:rPr>
          <w:rFonts w:ascii="Arial" w:hAnsi="Arial" w:cs="Arial"/>
          <w:sz w:val="22"/>
          <w:szCs w:val="22"/>
        </w:rPr>
      </w:pPr>
    </w:p>
    <w:p w14:paraId="6CE88D7C" w14:textId="3E811D69" w:rsidR="009E3D7F" w:rsidRPr="009848FD" w:rsidRDefault="00EB1457" w:rsidP="00D016CB">
      <w:pPr>
        <w:pStyle w:val="Heading1"/>
        <w:spacing w:line="360" w:lineRule="auto"/>
        <w:jc w:val="both"/>
        <w:rPr>
          <w:rFonts w:ascii="Arial" w:hAnsi="Arial" w:cs="Arial"/>
          <w:sz w:val="28"/>
          <w:szCs w:val="28"/>
        </w:rPr>
      </w:pPr>
      <w:bookmarkStart w:id="4" w:name="_Toc172965434"/>
      <w:r w:rsidRPr="009848FD">
        <w:rPr>
          <w:rFonts w:ascii="Arial" w:hAnsi="Arial" w:cs="Arial"/>
          <w:sz w:val="28"/>
          <w:szCs w:val="28"/>
        </w:rPr>
        <w:t>2.1 Conflict resolution models</w:t>
      </w:r>
      <w:bookmarkEnd w:id="4"/>
    </w:p>
    <w:p w14:paraId="0037351E" w14:textId="77777777" w:rsidR="001F340D" w:rsidRPr="00D016CB" w:rsidRDefault="001F340D" w:rsidP="00D016CB">
      <w:pPr>
        <w:spacing w:line="360" w:lineRule="auto"/>
        <w:jc w:val="both"/>
        <w:rPr>
          <w:rFonts w:ascii="Arial" w:hAnsi="Arial" w:cs="Arial"/>
          <w:sz w:val="22"/>
          <w:szCs w:val="22"/>
        </w:rPr>
      </w:pPr>
    </w:p>
    <w:p w14:paraId="06BF10B0" w14:textId="77777777" w:rsidR="001F340D" w:rsidRPr="001F340D" w:rsidRDefault="001F340D" w:rsidP="00D016CB">
      <w:pPr>
        <w:spacing w:line="360" w:lineRule="auto"/>
        <w:jc w:val="both"/>
        <w:rPr>
          <w:rFonts w:ascii="Arial" w:hAnsi="Arial" w:cs="Arial"/>
          <w:sz w:val="22"/>
          <w:szCs w:val="22"/>
        </w:rPr>
      </w:pPr>
      <w:r w:rsidRPr="001F340D">
        <w:rPr>
          <w:rFonts w:ascii="Arial" w:hAnsi="Arial" w:cs="Arial"/>
          <w:sz w:val="22"/>
          <w:szCs w:val="22"/>
        </w:rPr>
        <w:t>Conflict can be defined as a disagreement or clash between individuals or groups due to differing opinions, interests, or values. While conflict is a natural part of human interaction, it can have both positive and negative impacts on organizations.</w:t>
      </w:r>
    </w:p>
    <w:p w14:paraId="6AEFDAB8" w14:textId="1A960A53" w:rsidR="001F340D" w:rsidRPr="001F340D" w:rsidRDefault="001F340D" w:rsidP="00D016CB">
      <w:pPr>
        <w:spacing w:line="360" w:lineRule="auto"/>
        <w:jc w:val="both"/>
        <w:rPr>
          <w:rFonts w:ascii="Arial" w:hAnsi="Arial" w:cs="Arial"/>
          <w:sz w:val="22"/>
          <w:szCs w:val="22"/>
        </w:rPr>
      </w:pPr>
      <w:r w:rsidRPr="001F340D">
        <w:rPr>
          <w:rFonts w:ascii="Arial" w:hAnsi="Arial" w:cs="Arial"/>
          <w:sz w:val="22"/>
          <w:szCs w:val="22"/>
        </w:rPr>
        <w:t xml:space="preserve">On the positive side, conflict can lead to innovation, creativity, and improved decision-making as different perspectives are considered. It can also stimulate change, growth, and development within an organization. However, if not effectively managed, conflict can escalate into destructive </w:t>
      </w:r>
      <w:r w:rsidR="00AB1644" w:rsidRPr="00D016CB">
        <w:rPr>
          <w:rFonts w:ascii="Arial" w:hAnsi="Arial" w:cs="Arial"/>
          <w:sz w:val="22"/>
          <w:szCs w:val="22"/>
        </w:rPr>
        <w:t>behaviours</w:t>
      </w:r>
      <w:r w:rsidRPr="001F340D">
        <w:rPr>
          <w:rFonts w:ascii="Arial" w:hAnsi="Arial" w:cs="Arial"/>
          <w:sz w:val="22"/>
          <w:szCs w:val="22"/>
        </w:rPr>
        <w:t>, strained relationships, decreased morale, and reduced productivity.</w:t>
      </w:r>
    </w:p>
    <w:p w14:paraId="0EA6BA2F" w14:textId="77777777" w:rsidR="001F340D" w:rsidRPr="001F340D" w:rsidRDefault="001F340D" w:rsidP="00D016CB">
      <w:pPr>
        <w:spacing w:line="360" w:lineRule="auto"/>
        <w:jc w:val="both"/>
        <w:rPr>
          <w:rFonts w:ascii="Arial" w:hAnsi="Arial" w:cs="Arial"/>
          <w:sz w:val="22"/>
          <w:szCs w:val="22"/>
        </w:rPr>
      </w:pPr>
      <w:r w:rsidRPr="001F340D">
        <w:rPr>
          <w:rFonts w:ascii="Arial" w:hAnsi="Arial" w:cs="Arial"/>
          <w:sz w:val="22"/>
          <w:szCs w:val="22"/>
        </w:rPr>
        <w:t>There are five common conflict resolution styles:</w:t>
      </w:r>
    </w:p>
    <w:p w14:paraId="2D4161EF" w14:textId="77777777" w:rsidR="001F340D" w:rsidRPr="001F340D" w:rsidRDefault="001F340D" w:rsidP="00D016CB">
      <w:pPr>
        <w:numPr>
          <w:ilvl w:val="0"/>
          <w:numId w:val="9"/>
        </w:numPr>
        <w:spacing w:line="360" w:lineRule="auto"/>
        <w:jc w:val="both"/>
        <w:rPr>
          <w:rFonts w:ascii="Arial" w:hAnsi="Arial" w:cs="Arial"/>
          <w:sz w:val="22"/>
          <w:szCs w:val="22"/>
        </w:rPr>
      </w:pPr>
      <w:r w:rsidRPr="001F340D">
        <w:rPr>
          <w:rFonts w:ascii="Arial" w:hAnsi="Arial" w:cs="Arial"/>
          <w:sz w:val="22"/>
          <w:szCs w:val="22"/>
        </w:rPr>
        <w:t>Accommodation: This style involves prioritizing the needs and concerns of others over one's own. Individuals using this style tend to be cooperative and seek to maintain harmony in the relationship, often letting go of their own needs and desires.</w:t>
      </w:r>
    </w:p>
    <w:p w14:paraId="4056E4E4" w14:textId="77777777" w:rsidR="001F340D" w:rsidRPr="001F340D" w:rsidRDefault="001F340D" w:rsidP="00D016CB">
      <w:pPr>
        <w:numPr>
          <w:ilvl w:val="0"/>
          <w:numId w:val="9"/>
        </w:numPr>
        <w:spacing w:line="360" w:lineRule="auto"/>
        <w:jc w:val="both"/>
        <w:rPr>
          <w:rFonts w:ascii="Arial" w:hAnsi="Arial" w:cs="Arial"/>
          <w:sz w:val="22"/>
          <w:szCs w:val="22"/>
        </w:rPr>
      </w:pPr>
      <w:r w:rsidRPr="001F340D">
        <w:rPr>
          <w:rFonts w:ascii="Arial" w:hAnsi="Arial" w:cs="Arial"/>
          <w:sz w:val="22"/>
          <w:szCs w:val="22"/>
        </w:rPr>
        <w:t>Avoidance: Avoidance involves ignoring or side-stepping the conflict, hoping that it will resolve itself over time. While this style may be appropriate for minor issues, it can also lead to unresolved conflicts and simmering tensions.</w:t>
      </w:r>
    </w:p>
    <w:p w14:paraId="6097DB37" w14:textId="77777777" w:rsidR="001F340D" w:rsidRPr="001F340D" w:rsidRDefault="001F340D" w:rsidP="00D016CB">
      <w:pPr>
        <w:numPr>
          <w:ilvl w:val="0"/>
          <w:numId w:val="9"/>
        </w:numPr>
        <w:spacing w:line="360" w:lineRule="auto"/>
        <w:jc w:val="both"/>
        <w:rPr>
          <w:rFonts w:ascii="Arial" w:hAnsi="Arial" w:cs="Arial"/>
          <w:sz w:val="22"/>
          <w:szCs w:val="22"/>
        </w:rPr>
      </w:pPr>
      <w:r w:rsidRPr="001F340D">
        <w:rPr>
          <w:rFonts w:ascii="Arial" w:hAnsi="Arial" w:cs="Arial"/>
          <w:sz w:val="22"/>
          <w:szCs w:val="22"/>
        </w:rPr>
        <w:t>Competing: The competing style is characterized by a high level of assertiveness and a low level of cooperativeness. Individuals using this style aim to win at all costs, often at the expense of relationships and collaboration.</w:t>
      </w:r>
    </w:p>
    <w:p w14:paraId="3CC1A565" w14:textId="77777777" w:rsidR="001F340D" w:rsidRPr="001F340D" w:rsidRDefault="001F340D" w:rsidP="00D016CB">
      <w:pPr>
        <w:numPr>
          <w:ilvl w:val="0"/>
          <w:numId w:val="9"/>
        </w:numPr>
        <w:spacing w:line="360" w:lineRule="auto"/>
        <w:jc w:val="both"/>
        <w:rPr>
          <w:rFonts w:ascii="Arial" w:hAnsi="Arial" w:cs="Arial"/>
          <w:sz w:val="22"/>
          <w:szCs w:val="22"/>
        </w:rPr>
      </w:pPr>
      <w:r w:rsidRPr="001F340D">
        <w:rPr>
          <w:rFonts w:ascii="Arial" w:hAnsi="Arial" w:cs="Arial"/>
          <w:sz w:val="22"/>
          <w:szCs w:val="22"/>
        </w:rPr>
        <w:lastRenderedPageBreak/>
        <w:t>Collaborating: Collaboration involves seeking a win-win solution by working together to address the underlying interests and concerns of all parties involved. This style requires open communication, mutual respect, and a focus on finding creative solutions.</w:t>
      </w:r>
    </w:p>
    <w:p w14:paraId="6BF2FA6A" w14:textId="77777777" w:rsidR="001F340D" w:rsidRPr="001F340D" w:rsidRDefault="001F340D" w:rsidP="00D016CB">
      <w:pPr>
        <w:numPr>
          <w:ilvl w:val="0"/>
          <w:numId w:val="9"/>
        </w:numPr>
        <w:spacing w:line="360" w:lineRule="auto"/>
        <w:jc w:val="both"/>
        <w:rPr>
          <w:rFonts w:ascii="Arial" w:hAnsi="Arial" w:cs="Arial"/>
          <w:sz w:val="22"/>
          <w:szCs w:val="22"/>
        </w:rPr>
      </w:pPr>
      <w:r w:rsidRPr="001F340D">
        <w:rPr>
          <w:rFonts w:ascii="Arial" w:hAnsi="Arial" w:cs="Arial"/>
          <w:sz w:val="22"/>
          <w:szCs w:val="22"/>
        </w:rPr>
        <w:t>Compromising: Compromising involves finding a middle ground or a partial solution that partially satisfies the needs and interests of all parties. This style may be useful when time is limited or when parties are unable to reach a consensus through other means.</w:t>
      </w:r>
    </w:p>
    <w:p w14:paraId="637DB5D5" w14:textId="77777777" w:rsidR="001F340D" w:rsidRPr="001F340D" w:rsidRDefault="001F340D" w:rsidP="00D016CB">
      <w:pPr>
        <w:spacing w:line="360" w:lineRule="auto"/>
        <w:jc w:val="both"/>
        <w:rPr>
          <w:rFonts w:ascii="Arial" w:hAnsi="Arial" w:cs="Arial"/>
          <w:sz w:val="22"/>
          <w:szCs w:val="22"/>
        </w:rPr>
      </w:pPr>
      <w:r w:rsidRPr="001F340D">
        <w:rPr>
          <w:rFonts w:ascii="Arial" w:hAnsi="Arial" w:cs="Arial"/>
          <w:sz w:val="22"/>
          <w:szCs w:val="22"/>
        </w:rPr>
        <w:t>In the case of a conflict at a post office, where efficiency and customer service are key priorities, a collaborative conflict resolution style could be the most appropriate. By engaging all stakeholders in the resolution process, identifying shared interests, and exploring creative solutions, the conflict can be addressed in a way that benefits both the employees and customers of the post office.</w:t>
      </w:r>
    </w:p>
    <w:p w14:paraId="68B599FF" w14:textId="77777777" w:rsidR="001F340D" w:rsidRPr="001F340D" w:rsidRDefault="001F340D" w:rsidP="00D016CB">
      <w:pPr>
        <w:spacing w:line="360" w:lineRule="auto"/>
        <w:jc w:val="both"/>
        <w:rPr>
          <w:rFonts w:ascii="Arial" w:hAnsi="Arial" w:cs="Arial"/>
          <w:sz w:val="22"/>
          <w:szCs w:val="22"/>
        </w:rPr>
      </w:pPr>
      <w:r w:rsidRPr="001F340D">
        <w:rPr>
          <w:rFonts w:ascii="Arial" w:hAnsi="Arial" w:cs="Arial"/>
          <w:sz w:val="22"/>
          <w:szCs w:val="22"/>
        </w:rPr>
        <w:t>It is important to note that the effectiveness of a conflict resolution style depends on the nature of the conflict, the personalities and preferences of those involved, and the organizational culture. Organizations can benefit from having a diverse toolkit of conflict resolution styles and strategies to effectively manage conflicts and promote positive outcomes.</w:t>
      </w:r>
    </w:p>
    <w:p w14:paraId="00F81B86" w14:textId="77777777" w:rsidR="00782BBE" w:rsidRPr="001711EE" w:rsidRDefault="00782BBE" w:rsidP="00D016CB">
      <w:pPr>
        <w:spacing w:line="360" w:lineRule="auto"/>
        <w:jc w:val="both"/>
        <w:rPr>
          <w:rFonts w:ascii="Arial" w:hAnsi="Arial" w:cs="Arial"/>
          <w:sz w:val="22"/>
          <w:szCs w:val="22"/>
        </w:rPr>
      </w:pPr>
      <w:r w:rsidRPr="001711EE">
        <w:rPr>
          <w:rFonts w:ascii="Arial" w:hAnsi="Arial" w:cs="Arial"/>
          <w:sz w:val="22"/>
          <w:szCs w:val="22"/>
        </w:rPr>
        <w:t>There are several conflict resolution models that can be used to address and manage conflicts in various settings. Here are three common conflict resolution models with citations and references:</w:t>
      </w:r>
    </w:p>
    <w:p w14:paraId="438C1875" w14:textId="77777777" w:rsidR="00695AD0" w:rsidRPr="001711EE" w:rsidRDefault="00695AD0" w:rsidP="00D016CB">
      <w:pPr>
        <w:numPr>
          <w:ilvl w:val="0"/>
          <w:numId w:val="10"/>
        </w:numPr>
        <w:spacing w:line="360" w:lineRule="auto"/>
        <w:jc w:val="both"/>
        <w:rPr>
          <w:rFonts w:ascii="Arial" w:hAnsi="Arial" w:cs="Arial"/>
          <w:sz w:val="22"/>
          <w:szCs w:val="22"/>
        </w:rPr>
      </w:pPr>
      <w:r w:rsidRPr="001711EE">
        <w:rPr>
          <w:rFonts w:ascii="Arial" w:hAnsi="Arial" w:cs="Arial"/>
          <w:sz w:val="22"/>
          <w:szCs w:val="22"/>
        </w:rPr>
        <w:t>Thomas-Kilmann Conflict Mode Instrument (TKI): The Thomas-Kilmann Conflict Mode Instrument is a widely used model that identifies five common conflict resolution styles: competing, collaborating, compromising, avoiding, and accommodating. This model helps individuals understand their own and others' preferences for handling conflicts and provides a framework for selecting the most appropriate approach in any given situation (Thomas, K.W., &amp; Kilmann, R.H., 1974).</w:t>
      </w:r>
    </w:p>
    <w:p w14:paraId="57EA822E" w14:textId="77777777" w:rsidR="00695AD0" w:rsidRPr="001711EE" w:rsidRDefault="00695AD0" w:rsidP="00D016CB">
      <w:pPr>
        <w:numPr>
          <w:ilvl w:val="0"/>
          <w:numId w:val="11"/>
        </w:numPr>
        <w:spacing w:line="360" w:lineRule="auto"/>
        <w:jc w:val="both"/>
        <w:rPr>
          <w:rFonts w:ascii="Arial" w:hAnsi="Arial" w:cs="Arial"/>
          <w:sz w:val="22"/>
          <w:szCs w:val="22"/>
        </w:rPr>
      </w:pPr>
      <w:r w:rsidRPr="001711EE">
        <w:rPr>
          <w:rFonts w:ascii="Arial" w:hAnsi="Arial" w:cs="Arial"/>
          <w:sz w:val="22"/>
          <w:szCs w:val="22"/>
        </w:rPr>
        <w:t>Interest-Based Relational Approach: The Interest-Based Relational Approach (IBR) focuses on uncovering the underlying interests and needs of parties involved in a conflict, rather than focusing solely on positions or demands. This model emphasizes collaborative problem-solving, active listening, and building mutual trust and respect. By identifying shared interests and developing creative solutions, conflicts can be resolved in a way that satisfies all parties involved (Fisher, R., Ury, W., &amp; Patton, B., 1991).</w:t>
      </w:r>
    </w:p>
    <w:p w14:paraId="096AAA91" w14:textId="77777777" w:rsidR="00695AD0" w:rsidRPr="001711EE" w:rsidRDefault="00695AD0" w:rsidP="00D016CB">
      <w:pPr>
        <w:numPr>
          <w:ilvl w:val="0"/>
          <w:numId w:val="12"/>
        </w:numPr>
        <w:spacing w:line="360" w:lineRule="auto"/>
        <w:jc w:val="both"/>
        <w:rPr>
          <w:rFonts w:ascii="Arial" w:hAnsi="Arial" w:cs="Arial"/>
          <w:sz w:val="22"/>
          <w:szCs w:val="22"/>
        </w:rPr>
      </w:pPr>
      <w:r w:rsidRPr="001711EE">
        <w:rPr>
          <w:rFonts w:ascii="Arial" w:hAnsi="Arial" w:cs="Arial"/>
          <w:sz w:val="22"/>
          <w:szCs w:val="22"/>
        </w:rPr>
        <w:lastRenderedPageBreak/>
        <w:t>Dual Concern Model: The Dual Concern Model proposes that individuals' attitudes towards conflicts are shaped by two primary concerns: concern for self (assertiveness) and concern for others (cooperativeness). This model categorizes conflict resolution styles into four quadrants: competing, collaborating, compromising, avoiding, and accommodating, based on the degree of assertiveness and cooperativeness exhibited by individuals in conflict situations (Blake, R., &amp; Mouton, J., 1964).</w:t>
      </w:r>
    </w:p>
    <w:p w14:paraId="0DED910D" w14:textId="77777777" w:rsidR="00695AD0" w:rsidRPr="00D016CB" w:rsidRDefault="00695AD0" w:rsidP="00D016CB">
      <w:pPr>
        <w:spacing w:line="360" w:lineRule="auto"/>
        <w:jc w:val="both"/>
        <w:rPr>
          <w:rFonts w:ascii="Arial" w:hAnsi="Arial" w:cs="Arial"/>
          <w:sz w:val="22"/>
          <w:szCs w:val="22"/>
        </w:rPr>
      </w:pPr>
    </w:p>
    <w:p w14:paraId="1444632C" w14:textId="77777777" w:rsidR="00AB10C4" w:rsidRPr="00AB10C4" w:rsidRDefault="00AB10C4" w:rsidP="00D016CB">
      <w:pPr>
        <w:spacing w:line="360" w:lineRule="auto"/>
        <w:jc w:val="both"/>
        <w:rPr>
          <w:rFonts w:ascii="Arial" w:hAnsi="Arial" w:cs="Arial"/>
          <w:sz w:val="22"/>
          <w:szCs w:val="22"/>
        </w:rPr>
      </w:pPr>
      <w:r w:rsidRPr="00AB10C4">
        <w:rPr>
          <w:rFonts w:ascii="Arial" w:hAnsi="Arial" w:cs="Arial"/>
          <w:sz w:val="22"/>
          <w:szCs w:val="22"/>
        </w:rPr>
        <w:t>One conflict resolution style and model that can help the organization in this situation is the Collaborative style and the Interest-Based Relational approach.</w:t>
      </w:r>
    </w:p>
    <w:p w14:paraId="1E9D593E" w14:textId="77777777" w:rsidR="00AB10C4" w:rsidRPr="00AB10C4" w:rsidRDefault="00AB10C4" w:rsidP="00D016CB">
      <w:pPr>
        <w:spacing w:line="360" w:lineRule="auto"/>
        <w:jc w:val="both"/>
        <w:rPr>
          <w:rFonts w:ascii="Arial" w:hAnsi="Arial" w:cs="Arial"/>
          <w:sz w:val="22"/>
          <w:szCs w:val="22"/>
        </w:rPr>
      </w:pPr>
      <w:r w:rsidRPr="00AB10C4">
        <w:rPr>
          <w:rFonts w:ascii="Arial" w:hAnsi="Arial" w:cs="Arial"/>
          <w:sz w:val="22"/>
          <w:szCs w:val="22"/>
        </w:rPr>
        <w:t>The Collaborative style focuses on finding a solution that satisfies the needs and interests of all parties involved in the conflict. This approach emphasizes open communication, active listening, and a willingness to work together to find a mutually beneficial resolution.</w:t>
      </w:r>
    </w:p>
    <w:p w14:paraId="1575533A" w14:textId="77777777" w:rsidR="00AB10C4" w:rsidRPr="00AB10C4" w:rsidRDefault="00AB10C4" w:rsidP="00D016CB">
      <w:pPr>
        <w:spacing w:line="360" w:lineRule="auto"/>
        <w:jc w:val="both"/>
        <w:rPr>
          <w:rFonts w:ascii="Arial" w:hAnsi="Arial" w:cs="Arial"/>
          <w:sz w:val="22"/>
          <w:szCs w:val="22"/>
        </w:rPr>
      </w:pPr>
      <w:r w:rsidRPr="00AB10C4">
        <w:rPr>
          <w:rFonts w:ascii="Arial" w:hAnsi="Arial" w:cs="Arial"/>
          <w:sz w:val="22"/>
          <w:szCs w:val="22"/>
        </w:rPr>
        <w:t>The Interest-Based Relational approach, on the other hand, focuses on understanding the underlying interests and needs of each party in the conflict. By identifying and addressing these interests, the parties can work towards a resolution that meets everyone's needs and helps to maintain positive relationships.</w:t>
      </w:r>
    </w:p>
    <w:p w14:paraId="51069848" w14:textId="77777777" w:rsidR="00AB10C4" w:rsidRPr="00AB10C4" w:rsidRDefault="00AB10C4" w:rsidP="00D016CB">
      <w:pPr>
        <w:spacing w:line="360" w:lineRule="auto"/>
        <w:jc w:val="both"/>
        <w:rPr>
          <w:rFonts w:ascii="Arial" w:hAnsi="Arial" w:cs="Arial"/>
          <w:sz w:val="22"/>
          <w:szCs w:val="22"/>
        </w:rPr>
      </w:pPr>
      <w:r w:rsidRPr="00AB10C4">
        <w:rPr>
          <w:rFonts w:ascii="Arial" w:hAnsi="Arial" w:cs="Arial"/>
          <w:sz w:val="22"/>
          <w:szCs w:val="22"/>
        </w:rPr>
        <w:t>By utilizing these conflict resolution styles and models, the organization can work towards resolving the issues that led to the strike and fostering a positive work environment moving forward. This can help to improve communication, build trust, and ultimately prevent similar conflicts from arising in the future.</w:t>
      </w:r>
    </w:p>
    <w:p w14:paraId="6E48460E" w14:textId="77777777" w:rsidR="00E85742" w:rsidRPr="009848FD" w:rsidRDefault="00E85742" w:rsidP="00D016CB">
      <w:pPr>
        <w:spacing w:line="360" w:lineRule="auto"/>
        <w:jc w:val="both"/>
        <w:rPr>
          <w:rFonts w:ascii="Arial" w:hAnsi="Arial" w:cs="Arial"/>
          <w:sz w:val="28"/>
          <w:szCs w:val="28"/>
        </w:rPr>
      </w:pPr>
    </w:p>
    <w:p w14:paraId="3BFFB545" w14:textId="03B5ADC2" w:rsidR="00EB1457" w:rsidRPr="009848FD" w:rsidRDefault="00EB1457" w:rsidP="00D016CB">
      <w:pPr>
        <w:pStyle w:val="Heading1"/>
        <w:spacing w:line="360" w:lineRule="auto"/>
        <w:jc w:val="both"/>
        <w:rPr>
          <w:rFonts w:ascii="Arial" w:hAnsi="Arial" w:cs="Arial"/>
          <w:sz w:val="28"/>
          <w:szCs w:val="28"/>
        </w:rPr>
      </w:pPr>
      <w:bookmarkStart w:id="5" w:name="_Toc172965435"/>
      <w:r w:rsidRPr="009848FD">
        <w:rPr>
          <w:rFonts w:ascii="Arial" w:hAnsi="Arial" w:cs="Arial"/>
          <w:sz w:val="28"/>
          <w:szCs w:val="28"/>
        </w:rPr>
        <w:t>2.2</w:t>
      </w:r>
      <w:r w:rsidR="0016318F" w:rsidRPr="009848FD">
        <w:rPr>
          <w:rFonts w:ascii="Arial" w:hAnsi="Arial" w:cs="Arial"/>
          <w:sz w:val="28"/>
          <w:szCs w:val="28"/>
        </w:rPr>
        <w:t xml:space="preserve"> In</w:t>
      </w:r>
      <w:r w:rsidR="008F6E18" w:rsidRPr="009848FD">
        <w:rPr>
          <w:rFonts w:ascii="Arial" w:hAnsi="Arial" w:cs="Arial"/>
          <w:sz w:val="28"/>
          <w:szCs w:val="28"/>
        </w:rPr>
        <w:t>terest-based conflict resolution</w:t>
      </w:r>
      <w:r w:rsidRPr="009848FD">
        <w:rPr>
          <w:rFonts w:ascii="Arial" w:hAnsi="Arial" w:cs="Arial"/>
          <w:sz w:val="28"/>
          <w:szCs w:val="28"/>
        </w:rPr>
        <w:t xml:space="preserve"> </w:t>
      </w:r>
      <w:r w:rsidR="008F6E18" w:rsidRPr="009848FD">
        <w:rPr>
          <w:rFonts w:ascii="Arial" w:hAnsi="Arial" w:cs="Arial"/>
          <w:sz w:val="28"/>
          <w:szCs w:val="28"/>
        </w:rPr>
        <w:t>m</w:t>
      </w:r>
      <w:r w:rsidRPr="009848FD">
        <w:rPr>
          <w:rFonts w:ascii="Arial" w:hAnsi="Arial" w:cs="Arial"/>
          <w:sz w:val="28"/>
          <w:szCs w:val="28"/>
        </w:rPr>
        <w:t>odel</w:t>
      </w:r>
      <w:bookmarkEnd w:id="5"/>
    </w:p>
    <w:p w14:paraId="4F6E3BAE" w14:textId="77777777" w:rsidR="00C12854" w:rsidRPr="00D016CB" w:rsidRDefault="00C12854" w:rsidP="00D016CB">
      <w:pPr>
        <w:spacing w:line="360" w:lineRule="auto"/>
        <w:jc w:val="both"/>
        <w:rPr>
          <w:rFonts w:ascii="Arial" w:hAnsi="Arial" w:cs="Arial"/>
          <w:sz w:val="22"/>
          <w:szCs w:val="22"/>
        </w:rPr>
      </w:pPr>
    </w:p>
    <w:p w14:paraId="74249205" w14:textId="77777777" w:rsidR="0016318F" w:rsidRPr="0016318F" w:rsidRDefault="0016318F" w:rsidP="00D016CB">
      <w:pPr>
        <w:spacing w:line="360" w:lineRule="auto"/>
        <w:jc w:val="both"/>
        <w:rPr>
          <w:rFonts w:ascii="Arial" w:hAnsi="Arial" w:cs="Arial"/>
          <w:sz w:val="22"/>
          <w:szCs w:val="22"/>
        </w:rPr>
      </w:pPr>
      <w:r w:rsidRPr="0016318F">
        <w:rPr>
          <w:rFonts w:ascii="Arial" w:hAnsi="Arial" w:cs="Arial"/>
          <w:sz w:val="22"/>
          <w:szCs w:val="22"/>
        </w:rPr>
        <w:t>The interest-based conflict resolution model focuses on identifying the underlying interests of both parties involved in the conflict and finding solutions that satisfy those interests. Here's how this model can be applied to resolve the pay dispute between Post Office workers and management:</w:t>
      </w:r>
    </w:p>
    <w:p w14:paraId="3A02C406" w14:textId="77777777" w:rsidR="0016318F" w:rsidRPr="0016318F" w:rsidRDefault="0016318F" w:rsidP="00D016CB">
      <w:pPr>
        <w:numPr>
          <w:ilvl w:val="0"/>
          <w:numId w:val="13"/>
        </w:numPr>
        <w:spacing w:line="360" w:lineRule="auto"/>
        <w:jc w:val="both"/>
        <w:rPr>
          <w:rFonts w:ascii="Arial" w:hAnsi="Arial" w:cs="Arial"/>
          <w:sz w:val="22"/>
          <w:szCs w:val="22"/>
        </w:rPr>
      </w:pPr>
      <w:r w:rsidRPr="0016318F">
        <w:rPr>
          <w:rFonts w:ascii="Arial" w:hAnsi="Arial" w:cs="Arial"/>
          <w:sz w:val="22"/>
          <w:szCs w:val="22"/>
        </w:rPr>
        <w:t>Identify Interests:</w:t>
      </w:r>
    </w:p>
    <w:p w14:paraId="1726FDE9" w14:textId="77777777" w:rsidR="0016318F" w:rsidRPr="0016318F" w:rsidRDefault="0016318F" w:rsidP="00D016CB">
      <w:pPr>
        <w:numPr>
          <w:ilvl w:val="0"/>
          <w:numId w:val="14"/>
        </w:numPr>
        <w:spacing w:line="360" w:lineRule="auto"/>
        <w:jc w:val="both"/>
        <w:rPr>
          <w:rFonts w:ascii="Arial" w:hAnsi="Arial" w:cs="Arial"/>
          <w:sz w:val="22"/>
          <w:szCs w:val="22"/>
        </w:rPr>
      </w:pPr>
      <w:r w:rsidRPr="0016318F">
        <w:rPr>
          <w:rFonts w:ascii="Arial" w:hAnsi="Arial" w:cs="Arial"/>
          <w:sz w:val="22"/>
          <w:szCs w:val="22"/>
        </w:rPr>
        <w:t>Post Office Workers: The workers' primary interest is to receive fair and competitive wages that keep up with the rising cost of living. They want to be adequately compensated for their work and contributions to the organization.</w:t>
      </w:r>
    </w:p>
    <w:p w14:paraId="4DE7A46B" w14:textId="77777777" w:rsidR="0016318F" w:rsidRPr="0016318F" w:rsidRDefault="0016318F" w:rsidP="00D016CB">
      <w:pPr>
        <w:numPr>
          <w:ilvl w:val="0"/>
          <w:numId w:val="14"/>
        </w:numPr>
        <w:spacing w:line="360" w:lineRule="auto"/>
        <w:jc w:val="both"/>
        <w:rPr>
          <w:rFonts w:ascii="Arial" w:hAnsi="Arial" w:cs="Arial"/>
          <w:sz w:val="22"/>
          <w:szCs w:val="22"/>
        </w:rPr>
      </w:pPr>
      <w:r w:rsidRPr="0016318F">
        <w:rPr>
          <w:rFonts w:ascii="Arial" w:hAnsi="Arial" w:cs="Arial"/>
          <w:sz w:val="22"/>
          <w:szCs w:val="22"/>
        </w:rPr>
        <w:lastRenderedPageBreak/>
        <w:t>Post Office Management: The management's interests may include maintaining financial stability, controlling costs, and ensuring the long-term sustainability of the Post Office. They may also want to retain a skilled and motivated workforce.</w:t>
      </w:r>
    </w:p>
    <w:p w14:paraId="4A9B6F5E" w14:textId="77777777" w:rsidR="0016318F" w:rsidRPr="0016318F" w:rsidRDefault="0016318F" w:rsidP="00D016CB">
      <w:pPr>
        <w:numPr>
          <w:ilvl w:val="0"/>
          <w:numId w:val="15"/>
        </w:numPr>
        <w:spacing w:line="360" w:lineRule="auto"/>
        <w:jc w:val="both"/>
        <w:rPr>
          <w:rFonts w:ascii="Arial" w:hAnsi="Arial" w:cs="Arial"/>
          <w:sz w:val="22"/>
          <w:szCs w:val="22"/>
        </w:rPr>
      </w:pPr>
      <w:r w:rsidRPr="0016318F">
        <w:rPr>
          <w:rFonts w:ascii="Arial" w:hAnsi="Arial" w:cs="Arial"/>
          <w:sz w:val="22"/>
          <w:szCs w:val="22"/>
        </w:rPr>
        <w:t>Communicate and Listen: Both parties should engage in open and honest communication to understand each other's perspectives and interests. Post Office management should listen to the concerns raised by the workers and acknowledge the impact of inflation on their financial well-being.</w:t>
      </w:r>
    </w:p>
    <w:p w14:paraId="480C4276" w14:textId="77777777" w:rsidR="0016318F" w:rsidRPr="0016318F" w:rsidRDefault="0016318F" w:rsidP="00D016CB">
      <w:pPr>
        <w:numPr>
          <w:ilvl w:val="0"/>
          <w:numId w:val="15"/>
        </w:numPr>
        <w:spacing w:line="360" w:lineRule="auto"/>
        <w:jc w:val="both"/>
        <w:rPr>
          <w:rFonts w:ascii="Arial" w:hAnsi="Arial" w:cs="Arial"/>
          <w:sz w:val="22"/>
          <w:szCs w:val="22"/>
        </w:rPr>
      </w:pPr>
      <w:r w:rsidRPr="0016318F">
        <w:rPr>
          <w:rFonts w:ascii="Arial" w:hAnsi="Arial" w:cs="Arial"/>
          <w:sz w:val="22"/>
          <w:szCs w:val="22"/>
        </w:rPr>
        <w:t>Brainstorm Solutions: Based on the identified interests, both parties can brainstorm potential solutions that address the core issues. Possible solutions may include:</w:t>
      </w:r>
    </w:p>
    <w:p w14:paraId="195E967D" w14:textId="77777777" w:rsidR="0016318F" w:rsidRPr="0016318F" w:rsidRDefault="0016318F" w:rsidP="00D016CB">
      <w:pPr>
        <w:numPr>
          <w:ilvl w:val="0"/>
          <w:numId w:val="16"/>
        </w:numPr>
        <w:spacing w:line="360" w:lineRule="auto"/>
        <w:jc w:val="both"/>
        <w:rPr>
          <w:rFonts w:ascii="Arial" w:hAnsi="Arial" w:cs="Arial"/>
          <w:sz w:val="22"/>
          <w:szCs w:val="22"/>
        </w:rPr>
      </w:pPr>
      <w:r w:rsidRPr="0016318F">
        <w:rPr>
          <w:rFonts w:ascii="Arial" w:hAnsi="Arial" w:cs="Arial"/>
          <w:sz w:val="22"/>
          <w:szCs w:val="22"/>
        </w:rPr>
        <w:t>Post Office Management increasing the pay increase percentage to better align with inflation rates.</w:t>
      </w:r>
    </w:p>
    <w:p w14:paraId="5CC00948" w14:textId="77777777" w:rsidR="0016318F" w:rsidRPr="0016318F" w:rsidRDefault="0016318F" w:rsidP="00D016CB">
      <w:pPr>
        <w:numPr>
          <w:ilvl w:val="0"/>
          <w:numId w:val="16"/>
        </w:numPr>
        <w:spacing w:line="360" w:lineRule="auto"/>
        <w:jc w:val="both"/>
        <w:rPr>
          <w:rFonts w:ascii="Arial" w:hAnsi="Arial" w:cs="Arial"/>
          <w:sz w:val="22"/>
          <w:szCs w:val="22"/>
        </w:rPr>
      </w:pPr>
      <w:r w:rsidRPr="0016318F">
        <w:rPr>
          <w:rFonts w:ascii="Arial" w:hAnsi="Arial" w:cs="Arial"/>
          <w:sz w:val="22"/>
          <w:szCs w:val="22"/>
        </w:rPr>
        <w:t>Offering additional benefits or incentives to compensate for the wages frozen in 2021.</w:t>
      </w:r>
    </w:p>
    <w:p w14:paraId="4E31011F" w14:textId="77777777" w:rsidR="0016318F" w:rsidRPr="0016318F" w:rsidRDefault="0016318F" w:rsidP="00D016CB">
      <w:pPr>
        <w:numPr>
          <w:ilvl w:val="0"/>
          <w:numId w:val="16"/>
        </w:numPr>
        <w:spacing w:line="360" w:lineRule="auto"/>
        <w:jc w:val="both"/>
        <w:rPr>
          <w:rFonts w:ascii="Arial" w:hAnsi="Arial" w:cs="Arial"/>
          <w:sz w:val="22"/>
          <w:szCs w:val="22"/>
        </w:rPr>
      </w:pPr>
      <w:r w:rsidRPr="0016318F">
        <w:rPr>
          <w:rFonts w:ascii="Arial" w:hAnsi="Arial" w:cs="Arial"/>
          <w:sz w:val="22"/>
          <w:szCs w:val="22"/>
        </w:rPr>
        <w:t>Implementing a performance-based pay system that rewards employees for their contributions.</w:t>
      </w:r>
    </w:p>
    <w:p w14:paraId="4904E6AA" w14:textId="77777777" w:rsidR="0016318F" w:rsidRPr="0016318F" w:rsidRDefault="0016318F" w:rsidP="00D016CB">
      <w:pPr>
        <w:numPr>
          <w:ilvl w:val="0"/>
          <w:numId w:val="17"/>
        </w:numPr>
        <w:spacing w:line="360" w:lineRule="auto"/>
        <w:jc w:val="both"/>
        <w:rPr>
          <w:rFonts w:ascii="Arial" w:hAnsi="Arial" w:cs="Arial"/>
          <w:sz w:val="22"/>
          <w:szCs w:val="22"/>
        </w:rPr>
      </w:pPr>
      <w:r w:rsidRPr="0016318F">
        <w:rPr>
          <w:rFonts w:ascii="Arial" w:hAnsi="Arial" w:cs="Arial"/>
          <w:sz w:val="22"/>
          <w:szCs w:val="22"/>
        </w:rPr>
        <w:t>Evaluate and Discuss Options: Both parties should evaluate the proposed solutions based on their feasibility, impact on each party's interests, and alignment with the goal of reaching a mutually acceptable agreement. They should discuss the pros and cons of each option and be willing to compromise to find a solution that meets their shared interests.</w:t>
      </w:r>
    </w:p>
    <w:p w14:paraId="5C11F0E1" w14:textId="77777777" w:rsidR="0016318F" w:rsidRPr="0016318F" w:rsidRDefault="0016318F" w:rsidP="00D016CB">
      <w:pPr>
        <w:numPr>
          <w:ilvl w:val="0"/>
          <w:numId w:val="17"/>
        </w:numPr>
        <w:spacing w:line="360" w:lineRule="auto"/>
        <w:jc w:val="both"/>
        <w:rPr>
          <w:rFonts w:ascii="Arial" w:hAnsi="Arial" w:cs="Arial"/>
          <w:sz w:val="22"/>
          <w:szCs w:val="22"/>
        </w:rPr>
      </w:pPr>
      <w:r w:rsidRPr="0016318F">
        <w:rPr>
          <w:rFonts w:ascii="Arial" w:hAnsi="Arial" w:cs="Arial"/>
          <w:sz w:val="22"/>
          <w:szCs w:val="22"/>
        </w:rPr>
        <w:t>Negotiate and Reach a Resolution: Through negotiation and compromise, Post Office workers and management can work towards a resolution that addresses their core interests. This may involve adjusting the pay increase percentage, offering additional bonuses or benefits, or exploring other creative solutions to bridge the gap between the initial offer and the workers' expectations.</w:t>
      </w:r>
    </w:p>
    <w:p w14:paraId="3752E1DF" w14:textId="77777777" w:rsidR="0016318F" w:rsidRPr="0016318F" w:rsidRDefault="0016318F" w:rsidP="00D016CB">
      <w:pPr>
        <w:numPr>
          <w:ilvl w:val="0"/>
          <w:numId w:val="17"/>
        </w:numPr>
        <w:spacing w:line="360" w:lineRule="auto"/>
        <w:jc w:val="both"/>
        <w:rPr>
          <w:rFonts w:ascii="Arial" w:hAnsi="Arial" w:cs="Arial"/>
          <w:sz w:val="22"/>
          <w:szCs w:val="22"/>
        </w:rPr>
      </w:pPr>
      <w:r w:rsidRPr="0016318F">
        <w:rPr>
          <w:rFonts w:ascii="Arial" w:hAnsi="Arial" w:cs="Arial"/>
          <w:sz w:val="22"/>
          <w:szCs w:val="22"/>
        </w:rPr>
        <w:t>Document and Implement the Agreement: Once a resolution is reached, both parties should document the agreed-upon terms and ensure clear communication about the implementation plan. Post Office management should follow through on the commitments made to the workers, and workers should uphold their end of the agreement.</w:t>
      </w:r>
    </w:p>
    <w:p w14:paraId="01B004B4" w14:textId="77777777" w:rsidR="0016318F" w:rsidRPr="0016318F" w:rsidRDefault="0016318F" w:rsidP="00D016CB">
      <w:pPr>
        <w:spacing w:line="360" w:lineRule="auto"/>
        <w:jc w:val="both"/>
        <w:rPr>
          <w:rFonts w:ascii="Arial" w:hAnsi="Arial" w:cs="Arial"/>
          <w:sz w:val="22"/>
          <w:szCs w:val="22"/>
        </w:rPr>
      </w:pPr>
      <w:r w:rsidRPr="0016318F">
        <w:rPr>
          <w:rFonts w:ascii="Arial" w:hAnsi="Arial" w:cs="Arial"/>
          <w:sz w:val="22"/>
          <w:szCs w:val="22"/>
        </w:rPr>
        <w:t xml:space="preserve">By applying the interest-based conflict resolution model, Post Office workers and management can work collaboratively to find a solution that balances the needs and interests of both parties. </w:t>
      </w:r>
      <w:r w:rsidRPr="0016318F">
        <w:rPr>
          <w:rFonts w:ascii="Arial" w:hAnsi="Arial" w:cs="Arial"/>
          <w:sz w:val="22"/>
          <w:szCs w:val="22"/>
        </w:rPr>
        <w:lastRenderedPageBreak/>
        <w:t>This approach emphasizes understanding, collaboration, and mutual benefit to effectively resolve conflicts and build stronger relationships within the organization.</w:t>
      </w:r>
    </w:p>
    <w:p w14:paraId="05425BF7" w14:textId="77777777" w:rsidR="00C12854" w:rsidRPr="00D016CB" w:rsidRDefault="00C12854" w:rsidP="00D016CB">
      <w:pPr>
        <w:spacing w:line="360" w:lineRule="auto"/>
        <w:jc w:val="both"/>
        <w:rPr>
          <w:rFonts w:ascii="Arial" w:hAnsi="Arial" w:cs="Arial"/>
          <w:sz w:val="22"/>
          <w:szCs w:val="22"/>
        </w:rPr>
      </w:pPr>
    </w:p>
    <w:p w14:paraId="6BEB387B" w14:textId="676BE065" w:rsidR="00EB1457" w:rsidRPr="009848FD" w:rsidRDefault="00872AEA" w:rsidP="00D016CB">
      <w:pPr>
        <w:pStyle w:val="Heading1"/>
        <w:spacing w:line="360" w:lineRule="auto"/>
        <w:ind w:left="720"/>
        <w:jc w:val="both"/>
        <w:rPr>
          <w:rFonts w:ascii="Arial" w:hAnsi="Arial" w:cs="Arial"/>
          <w:sz w:val="28"/>
          <w:szCs w:val="28"/>
        </w:rPr>
      </w:pPr>
      <w:bookmarkStart w:id="6" w:name="_Toc172965436"/>
      <w:r w:rsidRPr="009848FD">
        <w:rPr>
          <w:rFonts w:ascii="Arial" w:hAnsi="Arial" w:cs="Arial"/>
          <w:sz w:val="28"/>
          <w:szCs w:val="28"/>
        </w:rPr>
        <w:t>3.</w:t>
      </w:r>
      <w:r w:rsidR="00194F01" w:rsidRPr="009848FD">
        <w:rPr>
          <w:rFonts w:ascii="Arial" w:hAnsi="Arial" w:cs="Arial"/>
          <w:sz w:val="28"/>
          <w:szCs w:val="28"/>
        </w:rPr>
        <w:t xml:space="preserve"> </w:t>
      </w:r>
      <w:r w:rsidR="00A1672A" w:rsidRPr="009848FD">
        <w:rPr>
          <w:rFonts w:ascii="Arial" w:hAnsi="Arial" w:cs="Arial"/>
          <w:sz w:val="28"/>
          <w:szCs w:val="28"/>
        </w:rPr>
        <w:t>Critical analysis</w:t>
      </w:r>
      <w:bookmarkEnd w:id="6"/>
    </w:p>
    <w:p w14:paraId="2DFC7FD8" w14:textId="2CA47FEB" w:rsidR="00057CF2" w:rsidRPr="00D016CB" w:rsidRDefault="009848FD" w:rsidP="00D016CB">
      <w:pPr>
        <w:spacing w:line="360" w:lineRule="auto"/>
        <w:jc w:val="both"/>
        <w:rPr>
          <w:rFonts w:ascii="Arial" w:hAnsi="Arial" w:cs="Arial"/>
          <w:sz w:val="22"/>
          <w:szCs w:val="22"/>
        </w:rPr>
      </w:pPr>
      <w:r>
        <w:rPr>
          <w:rFonts w:ascii="Arial" w:hAnsi="Arial" w:cs="Arial"/>
          <w:sz w:val="22"/>
          <w:szCs w:val="22"/>
        </w:rPr>
        <w:tab/>
      </w:r>
    </w:p>
    <w:p w14:paraId="11C8A204" w14:textId="77777777" w:rsidR="00974F9A" w:rsidRPr="00D016CB" w:rsidRDefault="00974F9A" w:rsidP="009848FD">
      <w:pPr>
        <w:spacing w:line="360" w:lineRule="auto"/>
        <w:ind w:firstLine="720"/>
        <w:jc w:val="both"/>
        <w:rPr>
          <w:rFonts w:ascii="Arial" w:hAnsi="Arial" w:cs="Arial"/>
          <w:sz w:val="22"/>
          <w:szCs w:val="22"/>
        </w:rPr>
      </w:pPr>
      <w:r w:rsidRPr="00974F9A">
        <w:rPr>
          <w:rFonts w:ascii="Arial" w:hAnsi="Arial" w:cs="Arial"/>
          <w:sz w:val="22"/>
          <w:szCs w:val="22"/>
        </w:rPr>
        <w:t>There are several key stakeholders involved in the conflict resolution process at the post office, including employees, management, unions, and customers. The interest-based conflict resolution model proved effective in the case study because it emphasized finding mutually beneficial solutions that addressed the interests and needs of all parties involved.</w:t>
      </w:r>
    </w:p>
    <w:p w14:paraId="3A51BEA0" w14:textId="77777777" w:rsidR="000643CA" w:rsidRPr="000643CA" w:rsidRDefault="000643CA" w:rsidP="00D016CB">
      <w:pPr>
        <w:spacing w:line="360" w:lineRule="auto"/>
        <w:jc w:val="both"/>
        <w:rPr>
          <w:rFonts w:ascii="Arial" w:hAnsi="Arial" w:cs="Arial"/>
          <w:sz w:val="22"/>
          <w:szCs w:val="22"/>
        </w:rPr>
      </w:pPr>
      <w:r w:rsidRPr="000643CA">
        <w:rPr>
          <w:rFonts w:ascii="Arial" w:hAnsi="Arial" w:cs="Arial"/>
          <w:sz w:val="22"/>
          <w:szCs w:val="22"/>
        </w:rPr>
        <w:t>To reach a 'win-win' solution among stakeholders involved in conflict resolution, it is essential to approach the situation with a mindset focused on collaboration, mutual benefit, and creative problem-solving. Here are some critical ways to achieve a 'win-win' solution based on the post office case study and general conflict resolution principles:</w:t>
      </w:r>
    </w:p>
    <w:p w14:paraId="6D0AC295" w14:textId="4110FF0E"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 xml:space="preserve">Identify Interests and Priorities: Understand the interests, needs, and priorities of each stakeholder involved in the conflict. By </w:t>
      </w:r>
      <w:r w:rsidR="007E2129" w:rsidRPr="00D016CB">
        <w:rPr>
          <w:rFonts w:ascii="Arial" w:hAnsi="Arial" w:cs="Arial"/>
          <w:sz w:val="22"/>
          <w:szCs w:val="22"/>
        </w:rPr>
        <w:t>considering</w:t>
      </w:r>
      <w:r w:rsidRPr="000643CA">
        <w:rPr>
          <w:rFonts w:ascii="Arial" w:hAnsi="Arial" w:cs="Arial"/>
          <w:sz w:val="22"/>
          <w:szCs w:val="22"/>
        </w:rPr>
        <w:t xml:space="preserve"> the underlying motivations and concerns of all parties, you can tailor solutions that address their specific interests and create value for everyone.</w:t>
      </w:r>
    </w:p>
    <w:p w14:paraId="50D7D2C0" w14:textId="77777777"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Foster Open Communication: Establish clear channels of communication and create a safe space for stakeholders to voice their perspectives, concerns, and ideas. Encourage active listening, empathy, and respectful dialogue to build understanding and trust among the parties.</w:t>
      </w:r>
    </w:p>
    <w:p w14:paraId="02BCFD13" w14:textId="77777777"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Collaborate on Solutions: Engage stakeholders in a collaborative problem-solving process where everyone has a voice in generating and evaluating potential solutions. Encourage brainstorming, creativity, and exploration of alternative options to find innovative ways to meet the needs of all parties.</w:t>
      </w:r>
    </w:p>
    <w:p w14:paraId="274575E8" w14:textId="77777777"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Focus on Common Goals: Identify shared objectives or common ground that can serve as a basis for collaboration and compromise. By aligning on overarching goals or interests, stakeholders can work together towards a solution that benefits everyone involved.</w:t>
      </w:r>
    </w:p>
    <w:p w14:paraId="2EC8FB02" w14:textId="77777777"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 xml:space="preserve">Seek Win-Win Outcomes: Strive to find solutions that provide positive outcomes for all stakeholders, rather than a zero-sum game where one party wins at the expense of </w:t>
      </w:r>
      <w:r w:rsidRPr="000643CA">
        <w:rPr>
          <w:rFonts w:ascii="Arial" w:hAnsi="Arial" w:cs="Arial"/>
          <w:sz w:val="22"/>
          <w:szCs w:val="22"/>
        </w:rPr>
        <w:lastRenderedPageBreak/>
        <w:t>others. Look for opportunities to create value, build trust, and foster long-term relationships through mutually beneficial agreements.</w:t>
      </w:r>
    </w:p>
    <w:p w14:paraId="6F524F45" w14:textId="77777777"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Generate Options for Mutual Gain: Explore multiple options and trade-offs that can help satisfy the interests of different stakeholders. Consider flexibility, creativity, and compromise in developing solutions that maximize benefits and minimize risks for all parties.</w:t>
      </w:r>
    </w:p>
    <w:p w14:paraId="43B7F836" w14:textId="77777777"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Address Power Imbalances: Be mindful of power dynamics and asymmetries among stakeholders that may influence the negotiation process. Work towards creating a level playing field where all parties have a fair chance to contribute to and benefit from the resolution.</w:t>
      </w:r>
    </w:p>
    <w:p w14:paraId="03BA0A0F" w14:textId="77777777" w:rsidR="000643CA" w:rsidRPr="000643CA" w:rsidRDefault="000643CA" w:rsidP="00D016CB">
      <w:pPr>
        <w:numPr>
          <w:ilvl w:val="0"/>
          <w:numId w:val="23"/>
        </w:numPr>
        <w:spacing w:line="360" w:lineRule="auto"/>
        <w:jc w:val="both"/>
        <w:rPr>
          <w:rFonts w:ascii="Arial" w:hAnsi="Arial" w:cs="Arial"/>
          <w:sz w:val="22"/>
          <w:szCs w:val="22"/>
        </w:rPr>
      </w:pPr>
      <w:r w:rsidRPr="000643CA">
        <w:rPr>
          <w:rFonts w:ascii="Arial" w:hAnsi="Arial" w:cs="Arial"/>
          <w:sz w:val="22"/>
          <w:szCs w:val="22"/>
        </w:rPr>
        <w:t>Implement and Monitor Agreements: Once a 'win-win' solution is reached, ensure clear agreements are in place, and mechanisms are established for monitoring and evaluating progress. Communicate expectations, responsibilities, and timelines to maintain accountability and sustain the positive outcomes achieved.</w:t>
      </w:r>
    </w:p>
    <w:p w14:paraId="49E109AA" w14:textId="77777777" w:rsidR="00625C0C" w:rsidRPr="00D016CB" w:rsidRDefault="00625C0C" w:rsidP="00D016CB">
      <w:pPr>
        <w:spacing w:line="360" w:lineRule="auto"/>
        <w:jc w:val="both"/>
        <w:rPr>
          <w:rFonts w:ascii="Arial" w:hAnsi="Arial" w:cs="Arial"/>
          <w:sz w:val="22"/>
          <w:szCs w:val="22"/>
        </w:rPr>
      </w:pPr>
    </w:p>
    <w:p w14:paraId="5C76E9BE" w14:textId="1DE734CB" w:rsidR="00974F9A" w:rsidRPr="00974F9A" w:rsidRDefault="00974F9A" w:rsidP="00D016CB">
      <w:pPr>
        <w:spacing w:line="360" w:lineRule="auto"/>
        <w:jc w:val="both"/>
        <w:rPr>
          <w:rFonts w:ascii="Arial" w:hAnsi="Arial" w:cs="Arial"/>
          <w:sz w:val="22"/>
          <w:szCs w:val="22"/>
        </w:rPr>
      </w:pPr>
      <w:r w:rsidRPr="00974F9A">
        <w:rPr>
          <w:rFonts w:ascii="Arial" w:hAnsi="Arial" w:cs="Arial"/>
          <w:sz w:val="22"/>
          <w:szCs w:val="22"/>
        </w:rPr>
        <w:t>Additionally, it is important to involve all relevant stakeholders in the decision-making process and encourage them to share their perspectives and ideas. This participatory approach helps to build trust, foster cooperation, and create a sense of ownership among the stakeholders.</w:t>
      </w:r>
    </w:p>
    <w:p w14:paraId="58F21169" w14:textId="77777777" w:rsidR="00974F9A" w:rsidRPr="00974F9A" w:rsidRDefault="00974F9A" w:rsidP="00D016CB">
      <w:pPr>
        <w:spacing w:line="360" w:lineRule="auto"/>
        <w:jc w:val="both"/>
        <w:rPr>
          <w:rFonts w:ascii="Arial" w:hAnsi="Arial" w:cs="Arial"/>
          <w:sz w:val="22"/>
          <w:szCs w:val="22"/>
        </w:rPr>
      </w:pPr>
      <w:r w:rsidRPr="00974F9A">
        <w:rPr>
          <w:rFonts w:ascii="Arial" w:hAnsi="Arial" w:cs="Arial"/>
          <w:sz w:val="22"/>
          <w:szCs w:val="22"/>
        </w:rPr>
        <w:t>Furthermore, brainstorming creative solutions and exploring alternative options can help generate innovative solutions that address the underlying interests of all parties involved. By focusing on common goals and finding opportunities for mutual gain, a win-win solution can be achieved that meets the needs of everyone involved.</w:t>
      </w:r>
    </w:p>
    <w:p w14:paraId="4ECC962F" w14:textId="7D9A8CD2" w:rsidR="007E2129" w:rsidRPr="00974F9A" w:rsidRDefault="00974F9A" w:rsidP="00D016CB">
      <w:pPr>
        <w:spacing w:line="360" w:lineRule="auto"/>
        <w:jc w:val="both"/>
        <w:rPr>
          <w:rFonts w:ascii="Arial" w:hAnsi="Arial" w:cs="Arial"/>
          <w:sz w:val="22"/>
          <w:szCs w:val="22"/>
        </w:rPr>
      </w:pPr>
      <w:r w:rsidRPr="00974F9A">
        <w:rPr>
          <w:rFonts w:ascii="Arial" w:hAnsi="Arial" w:cs="Arial"/>
          <w:sz w:val="22"/>
          <w:szCs w:val="22"/>
        </w:rPr>
        <w:t>Lastly, it is critical to establish clear communication channels, set clear expectations, and provide ongoing support and feedback to ensure that the agreed-upon solutions are effectively implemented and sustained. By maintaining open lines of communication and fostering a culture of collaboration and problem-solving, stakeholders can work together towards achieving a win-win solution that benefits all parties involved</w:t>
      </w:r>
      <w:r w:rsidR="00625C0C" w:rsidRPr="00D016CB">
        <w:rPr>
          <w:rFonts w:ascii="Arial" w:hAnsi="Arial" w:cs="Arial"/>
          <w:sz w:val="22"/>
          <w:szCs w:val="22"/>
        </w:rPr>
        <w:t>.</w:t>
      </w:r>
    </w:p>
    <w:p w14:paraId="5992DEDB" w14:textId="19AA58F3" w:rsidR="00974F9A" w:rsidRPr="00974F9A" w:rsidRDefault="00974F9A" w:rsidP="00D016CB">
      <w:pPr>
        <w:spacing w:line="360" w:lineRule="auto"/>
        <w:jc w:val="both"/>
        <w:rPr>
          <w:rFonts w:ascii="Arial" w:hAnsi="Arial" w:cs="Arial"/>
          <w:sz w:val="22"/>
          <w:szCs w:val="22"/>
        </w:rPr>
      </w:pPr>
    </w:p>
    <w:p w14:paraId="10C4C8FA" w14:textId="77777777" w:rsidR="00057CF2" w:rsidRPr="00D016CB" w:rsidRDefault="00057CF2" w:rsidP="00D016CB">
      <w:pPr>
        <w:spacing w:line="360" w:lineRule="auto"/>
        <w:jc w:val="both"/>
        <w:rPr>
          <w:rFonts w:ascii="Arial" w:hAnsi="Arial" w:cs="Arial"/>
          <w:sz w:val="22"/>
          <w:szCs w:val="22"/>
        </w:rPr>
      </w:pPr>
    </w:p>
    <w:p w14:paraId="3D548AAD" w14:textId="065FA983" w:rsidR="00A1672A" w:rsidRPr="00E717B4" w:rsidRDefault="004B03B7" w:rsidP="009848FD">
      <w:pPr>
        <w:pStyle w:val="Heading1"/>
        <w:numPr>
          <w:ilvl w:val="0"/>
          <w:numId w:val="15"/>
        </w:numPr>
        <w:spacing w:line="360" w:lineRule="auto"/>
        <w:jc w:val="both"/>
        <w:rPr>
          <w:rFonts w:ascii="Arial" w:hAnsi="Arial" w:cs="Arial"/>
          <w:sz w:val="28"/>
          <w:szCs w:val="28"/>
        </w:rPr>
      </w:pPr>
      <w:bookmarkStart w:id="7" w:name="_Toc172965437"/>
      <w:r w:rsidRPr="00E717B4">
        <w:rPr>
          <w:rFonts w:ascii="Arial" w:hAnsi="Arial" w:cs="Arial"/>
          <w:sz w:val="28"/>
          <w:szCs w:val="28"/>
        </w:rPr>
        <w:lastRenderedPageBreak/>
        <w:t xml:space="preserve">The importance of </w:t>
      </w:r>
      <w:r w:rsidR="00F5615E" w:rsidRPr="00E717B4">
        <w:rPr>
          <w:rFonts w:ascii="Arial" w:hAnsi="Arial" w:cs="Arial"/>
          <w:sz w:val="28"/>
          <w:szCs w:val="28"/>
        </w:rPr>
        <w:t>stakeholder’s analysis and conflict resolution at the workplace</w:t>
      </w:r>
      <w:bookmarkEnd w:id="7"/>
    </w:p>
    <w:p w14:paraId="1FC0FDC0" w14:textId="77777777" w:rsidR="00CD3C1D" w:rsidRPr="00D016CB" w:rsidRDefault="00CD3C1D" w:rsidP="00D016CB">
      <w:pPr>
        <w:spacing w:line="360" w:lineRule="auto"/>
        <w:jc w:val="both"/>
        <w:rPr>
          <w:rFonts w:ascii="Arial" w:hAnsi="Arial" w:cs="Arial"/>
          <w:sz w:val="22"/>
          <w:szCs w:val="22"/>
        </w:rPr>
      </w:pPr>
    </w:p>
    <w:p w14:paraId="633F8AD0" w14:textId="55C89164" w:rsidR="007E4BB5" w:rsidRDefault="00D30739" w:rsidP="00D016CB">
      <w:pPr>
        <w:spacing w:line="360" w:lineRule="auto"/>
        <w:jc w:val="both"/>
        <w:rPr>
          <w:rFonts w:ascii="Arial" w:hAnsi="Arial" w:cs="Arial"/>
          <w:sz w:val="22"/>
          <w:szCs w:val="22"/>
        </w:rPr>
      </w:pPr>
      <w:r w:rsidRPr="00D30739">
        <w:rPr>
          <w:rFonts w:ascii="Arial" w:hAnsi="Arial" w:cs="Arial"/>
          <w:sz w:val="22"/>
          <w:szCs w:val="22"/>
        </w:rPr>
        <w:t>Increasing understanding of conflict resolution and stakeholder theory by means of the module Leading and implementing workplace transformation can significantly enhance individuals' preparedness for the workplace by equipping them with essential skills and knowledge to adeptly navigate complex situations and cultivate positive connections with crucial stakeholders. Conflict resolution skills are necessary in any job due to the inevitability of conflicts arising from working with individuals that possess divergent perspectives, interests, and goals. By acquiring the skills to proficiently handle conflict and settle disagreements in a positive way, individuals can proactively avert conflicts from intensifying and discover mutually advantageous resolutions that cater to the interests of all parties concerned.</w:t>
      </w:r>
      <w:r w:rsidRPr="00D30739">
        <w:rPr>
          <w:rFonts w:ascii="Arial" w:hAnsi="Arial" w:cs="Arial"/>
          <w:sz w:val="22"/>
          <w:szCs w:val="22"/>
        </w:rPr>
        <w:br/>
      </w:r>
      <w:r w:rsidRPr="00D30739">
        <w:rPr>
          <w:rFonts w:ascii="Arial" w:hAnsi="Arial" w:cs="Arial"/>
          <w:sz w:val="22"/>
          <w:szCs w:val="22"/>
        </w:rPr>
        <w:br/>
      </w:r>
      <w:r w:rsidR="00E717B4">
        <w:rPr>
          <w:rFonts w:ascii="Arial" w:hAnsi="Arial" w:cs="Arial"/>
          <w:sz w:val="22"/>
          <w:szCs w:val="22"/>
        </w:rPr>
        <w:t xml:space="preserve"> </w:t>
      </w:r>
      <w:r w:rsidR="00E717B4">
        <w:rPr>
          <w:rFonts w:ascii="Arial" w:hAnsi="Arial" w:cs="Arial"/>
          <w:sz w:val="22"/>
          <w:szCs w:val="22"/>
        </w:rPr>
        <w:tab/>
      </w:r>
      <w:r w:rsidRPr="00D30739">
        <w:rPr>
          <w:rFonts w:ascii="Arial" w:hAnsi="Arial" w:cs="Arial"/>
          <w:sz w:val="22"/>
          <w:szCs w:val="22"/>
        </w:rPr>
        <w:t xml:space="preserve">The stakeholder theory is essential in the workplace as it highlights the significance of taking into account the interests and concerns of all stakeholders, encompassing employees, customers, suppliers, and the community. By comprehending the requirements and preferences of many stakeholders, individuals may make well-informed choices that consider the consequences for all pertinent parties and establish constructive relationships founded on trust and cooperation. </w:t>
      </w:r>
    </w:p>
    <w:p w14:paraId="5B23F17D" w14:textId="780141A0" w:rsidR="00D30739" w:rsidRPr="00D30739" w:rsidRDefault="00D30739" w:rsidP="00D016CB">
      <w:pPr>
        <w:spacing w:line="360" w:lineRule="auto"/>
        <w:jc w:val="both"/>
        <w:rPr>
          <w:rFonts w:ascii="Arial" w:hAnsi="Arial" w:cs="Arial"/>
          <w:sz w:val="22"/>
          <w:szCs w:val="22"/>
        </w:rPr>
      </w:pPr>
      <w:r w:rsidRPr="00D30739">
        <w:rPr>
          <w:rFonts w:ascii="Arial" w:hAnsi="Arial" w:cs="Arial"/>
          <w:sz w:val="22"/>
          <w:szCs w:val="22"/>
        </w:rPr>
        <w:t>Studying conflict resolution and stakeholder theory equips individuals with the necessary information and abilities to become proficient leaders and catalysts for change in the workplace. By using these principles, individuals may effectively negotiate intricate workplace scenarios, establish robust connections with stakeholders, and facilitate constructive transformation that yields advantages for both the organisation and its stakeholders.</w:t>
      </w:r>
    </w:p>
    <w:p w14:paraId="728748F2" w14:textId="3714446E" w:rsidR="00466793" w:rsidRPr="00466793" w:rsidRDefault="00CE3E57" w:rsidP="00D016CB">
      <w:pPr>
        <w:spacing w:line="360" w:lineRule="auto"/>
        <w:jc w:val="both"/>
        <w:rPr>
          <w:rFonts w:ascii="Arial" w:hAnsi="Arial" w:cs="Arial"/>
          <w:sz w:val="22"/>
          <w:szCs w:val="22"/>
        </w:rPr>
      </w:pPr>
      <w:r w:rsidRPr="00D016CB">
        <w:rPr>
          <w:rFonts w:ascii="Arial" w:hAnsi="Arial" w:cs="Arial"/>
          <w:sz w:val="22"/>
          <w:szCs w:val="22"/>
        </w:rPr>
        <w:t xml:space="preserve">How </w:t>
      </w:r>
      <w:r w:rsidR="00466793" w:rsidRPr="00466793">
        <w:rPr>
          <w:rFonts w:ascii="Arial" w:hAnsi="Arial" w:cs="Arial"/>
          <w:sz w:val="22"/>
          <w:szCs w:val="22"/>
        </w:rPr>
        <w:t>Stakeholder analysis and conflict resolution are essential components of effective workplace management and decision-making. Here are some key reasons for prioritizing stakeholder analysis and conflict resolution in the workplace:</w:t>
      </w:r>
    </w:p>
    <w:p w14:paraId="4B066B38" w14:textId="77777777" w:rsidR="00466793" w:rsidRPr="00466793" w:rsidRDefault="00466793" w:rsidP="00D016CB">
      <w:pPr>
        <w:numPr>
          <w:ilvl w:val="0"/>
          <w:numId w:val="19"/>
        </w:numPr>
        <w:spacing w:line="360" w:lineRule="auto"/>
        <w:jc w:val="both"/>
        <w:rPr>
          <w:rFonts w:ascii="Arial" w:hAnsi="Arial" w:cs="Arial"/>
          <w:sz w:val="22"/>
          <w:szCs w:val="22"/>
        </w:rPr>
      </w:pPr>
      <w:r w:rsidRPr="00466793">
        <w:rPr>
          <w:rFonts w:ascii="Arial" w:hAnsi="Arial" w:cs="Arial"/>
          <w:sz w:val="22"/>
          <w:szCs w:val="22"/>
        </w:rPr>
        <w:t>Stakeholder Analysis:</w:t>
      </w:r>
    </w:p>
    <w:p w14:paraId="504C0E32" w14:textId="77777777" w:rsidR="00466793" w:rsidRPr="00466793" w:rsidRDefault="00466793" w:rsidP="00D016CB">
      <w:pPr>
        <w:numPr>
          <w:ilvl w:val="0"/>
          <w:numId w:val="20"/>
        </w:numPr>
        <w:spacing w:line="360" w:lineRule="auto"/>
        <w:jc w:val="both"/>
        <w:rPr>
          <w:rFonts w:ascii="Arial" w:hAnsi="Arial" w:cs="Arial"/>
          <w:sz w:val="22"/>
          <w:szCs w:val="22"/>
        </w:rPr>
      </w:pPr>
      <w:r w:rsidRPr="00466793">
        <w:rPr>
          <w:rFonts w:ascii="Arial" w:hAnsi="Arial" w:cs="Arial"/>
          <w:sz w:val="22"/>
          <w:szCs w:val="22"/>
        </w:rPr>
        <w:t>Identifying Stakeholder Needs: Stakeholder analysis helps organizations understand the needs, interests, and priorities of different stakeholders, including employees, customers, suppliers, investors, and the community. This knowledge allows organizations to tailor their strategies and decisions to better meet the expectations of key stakeholders.</w:t>
      </w:r>
    </w:p>
    <w:p w14:paraId="10C97F9D" w14:textId="77777777" w:rsidR="00466793" w:rsidRPr="00466793" w:rsidRDefault="00466793" w:rsidP="00D016CB">
      <w:pPr>
        <w:numPr>
          <w:ilvl w:val="0"/>
          <w:numId w:val="20"/>
        </w:numPr>
        <w:spacing w:line="360" w:lineRule="auto"/>
        <w:jc w:val="both"/>
        <w:rPr>
          <w:rFonts w:ascii="Arial" w:hAnsi="Arial" w:cs="Arial"/>
          <w:sz w:val="22"/>
          <w:szCs w:val="22"/>
        </w:rPr>
      </w:pPr>
      <w:r w:rsidRPr="00466793">
        <w:rPr>
          <w:rFonts w:ascii="Arial" w:hAnsi="Arial" w:cs="Arial"/>
          <w:sz w:val="22"/>
          <w:szCs w:val="22"/>
        </w:rPr>
        <w:lastRenderedPageBreak/>
        <w:t>Building Positive Relationships: By engaging with stakeholders and considering their perspectives, organizations can build trust, credibility, and positive relationships. This can lead to increased support, collaboration, and goodwill from stakeholders, which can benefit the organization in the long run.</w:t>
      </w:r>
    </w:p>
    <w:p w14:paraId="1D316FA5" w14:textId="77777777" w:rsidR="00466793" w:rsidRPr="00466793" w:rsidRDefault="00466793" w:rsidP="00D016CB">
      <w:pPr>
        <w:numPr>
          <w:ilvl w:val="0"/>
          <w:numId w:val="20"/>
        </w:numPr>
        <w:spacing w:line="360" w:lineRule="auto"/>
        <w:jc w:val="both"/>
        <w:rPr>
          <w:rFonts w:ascii="Arial" w:hAnsi="Arial" w:cs="Arial"/>
          <w:sz w:val="22"/>
          <w:szCs w:val="22"/>
        </w:rPr>
      </w:pPr>
      <w:r w:rsidRPr="00466793">
        <w:rPr>
          <w:rFonts w:ascii="Arial" w:hAnsi="Arial" w:cs="Arial"/>
          <w:sz w:val="22"/>
          <w:szCs w:val="22"/>
        </w:rPr>
        <w:t>Anticipating Risks and Opportunities: Stakeholder analysis can help organizations anticipate potential risks, challenges, and opportunities related to their stakeholders. By proactively identifying and addressing stakeholder concerns, organizations can mitigate risks, seize opportunities, and enhance their overall performance and reputation.</w:t>
      </w:r>
    </w:p>
    <w:p w14:paraId="0C94DCF8" w14:textId="77777777" w:rsidR="00466793" w:rsidRPr="00466793" w:rsidRDefault="00466793" w:rsidP="00D016CB">
      <w:pPr>
        <w:numPr>
          <w:ilvl w:val="0"/>
          <w:numId w:val="20"/>
        </w:numPr>
        <w:spacing w:line="360" w:lineRule="auto"/>
        <w:jc w:val="both"/>
        <w:rPr>
          <w:rFonts w:ascii="Arial" w:hAnsi="Arial" w:cs="Arial"/>
          <w:sz w:val="22"/>
          <w:szCs w:val="22"/>
        </w:rPr>
      </w:pPr>
      <w:r w:rsidRPr="00466793">
        <w:rPr>
          <w:rFonts w:ascii="Arial" w:hAnsi="Arial" w:cs="Arial"/>
          <w:sz w:val="22"/>
          <w:szCs w:val="22"/>
        </w:rPr>
        <w:t>Enhancing Decision-Making: Considering stakeholder interests and perspectives in decision-making processes can lead to more informed, ethical, and sustainable decisions. By taking a holistic view of stakeholders, organizations can make choices that align with their values, goals, and long-term success.</w:t>
      </w:r>
    </w:p>
    <w:p w14:paraId="45EDC945" w14:textId="77777777" w:rsidR="00466793" w:rsidRPr="00466793" w:rsidRDefault="00466793" w:rsidP="00D016CB">
      <w:pPr>
        <w:numPr>
          <w:ilvl w:val="0"/>
          <w:numId w:val="21"/>
        </w:numPr>
        <w:spacing w:line="360" w:lineRule="auto"/>
        <w:jc w:val="both"/>
        <w:rPr>
          <w:rFonts w:ascii="Arial" w:hAnsi="Arial" w:cs="Arial"/>
          <w:sz w:val="22"/>
          <w:szCs w:val="22"/>
        </w:rPr>
      </w:pPr>
      <w:r w:rsidRPr="00466793">
        <w:rPr>
          <w:rFonts w:ascii="Arial" w:hAnsi="Arial" w:cs="Arial"/>
          <w:sz w:val="22"/>
          <w:szCs w:val="22"/>
        </w:rPr>
        <w:t>Conflict Resolution:</w:t>
      </w:r>
    </w:p>
    <w:p w14:paraId="4E4F383A" w14:textId="77777777" w:rsidR="00466793" w:rsidRPr="00466793" w:rsidRDefault="00466793" w:rsidP="00D016CB">
      <w:pPr>
        <w:numPr>
          <w:ilvl w:val="0"/>
          <w:numId w:val="22"/>
        </w:numPr>
        <w:spacing w:line="360" w:lineRule="auto"/>
        <w:jc w:val="both"/>
        <w:rPr>
          <w:rFonts w:ascii="Arial" w:hAnsi="Arial" w:cs="Arial"/>
          <w:sz w:val="22"/>
          <w:szCs w:val="22"/>
        </w:rPr>
      </w:pPr>
      <w:r w:rsidRPr="00466793">
        <w:rPr>
          <w:rFonts w:ascii="Arial" w:hAnsi="Arial" w:cs="Arial"/>
          <w:sz w:val="22"/>
          <w:szCs w:val="22"/>
        </w:rPr>
        <w:t>Improving Communication: Conflict resolution techniques can help improve communication, foster understanding, and facilitate dialogue between conflicting parties. By addressing conflicts in a timely and constructive manner, organizations can prevent misunderstandings, build trust, and strengthen relationships among employees and stakeholders.</w:t>
      </w:r>
    </w:p>
    <w:p w14:paraId="502CF2F1" w14:textId="77777777" w:rsidR="00466793" w:rsidRPr="00466793" w:rsidRDefault="00466793" w:rsidP="00D016CB">
      <w:pPr>
        <w:numPr>
          <w:ilvl w:val="0"/>
          <w:numId w:val="22"/>
        </w:numPr>
        <w:spacing w:line="360" w:lineRule="auto"/>
        <w:jc w:val="both"/>
        <w:rPr>
          <w:rFonts w:ascii="Arial" w:hAnsi="Arial" w:cs="Arial"/>
          <w:sz w:val="22"/>
          <w:szCs w:val="22"/>
        </w:rPr>
      </w:pPr>
      <w:r w:rsidRPr="00466793">
        <w:rPr>
          <w:rFonts w:ascii="Arial" w:hAnsi="Arial" w:cs="Arial"/>
          <w:sz w:val="22"/>
          <w:szCs w:val="22"/>
        </w:rPr>
        <w:t>Enhancing Collaboration: Resolving conflicts effectively can encourage collaboration, cooperation, and teamwork within the organization. By finding common ground and shared goals, conflicting parties can work together towards shared objectives and overcome challenges more effectively.</w:t>
      </w:r>
    </w:p>
    <w:p w14:paraId="6770FAA3" w14:textId="49439631" w:rsidR="00466793" w:rsidRPr="00466793" w:rsidRDefault="00466793" w:rsidP="00D016CB">
      <w:pPr>
        <w:numPr>
          <w:ilvl w:val="0"/>
          <w:numId w:val="22"/>
        </w:numPr>
        <w:spacing w:line="360" w:lineRule="auto"/>
        <w:jc w:val="both"/>
        <w:rPr>
          <w:rFonts w:ascii="Arial" w:hAnsi="Arial" w:cs="Arial"/>
          <w:sz w:val="22"/>
          <w:szCs w:val="22"/>
        </w:rPr>
      </w:pPr>
      <w:r w:rsidRPr="00466793">
        <w:rPr>
          <w:rFonts w:ascii="Arial" w:hAnsi="Arial" w:cs="Arial"/>
          <w:sz w:val="22"/>
          <w:szCs w:val="22"/>
        </w:rPr>
        <w:t xml:space="preserve">Preventing Escalation: Unresolved conflicts can escalate and have negative consequences for individuals, teams, and the </w:t>
      </w:r>
      <w:r w:rsidR="00F8589F" w:rsidRPr="00D016CB">
        <w:rPr>
          <w:rFonts w:ascii="Arial" w:hAnsi="Arial" w:cs="Arial"/>
          <w:sz w:val="22"/>
          <w:szCs w:val="22"/>
        </w:rPr>
        <w:t>organization</w:t>
      </w:r>
      <w:r w:rsidRPr="00466793">
        <w:rPr>
          <w:rFonts w:ascii="Arial" w:hAnsi="Arial" w:cs="Arial"/>
          <w:sz w:val="22"/>
          <w:szCs w:val="22"/>
        </w:rPr>
        <w:t>. By addressing conflicts proactively and collaboratively, organizations can prevent conflicts from escalating and minimize their impact on productivity, morale, and overall performance.</w:t>
      </w:r>
    </w:p>
    <w:p w14:paraId="744C3F6A" w14:textId="77777777" w:rsidR="00466793" w:rsidRPr="00466793" w:rsidRDefault="00466793" w:rsidP="00D016CB">
      <w:pPr>
        <w:numPr>
          <w:ilvl w:val="0"/>
          <w:numId w:val="22"/>
        </w:numPr>
        <w:spacing w:line="360" w:lineRule="auto"/>
        <w:jc w:val="both"/>
        <w:rPr>
          <w:rFonts w:ascii="Arial" w:hAnsi="Arial" w:cs="Arial"/>
          <w:sz w:val="22"/>
          <w:szCs w:val="22"/>
        </w:rPr>
      </w:pPr>
      <w:r w:rsidRPr="00466793">
        <w:rPr>
          <w:rFonts w:ascii="Arial" w:hAnsi="Arial" w:cs="Arial"/>
          <w:sz w:val="22"/>
          <w:szCs w:val="22"/>
        </w:rPr>
        <w:t>Promoting Innovation: Conflict resolution can stimulate creativity, innovation, and problem-solving within the organization. By encouraging diverse perspectives, constructive debate, and open dialogue, organizations can generate new ideas, approaches, and solutions that drive positive change and growth.</w:t>
      </w:r>
    </w:p>
    <w:p w14:paraId="2C29BD8B" w14:textId="07529D4A" w:rsidR="00466793" w:rsidRPr="00466793" w:rsidRDefault="005721DB" w:rsidP="00D016CB">
      <w:pPr>
        <w:spacing w:line="360" w:lineRule="auto"/>
        <w:jc w:val="both"/>
        <w:rPr>
          <w:rFonts w:ascii="Arial" w:hAnsi="Arial" w:cs="Arial"/>
          <w:sz w:val="22"/>
          <w:szCs w:val="22"/>
        </w:rPr>
      </w:pPr>
      <w:r w:rsidRPr="00D016CB">
        <w:rPr>
          <w:rFonts w:ascii="Arial" w:hAnsi="Arial" w:cs="Arial"/>
          <w:sz w:val="22"/>
          <w:szCs w:val="22"/>
        </w:rPr>
        <w:t>In general</w:t>
      </w:r>
      <w:r w:rsidR="00466793" w:rsidRPr="00466793">
        <w:rPr>
          <w:rFonts w:ascii="Arial" w:hAnsi="Arial" w:cs="Arial"/>
          <w:sz w:val="22"/>
          <w:szCs w:val="22"/>
        </w:rPr>
        <w:t xml:space="preserve">, stakeholder analysis and conflict resolution are critical for promoting effective communication, collaboration, and decision-making in the workplace. By prioritizing these </w:t>
      </w:r>
      <w:r w:rsidR="00466793" w:rsidRPr="00466793">
        <w:rPr>
          <w:rFonts w:ascii="Arial" w:hAnsi="Arial" w:cs="Arial"/>
          <w:sz w:val="22"/>
          <w:szCs w:val="22"/>
        </w:rPr>
        <w:lastRenderedPageBreak/>
        <w:t>practices, organizations</w:t>
      </w:r>
      <w:r w:rsidR="000D7F10" w:rsidRPr="00D016CB">
        <w:rPr>
          <w:rFonts w:ascii="Arial" w:hAnsi="Arial" w:cs="Arial"/>
          <w:sz w:val="22"/>
          <w:szCs w:val="22"/>
        </w:rPr>
        <w:t xml:space="preserve"> can enhance their relationships with key stakeholders, mitigate risks, improve organizational performance, and foster a positive and productive work environment.</w:t>
      </w:r>
    </w:p>
    <w:p w14:paraId="745063BF" w14:textId="77777777" w:rsidR="00D30739" w:rsidRPr="00D016CB" w:rsidRDefault="00D30739" w:rsidP="00D016CB">
      <w:pPr>
        <w:spacing w:line="360" w:lineRule="auto"/>
        <w:jc w:val="both"/>
        <w:rPr>
          <w:rFonts w:ascii="Arial" w:hAnsi="Arial" w:cs="Arial"/>
          <w:sz w:val="22"/>
          <w:szCs w:val="22"/>
        </w:rPr>
      </w:pPr>
    </w:p>
    <w:p w14:paraId="37653B97" w14:textId="67094EF2" w:rsidR="00F5615E" w:rsidRPr="009848FD" w:rsidRDefault="00F5615E" w:rsidP="00D016CB">
      <w:pPr>
        <w:pStyle w:val="Heading1"/>
        <w:spacing w:line="360" w:lineRule="auto"/>
        <w:jc w:val="both"/>
        <w:rPr>
          <w:rFonts w:ascii="Arial" w:hAnsi="Arial" w:cs="Arial"/>
          <w:sz w:val="28"/>
          <w:szCs w:val="28"/>
        </w:rPr>
      </w:pPr>
      <w:bookmarkStart w:id="8" w:name="_Toc172965438"/>
      <w:r w:rsidRPr="009848FD">
        <w:rPr>
          <w:rFonts w:ascii="Arial" w:hAnsi="Arial" w:cs="Arial"/>
          <w:sz w:val="28"/>
          <w:szCs w:val="28"/>
        </w:rPr>
        <w:t>Conclusion</w:t>
      </w:r>
      <w:bookmarkEnd w:id="8"/>
    </w:p>
    <w:p w14:paraId="426D51BB" w14:textId="407DDAA1" w:rsidR="004725DA" w:rsidRPr="00D016CB" w:rsidRDefault="00B84E4B" w:rsidP="007E4BB5">
      <w:pPr>
        <w:spacing w:line="360" w:lineRule="auto"/>
        <w:ind w:firstLine="720"/>
        <w:jc w:val="both"/>
        <w:rPr>
          <w:rFonts w:ascii="Arial" w:hAnsi="Arial" w:cs="Arial"/>
          <w:sz w:val="22"/>
          <w:szCs w:val="22"/>
        </w:rPr>
      </w:pPr>
      <w:r w:rsidRPr="00D016CB">
        <w:rPr>
          <w:rFonts w:ascii="Arial" w:hAnsi="Arial" w:cs="Arial"/>
          <w:sz w:val="22"/>
          <w:szCs w:val="22"/>
        </w:rPr>
        <w:t>In conclusion, stakeholder analysis is a crucial tool for organizations to effectively engage with key individuals and groups who may impact or be impacted by their activities. By conducting a thorough analysis of stakeholders, organizations can better understand their needs and concerns, prioritize their engagement efforts, and build strong and productive relationships that contribute to the overall success of the organization.</w:t>
      </w:r>
      <w:r w:rsidR="00974EDF" w:rsidRPr="00D016CB">
        <w:rPr>
          <w:rFonts w:ascii="Arial" w:hAnsi="Arial" w:cs="Arial"/>
          <w:sz w:val="22"/>
          <w:szCs w:val="22"/>
        </w:rPr>
        <w:t xml:space="preserve"> Through the utilisation of the Collaborative style and the Interest-Based Relational approach, the organisation </w:t>
      </w:r>
      <w:r w:rsidR="004725DA" w:rsidRPr="00D016CB">
        <w:rPr>
          <w:rFonts w:ascii="Arial" w:hAnsi="Arial" w:cs="Arial"/>
          <w:sz w:val="22"/>
          <w:szCs w:val="22"/>
        </w:rPr>
        <w:t>can</w:t>
      </w:r>
      <w:r w:rsidR="00974EDF" w:rsidRPr="00D016CB">
        <w:rPr>
          <w:rFonts w:ascii="Arial" w:hAnsi="Arial" w:cs="Arial"/>
          <w:sz w:val="22"/>
          <w:szCs w:val="22"/>
        </w:rPr>
        <w:t xml:space="preserve"> work towards the resolution of the issues that led to the strike and the development of a healthy work environment moving forward. It is possible that this will aid to improve communication, create trust, and ultimately prevent disagreements of a similar nature from occurring within the future.</w:t>
      </w:r>
      <w:r w:rsidR="004725DA" w:rsidRPr="00D016CB">
        <w:rPr>
          <w:rFonts w:ascii="Arial" w:hAnsi="Arial" w:cs="Arial"/>
          <w:sz w:val="22"/>
          <w:szCs w:val="22"/>
        </w:rPr>
        <w:t xml:space="preserve"> Also, by adhering to these essential stages and concepts, stakeholders will be able to successfully manage disputes, cultivate constructive relationships, and produce solutions that are mutually beneficial. These outcomes will foster collaboration, trust, and long-term success in the process of conflict resolution.</w:t>
      </w:r>
    </w:p>
    <w:p w14:paraId="52883E2B" w14:textId="76E5414E" w:rsidR="00974EDF" w:rsidRPr="004725DA" w:rsidRDefault="00974EDF" w:rsidP="00974EDF">
      <w:pPr>
        <w:rPr>
          <w:b/>
          <w:bCs/>
        </w:rPr>
      </w:pPr>
    </w:p>
    <w:p w14:paraId="4D47FF67" w14:textId="4FC5D967" w:rsidR="00B84E4B" w:rsidRPr="00B84E4B" w:rsidRDefault="00B84E4B" w:rsidP="00B84E4B"/>
    <w:p w14:paraId="4107B8AF" w14:textId="77777777" w:rsidR="00F5615E" w:rsidRDefault="00F5615E" w:rsidP="00F5615E">
      <w:pPr>
        <w:pStyle w:val="Heading1"/>
      </w:pPr>
    </w:p>
    <w:p w14:paraId="11E9213F" w14:textId="6D938E25" w:rsidR="00F7750D" w:rsidRDefault="00F7750D">
      <w:pPr>
        <w:rPr>
          <w:rFonts w:asciiTheme="majorHAnsi" w:eastAsiaTheme="majorEastAsia" w:hAnsiTheme="majorHAnsi" w:cstheme="majorBidi"/>
          <w:color w:val="0F4761" w:themeColor="accent1" w:themeShade="BF"/>
          <w:sz w:val="40"/>
          <w:szCs w:val="40"/>
        </w:rPr>
      </w:pPr>
      <w:r>
        <w:br w:type="page"/>
      </w:r>
    </w:p>
    <w:p w14:paraId="141A365D" w14:textId="2D74D19D" w:rsidR="00AD367B" w:rsidRPr="009848FD" w:rsidRDefault="00AD367B" w:rsidP="00F5615E">
      <w:pPr>
        <w:pStyle w:val="Heading1"/>
        <w:rPr>
          <w:rFonts w:ascii="Arial" w:hAnsi="Arial" w:cs="Arial"/>
          <w:sz w:val="28"/>
          <w:szCs w:val="28"/>
        </w:rPr>
      </w:pPr>
      <w:bookmarkStart w:id="9" w:name="_Toc172965439"/>
      <w:r w:rsidRPr="009848FD">
        <w:rPr>
          <w:rFonts w:ascii="Arial" w:hAnsi="Arial" w:cs="Arial"/>
          <w:sz w:val="28"/>
          <w:szCs w:val="28"/>
        </w:rPr>
        <w:lastRenderedPageBreak/>
        <w:t>References</w:t>
      </w:r>
      <w:bookmarkEnd w:id="9"/>
    </w:p>
    <w:p w14:paraId="224AD683" w14:textId="77777777" w:rsidR="00B60104" w:rsidRPr="00060F99" w:rsidRDefault="00B60104" w:rsidP="00B60104"/>
    <w:p w14:paraId="6DB56E1F" w14:textId="77777777" w:rsidR="00C30F2B" w:rsidRPr="004E7657" w:rsidRDefault="00C30F2B" w:rsidP="004E7657">
      <w:pPr>
        <w:pStyle w:val="ListParagraph"/>
        <w:rPr>
          <w:rFonts w:ascii="Arial" w:hAnsi="Arial" w:cs="Arial"/>
          <w:sz w:val="22"/>
          <w:szCs w:val="22"/>
        </w:rPr>
      </w:pPr>
    </w:p>
    <w:p w14:paraId="644E88BB"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Bass, B. M. (2008). </w:t>
      </w:r>
      <w:r w:rsidRPr="00060F99">
        <w:rPr>
          <w:rFonts w:ascii="Arial" w:hAnsi="Arial" w:cs="Arial"/>
          <w:i/>
          <w:iCs/>
          <w:sz w:val="22"/>
          <w:szCs w:val="22"/>
        </w:rPr>
        <w:t>The bass handbook of leadership: Theory, research, &amp; managerial applications</w:t>
      </w:r>
      <w:r w:rsidRPr="00060F99">
        <w:rPr>
          <w:rFonts w:ascii="Arial" w:hAnsi="Arial" w:cs="Arial"/>
          <w:sz w:val="22"/>
          <w:szCs w:val="22"/>
        </w:rPr>
        <w:t> (4th ed). Free Press.</w:t>
      </w:r>
    </w:p>
    <w:p w14:paraId="33E0564F"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Blake, R., &amp; Mouton, J. (1964). </w:t>
      </w:r>
      <w:r w:rsidRPr="009643E5">
        <w:rPr>
          <w:rFonts w:ascii="Arial" w:hAnsi="Arial" w:cs="Arial"/>
          <w:i/>
          <w:iCs/>
          <w:sz w:val="22"/>
          <w:szCs w:val="22"/>
        </w:rPr>
        <w:t>The Managerial Grid: The Key to Leadership Excellence</w:t>
      </w:r>
      <w:r w:rsidRPr="00060F99">
        <w:rPr>
          <w:rFonts w:ascii="Arial" w:hAnsi="Arial" w:cs="Arial"/>
          <w:sz w:val="22"/>
          <w:szCs w:val="22"/>
        </w:rPr>
        <w:t>. Houston, TX: Gulf Publishing Company.</w:t>
      </w:r>
    </w:p>
    <w:p w14:paraId="405BEF83"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Bryman, A. and Bell, E. (2003) </w:t>
      </w:r>
      <w:r w:rsidRPr="00C30F2B">
        <w:rPr>
          <w:rFonts w:ascii="Arial" w:hAnsi="Arial" w:cs="Arial"/>
          <w:i/>
          <w:iCs/>
          <w:sz w:val="22"/>
          <w:szCs w:val="22"/>
        </w:rPr>
        <w:t>Business Research Methods</w:t>
      </w:r>
      <w:r w:rsidRPr="00060F99">
        <w:rPr>
          <w:rFonts w:ascii="Arial" w:hAnsi="Arial" w:cs="Arial"/>
          <w:sz w:val="22"/>
          <w:szCs w:val="22"/>
        </w:rPr>
        <w:t>, Oxford University Press.</w:t>
      </w:r>
    </w:p>
    <w:p w14:paraId="22005420"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Bryson, J. (2005) ‘</w:t>
      </w:r>
      <w:r w:rsidRPr="009643E5">
        <w:rPr>
          <w:rFonts w:ascii="Arial" w:hAnsi="Arial" w:cs="Arial"/>
          <w:i/>
          <w:iCs/>
          <w:sz w:val="22"/>
          <w:szCs w:val="22"/>
        </w:rPr>
        <w:t>What to do when stakeholders matter’</w:t>
      </w:r>
      <w:r w:rsidRPr="00060F99">
        <w:rPr>
          <w:rFonts w:ascii="Arial" w:hAnsi="Arial" w:cs="Arial"/>
          <w:sz w:val="22"/>
          <w:szCs w:val="22"/>
        </w:rPr>
        <w:t>, Public Management Review, Vol. 6, Issue 1. Routledge.</w:t>
      </w:r>
    </w:p>
    <w:p w14:paraId="01A819CF"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Burke. (2017). </w:t>
      </w:r>
      <w:r w:rsidRPr="00060F99">
        <w:rPr>
          <w:rFonts w:ascii="Arial" w:hAnsi="Arial" w:cs="Arial"/>
          <w:i/>
          <w:iCs/>
          <w:sz w:val="22"/>
          <w:szCs w:val="22"/>
        </w:rPr>
        <w:t>Organization change: Theory and practice</w:t>
      </w:r>
      <w:r w:rsidRPr="00060F99">
        <w:rPr>
          <w:rFonts w:ascii="Arial" w:hAnsi="Arial" w:cs="Arial"/>
          <w:sz w:val="22"/>
          <w:szCs w:val="22"/>
        </w:rPr>
        <w:t>. Sage</w:t>
      </w:r>
    </w:p>
    <w:p w14:paraId="28F2C6EF" w14:textId="77777777" w:rsidR="00C30F2B" w:rsidRDefault="00C30F2B" w:rsidP="00060F99">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Carroll, A.B. and Buchholtz, A.K. (2002</w:t>
      </w:r>
      <w:r w:rsidRPr="00C30F2B">
        <w:rPr>
          <w:rFonts w:ascii="Arial" w:hAnsi="Arial" w:cs="Arial"/>
          <w:i/>
          <w:iCs/>
          <w:sz w:val="22"/>
          <w:szCs w:val="22"/>
        </w:rPr>
        <w:t>) Business and Society: Ethics and Stakeholder Management,</w:t>
      </w:r>
      <w:r w:rsidRPr="00060F99">
        <w:rPr>
          <w:rFonts w:ascii="Arial" w:hAnsi="Arial" w:cs="Arial"/>
          <w:sz w:val="22"/>
          <w:szCs w:val="22"/>
        </w:rPr>
        <w:t xml:space="preserve"> Southwestern College Publishing; 5Rev Ed edition.</w:t>
      </w:r>
    </w:p>
    <w:p w14:paraId="04C6832A" w14:textId="77777777" w:rsidR="00C30F2B" w:rsidRPr="00060F99" w:rsidRDefault="00C30F2B" w:rsidP="00060F99">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Clarkson, M. (1995) </w:t>
      </w:r>
      <w:r w:rsidRPr="00C30F2B">
        <w:rPr>
          <w:rFonts w:ascii="Arial" w:hAnsi="Arial" w:cs="Arial"/>
          <w:i/>
          <w:iCs/>
          <w:sz w:val="22"/>
          <w:szCs w:val="22"/>
        </w:rPr>
        <w:t>‘A stakeholder framework for analysing and evaluation corporate social performance’,</w:t>
      </w:r>
      <w:r w:rsidRPr="00060F99">
        <w:rPr>
          <w:rFonts w:ascii="Arial" w:hAnsi="Arial" w:cs="Arial"/>
          <w:sz w:val="22"/>
          <w:szCs w:val="22"/>
        </w:rPr>
        <w:t xml:space="preserve"> Academy of Management Review, Vol. 20, pp92-117.</w:t>
      </w:r>
    </w:p>
    <w:p w14:paraId="4EA2940C"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Donaldson, T. and Preston, L. (1995</w:t>
      </w:r>
      <w:r w:rsidRPr="00C30F2B">
        <w:rPr>
          <w:rFonts w:ascii="Arial" w:hAnsi="Arial" w:cs="Arial"/>
          <w:i/>
          <w:iCs/>
          <w:sz w:val="22"/>
          <w:szCs w:val="22"/>
        </w:rPr>
        <w:t>) “The stakeholder theory of the corporation: Concepts, evidence, &amp; implications”</w:t>
      </w:r>
      <w:r w:rsidRPr="00060F99">
        <w:rPr>
          <w:rFonts w:ascii="Arial" w:hAnsi="Arial" w:cs="Arial"/>
          <w:sz w:val="22"/>
          <w:szCs w:val="22"/>
        </w:rPr>
        <w:t>, Academy of Management Review, Vol. 20, No. 1, pp. 65-91.</w:t>
      </w:r>
    </w:p>
    <w:p w14:paraId="4E1671E1"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Fisher, R., Ury, W., &amp; Patton, B. (1991). </w:t>
      </w:r>
      <w:r w:rsidRPr="009643E5">
        <w:rPr>
          <w:rFonts w:ascii="Arial" w:hAnsi="Arial" w:cs="Arial"/>
          <w:i/>
          <w:iCs/>
          <w:sz w:val="22"/>
          <w:szCs w:val="22"/>
        </w:rPr>
        <w:t>Getting to Yes: Negotiating Agreement Without Giving In</w:t>
      </w:r>
      <w:r w:rsidRPr="00060F99">
        <w:rPr>
          <w:rFonts w:ascii="Arial" w:hAnsi="Arial" w:cs="Arial"/>
          <w:sz w:val="22"/>
          <w:szCs w:val="22"/>
        </w:rPr>
        <w:t>. New York: Penguin Books.</w:t>
      </w:r>
    </w:p>
    <w:p w14:paraId="4E1B9AE8" w14:textId="77777777" w:rsidR="00C30F2B" w:rsidRDefault="00C30F2B" w:rsidP="004E7657">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Freeman, R. E. (1984). </w:t>
      </w:r>
      <w:r w:rsidRPr="009E33A9">
        <w:rPr>
          <w:rFonts w:ascii="Arial" w:hAnsi="Arial" w:cs="Arial"/>
          <w:i/>
          <w:iCs/>
          <w:sz w:val="22"/>
          <w:szCs w:val="22"/>
        </w:rPr>
        <w:t>Strategic management: A stakeholder approach</w:t>
      </w:r>
      <w:r w:rsidRPr="00060F99">
        <w:rPr>
          <w:rFonts w:ascii="Arial" w:hAnsi="Arial" w:cs="Arial"/>
          <w:sz w:val="22"/>
          <w:szCs w:val="22"/>
        </w:rPr>
        <w:t>. Boston: Pitman.</w:t>
      </w:r>
    </w:p>
    <w:p w14:paraId="14128BC7" w14:textId="77777777" w:rsidR="00C30F2B" w:rsidRDefault="00C30F2B" w:rsidP="00060F99">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Freeman, R. Edward</w:t>
      </w:r>
      <w:r>
        <w:rPr>
          <w:rFonts w:ascii="Arial" w:hAnsi="Arial" w:cs="Arial"/>
          <w:sz w:val="22"/>
          <w:szCs w:val="22"/>
        </w:rPr>
        <w:t xml:space="preserve"> (</w:t>
      </w:r>
      <w:r w:rsidRPr="00060F99">
        <w:rPr>
          <w:rFonts w:ascii="Arial" w:hAnsi="Arial" w:cs="Arial"/>
          <w:sz w:val="22"/>
          <w:szCs w:val="22"/>
        </w:rPr>
        <w:t>2010</w:t>
      </w:r>
      <w:r>
        <w:rPr>
          <w:rFonts w:ascii="Arial" w:hAnsi="Arial" w:cs="Arial"/>
          <w:sz w:val="22"/>
          <w:szCs w:val="22"/>
        </w:rPr>
        <w:t>)</w:t>
      </w:r>
      <w:r w:rsidRPr="00060F99">
        <w:rPr>
          <w:rFonts w:ascii="Arial" w:hAnsi="Arial" w:cs="Arial"/>
          <w:sz w:val="22"/>
          <w:szCs w:val="22"/>
        </w:rPr>
        <w:t xml:space="preserve">. </w:t>
      </w:r>
      <w:r w:rsidRPr="005869BE">
        <w:rPr>
          <w:rFonts w:ascii="Arial" w:hAnsi="Arial" w:cs="Arial"/>
          <w:i/>
          <w:iCs/>
          <w:sz w:val="22"/>
          <w:szCs w:val="22"/>
        </w:rPr>
        <w:t>Strategic Management: A Stakeholder Approach</w:t>
      </w:r>
      <w:r w:rsidRPr="00060F99">
        <w:rPr>
          <w:rFonts w:ascii="Arial" w:hAnsi="Arial" w:cs="Arial"/>
          <w:sz w:val="22"/>
          <w:szCs w:val="22"/>
        </w:rPr>
        <w:t>. Cambridge University Press.</w:t>
      </w:r>
    </w:p>
    <w:p w14:paraId="26890E70" w14:textId="77777777" w:rsidR="00C30F2B" w:rsidRPr="004E7657" w:rsidRDefault="00C30F2B" w:rsidP="004E7657">
      <w:pPr>
        <w:pStyle w:val="ListParagraph"/>
        <w:numPr>
          <w:ilvl w:val="0"/>
          <w:numId w:val="24"/>
        </w:numPr>
        <w:spacing w:line="360" w:lineRule="auto"/>
        <w:jc w:val="both"/>
        <w:rPr>
          <w:rFonts w:ascii="Arial" w:hAnsi="Arial" w:cs="Arial"/>
          <w:sz w:val="22"/>
          <w:szCs w:val="22"/>
        </w:rPr>
      </w:pPr>
      <w:r w:rsidRPr="004E7657">
        <w:rPr>
          <w:rFonts w:ascii="Arial" w:hAnsi="Arial" w:cs="Arial"/>
          <w:sz w:val="22"/>
          <w:szCs w:val="22"/>
        </w:rPr>
        <w:t xml:space="preserve">Karnani, A. (2009). </w:t>
      </w:r>
      <w:r w:rsidRPr="009E33A9">
        <w:rPr>
          <w:rFonts w:ascii="Arial" w:hAnsi="Arial" w:cs="Arial"/>
          <w:i/>
          <w:iCs/>
          <w:sz w:val="22"/>
          <w:szCs w:val="22"/>
        </w:rPr>
        <w:t>Stakeholder analysis and engagement</w:t>
      </w:r>
      <w:r w:rsidRPr="004E7657">
        <w:rPr>
          <w:rFonts w:ascii="Arial" w:hAnsi="Arial" w:cs="Arial"/>
          <w:sz w:val="22"/>
          <w:szCs w:val="22"/>
        </w:rPr>
        <w:t>. Journal of Corporate Citizenship, (36), 39-51.</w:t>
      </w:r>
    </w:p>
    <w:p w14:paraId="72FB9A8D"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Kotter, J. P. (1996). </w:t>
      </w:r>
      <w:r w:rsidRPr="009E33A9">
        <w:rPr>
          <w:rFonts w:ascii="Arial" w:hAnsi="Arial" w:cs="Arial"/>
          <w:i/>
          <w:iCs/>
          <w:sz w:val="22"/>
          <w:szCs w:val="22"/>
        </w:rPr>
        <w:t>Leading change</w:t>
      </w:r>
      <w:r w:rsidRPr="00060F99">
        <w:rPr>
          <w:rFonts w:ascii="Arial" w:hAnsi="Arial" w:cs="Arial"/>
          <w:sz w:val="22"/>
          <w:szCs w:val="22"/>
        </w:rPr>
        <w:t>. Harvard business press.</w:t>
      </w:r>
    </w:p>
    <w:p w14:paraId="39651872"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Kotter, J. P. (1996). </w:t>
      </w:r>
      <w:r w:rsidRPr="00060F99">
        <w:rPr>
          <w:rFonts w:ascii="Arial" w:hAnsi="Arial" w:cs="Arial"/>
          <w:i/>
          <w:iCs/>
          <w:sz w:val="22"/>
          <w:szCs w:val="22"/>
        </w:rPr>
        <w:t>Leading change</w:t>
      </w:r>
      <w:r w:rsidRPr="00060F99">
        <w:rPr>
          <w:rFonts w:ascii="Arial" w:hAnsi="Arial" w:cs="Arial"/>
          <w:sz w:val="22"/>
          <w:szCs w:val="22"/>
        </w:rPr>
        <w:t>. Harvard Business School Press.</w:t>
      </w:r>
    </w:p>
    <w:p w14:paraId="7667A5C0"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Lewin, K. (1951). </w:t>
      </w:r>
      <w:r w:rsidRPr="009E33A9">
        <w:rPr>
          <w:rFonts w:ascii="Arial" w:hAnsi="Arial" w:cs="Arial"/>
          <w:i/>
          <w:iCs/>
          <w:sz w:val="22"/>
          <w:szCs w:val="22"/>
        </w:rPr>
        <w:t>Field theory in social science: Selected theoretical papers</w:t>
      </w:r>
      <w:r w:rsidRPr="00060F99">
        <w:rPr>
          <w:rFonts w:ascii="Arial" w:hAnsi="Arial" w:cs="Arial"/>
          <w:sz w:val="22"/>
          <w:szCs w:val="22"/>
        </w:rPr>
        <w:t xml:space="preserve"> (D. Cartwright, Ed.). London: Tavistock.</w:t>
      </w:r>
    </w:p>
    <w:p w14:paraId="014EBCE0" w14:textId="77777777" w:rsidR="00C30F2B" w:rsidRPr="004E7657" w:rsidRDefault="00C30F2B" w:rsidP="004E7657">
      <w:pPr>
        <w:pStyle w:val="ListParagraph"/>
        <w:numPr>
          <w:ilvl w:val="0"/>
          <w:numId w:val="24"/>
        </w:numPr>
        <w:spacing w:line="360" w:lineRule="auto"/>
        <w:jc w:val="both"/>
        <w:rPr>
          <w:rFonts w:ascii="Arial" w:hAnsi="Arial" w:cs="Arial"/>
          <w:sz w:val="22"/>
          <w:szCs w:val="22"/>
        </w:rPr>
      </w:pPr>
      <w:r w:rsidRPr="004E7657">
        <w:rPr>
          <w:rFonts w:ascii="Arial" w:hAnsi="Arial" w:cs="Arial"/>
          <w:sz w:val="22"/>
          <w:szCs w:val="22"/>
        </w:rPr>
        <w:t xml:space="preserve">Mendelow, A. L. (1991). </w:t>
      </w:r>
      <w:r w:rsidRPr="009E33A9">
        <w:rPr>
          <w:rFonts w:ascii="Arial" w:hAnsi="Arial" w:cs="Arial"/>
          <w:i/>
          <w:iCs/>
          <w:sz w:val="22"/>
          <w:szCs w:val="22"/>
        </w:rPr>
        <w:t>Environmental scanning - The impact of the stakeholder concept.</w:t>
      </w:r>
      <w:r w:rsidRPr="004E7657">
        <w:rPr>
          <w:rFonts w:ascii="Arial" w:hAnsi="Arial" w:cs="Arial"/>
          <w:sz w:val="22"/>
          <w:szCs w:val="22"/>
        </w:rPr>
        <w:t xml:space="preserve"> European Journal of Marketing, 25(2), 50-48.</w:t>
      </w:r>
    </w:p>
    <w:p w14:paraId="44B0963F" w14:textId="77777777" w:rsidR="00C30F2B" w:rsidRPr="004E7657" w:rsidRDefault="00C30F2B" w:rsidP="004E7657">
      <w:pPr>
        <w:pStyle w:val="ListParagraph"/>
        <w:numPr>
          <w:ilvl w:val="0"/>
          <w:numId w:val="24"/>
        </w:numPr>
        <w:spacing w:line="360" w:lineRule="auto"/>
        <w:jc w:val="both"/>
        <w:rPr>
          <w:rFonts w:ascii="Arial" w:hAnsi="Arial" w:cs="Arial"/>
          <w:sz w:val="22"/>
          <w:szCs w:val="22"/>
        </w:rPr>
      </w:pPr>
      <w:r w:rsidRPr="004E7657">
        <w:rPr>
          <w:rFonts w:ascii="Arial" w:hAnsi="Arial" w:cs="Arial"/>
          <w:sz w:val="22"/>
          <w:szCs w:val="22"/>
        </w:rPr>
        <w:t xml:space="preserve">Mitchell, R. K., Agle, B. R., &amp; Wood, D. J. (1997). </w:t>
      </w:r>
      <w:r w:rsidRPr="009E33A9">
        <w:rPr>
          <w:rFonts w:ascii="Arial" w:hAnsi="Arial" w:cs="Arial"/>
          <w:i/>
          <w:iCs/>
          <w:sz w:val="22"/>
          <w:szCs w:val="22"/>
        </w:rPr>
        <w:t>Toward a theory of stakeholder identification and salience: Defining the principle of who and what really counts.</w:t>
      </w:r>
      <w:r w:rsidRPr="004E7657">
        <w:rPr>
          <w:rFonts w:ascii="Arial" w:hAnsi="Arial" w:cs="Arial"/>
          <w:sz w:val="22"/>
          <w:szCs w:val="22"/>
        </w:rPr>
        <w:t xml:space="preserve"> Academy of Management Review, 22(4), 853-886.</w:t>
      </w:r>
    </w:p>
    <w:p w14:paraId="4580C38F" w14:textId="77777777" w:rsidR="00C30F2B" w:rsidRPr="00060F99" w:rsidRDefault="00C30F2B" w:rsidP="00060F99">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lastRenderedPageBreak/>
        <w:t>Mitchell, Ronald K., et al.</w:t>
      </w:r>
      <w:r w:rsidRPr="005869BE">
        <w:rPr>
          <w:rFonts w:ascii="Arial" w:hAnsi="Arial" w:cs="Arial"/>
          <w:sz w:val="22"/>
          <w:szCs w:val="22"/>
        </w:rPr>
        <w:t xml:space="preserve"> </w:t>
      </w:r>
      <w:r>
        <w:rPr>
          <w:rFonts w:ascii="Arial" w:hAnsi="Arial" w:cs="Arial"/>
          <w:sz w:val="22"/>
          <w:szCs w:val="22"/>
        </w:rPr>
        <w:t>(</w:t>
      </w:r>
      <w:r w:rsidRPr="00060F99">
        <w:rPr>
          <w:rFonts w:ascii="Arial" w:hAnsi="Arial" w:cs="Arial"/>
          <w:sz w:val="22"/>
          <w:szCs w:val="22"/>
        </w:rPr>
        <w:t>1997</w:t>
      </w:r>
      <w:r>
        <w:rPr>
          <w:rFonts w:ascii="Arial" w:hAnsi="Arial" w:cs="Arial"/>
          <w:sz w:val="22"/>
          <w:szCs w:val="22"/>
        </w:rPr>
        <w:t>)</w:t>
      </w:r>
      <w:r w:rsidRPr="00060F99">
        <w:rPr>
          <w:rFonts w:ascii="Arial" w:hAnsi="Arial" w:cs="Arial"/>
          <w:sz w:val="22"/>
          <w:szCs w:val="22"/>
        </w:rPr>
        <w:t xml:space="preserve">, </w:t>
      </w:r>
      <w:r w:rsidRPr="009643E5">
        <w:rPr>
          <w:rFonts w:ascii="Arial" w:hAnsi="Arial" w:cs="Arial"/>
          <w:i/>
          <w:iCs/>
          <w:sz w:val="22"/>
          <w:szCs w:val="22"/>
        </w:rPr>
        <w:t>“Toward a Theory of Stakeholder Identification and Salience: Defining the Principle of Who and What Really Counts."</w:t>
      </w:r>
      <w:r w:rsidRPr="00060F99">
        <w:rPr>
          <w:rFonts w:ascii="Arial" w:hAnsi="Arial" w:cs="Arial"/>
          <w:sz w:val="22"/>
          <w:szCs w:val="22"/>
        </w:rPr>
        <w:t xml:space="preserve"> Academy of Management Review, vol. 22, no. 4, pp. 853-886.</w:t>
      </w:r>
    </w:p>
    <w:p w14:paraId="77DB0DA0"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Nadler, D. A., &amp; Tushman, M. L. (1990). </w:t>
      </w:r>
      <w:r w:rsidRPr="009E33A9">
        <w:rPr>
          <w:rFonts w:ascii="Arial" w:hAnsi="Arial" w:cs="Arial"/>
          <w:i/>
          <w:iCs/>
          <w:sz w:val="22"/>
          <w:szCs w:val="22"/>
        </w:rPr>
        <w:t>Beyond the charismatic leader: Leadership and organizational change</w:t>
      </w:r>
      <w:r w:rsidRPr="00060F99">
        <w:rPr>
          <w:rFonts w:ascii="Arial" w:hAnsi="Arial" w:cs="Arial"/>
          <w:sz w:val="22"/>
          <w:szCs w:val="22"/>
        </w:rPr>
        <w:t>. </w:t>
      </w:r>
      <w:r w:rsidRPr="009E33A9">
        <w:rPr>
          <w:rFonts w:ascii="Arial" w:hAnsi="Arial" w:cs="Arial"/>
          <w:sz w:val="22"/>
          <w:szCs w:val="22"/>
        </w:rPr>
        <w:t>California Management Review, </w:t>
      </w:r>
      <w:hyperlink r:id="rId11" w:tgtFrame="_blank" w:history="1">
        <w:r w:rsidRPr="009E33A9">
          <w:rPr>
            <w:rStyle w:val="Hyperlink"/>
            <w:rFonts w:ascii="Arial" w:hAnsi="Arial" w:cs="Arial"/>
            <w:color w:val="auto"/>
            <w:sz w:val="22"/>
            <w:szCs w:val="22"/>
          </w:rPr>
          <w:t>32</w:t>
        </w:r>
      </w:hyperlink>
      <w:r w:rsidRPr="009E33A9">
        <w:rPr>
          <w:rFonts w:ascii="Arial" w:hAnsi="Arial" w:cs="Arial"/>
          <w:sz w:val="22"/>
          <w:szCs w:val="22"/>
        </w:rPr>
        <w:t>(</w:t>
      </w:r>
      <w:hyperlink r:id="rId12" w:tgtFrame="_blank" w:history="1">
        <w:r w:rsidRPr="009E33A9">
          <w:rPr>
            <w:rStyle w:val="Hyperlink"/>
            <w:rFonts w:ascii="Arial" w:hAnsi="Arial" w:cs="Arial"/>
            <w:color w:val="auto"/>
            <w:sz w:val="22"/>
            <w:szCs w:val="22"/>
          </w:rPr>
          <w:t>2</w:t>
        </w:r>
      </w:hyperlink>
      <w:r w:rsidRPr="009E33A9">
        <w:rPr>
          <w:rFonts w:ascii="Arial" w:hAnsi="Arial" w:cs="Arial"/>
          <w:sz w:val="22"/>
          <w:szCs w:val="22"/>
        </w:rPr>
        <w:t>), 77–97.</w:t>
      </w:r>
      <w:r w:rsidRPr="00060F99">
        <w:rPr>
          <w:rFonts w:ascii="Arial" w:hAnsi="Arial" w:cs="Arial"/>
          <w:sz w:val="22"/>
          <w:szCs w:val="22"/>
        </w:rPr>
        <w:t xml:space="preserve"> </w:t>
      </w:r>
      <w:hyperlink r:id="rId13" w:history="1">
        <w:r w:rsidRPr="00060F99">
          <w:rPr>
            <w:rStyle w:val="Hyperlink"/>
            <w:rFonts w:ascii="Arial" w:hAnsi="Arial" w:cs="Arial"/>
            <w:color w:val="auto"/>
            <w:sz w:val="22"/>
            <w:szCs w:val="22"/>
          </w:rPr>
          <w:t>https://doi.org/10.2307/41166606</w:t>
        </w:r>
      </w:hyperlink>
    </w:p>
    <w:p w14:paraId="29A6BAAC" w14:textId="77777777" w:rsidR="00C30F2B" w:rsidRPr="00060F99" w:rsidRDefault="00C30F2B" w:rsidP="00060F99">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Olander, S., &amp; Landin, A. (2005). </w:t>
      </w:r>
      <w:r w:rsidRPr="009E33A9">
        <w:rPr>
          <w:rFonts w:ascii="Arial" w:hAnsi="Arial" w:cs="Arial"/>
          <w:i/>
          <w:iCs/>
          <w:sz w:val="22"/>
          <w:szCs w:val="22"/>
        </w:rPr>
        <w:t>A model for assessing stakeholders' influence on transport infrastructure projects</w:t>
      </w:r>
      <w:r w:rsidRPr="00060F99">
        <w:rPr>
          <w:rFonts w:ascii="Arial" w:hAnsi="Arial" w:cs="Arial"/>
          <w:sz w:val="22"/>
          <w:szCs w:val="22"/>
        </w:rPr>
        <w:t>. International Journal of Project Management, 23(4), 321-328.</w:t>
      </w:r>
    </w:p>
    <w:p w14:paraId="7C542296" w14:textId="77777777" w:rsidR="00C30F2B" w:rsidRDefault="00C30F2B" w:rsidP="004E7657">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Project Management Institute. (2017). </w:t>
      </w:r>
      <w:r w:rsidRPr="009E33A9">
        <w:rPr>
          <w:rFonts w:ascii="Arial" w:hAnsi="Arial" w:cs="Arial"/>
          <w:i/>
          <w:iCs/>
          <w:sz w:val="22"/>
          <w:szCs w:val="22"/>
        </w:rPr>
        <w:t>A Guide to the Project Management Body of Knowledge</w:t>
      </w:r>
      <w:r w:rsidRPr="00060F99">
        <w:rPr>
          <w:rFonts w:ascii="Arial" w:hAnsi="Arial" w:cs="Arial"/>
          <w:sz w:val="22"/>
          <w:szCs w:val="22"/>
        </w:rPr>
        <w:t xml:space="preserve"> (PMBOK Guide) - Sixth Edition. Project Management Institute.</w:t>
      </w:r>
    </w:p>
    <w:p w14:paraId="42BFC6FC"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Schmeer, K. (1999). </w:t>
      </w:r>
      <w:r w:rsidRPr="009E33A9">
        <w:rPr>
          <w:rFonts w:ascii="Arial" w:hAnsi="Arial" w:cs="Arial"/>
          <w:i/>
          <w:iCs/>
          <w:sz w:val="22"/>
          <w:szCs w:val="22"/>
        </w:rPr>
        <w:t>Guidelines for conducting a stakeholder analysis</w:t>
      </w:r>
      <w:r w:rsidRPr="00060F99">
        <w:rPr>
          <w:rFonts w:ascii="Arial" w:hAnsi="Arial" w:cs="Arial"/>
          <w:sz w:val="22"/>
          <w:szCs w:val="22"/>
        </w:rPr>
        <w:t>. Bethesda, MD: Partnerships for Health Reform Project, Abt Associates Inc.)</w:t>
      </w:r>
    </w:p>
    <w:p w14:paraId="52417A00" w14:textId="77777777" w:rsidR="00C30F2B" w:rsidRPr="00060F99" w:rsidRDefault="00C30F2B" w:rsidP="007A6DA5">
      <w:pPr>
        <w:pStyle w:val="ListParagraph"/>
        <w:numPr>
          <w:ilvl w:val="0"/>
          <w:numId w:val="24"/>
        </w:numPr>
        <w:spacing w:line="360" w:lineRule="auto"/>
        <w:jc w:val="both"/>
        <w:rPr>
          <w:rFonts w:ascii="Arial" w:hAnsi="Arial" w:cs="Arial"/>
          <w:sz w:val="22"/>
          <w:szCs w:val="22"/>
        </w:rPr>
      </w:pPr>
      <w:r w:rsidRPr="00060F99">
        <w:rPr>
          <w:rFonts w:ascii="Arial" w:hAnsi="Arial" w:cs="Arial"/>
          <w:sz w:val="22"/>
          <w:szCs w:val="22"/>
        </w:rPr>
        <w:t xml:space="preserve">Thomas, K.W., &amp; Kilmann, R.H. (1974). </w:t>
      </w:r>
      <w:r w:rsidRPr="009643E5">
        <w:rPr>
          <w:rFonts w:ascii="Arial" w:hAnsi="Arial" w:cs="Arial"/>
          <w:i/>
          <w:iCs/>
          <w:sz w:val="22"/>
          <w:szCs w:val="22"/>
        </w:rPr>
        <w:t>Thomas-Kilmann Conflict Mode Instrument.</w:t>
      </w:r>
      <w:r w:rsidRPr="00060F99">
        <w:rPr>
          <w:rFonts w:ascii="Arial" w:hAnsi="Arial" w:cs="Arial"/>
          <w:sz w:val="22"/>
          <w:szCs w:val="22"/>
        </w:rPr>
        <w:t xml:space="preserve"> Tuxedo, NY: XICOM Training Institute.</w:t>
      </w:r>
    </w:p>
    <w:sectPr w:rsidR="00C30F2B" w:rsidRPr="00060F99" w:rsidSect="00BE16D1">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3F1A1F" w14:textId="77777777" w:rsidR="006162FE" w:rsidRDefault="006162FE" w:rsidP="00F7750D">
      <w:pPr>
        <w:spacing w:after="0" w:line="240" w:lineRule="auto"/>
      </w:pPr>
      <w:r>
        <w:separator/>
      </w:r>
    </w:p>
  </w:endnote>
  <w:endnote w:type="continuationSeparator" w:id="0">
    <w:p w14:paraId="3ABE1BB6" w14:textId="77777777" w:rsidR="006162FE" w:rsidRDefault="006162FE" w:rsidP="00F77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8188147"/>
      <w:docPartObj>
        <w:docPartGallery w:val="Page Numbers (Bottom of Page)"/>
        <w:docPartUnique/>
      </w:docPartObj>
    </w:sdtPr>
    <w:sdtEndPr>
      <w:rPr>
        <w:noProof/>
      </w:rPr>
    </w:sdtEndPr>
    <w:sdtContent>
      <w:p w14:paraId="54B3DB14" w14:textId="77777777" w:rsidR="00F7750D" w:rsidRDefault="00F7750D">
        <w:pPr>
          <w:pStyle w:val="Footer"/>
          <w:jc w:val="right"/>
        </w:pPr>
      </w:p>
      <w:p w14:paraId="10586DE7" w14:textId="6A36D5C5" w:rsidR="00F7750D" w:rsidRDefault="00F775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3D9B2" w14:textId="77777777" w:rsidR="00F7750D" w:rsidRDefault="00F77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22996E" w14:textId="77777777" w:rsidR="006162FE" w:rsidRDefault="006162FE" w:rsidP="00F7750D">
      <w:pPr>
        <w:spacing w:after="0" w:line="240" w:lineRule="auto"/>
      </w:pPr>
      <w:r>
        <w:separator/>
      </w:r>
    </w:p>
  </w:footnote>
  <w:footnote w:type="continuationSeparator" w:id="0">
    <w:p w14:paraId="7D5C7773" w14:textId="77777777" w:rsidR="006162FE" w:rsidRDefault="006162FE" w:rsidP="00F77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F674C"/>
    <w:multiLevelType w:val="multilevel"/>
    <w:tmpl w:val="2BE41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8417CA"/>
    <w:multiLevelType w:val="hybridMultilevel"/>
    <w:tmpl w:val="8BE2D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54F5F"/>
    <w:multiLevelType w:val="multilevel"/>
    <w:tmpl w:val="47DA0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69512D"/>
    <w:multiLevelType w:val="hybridMultilevel"/>
    <w:tmpl w:val="D4683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EA40C9"/>
    <w:multiLevelType w:val="hybridMultilevel"/>
    <w:tmpl w:val="673E1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929ED"/>
    <w:multiLevelType w:val="multilevel"/>
    <w:tmpl w:val="5B788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736CEB"/>
    <w:multiLevelType w:val="multilevel"/>
    <w:tmpl w:val="81AABBC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431849"/>
    <w:multiLevelType w:val="multilevel"/>
    <w:tmpl w:val="AC280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064785"/>
    <w:multiLevelType w:val="multilevel"/>
    <w:tmpl w:val="EBB41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5C7DD9"/>
    <w:multiLevelType w:val="multilevel"/>
    <w:tmpl w:val="78A27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B62270"/>
    <w:multiLevelType w:val="multilevel"/>
    <w:tmpl w:val="A59822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576E56"/>
    <w:multiLevelType w:val="hybridMultilevel"/>
    <w:tmpl w:val="56625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6E57CA"/>
    <w:multiLevelType w:val="multilevel"/>
    <w:tmpl w:val="6506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9AF0142"/>
    <w:multiLevelType w:val="multilevel"/>
    <w:tmpl w:val="026E859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F8A1DDA"/>
    <w:multiLevelType w:val="multilevel"/>
    <w:tmpl w:val="C68EAD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CE4AD3"/>
    <w:multiLevelType w:val="multilevel"/>
    <w:tmpl w:val="9BB042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63440B"/>
    <w:multiLevelType w:val="multilevel"/>
    <w:tmpl w:val="68D658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E8E4529"/>
    <w:multiLevelType w:val="multilevel"/>
    <w:tmpl w:val="CCDCB9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DA45B9"/>
    <w:multiLevelType w:val="hybridMultilevel"/>
    <w:tmpl w:val="FCEC8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1D4741"/>
    <w:multiLevelType w:val="multilevel"/>
    <w:tmpl w:val="7E3C4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7D19CB"/>
    <w:multiLevelType w:val="multilevel"/>
    <w:tmpl w:val="8536F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9D7411"/>
    <w:multiLevelType w:val="multilevel"/>
    <w:tmpl w:val="289A0008"/>
    <w:lvl w:ilvl="0">
      <w:start w:val="1"/>
      <w:numFmt w:val="decimal"/>
      <w:lvlText w:val="%1"/>
      <w:lvlJc w:val="left"/>
      <w:pPr>
        <w:ind w:left="588" w:hanging="588"/>
      </w:pPr>
      <w:rPr>
        <w:rFonts w:hint="default"/>
      </w:rPr>
    </w:lvl>
    <w:lvl w:ilvl="1">
      <w:start w:val="1"/>
      <w:numFmt w:val="decimal"/>
      <w:lvlText w:val="%1.%2"/>
      <w:lvlJc w:val="left"/>
      <w:pPr>
        <w:ind w:left="588" w:hanging="58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71D55D4"/>
    <w:multiLevelType w:val="multilevel"/>
    <w:tmpl w:val="D90C1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A880421"/>
    <w:multiLevelType w:val="multilevel"/>
    <w:tmpl w:val="4C108F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9426151">
    <w:abstractNumId w:val="13"/>
  </w:num>
  <w:num w:numId="2" w16cid:durableId="1449929210">
    <w:abstractNumId w:val="21"/>
  </w:num>
  <w:num w:numId="3" w16cid:durableId="1187479519">
    <w:abstractNumId w:val="18"/>
  </w:num>
  <w:num w:numId="4" w16cid:durableId="331953021">
    <w:abstractNumId w:val="1"/>
  </w:num>
  <w:num w:numId="5" w16cid:durableId="1912083295">
    <w:abstractNumId w:val="11"/>
  </w:num>
  <w:num w:numId="6" w16cid:durableId="188883984">
    <w:abstractNumId w:val="3"/>
  </w:num>
  <w:num w:numId="7" w16cid:durableId="844588453">
    <w:abstractNumId w:val="8"/>
  </w:num>
  <w:num w:numId="8" w16cid:durableId="801071318">
    <w:abstractNumId w:val="9"/>
  </w:num>
  <w:num w:numId="9" w16cid:durableId="1736586058">
    <w:abstractNumId w:val="7"/>
  </w:num>
  <w:num w:numId="10" w16cid:durableId="319500583">
    <w:abstractNumId w:val="19"/>
  </w:num>
  <w:num w:numId="11" w16cid:durableId="1933274631">
    <w:abstractNumId w:val="17"/>
  </w:num>
  <w:num w:numId="12" w16cid:durableId="1387677608">
    <w:abstractNumId w:val="14"/>
  </w:num>
  <w:num w:numId="13" w16cid:durableId="1915772819">
    <w:abstractNumId w:val="5"/>
  </w:num>
  <w:num w:numId="14" w16cid:durableId="1572276540">
    <w:abstractNumId w:val="12"/>
  </w:num>
  <w:num w:numId="15" w16cid:durableId="1313294931">
    <w:abstractNumId w:val="23"/>
  </w:num>
  <w:num w:numId="16" w16cid:durableId="16541364">
    <w:abstractNumId w:val="2"/>
  </w:num>
  <w:num w:numId="17" w16cid:durableId="972903140">
    <w:abstractNumId w:val="15"/>
  </w:num>
  <w:num w:numId="18" w16cid:durableId="797184678">
    <w:abstractNumId w:val="4"/>
  </w:num>
  <w:num w:numId="19" w16cid:durableId="1736659141">
    <w:abstractNumId w:val="22"/>
  </w:num>
  <w:num w:numId="20" w16cid:durableId="1514805634">
    <w:abstractNumId w:val="16"/>
  </w:num>
  <w:num w:numId="21" w16cid:durableId="1598751440">
    <w:abstractNumId w:val="10"/>
  </w:num>
  <w:num w:numId="22" w16cid:durableId="651912425">
    <w:abstractNumId w:val="0"/>
  </w:num>
  <w:num w:numId="23" w16cid:durableId="644966742">
    <w:abstractNumId w:val="20"/>
  </w:num>
  <w:num w:numId="24" w16cid:durableId="12962502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107"/>
    <w:rsid w:val="00013A6E"/>
    <w:rsid w:val="00013C0C"/>
    <w:rsid w:val="00050E29"/>
    <w:rsid w:val="0005471C"/>
    <w:rsid w:val="00057CF2"/>
    <w:rsid w:val="00060F99"/>
    <w:rsid w:val="000643CA"/>
    <w:rsid w:val="00083D3E"/>
    <w:rsid w:val="000B3346"/>
    <w:rsid w:val="000D7F10"/>
    <w:rsid w:val="001118D2"/>
    <w:rsid w:val="00147EBF"/>
    <w:rsid w:val="0016318F"/>
    <w:rsid w:val="00170367"/>
    <w:rsid w:val="00176647"/>
    <w:rsid w:val="00183107"/>
    <w:rsid w:val="00194F01"/>
    <w:rsid w:val="001A3F5F"/>
    <w:rsid w:val="001A561D"/>
    <w:rsid w:val="001C71D8"/>
    <w:rsid w:val="001D01B0"/>
    <w:rsid w:val="001E06E3"/>
    <w:rsid w:val="001E30B3"/>
    <w:rsid w:val="001F340D"/>
    <w:rsid w:val="00207D7B"/>
    <w:rsid w:val="002308C4"/>
    <w:rsid w:val="002367E8"/>
    <w:rsid w:val="00264651"/>
    <w:rsid w:val="0026675E"/>
    <w:rsid w:val="00294A28"/>
    <w:rsid w:val="0034177F"/>
    <w:rsid w:val="0035601F"/>
    <w:rsid w:val="003620F9"/>
    <w:rsid w:val="00394AB1"/>
    <w:rsid w:val="003B6064"/>
    <w:rsid w:val="003C2C6B"/>
    <w:rsid w:val="003F2E36"/>
    <w:rsid w:val="004167D2"/>
    <w:rsid w:val="00425BC4"/>
    <w:rsid w:val="0045676E"/>
    <w:rsid w:val="00466793"/>
    <w:rsid w:val="004725DA"/>
    <w:rsid w:val="004B03B7"/>
    <w:rsid w:val="004B68C7"/>
    <w:rsid w:val="004D320C"/>
    <w:rsid w:val="004E7657"/>
    <w:rsid w:val="004F4AA7"/>
    <w:rsid w:val="00501FF0"/>
    <w:rsid w:val="00507E12"/>
    <w:rsid w:val="005223FB"/>
    <w:rsid w:val="0052309E"/>
    <w:rsid w:val="005345BD"/>
    <w:rsid w:val="005721DB"/>
    <w:rsid w:val="0057517B"/>
    <w:rsid w:val="00577579"/>
    <w:rsid w:val="005869BE"/>
    <w:rsid w:val="005B347D"/>
    <w:rsid w:val="005B7BCE"/>
    <w:rsid w:val="005D4714"/>
    <w:rsid w:val="006147B5"/>
    <w:rsid w:val="006162FE"/>
    <w:rsid w:val="00617A7C"/>
    <w:rsid w:val="00625C0C"/>
    <w:rsid w:val="00674106"/>
    <w:rsid w:val="00692093"/>
    <w:rsid w:val="00695AD0"/>
    <w:rsid w:val="006E7F69"/>
    <w:rsid w:val="00711B62"/>
    <w:rsid w:val="0071407E"/>
    <w:rsid w:val="00720EC9"/>
    <w:rsid w:val="0072489E"/>
    <w:rsid w:val="00730613"/>
    <w:rsid w:val="0073090B"/>
    <w:rsid w:val="007477E4"/>
    <w:rsid w:val="00782BBE"/>
    <w:rsid w:val="007A6DA5"/>
    <w:rsid w:val="007D26BF"/>
    <w:rsid w:val="007E1C89"/>
    <w:rsid w:val="007E2129"/>
    <w:rsid w:val="007E4BB5"/>
    <w:rsid w:val="008107FB"/>
    <w:rsid w:val="00821697"/>
    <w:rsid w:val="00872AEA"/>
    <w:rsid w:val="00876B2A"/>
    <w:rsid w:val="008C3675"/>
    <w:rsid w:val="008E438A"/>
    <w:rsid w:val="008F1FDA"/>
    <w:rsid w:val="008F6E18"/>
    <w:rsid w:val="0090267F"/>
    <w:rsid w:val="0092377D"/>
    <w:rsid w:val="00937F41"/>
    <w:rsid w:val="00943951"/>
    <w:rsid w:val="009643E5"/>
    <w:rsid w:val="00974EDF"/>
    <w:rsid w:val="00974F9A"/>
    <w:rsid w:val="009848FD"/>
    <w:rsid w:val="00994C14"/>
    <w:rsid w:val="00994C5C"/>
    <w:rsid w:val="009A4574"/>
    <w:rsid w:val="009A7AE5"/>
    <w:rsid w:val="009B42F7"/>
    <w:rsid w:val="009B5D74"/>
    <w:rsid w:val="009E33A9"/>
    <w:rsid w:val="009E3D7F"/>
    <w:rsid w:val="009E5E58"/>
    <w:rsid w:val="00A019D7"/>
    <w:rsid w:val="00A14119"/>
    <w:rsid w:val="00A1672A"/>
    <w:rsid w:val="00A215F0"/>
    <w:rsid w:val="00A24951"/>
    <w:rsid w:val="00A33A92"/>
    <w:rsid w:val="00A405E9"/>
    <w:rsid w:val="00A50D96"/>
    <w:rsid w:val="00A65CB1"/>
    <w:rsid w:val="00A67153"/>
    <w:rsid w:val="00A820A2"/>
    <w:rsid w:val="00A872C4"/>
    <w:rsid w:val="00AA29FD"/>
    <w:rsid w:val="00AB10C4"/>
    <w:rsid w:val="00AB1644"/>
    <w:rsid w:val="00AB5F95"/>
    <w:rsid w:val="00AD367B"/>
    <w:rsid w:val="00AE0C25"/>
    <w:rsid w:val="00AF64CD"/>
    <w:rsid w:val="00B33F1C"/>
    <w:rsid w:val="00B60104"/>
    <w:rsid w:val="00B642AA"/>
    <w:rsid w:val="00B76F78"/>
    <w:rsid w:val="00B84E4B"/>
    <w:rsid w:val="00BB4AFC"/>
    <w:rsid w:val="00BD433F"/>
    <w:rsid w:val="00BE16D1"/>
    <w:rsid w:val="00BF327F"/>
    <w:rsid w:val="00C045C7"/>
    <w:rsid w:val="00C12854"/>
    <w:rsid w:val="00C30F2B"/>
    <w:rsid w:val="00C32630"/>
    <w:rsid w:val="00C4268B"/>
    <w:rsid w:val="00C529A0"/>
    <w:rsid w:val="00C56825"/>
    <w:rsid w:val="00C90D1C"/>
    <w:rsid w:val="00CB1D3E"/>
    <w:rsid w:val="00CD3C1D"/>
    <w:rsid w:val="00CD60D6"/>
    <w:rsid w:val="00CE3E57"/>
    <w:rsid w:val="00CF46EE"/>
    <w:rsid w:val="00CF7826"/>
    <w:rsid w:val="00D016CB"/>
    <w:rsid w:val="00D12A0F"/>
    <w:rsid w:val="00D15AE5"/>
    <w:rsid w:val="00D23F47"/>
    <w:rsid w:val="00D30739"/>
    <w:rsid w:val="00E00520"/>
    <w:rsid w:val="00E107CC"/>
    <w:rsid w:val="00E12D59"/>
    <w:rsid w:val="00E54BDE"/>
    <w:rsid w:val="00E56BF2"/>
    <w:rsid w:val="00E67F78"/>
    <w:rsid w:val="00E717B4"/>
    <w:rsid w:val="00E73F3E"/>
    <w:rsid w:val="00E85742"/>
    <w:rsid w:val="00E86544"/>
    <w:rsid w:val="00EB1457"/>
    <w:rsid w:val="00EC5138"/>
    <w:rsid w:val="00F02FDA"/>
    <w:rsid w:val="00F41965"/>
    <w:rsid w:val="00F45C5C"/>
    <w:rsid w:val="00F5615E"/>
    <w:rsid w:val="00F7750D"/>
    <w:rsid w:val="00F8589F"/>
    <w:rsid w:val="00F96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3B1B0"/>
  <w15:chartTrackingRefBased/>
  <w15:docId w15:val="{49728662-5372-4068-82D5-678B85EFE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3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1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1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1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3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107"/>
    <w:rPr>
      <w:rFonts w:eastAsiaTheme="majorEastAsia" w:cstheme="majorBidi"/>
      <w:color w:val="272727" w:themeColor="text1" w:themeTint="D8"/>
    </w:rPr>
  </w:style>
  <w:style w:type="paragraph" w:styleId="Title">
    <w:name w:val="Title"/>
    <w:basedOn w:val="Normal"/>
    <w:next w:val="Normal"/>
    <w:link w:val="TitleChar"/>
    <w:uiPriority w:val="10"/>
    <w:qFormat/>
    <w:rsid w:val="00183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107"/>
    <w:pPr>
      <w:spacing w:before="160"/>
      <w:jc w:val="center"/>
    </w:pPr>
    <w:rPr>
      <w:i/>
      <w:iCs/>
      <w:color w:val="404040" w:themeColor="text1" w:themeTint="BF"/>
    </w:rPr>
  </w:style>
  <w:style w:type="character" w:customStyle="1" w:styleId="QuoteChar">
    <w:name w:val="Quote Char"/>
    <w:basedOn w:val="DefaultParagraphFont"/>
    <w:link w:val="Quote"/>
    <w:uiPriority w:val="29"/>
    <w:rsid w:val="00183107"/>
    <w:rPr>
      <w:i/>
      <w:iCs/>
      <w:color w:val="404040" w:themeColor="text1" w:themeTint="BF"/>
    </w:rPr>
  </w:style>
  <w:style w:type="paragraph" w:styleId="ListParagraph">
    <w:name w:val="List Paragraph"/>
    <w:basedOn w:val="Normal"/>
    <w:uiPriority w:val="34"/>
    <w:qFormat/>
    <w:rsid w:val="00183107"/>
    <w:pPr>
      <w:ind w:left="720"/>
      <w:contextualSpacing/>
    </w:pPr>
  </w:style>
  <w:style w:type="character" w:styleId="IntenseEmphasis">
    <w:name w:val="Intense Emphasis"/>
    <w:basedOn w:val="DefaultParagraphFont"/>
    <w:uiPriority w:val="21"/>
    <w:qFormat/>
    <w:rsid w:val="00183107"/>
    <w:rPr>
      <w:i/>
      <w:iCs/>
      <w:color w:val="0F4761" w:themeColor="accent1" w:themeShade="BF"/>
    </w:rPr>
  </w:style>
  <w:style w:type="paragraph" w:styleId="IntenseQuote">
    <w:name w:val="Intense Quote"/>
    <w:basedOn w:val="Normal"/>
    <w:next w:val="Normal"/>
    <w:link w:val="IntenseQuoteChar"/>
    <w:uiPriority w:val="30"/>
    <w:qFormat/>
    <w:rsid w:val="00183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107"/>
    <w:rPr>
      <w:i/>
      <w:iCs/>
      <w:color w:val="0F4761" w:themeColor="accent1" w:themeShade="BF"/>
    </w:rPr>
  </w:style>
  <w:style w:type="character" w:styleId="IntenseReference">
    <w:name w:val="Intense Reference"/>
    <w:basedOn w:val="DefaultParagraphFont"/>
    <w:uiPriority w:val="32"/>
    <w:qFormat/>
    <w:rsid w:val="00183107"/>
    <w:rPr>
      <w:b/>
      <w:bCs/>
      <w:smallCaps/>
      <w:color w:val="0F4761" w:themeColor="accent1" w:themeShade="BF"/>
      <w:spacing w:val="5"/>
    </w:rPr>
  </w:style>
  <w:style w:type="paragraph" w:styleId="NoSpacing">
    <w:name w:val="No Spacing"/>
    <w:link w:val="NoSpacingChar"/>
    <w:uiPriority w:val="1"/>
    <w:qFormat/>
    <w:rsid w:val="00BE16D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E16D1"/>
    <w:rPr>
      <w:rFonts w:eastAsiaTheme="minorEastAsia"/>
      <w:kern w:val="0"/>
      <w:sz w:val="22"/>
      <w:szCs w:val="22"/>
      <w:lang w:val="en-US"/>
      <w14:ligatures w14:val="none"/>
    </w:rPr>
  </w:style>
  <w:style w:type="character" w:styleId="Hyperlink">
    <w:name w:val="Hyperlink"/>
    <w:basedOn w:val="DefaultParagraphFont"/>
    <w:uiPriority w:val="99"/>
    <w:unhideWhenUsed/>
    <w:rsid w:val="00A019D7"/>
    <w:rPr>
      <w:color w:val="467886" w:themeColor="hyperlink"/>
      <w:u w:val="single"/>
    </w:rPr>
  </w:style>
  <w:style w:type="character" w:styleId="UnresolvedMention">
    <w:name w:val="Unresolved Mention"/>
    <w:basedOn w:val="DefaultParagraphFont"/>
    <w:uiPriority w:val="99"/>
    <w:semiHidden/>
    <w:unhideWhenUsed/>
    <w:rsid w:val="00A019D7"/>
    <w:rPr>
      <w:color w:val="605E5C"/>
      <w:shd w:val="clear" w:color="auto" w:fill="E1DFDD"/>
    </w:rPr>
  </w:style>
  <w:style w:type="paragraph" w:styleId="TOCHeading">
    <w:name w:val="TOC Heading"/>
    <w:basedOn w:val="Heading1"/>
    <w:next w:val="Normal"/>
    <w:uiPriority w:val="39"/>
    <w:unhideWhenUsed/>
    <w:qFormat/>
    <w:rsid w:val="003417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4177F"/>
    <w:pPr>
      <w:spacing w:after="100"/>
    </w:pPr>
  </w:style>
  <w:style w:type="paragraph" w:styleId="Header">
    <w:name w:val="header"/>
    <w:basedOn w:val="Normal"/>
    <w:link w:val="HeaderChar"/>
    <w:uiPriority w:val="99"/>
    <w:unhideWhenUsed/>
    <w:rsid w:val="00F77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50D"/>
  </w:style>
  <w:style w:type="paragraph" w:styleId="Footer">
    <w:name w:val="footer"/>
    <w:basedOn w:val="Normal"/>
    <w:link w:val="FooterChar"/>
    <w:uiPriority w:val="99"/>
    <w:unhideWhenUsed/>
    <w:rsid w:val="00F77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50D"/>
  </w:style>
  <w:style w:type="paragraph" w:styleId="Caption">
    <w:name w:val="caption"/>
    <w:basedOn w:val="Normal"/>
    <w:next w:val="Normal"/>
    <w:uiPriority w:val="35"/>
    <w:unhideWhenUsed/>
    <w:qFormat/>
    <w:rsid w:val="005B7BC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662837">
      <w:bodyDiv w:val="1"/>
      <w:marLeft w:val="0"/>
      <w:marRight w:val="0"/>
      <w:marTop w:val="0"/>
      <w:marBottom w:val="0"/>
      <w:divBdr>
        <w:top w:val="none" w:sz="0" w:space="0" w:color="auto"/>
        <w:left w:val="none" w:sz="0" w:space="0" w:color="auto"/>
        <w:bottom w:val="none" w:sz="0" w:space="0" w:color="auto"/>
        <w:right w:val="none" w:sz="0" w:space="0" w:color="auto"/>
      </w:divBdr>
    </w:div>
    <w:div w:id="75591318">
      <w:bodyDiv w:val="1"/>
      <w:marLeft w:val="0"/>
      <w:marRight w:val="0"/>
      <w:marTop w:val="0"/>
      <w:marBottom w:val="0"/>
      <w:divBdr>
        <w:top w:val="none" w:sz="0" w:space="0" w:color="auto"/>
        <w:left w:val="none" w:sz="0" w:space="0" w:color="auto"/>
        <w:bottom w:val="none" w:sz="0" w:space="0" w:color="auto"/>
        <w:right w:val="none" w:sz="0" w:space="0" w:color="auto"/>
      </w:divBdr>
    </w:div>
    <w:div w:id="107360443">
      <w:bodyDiv w:val="1"/>
      <w:marLeft w:val="0"/>
      <w:marRight w:val="0"/>
      <w:marTop w:val="0"/>
      <w:marBottom w:val="0"/>
      <w:divBdr>
        <w:top w:val="none" w:sz="0" w:space="0" w:color="auto"/>
        <w:left w:val="none" w:sz="0" w:space="0" w:color="auto"/>
        <w:bottom w:val="none" w:sz="0" w:space="0" w:color="auto"/>
        <w:right w:val="none" w:sz="0" w:space="0" w:color="auto"/>
      </w:divBdr>
    </w:div>
    <w:div w:id="145244609">
      <w:bodyDiv w:val="1"/>
      <w:marLeft w:val="0"/>
      <w:marRight w:val="0"/>
      <w:marTop w:val="0"/>
      <w:marBottom w:val="0"/>
      <w:divBdr>
        <w:top w:val="none" w:sz="0" w:space="0" w:color="auto"/>
        <w:left w:val="none" w:sz="0" w:space="0" w:color="auto"/>
        <w:bottom w:val="none" w:sz="0" w:space="0" w:color="auto"/>
        <w:right w:val="none" w:sz="0" w:space="0" w:color="auto"/>
      </w:divBdr>
    </w:div>
    <w:div w:id="254362751">
      <w:bodyDiv w:val="1"/>
      <w:marLeft w:val="0"/>
      <w:marRight w:val="0"/>
      <w:marTop w:val="0"/>
      <w:marBottom w:val="0"/>
      <w:divBdr>
        <w:top w:val="none" w:sz="0" w:space="0" w:color="auto"/>
        <w:left w:val="none" w:sz="0" w:space="0" w:color="auto"/>
        <w:bottom w:val="none" w:sz="0" w:space="0" w:color="auto"/>
        <w:right w:val="none" w:sz="0" w:space="0" w:color="auto"/>
      </w:divBdr>
    </w:div>
    <w:div w:id="262034531">
      <w:bodyDiv w:val="1"/>
      <w:marLeft w:val="0"/>
      <w:marRight w:val="0"/>
      <w:marTop w:val="0"/>
      <w:marBottom w:val="0"/>
      <w:divBdr>
        <w:top w:val="none" w:sz="0" w:space="0" w:color="auto"/>
        <w:left w:val="none" w:sz="0" w:space="0" w:color="auto"/>
        <w:bottom w:val="none" w:sz="0" w:space="0" w:color="auto"/>
        <w:right w:val="none" w:sz="0" w:space="0" w:color="auto"/>
      </w:divBdr>
    </w:div>
    <w:div w:id="274098247">
      <w:bodyDiv w:val="1"/>
      <w:marLeft w:val="0"/>
      <w:marRight w:val="0"/>
      <w:marTop w:val="0"/>
      <w:marBottom w:val="0"/>
      <w:divBdr>
        <w:top w:val="none" w:sz="0" w:space="0" w:color="auto"/>
        <w:left w:val="none" w:sz="0" w:space="0" w:color="auto"/>
        <w:bottom w:val="none" w:sz="0" w:space="0" w:color="auto"/>
        <w:right w:val="none" w:sz="0" w:space="0" w:color="auto"/>
      </w:divBdr>
    </w:div>
    <w:div w:id="321085301">
      <w:bodyDiv w:val="1"/>
      <w:marLeft w:val="0"/>
      <w:marRight w:val="0"/>
      <w:marTop w:val="0"/>
      <w:marBottom w:val="0"/>
      <w:divBdr>
        <w:top w:val="none" w:sz="0" w:space="0" w:color="auto"/>
        <w:left w:val="none" w:sz="0" w:space="0" w:color="auto"/>
        <w:bottom w:val="none" w:sz="0" w:space="0" w:color="auto"/>
        <w:right w:val="none" w:sz="0" w:space="0" w:color="auto"/>
      </w:divBdr>
    </w:div>
    <w:div w:id="370226937">
      <w:bodyDiv w:val="1"/>
      <w:marLeft w:val="0"/>
      <w:marRight w:val="0"/>
      <w:marTop w:val="0"/>
      <w:marBottom w:val="0"/>
      <w:divBdr>
        <w:top w:val="none" w:sz="0" w:space="0" w:color="auto"/>
        <w:left w:val="none" w:sz="0" w:space="0" w:color="auto"/>
        <w:bottom w:val="none" w:sz="0" w:space="0" w:color="auto"/>
        <w:right w:val="none" w:sz="0" w:space="0" w:color="auto"/>
      </w:divBdr>
    </w:div>
    <w:div w:id="427652903">
      <w:bodyDiv w:val="1"/>
      <w:marLeft w:val="0"/>
      <w:marRight w:val="0"/>
      <w:marTop w:val="0"/>
      <w:marBottom w:val="0"/>
      <w:divBdr>
        <w:top w:val="none" w:sz="0" w:space="0" w:color="auto"/>
        <w:left w:val="none" w:sz="0" w:space="0" w:color="auto"/>
        <w:bottom w:val="none" w:sz="0" w:space="0" w:color="auto"/>
        <w:right w:val="none" w:sz="0" w:space="0" w:color="auto"/>
      </w:divBdr>
    </w:div>
    <w:div w:id="454836650">
      <w:bodyDiv w:val="1"/>
      <w:marLeft w:val="0"/>
      <w:marRight w:val="0"/>
      <w:marTop w:val="0"/>
      <w:marBottom w:val="0"/>
      <w:divBdr>
        <w:top w:val="none" w:sz="0" w:space="0" w:color="auto"/>
        <w:left w:val="none" w:sz="0" w:space="0" w:color="auto"/>
        <w:bottom w:val="none" w:sz="0" w:space="0" w:color="auto"/>
        <w:right w:val="none" w:sz="0" w:space="0" w:color="auto"/>
      </w:divBdr>
    </w:div>
    <w:div w:id="484929592">
      <w:bodyDiv w:val="1"/>
      <w:marLeft w:val="0"/>
      <w:marRight w:val="0"/>
      <w:marTop w:val="0"/>
      <w:marBottom w:val="0"/>
      <w:divBdr>
        <w:top w:val="none" w:sz="0" w:space="0" w:color="auto"/>
        <w:left w:val="none" w:sz="0" w:space="0" w:color="auto"/>
        <w:bottom w:val="none" w:sz="0" w:space="0" w:color="auto"/>
        <w:right w:val="none" w:sz="0" w:space="0" w:color="auto"/>
      </w:divBdr>
    </w:div>
    <w:div w:id="623002749">
      <w:bodyDiv w:val="1"/>
      <w:marLeft w:val="0"/>
      <w:marRight w:val="0"/>
      <w:marTop w:val="0"/>
      <w:marBottom w:val="0"/>
      <w:divBdr>
        <w:top w:val="none" w:sz="0" w:space="0" w:color="auto"/>
        <w:left w:val="none" w:sz="0" w:space="0" w:color="auto"/>
        <w:bottom w:val="none" w:sz="0" w:space="0" w:color="auto"/>
        <w:right w:val="none" w:sz="0" w:space="0" w:color="auto"/>
      </w:divBdr>
    </w:div>
    <w:div w:id="667561413">
      <w:bodyDiv w:val="1"/>
      <w:marLeft w:val="0"/>
      <w:marRight w:val="0"/>
      <w:marTop w:val="0"/>
      <w:marBottom w:val="0"/>
      <w:divBdr>
        <w:top w:val="none" w:sz="0" w:space="0" w:color="auto"/>
        <w:left w:val="none" w:sz="0" w:space="0" w:color="auto"/>
        <w:bottom w:val="none" w:sz="0" w:space="0" w:color="auto"/>
        <w:right w:val="none" w:sz="0" w:space="0" w:color="auto"/>
      </w:divBdr>
    </w:div>
    <w:div w:id="673652180">
      <w:bodyDiv w:val="1"/>
      <w:marLeft w:val="0"/>
      <w:marRight w:val="0"/>
      <w:marTop w:val="0"/>
      <w:marBottom w:val="0"/>
      <w:divBdr>
        <w:top w:val="none" w:sz="0" w:space="0" w:color="auto"/>
        <w:left w:val="none" w:sz="0" w:space="0" w:color="auto"/>
        <w:bottom w:val="none" w:sz="0" w:space="0" w:color="auto"/>
        <w:right w:val="none" w:sz="0" w:space="0" w:color="auto"/>
      </w:divBdr>
    </w:div>
    <w:div w:id="719717179">
      <w:bodyDiv w:val="1"/>
      <w:marLeft w:val="0"/>
      <w:marRight w:val="0"/>
      <w:marTop w:val="0"/>
      <w:marBottom w:val="0"/>
      <w:divBdr>
        <w:top w:val="none" w:sz="0" w:space="0" w:color="auto"/>
        <w:left w:val="none" w:sz="0" w:space="0" w:color="auto"/>
        <w:bottom w:val="none" w:sz="0" w:space="0" w:color="auto"/>
        <w:right w:val="none" w:sz="0" w:space="0" w:color="auto"/>
      </w:divBdr>
    </w:div>
    <w:div w:id="807405561">
      <w:bodyDiv w:val="1"/>
      <w:marLeft w:val="0"/>
      <w:marRight w:val="0"/>
      <w:marTop w:val="0"/>
      <w:marBottom w:val="0"/>
      <w:divBdr>
        <w:top w:val="none" w:sz="0" w:space="0" w:color="auto"/>
        <w:left w:val="none" w:sz="0" w:space="0" w:color="auto"/>
        <w:bottom w:val="none" w:sz="0" w:space="0" w:color="auto"/>
        <w:right w:val="none" w:sz="0" w:space="0" w:color="auto"/>
      </w:divBdr>
    </w:div>
    <w:div w:id="811025929">
      <w:bodyDiv w:val="1"/>
      <w:marLeft w:val="0"/>
      <w:marRight w:val="0"/>
      <w:marTop w:val="0"/>
      <w:marBottom w:val="0"/>
      <w:divBdr>
        <w:top w:val="none" w:sz="0" w:space="0" w:color="auto"/>
        <w:left w:val="none" w:sz="0" w:space="0" w:color="auto"/>
        <w:bottom w:val="none" w:sz="0" w:space="0" w:color="auto"/>
        <w:right w:val="none" w:sz="0" w:space="0" w:color="auto"/>
      </w:divBdr>
    </w:div>
    <w:div w:id="844245268">
      <w:bodyDiv w:val="1"/>
      <w:marLeft w:val="0"/>
      <w:marRight w:val="0"/>
      <w:marTop w:val="0"/>
      <w:marBottom w:val="0"/>
      <w:divBdr>
        <w:top w:val="none" w:sz="0" w:space="0" w:color="auto"/>
        <w:left w:val="none" w:sz="0" w:space="0" w:color="auto"/>
        <w:bottom w:val="none" w:sz="0" w:space="0" w:color="auto"/>
        <w:right w:val="none" w:sz="0" w:space="0" w:color="auto"/>
      </w:divBdr>
    </w:div>
    <w:div w:id="935018900">
      <w:bodyDiv w:val="1"/>
      <w:marLeft w:val="0"/>
      <w:marRight w:val="0"/>
      <w:marTop w:val="0"/>
      <w:marBottom w:val="0"/>
      <w:divBdr>
        <w:top w:val="none" w:sz="0" w:space="0" w:color="auto"/>
        <w:left w:val="none" w:sz="0" w:space="0" w:color="auto"/>
        <w:bottom w:val="none" w:sz="0" w:space="0" w:color="auto"/>
        <w:right w:val="none" w:sz="0" w:space="0" w:color="auto"/>
      </w:divBdr>
    </w:div>
    <w:div w:id="959215985">
      <w:bodyDiv w:val="1"/>
      <w:marLeft w:val="0"/>
      <w:marRight w:val="0"/>
      <w:marTop w:val="0"/>
      <w:marBottom w:val="0"/>
      <w:divBdr>
        <w:top w:val="none" w:sz="0" w:space="0" w:color="auto"/>
        <w:left w:val="none" w:sz="0" w:space="0" w:color="auto"/>
        <w:bottom w:val="none" w:sz="0" w:space="0" w:color="auto"/>
        <w:right w:val="none" w:sz="0" w:space="0" w:color="auto"/>
      </w:divBdr>
    </w:div>
    <w:div w:id="968440637">
      <w:bodyDiv w:val="1"/>
      <w:marLeft w:val="0"/>
      <w:marRight w:val="0"/>
      <w:marTop w:val="0"/>
      <w:marBottom w:val="0"/>
      <w:divBdr>
        <w:top w:val="none" w:sz="0" w:space="0" w:color="auto"/>
        <w:left w:val="none" w:sz="0" w:space="0" w:color="auto"/>
        <w:bottom w:val="none" w:sz="0" w:space="0" w:color="auto"/>
        <w:right w:val="none" w:sz="0" w:space="0" w:color="auto"/>
      </w:divBdr>
    </w:div>
    <w:div w:id="1000424458">
      <w:bodyDiv w:val="1"/>
      <w:marLeft w:val="0"/>
      <w:marRight w:val="0"/>
      <w:marTop w:val="0"/>
      <w:marBottom w:val="0"/>
      <w:divBdr>
        <w:top w:val="none" w:sz="0" w:space="0" w:color="auto"/>
        <w:left w:val="none" w:sz="0" w:space="0" w:color="auto"/>
        <w:bottom w:val="none" w:sz="0" w:space="0" w:color="auto"/>
        <w:right w:val="none" w:sz="0" w:space="0" w:color="auto"/>
      </w:divBdr>
    </w:div>
    <w:div w:id="1002704724">
      <w:bodyDiv w:val="1"/>
      <w:marLeft w:val="0"/>
      <w:marRight w:val="0"/>
      <w:marTop w:val="0"/>
      <w:marBottom w:val="0"/>
      <w:divBdr>
        <w:top w:val="none" w:sz="0" w:space="0" w:color="auto"/>
        <w:left w:val="none" w:sz="0" w:space="0" w:color="auto"/>
        <w:bottom w:val="none" w:sz="0" w:space="0" w:color="auto"/>
        <w:right w:val="none" w:sz="0" w:space="0" w:color="auto"/>
      </w:divBdr>
    </w:div>
    <w:div w:id="1010376619">
      <w:bodyDiv w:val="1"/>
      <w:marLeft w:val="0"/>
      <w:marRight w:val="0"/>
      <w:marTop w:val="0"/>
      <w:marBottom w:val="0"/>
      <w:divBdr>
        <w:top w:val="none" w:sz="0" w:space="0" w:color="auto"/>
        <w:left w:val="none" w:sz="0" w:space="0" w:color="auto"/>
        <w:bottom w:val="none" w:sz="0" w:space="0" w:color="auto"/>
        <w:right w:val="none" w:sz="0" w:space="0" w:color="auto"/>
      </w:divBdr>
    </w:div>
    <w:div w:id="1045180140">
      <w:bodyDiv w:val="1"/>
      <w:marLeft w:val="0"/>
      <w:marRight w:val="0"/>
      <w:marTop w:val="0"/>
      <w:marBottom w:val="0"/>
      <w:divBdr>
        <w:top w:val="none" w:sz="0" w:space="0" w:color="auto"/>
        <w:left w:val="none" w:sz="0" w:space="0" w:color="auto"/>
        <w:bottom w:val="none" w:sz="0" w:space="0" w:color="auto"/>
        <w:right w:val="none" w:sz="0" w:space="0" w:color="auto"/>
      </w:divBdr>
    </w:div>
    <w:div w:id="1068310783">
      <w:bodyDiv w:val="1"/>
      <w:marLeft w:val="0"/>
      <w:marRight w:val="0"/>
      <w:marTop w:val="0"/>
      <w:marBottom w:val="0"/>
      <w:divBdr>
        <w:top w:val="none" w:sz="0" w:space="0" w:color="auto"/>
        <w:left w:val="none" w:sz="0" w:space="0" w:color="auto"/>
        <w:bottom w:val="none" w:sz="0" w:space="0" w:color="auto"/>
        <w:right w:val="none" w:sz="0" w:space="0" w:color="auto"/>
      </w:divBdr>
    </w:div>
    <w:div w:id="1083602658">
      <w:bodyDiv w:val="1"/>
      <w:marLeft w:val="0"/>
      <w:marRight w:val="0"/>
      <w:marTop w:val="0"/>
      <w:marBottom w:val="0"/>
      <w:divBdr>
        <w:top w:val="none" w:sz="0" w:space="0" w:color="auto"/>
        <w:left w:val="none" w:sz="0" w:space="0" w:color="auto"/>
        <w:bottom w:val="none" w:sz="0" w:space="0" w:color="auto"/>
        <w:right w:val="none" w:sz="0" w:space="0" w:color="auto"/>
      </w:divBdr>
    </w:div>
    <w:div w:id="1090810290">
      <w:bodyDiv w:val="1"/>
      <w:marLeft w:val="0"/>
      <w:marRight w:val="0"/>
      <w:marTop w:val="0"/>
      <w:marBottom w:val="0"/>
      <w:divBdr>
        <w:top w:val="none" w:sz="0" w:space="0" w:color="auto"/>
        <w:left w:val="none" w:sz="0" w:space="0" w:color="auto"/>
        <w:bottom w:val="none" w:sz="0" w:space="0" w:color="auto"/>
        <w:right w:val="none" w:sz="0" w:space="0" w:color="auto"/>
      </w:divBdr>
    </w:div>
    <w:div w:id="1212157873">
      <w:bodyDiv w:val="1"/>
      <w:marLeft w:val="0"/>
      <w:marRight w:val="0"/>
      <w:marTop w:val="0"/>
      <w:marBottom w:val="0"/>
      <w:divBdr>
        <w:top w:val="none" w:sz="0" w:space="0" w:color="auto"/>
        <w:left w:val="none" w:sz="0" w:space="0" w:color="auto"/>
        <w:bottom w:val="none" w:sz="0" w:space="0" w:color="auto"/>
        <w:right w:val="none" w:sz="0" w:space="0" w:color="auto"/>
      </w:divBdr>
    </w:div>
    <w:div w:id="1240797650">
      <w:bodyDiv w:val="1"/>
      <w:marLeft w:val="0"/>
      <w:marRight w:val="0"/>
      <w:marTop w:val="0"/>
      <w:marBottom w:val="0"/>
      <w:divBdr>
        <w:top w:val="none" w:sz="0" w:space="0" w:color="auto"/>
        <w:left w:val="none" w:sz="0" w:space="0" w:color="auto"/>
        <w:bottom w:val="none" w:sz="0" w:space="0" w:color="auto"/>
        <w:right w:val="none" w:sz="0" w:space="0" w:color="auto"/>
      </w:divBdr>
    </w:div>
    <w:div w:id="1246232897">
      <w:bodyDiv w:val="1"/>
      <w:marLeft w:val="0"/>
      <w:marRight w:val="0"/>
      <w:marTop w:val="0"/>
      <w:marBottom w:val="0"/>
      <w:divBdr>
        <w:top w:val="none" w:sz="0" w:space="0" w:color="auto"/>
        <w:left w:val="none" w:sz="0" w:space="0" w:color="auto"/>
        <w:bottom w:val="none" w:sz="0" w:space="0" w:color="auto"/>
        <w:right w:val="none" w:sz="0" w:space="0" w:color="auto"/>
      </w:divBdr>
    </w:div>
    <w:div w:id="1320841966">
      <w:bodyDiv w:val="1"/>
      <w:marLeft w:val="0"/>
      <w:marRight w:val="0"/>
      <w:marTop w:val="0"/>
      <w:marBottom w:val="0"/>
      <w:divBdr>
        <w:top w:val="none" w:sz="0" w:space="0" w:color="auto"/>
        <w:left w:val="none" w:sz="0" w:space="0" w:color="auto"/>
        <w:bottom w:val="none" w:sz="0" w:space="0" w:color="auto"/>
        <w:right w:val="none" w:sz="0" w:space="0" w:color="auto"/>
      </w:divBdr>
    </w:div>
    <w:div w:id="1353413222">
      <w:bodyDiv w:val="1"/>
      <w:marLeft w:val="0"/>
      <w:marRight w:val="0"/>
      <w:marTop w:val="0"/>
      <w:marBottom w:val="0"/>
      <w:divBdr>
        <w:top w:val="none" w:sz="0" w:space="0" w:color="auto"/>
        <w:left w:val="none" w:sz="0" w:space="0" w:color="auto"/>
        <w:bottom w:val="none" w:sz="0" w:space="0" w:color="auto"/>
        <w:right w:val="none" w:sz="0" w:space="0" w:color="auto"/>
      </w:divBdr>
    </w:div>
    <w:div w:id="1438478986">
      <w:bodyDiv w:val="1"/>
      <w:marLeft w:val="0"/>
      <w:marRight w:val="0"/>
      <w:marTop w:val="0"/>
      <w:marBottom w:val="0"/>
      <w:divBdr>
        <w:top w:val="none" w:sz="0" w:space="0" w:color="auto"/>
        <w:left w:val="none" w:sz="0" w:space="0" w:color="auto"/>
        <w:bottom w:val="none" w:sz="0" w:space="0" w:color="auto"/>
        <w:right w:val="none" w:sz="0" w:space="0" w:color="auto"/>
      </w:divBdr>
    </w:div>
    <w:div w:id="1509758212">
      <w:bodyDiv w:val="1"/>
      <w:marLeft w:val="0"/>
      <w:marRight w:val="0"/>
      <w:marTop w:val="0"/>
      <w:marBottom w:val="0"/>
      <w:divBdr>
        <w:top w:val="none" w:sz="0" w:space="0" w:color="auto"/>
        <w:left w:val="none" w:sz="0" w:space="0" w:color="auto"/>
        <w:bottom w:val="none" w:sz="0" w:space="0" w:color="auto"/>
        <w:right w:val="none" w:sz="0" w:space="0" w:color="auto"/>
      </w:divBdr>
    </w:div>
    <w:div w:id="1547141079">
      <w:bodyDiv w:val="1"/>
      <w:marLeft w:val="0"/>
      <w:marRight w:val="0"/>
      <w:marTop w:val="0"/>
      <w:marBottom w:val="0"/>
      <w:divBdr>
        <w:top w:val="none" w:sz="0" w:space="0" w:color="auto"/>
        <w:left w:val="none" w:sz="0" w:space="0" w:color="auto"/>
        <w:bottom w:val="none" w:sz="0" w:space="0" w:color="auto"/>
        <w:right w:val="none" w:sz="0" w:space="0" w:color="auto"/>
      </w:divBdr>
    </w:div>
    <w:div w:id="1572085458">
      <w:bodyDiv w:val="1"/>
      <w:marLeft w:val="0"/>
      <w:marRight w:val="0"/>
      <w:marTop w:val="0"/>
      <w:marBottom w:val="0"/>
      <w:divBdr>
        <w:top w:val="none" w:sz="0" w:space="0" w:color="auto"/>
        <w:left w:val="none" w:sz="0" w:space="0" w:color="auto"/>
        <w:bottom w:val="none" w:sz="0" w:space="0" w:color="auto"/>
        <w:right w:val="none" w:sz="0" w:space="0" w:color="auto"/>
      </w:divBdr>
    </w:div>
    <w:div w:id="1581787273">
      <w:bodyDiv w:val="1"/>
      <w:marLeft w:val="0"/>
      <w:marRight w:val="0"/>
      <w:marTop w:val="0"/>
      <w:marBottom w:val="0"/>
      <w:divBdr>
        <w:top w:val="none" w:sz="0" w:space="0" w:color="auto"/>
        <w:left w:val="none" w:sz="0" w:space="0" w:color="auto"/>
        <w:bottom w:val="none" w:sz="0" w:space="0" w:color="auto"/>
        <w:right w:val="none" w:sz="0" w:space="0" w:color="auto"/>
      </w:divBdr>
    </w:div>
    <w:div w:id="1667393146">
      <w:bodyDiv w:val="1"/>
      <w:marLeft w:val="0"/>
      <w:marRight w:val="0"/>
      <w:marTop w:val="0"/>
      <w:marBottom w:val="0"/>
      <w:divBdr>
        <w:top w:val="none" w:sz="0" w:space="0" w:color="auto"/>
        <w:left w:val="none" w:sz="0" w:space="0" w:color="auto"/>
        <w:bottom w:val="none" w:sz="0" w:space="0" w:color="auto"/>
        <w:right w:val="none" w:sz="0" w:space="0" w:color="auto"/>
      </w:divBdr>
    </w:div>
    <w:div w:id="1679498643">
      <w:bodyDiv w:val="1"/>
      <w:marLeft w:val="0"/>
      <w:marRight w:val="0"/>
      <w:marTop w:val="0"/>
      <w:marBottom w:val="0"/>
      <w:divBdr>
        <w:top w:val="none" w:sz="0" w:space="0" w:color="auto"/>
        <w:left w:val="none" w:sz="0" w:space="0" w:color="auto"/>
        <w:bottom w:val="none" w:sz="0" w:space="0" w:color="auto"/>
        <w:right w:val="none" w:sz="0" w:space="0" w:color="auto"/>
      </w:divBdr>
    </w:div>
    <w:div w:id="1681662711">
      <w:bodyDiv w:val="1"/>
      <w:marLeft w:val="0"/>
      <w:marRight w:val="0"/>
      <w:marTop w:val="0"/>
      <w:marBottom w:val="0"/>
      <w:divBdr>
        <w:top w:val="none" w:sz="0" w:space="0" w:color="auto"/>
        <w:left w:val="none" w:sz="0" w:space="0" w:color="auto"/>
        <w:bottom w:val="none" w:sz="0" w:space="0" w:color="auto"/>
        <w:right w:val="none" w:sz="0" w:space="0" w:color="auto"/>
      </w:divBdr>
    </w:div>
    <w:div w:id="1682658513">
      <w:bodyDiv w:val="1"/>
      <w:marLeft w:val="0"/>
      <w:marRight w:val="0"/>
      <w:marTop w:val="0"/>
      <w:marBottom w:val="0"/>
      <w:divBdr>
        <w:top w:val="none" w:sz="0" w:space="0" w:color="auto"/>
        <w:left w:val="none" w:sz="0" w:space="0" w:color="auto"/>
        <w:bottom w:val="none" w:sz="0" w:space="0" w:color="auto"/>
        <w:right w:val="none" w:sz="0" w:space="0" w:color="auto"/>
      </w:divBdr>
    </w:div>
    <w:div w:id="1689789942">
      <w:bodyDiv w:val="1"/>
      <w:marLeft w:val="0"/>
      <w:marRight w:val="0"/>
      <w:marTop w:val="0"/>
      <w:marBottom w:val="0"/>
      <w:divBdr>
        <w:top w:val="none" w:sz="0" w:space="0" w:color="auto"/>
        <w:left w:val="none" w:sz="0" w:space="0" w:color="auto"/>
        <w:bottom w:val="none" w:sz="0" w:space="0" w:color="auto"/>
        <w:right w:val="none" w:sz="0" w:space="0" w:color="auto"/>
      </w:divBdr>
    </w:div>
    <w:div w:id="1699164233">
      <w:bodyDiv w:val="1"/>
      <w:marLeft w:val="0"/>
      <w:marRight w:val="0"/>
      <w:marTop w:val="0"/>
      <w:marBottom w:val="0"/>
      <w:divBdr>
        <w:top w:val="none" w:sz="0" w:space="0" w:color="auto"/>
        <w:left w:val="none" w:sz="0" w:space="0" w:color="auto"/>
        <w:bottom w:val="none" w:sz="0" w:space="0" w:color="auto"/>
        <w:right w:val="none" w:sz="0" w:space="0" w:color="auto"/>
      </w:divBdr>
    </w:div>
    <w:div w:id="1722899197">
      <w:bodyDiv w:val="1"/>
      <w:marLeft w:val="0"/>
      <w:marRight w:val="0"/>
      <w:marTop w:val="0"/>
      <w:marBottom w:val="0"/>
      <w:divBdr>
        <w:top w:val="none" w:sz="0" w:space="0" w:color="auto"/>
        <w:left w:val="none" w:sz="0" w:space="0" w:color="auto"/>
        <w:bottom w:val="none" w:sz="0" w:space="0" w:color="auto"/>
        <w:right w:val="none" w:sz="0" w:space="0" w:color="auto"/>
      </w:divBdr>
    </w:div>
    <w:div w:id="1813013973">
      <w:bodyDiv w:val="1"/>
      <w:marLeft w:val="0"/>
      <w:marRight w:val="0"/>
      <w:marTop w:val="0"/>
      <w:marBottom w:val="0"/>
      <w:divBdr>
        <w:top w:val="none" w:sz="0" w:space="0" w:color="auto"/>
        <w:left w:val="none" w:sz="0" w:space="0" w:color="auto"/>
        <w:bottom w:val="none" w:sz="0" w:space="0" w:color="auto"/>
        <w:right w:val="none" w:sz="0" w:space="0" w:color="auto"/>
      </w:divBdr>
    </w:div>
    <w:div w:id="1838761526">
      <w:bodyDiv w:val="1"/>
      <w:marLeft w:val="0"/>
      <w:marRight w:val="0"/>
      <w:marTop w:val="0"/>
      <w:marBottom w:val="0"/>
      <w:divBdr>
        <w:top w:val="none" w:sz="0" w:space="0" w:color="auto"/>
        <w:left w:val="none" w:sz="0" w:space="0" w:color="auto"/>
        <w:bottom w:val="none" w:sz="0" w:space="0" w:color="auto"/>
        <w:right w:val="none" w:sz="0" w:space="0" w:color="auto"/>
      </w:divBdr>
    </w:div>
    <w:div w:id="1843474172">
      <w:bodyDiv w:val="1"/>
      <w:marLeft w:val="0"/>
      <w:marRight w:val="0"/>
      <w:marTop w:val="0"/>
      <w:marBottom w:val="0"/>
      <w:divBdr>
        <w:top w:val="none" w:sz="0" w:space="0" w:color="auto"/>
        <w:left w:val="none" w:sz="0" w:space="0" w:color="auto"/>
        <w:bottom w:val="none" w:sz="0" w:space="0" w:color="auto"/>
        <w:right w:val="none" w:sz="0" w:space="0" w:color="auto"/>
      </w:divBdr>
    </w:div>
    <w:div w:id="1869223395">
      <w:bodyDiv w:val="1"/>
      <w:marLeft w:val="0"/>
      <w:marRight w:val="0"/>
      <w:marTop w:val="0"/>
      <w:marBottom w:val="0"/>
      <w:divBdr>
        <w:top w:val="none" w:sz="0" w:space="0" w:color="auto"/>
        <w:left w:val="none" w:sz="0" w:space="0" w:color="auto"/>
        <w:bottom w:val="none" w:sz="0" w:space="0" w:color="auto"/>
        <w:right w:val="none" w:sz="0" w:space="0" w:color="auto"/>
      </w:divBdr>
    </w:div>
    <w:div w:id="1878153884">
      <w:bodyDiv w:val="1"/>
      <w:marLeft w:val="0"/>
      <w:marRight w:val="0"/>
      <w:marTop w:val="0"/>
      <w:marBottom w:val="0"/>
      <w:divBdr>
        <w:top w:val="none" w:sz="0" w:space="0" w:color="auto"/>
        <w:left w:val="none" w:sz="0" w:space="0" w:color="auto"/>
        <w:bottom w:val="none" w:sz="0" w:space="0" w:color="auto"/>
        <w:right w:val="none" w:sz="0" w:space="0" w:color="auto"/>
      </w:divBdr>
    </w:div>
    <w:div w:id="1974209539">
      <w:bodyDiv w:val="1"/>
      <w:marLeft w:val="0"/>
      <w:marRight w:val="0"/>
      <w:marTop w:val="0"/>
      <w:marBottom w:val="0"/>
      <w:divBdr>
        <w:top w:val="none" w:sz="0" w:space="0" w:color="auto"/>
        <w:left w:val="none" w:sz="0" w:space="0" w:color="auto"/>
        <w:bottom w:val="none" w:sz="0" w:space="0" w:color="auto"/>
        <w:right w:val="none" w:sz="0" w:space="0" w:color="auto"/>
      </w:divBdr>
    </w:div>
    <w:div w:id="2110421001">
      <w:bodyDiv w:val="1"/>
      <w:marLeft w:val="0"/>
      <w:marRight w:val="0"/>
      <w:marTop w:val="0"/>
      <w:marBottom w:val="0"/>
      <w:divBdr>
        <w:top w:val="none" w:sz="0" w:space="0" w:color="auto"/>
        <w:left w:val="none" w:sz="0" w:space="0" w:color="auto"/>
        <w:bottom w:val="none" w:sz="0" w:space="0" w:color="auto"/>
        <w:right w:val="none" w:sz="0" w:space="0" w:color="auto"/>
      </w:divBdr>
    </w:div>
    <w:div w:id="2145005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307/4116660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https:/doi.org/10.2307/4116660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https:/doi.org/10.2307/4116660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B7327-6AE7-48E0-88E9-6F7E5F60C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15933</TotalTime>
  <Pages>22</Pages>
  <Words>6174</Words>
  <Characters>35194</Characters>
  <Application>Microsoft Office Word</Application>
  <DocSecurity>0</DocSecurity>
  <Lines>293</Lines>
  <Paragraphs>82</Paragraphs>
  <ScaleCrop>false</ScaleCrop>
  <Company>Lecturer:</Company>
  <LinksUpToDate>false</LinksUpToDate>
  <CharactersWithSpaces>41286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Portofolio</dc:title>
  <dc:subject/>
  <dc:creator>Student: Mariana Codreanu 2118364</dc:creator>
  <cp:keywords/>
  <dc:description/>
  <cp:lastModifiedBy>Mariana Codreanu</cp:lastModifiedBy>
  <cp:revision>173</cp:revision>
  <dcterms:created xsi:type="dcterms:W3CDTF">2024-07-15T21:11:00Z</dcterms:created>
  <dcterms:modified xsi:type="dcterms:W3CDTF">2024-07-27T08:42:00Z</dcterms:modified>
</cp:coreProperties>
</file>