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3ABC1EC" w14:textId="6470ADAB" w:rsidR="00E8469F" w:rsidRPr="00E8469F" w:rsidRDefault="00E8469F" w:rsidP="00E8469F">
      <w:pPr>
        <w:numPr>
          <w:ilvl w:val="0"/>
          <w:numId w:val="1"/>
        </w:numPr>
      </w:pPr>
      <w:r>
        <w:t>Mary Nevin</w:t>
      </w:r>
    </w:p>
    <w:p w14:paraId="7F3B6A00" w14:textId="28062F8D" w:rsidR="00E8469F" w:rsidRPr="00E8469F" w:rsidRDefault="00E8469F" w:rsidP="00E8469F">
      <w:pPr>
        <w:numPr>
          <w:ilvl w:val="0"/>
          <w:numId w:val="1"/>
        </w:numPr>
      </w:pPr>
      <w:r>
        <w:t>2507545</w:t>
      </w:r>
      <w:r w:rsidRPr="00E8469F">
        <w:t xml:space="preserve"> </w:t>
      </w:r>
    </w:p>
    <w:p w14:paraId="255E7817" w14:textId="1816602C" w:rsidR="00E8469F" w:rsidRPr="00E8469F" w:rsidRDefault="00E8469F" w:rsidP="00E8469F">
      <w:pPr>
        <w:numPr>
          <w:ilvl w:val="0"/>
          <w:numId w:val="1"/>
        </w:numPr>
      </w:pPr>
      <w:r w:rsidRPr="00E8469F">
        <w:t xml:space="preserve"> </w:t>
      </w:r>
      <w:r>
        <w:t>LCHS4007</w:t>
      </w:r>
      <w:r w:rsidR="002B6C32">
        <w:t>_BIRM Digital Skills and Research Methods</w:t>
      </w:r>
    </w:p>
    <w:p w14:paraId="3431C806" w14:textId="59C7C9EB" w:rsidR="00E8469F" w:rsidRPr="00E8469F" w:rsidRDefault="00E8469F" w:rsidP="00E8469F">
      <w:pPr>
        <w:numPr>
          <w:ilvl w:val="0"/>
          <w:numId w:val="1"/>
        </w:numPr>
      </w:pPr>
      <w:r w:rsidRPr="00E8469F">
        <w:t xml:space="preserve"> </w:t>
      </w:r>
      <w:r>
        <w:t>LCHS4007 Component 2</w:t>
      </w:r>
    </w:p>
    <w:p w14:paraId="74D35476" w14:textId="6E16D715" w:rsidR="00E8469F" w:rsidRPr="00E8469F" w:rsidRDefault="002B6C32" w:rsidP="00E8469F">
      <w:pPr>
        <w:numPr>
          <w:ilvl w:val="0"/>
          <w:numId w:val="1"/>
        </w:numPr>
      </w:pPr>
      <w:proofErr w:type="spellStart"/>
      <w:r>
        <w:t>Aliyuda</w:t>
      </w:r>
      <w:proofErr w:type="spellEnd"/>
      <w:r>
        <w:t xml:space="preserve"> Ali</w:t>
      </w:r>
    </w:p>
    <w:p w14:paraId="4DCDA01B" w14:textId="77777777" w:rsidR="00747242" w:rsidRDefault="00747242"/>
    <w:p w14:paraId="439E1309" w14:textId="77777777" w:rsidR="00D4557D" w:rsidRDefault="00DA0CF7">
      <w:r>
        <w:t>I have chosen staff burnout as the current issue in the UK health and social care sector.</w:t>
      </w:r>
      <w:r w:rsidR="00EA7C85">
        <w:t xml:space="preserve"> This issue affects all staff as they are working until burnout</w:t>
      </w:r>
      <w:r w:rsidR="001D35E7">
        <w:t>,</w:t>
      </w:r>
      <w:r w:rsidR="00EA7C85">
        <w:t xml:space="preserve"> colleagues then cover their workloads until they burnout themselves, continuing to promote the cycle. Patients are affected by this in wait times </w:t>
      </w:r>
      <w:r w:rsidR="001D35E7">
        <w:t>due to short staffing and an overall lower standard of service, whilst in worse cases</w:t>
      </w:r>
      <w:r>
        <w:t xml:space="preserve"> </w:t>
      </w:r>
      <w:r w:rsidR="001D35E7">
        <w:t xml:space="preserve">there is medical neglect due to staff exhaustion with long hours to cover short staff. </w:t>
      </w:r>
    </w:p>
    <w:p w14:paraId="6344275C" w14:textId="11976571" w:rsidR="00E8469F" w:rsidRDefault="00D4557D">
      <w:r>
        <w:t xml:space="preserve">As research found </w:t>
      </w:r>
      <w:proofErr w:type="gramStart"/>
      <w:r>
        <w:t>that  ‘</w:t>
      </w:r>
      <w:proofErr w:type="gramEnd"/>
      <w:r w:rsidRPr="00D4557D">
        <w:t>staff wellbeing to patient outcomes and experience</w:t>
      </w:r>
      <w:r>
        <w:t>’</w:t>
      </w:r>
      <w:r w:rsidRPr="00D4557D">
        <w:t xml:space="preserve"> </w:t>
      </w:r>
      <w:proofErr w:type="spellStart"/>
      <w:r w:rsidRPr="00D4557D">
        <w:t>Sizmur</w:t>
      </w:r>
      <w:proofErr w:type="spellEnd"/>
      <w:r w:rsidRPr="00D4557D">
        <w:t xml:space="preserve"> </w:t>
      </w:r>
      <w:r>
        <w:t>S.</w:t>
      </w:r>
      <w:proofErr w:type="gramStart"/>
      <w:r>
        <w:t>,  V.</w:t>
      </w:r>
      <w:proofErr w:type="gramEnd"/>
      <w:r w:rsidRPr="00D4557D">
        <w:t xml:space="preserve"> </w:t>
      </w:r>
      <w:r>
        <w:t>Raleigh</w:t>
      </w:r>
      <w:r>
        <w:t xml:space="preserve"> (2018) is linked and should be treated as a risk factor. </w:t>
      </w:r>
    </w:p>
    <w:p w14:paraId="5495FFBC" w14:textId="296940ED" w:rsidR="00CA7A25" w:rsidRDefault="001D35E7">
      <w:r>
        <w:t>This area interests me as I would like to advance into patient complaints</w:t>
      </w:r>
      <w:r w:rsidR="003F6100">
        <w:t>,</w:t>
      </w:r>
      <w:r>
        <w:t xml:space="preserve"> t</w:t>
      </w:r>
      <w:r w:rsidR="00F7691A">
        <w:t>o</w:t>
      </w:r>
      <w:r>
        <w:t xml:space="preserve"> push for the right </w:t>
      </w:r>
      <w:r w:rsidR="003F6100">
        <w:t xml:space="preserve">solutions and </w:t>
      </w:r>
      <w:r>
        <w:t xml:space="preserve">outcomes by the organisation. </w:t>
      </w:r>
      <w:r w:rsidR="003F6100">
        <w:t xml:space="preserve">This matters hugely to organisations such as the NHS that has a responsibility to uphold good conditions for patients and staff alike. </w:t>
      </w:r>
      <w:r w:rsidR="002D74FE">
        <w:br/>
      </w:r>
      <w:r w:rsidR="001F2FEA">
        <w:t xml:space="preserve">In this report I will begin to look at how work-related stress or ‘burnout’ is at an all time high, while patient service suffers as increases the financial pressures the organisation faces. </w:t>
      </w:r>
    </w:p>
    <w:p w14:paraId="62072290" w14:textId="2EF2BDD2" w:rsidR="002D74FE" w:rsidRDefault="00CA7A25">
      <w:r>
        <w:t>Clinical Negligence Scheme for Trusts spent £0.4 billion in 2006-7, and with NHS funding not meeting the growing pressures the service faces, it had quadrupled to £1.6 billion by 2016-17 according to the National Audit Office</w:t>
      </w:r>
      <w:r w:rsidR="008D0BE4">
        <w:t xml:space="preserve"> (NAO, 2017)</w:t>
      </w:r>
      <w:r>
        <w:t>.</w:t>
      </w:r>
    </w:p>
    <w:p w14:paraId="79D54F0A" w14:textId="347A0CC9" w:rsidR="00CA7A25" w:rsidRDefault="00CA7A25">
      <w:r>
        <w:t xml:space="preserve">This shows that with growing financial pressures the organisation faces, staff are facing subpar conditions that filters down to service users having more serious cases of medical negligence. </w:t>
      </w:r>
      <w:r w:rsidR="00F7691A">
        <w:t xml:space="preserve">With an aging population, more resources are critical to keep up with the demand for the multitude of age-related conditions as well as the higher number of older people to working age. </w:t>
      </w:r>
    </w:p>
    <w:p w14:paraId="3B3BA229" w14:textId="04773DD3" w:rsidR="00C3170F" w:rsidRDefault="008400BB">
      <w:r>
        <w:t xml:space="preserve">Five years later this figure continued to rise, as NHS Resolution </w:t>
      </w:r>
      <w:proofErr w:type="spellStart"/>
      <w:r w:rsidR="008D0BE4" w:rsidRPr="003B746D">
        <w:t>Ient</w:t>
      </w:r>
      <w:proofErr w:type="spellEnd"/>
      <w:r w:rsidR="008D0BE4" w:rsidRPr="003B746D">
        <w:t>, A. (2025</w:t>
      </w:r>
      <w:r w:rsidR="008D0BE4">
        <w:t xml:space="preserve">) </w:t>
      </w:r>
      <w:r>
        <w:t>reports 2021/22 2.5 billion was spent.</w:t>
      </w:r>
      <w:r w:rsidR="003B746D" w:rsidRPr="003B746D">
        <w:rPr>
          <w:rFonts w:ascii="Arial" w:hAnsi="Arial" w:cs="Arial"/>
          <w:color w:val="333333"/>
          <w:sz w:val="27"/>
          <w:szCs w:val="27"/>
        </w:rPr>
        <w:t xml:space="preserve"> </w:t>
      </w:r>
      <w:r w:rsidR="003B746D" w:rsidRPr="003B746D">
        <w:t>£3.1 billion was paid out in 2024/25 for compensation and associated costs on all of NHS Resolution’s clinical schemes</w:t>
      </w:r>
      <w:r w:rsidR="003B746D">
        <w:t>.</w:t>
      </w:r>
      <w:r w:rsidR="008D0BE4">
        <w:t xml:space="preserve"> </w:t>
      </w:r>
      <w:r w:rsidR="003B746D">
        <w:t>Comparatively, in</w:t>
      </w:r>
      <w:r>
        <w:t xml:space="preserve"> 2021, NHS</w:t>
      </w:r>
      <w:r w:rsidR="008D0BE4">
        <w:t xml:space="preserve"> </w:t>
      </w:r>
      <w:r>
        <w:t>staff</w:t>
      </w:r>
      <w:r w:rsidR="008D0BE4">
        <w:t xml:space="preserve"> </w:t>
      </w:r>
      <w:r>
        <w:t>surveys national r</w:t>
      </w:r>
      <w:r>
        <w:t>esults</w:t>
      </w:r>
      <w:r w:rsidR="008D0BE4">
        <w:t xml:space="preserve"> </w:t>
      </w:r>
      <w:r>
        <w:t xml:space="preserve">revealed that only 26.89% of staff ‘say there are enough staff at their organisation to do their job properly’. This shows a correlation between the growing strain in understaffing or burnout, and the growing cases of litigation. </w:t>
      </w:r>
    </w:p>
    <w:p w14:paraId="3545C7D2" w14:textId="3FEC539C" w:rsidR="009B692B" w:rsidRDefault="009B692B">
      <w:r>
        <w:lastRenderedPageBreak/>
        <w:t>A demographic that there has been a lack of research into staff burnout has been highlighted as psychological professionals</w:t>
      </w:r>
      <w:r w:rsidR="00E8469F">
        <w:t xml:space="preserve">; a </w:t>
      </w:r>
      <w:r>
        <w:t>review</w:t>
      </w:r>
      <w:r w:rsidR="00E8469F">
        <w:t xml:space="preserve"> by </w:t>
      </w:r>
      <w:r w:rsidR="00E8469F" w:rsidRPr="003B746D">
        <w:t>Harding, A. </w:t>
      </w:r>
      <w:r w:rsidR="00E8469F" w:rsidRPr="003B746D">
        <w:rPr>
          <w:i/>
          <w:iCs/>
        </w:rPr>
        <w:t>et al.</w:t>
      </w:r>
      <w:r w:rsidR="00E8469F" w:rsidRPr="003B746D">
        <w:t> (2025</w:t>
      </w:r>
      <w:proofErr w:type="gramStart"/>
      <w:r w:rsidR="00E8469F" w:rsidRPr="003B746D">
        <w:t xml:space="preserve">) </w:t>
      </w:r>
      <w:r>
        <w:t xml:space="preserve"> into</w:t>
      </w:r>
      <w:proofErr w:type="gramEnd"/>
      <w:r>
        <w:t xml:space="preserve"> the gap concluded that “</w:t>
      </w:r>
      <w:r w:rsidRPr="009B692B">
        <w:t>prevention and interventi</w:t>
      </w:r>
      <w:r>
        <w:t>on”</w:t>
      </w:r>
      <w:r w:rsidR="00E8469F">
        <w:t xml:space="preserve"> </w:t>
      </w:r>
      <w:r>
        <w:t xml:space="preserve">early on by the organisation is “crucial”. This shows that continued research into all staff wellbeing and subsequent impact is paramount to making organisational </w:t>
      </w:r>
      <w:r w:rsidR="008D0BE4">
        <w:t xml:space="preserve">change, which is a positive impact financially, </w:t>
      </w:r>
      <w:r>
        <w:t xml:space="preserve">staff, </w:t>
      </w:r>
      <w:r w:rsidR="008D0BE4">
        <w:t xml:space="preserve">and patient service. </w:t>
      </w:r>
    </w:p>
    <w:p w14:paraId="45C593CB" w14:textId="49494D5E" w:rsidR="00B76660" w:rsidRDefault="00E8469F">
      <w:r>
        <w:t xml:space="preserve">NHS staff are having their “support services </w:t>
      </w:r>
      <w:r w:rsidRPr="00E8469F">
        <w:t>closing or being downgraded</w:t>
      </w:r>
      <w:r>
        <w:t xml:space="preserve">” </w:t>
      </w:r>
      <w:r w:rsidRPr="00E8469F">
        <w:t>Wilkinson, E. (2015)</w:t>
      </w:r>
      <w:r>
        <w:t xml:space="preserve">, of negative impact to their work-related pressures. This encourages working to sickness or continuing to work at detriment to health and professional decision making. </w:t>
      </w:r>
    </w:p>
    <w:p w14:paraId="6BB4AF74" w14:textId="2EB48084" w:rsidR="00B76660" w:rsidRDefault="00447AB5">
      <w:r>
        <w:t>Quantitative research method</w:t>
      </w:r>
      <w:r w:rsidR="00B76660">
        <w:t xml:space="preserve"> relates to measurable </w:t>
      </w:r>
      <w:r>
        <w:t xml:space="preserve">or </w:t>
      </w:r>
      <w:r w:rsidR="00B76660">
        <w:t xml:space="preserve">numerical </w:t>
      </w:r>
      <w:r>
        <w:t xml:space="preserve">data </w:t>
      </w:r>
      <w:r w:rsidR="00B76660">
        <w:t>which is useful in my topic because it allows me to draw a pattern i</w:t>
      </w:r>
      <w:r>
        <w:t xml:space="preserve">n annual data. </w:t>
      </w:r>
    </w:p>
    <w:p w14:paraId="34DFC060" w14:textId="0B800DA4" w:rsidR="00447AB5" w:rsidRDefault="00447AB5">
      <w:r>
        <w:t>Whilst quantitative is great for a larger sample size and allows me to draw trends, qualitative research will help me in this topic</w:t>
      </w:r>
      <w:r w:rsidR="00134DC4">
        <w:t xml:space="preserve"> because it allows further research into ‘why’, fitting perfectly</w:t>
      </w:r>
      <w:r>
        <w:t xml:space="preserve"> </w:t>
      </w:r>
      <w:r w:rsidR="00134DC4">
        <w:t xml:space="preserve">in my report exploring </w:t>
      </w:r>
      <w:r>
        <w:t xml:space="preserve">specifically how staffing conditions are a direct impact to patient quality of care. </w:t>
      </w:r>
    </w:p>
    <w:p w14:paraId="361786D1" w14:textId="34F326D3" w:rsidR="00B76660" w:rsidRDefault="00447AB5">
      <w:r>
        <w:t xml:space="preserve">For the use of my report, mixed methodology would be most beneficial as quantitative supports the framework of an organisation wide pattern, while qualitative research will allow me to use case studies and focus groups from those impacted. </w:t>
      </w:r>
    </w:p>
    <w:p w14:paraId="5ED4C77D" w14:textId="78EC3FBD" w:rsidR="00134DC4" w:rsidRDefault="00134DC4">
      <w:r>
        <w:t xml:space="preserve">Similarly, I will use both primary and secondary data collection methods. The use of secondary data is cost affective and has a broader scope of </w:t>
      </w:r>
      <w:r w:rsidR="008D0BE4">
        <w:t>participants</w:t>
      </w:r>
      <w:r>
        <w:t xml:space="preserve">. Whilst a disadvantage of this is that I have not had an input into how this is collected, I can use only credible sources such as the NHS staff surveys. Primary data collection will be important for the smaller scope of my research that requires more experience-based data. The draw back for this use is the time and cost this will take, so would organisation of initial surveys to narrow down to only the relevant participants for this study. </w:t>
      </w:r>
    </w:p>
    <w:p w14:paraId="6701CAB5" w14:textId="372812E1" w:rsidR="00C3170F" w:rsidRDefault="002B6C32">
      <w:r>
        <w:t xml:space="preserve">My chosen topic is important because there has been a promoted cycle caused by underfunding and lack of resources that is of harm to staff and patient wellbeing. </w:t>
      </w:r>
      <w:r w:rsidR="000A37AC">
        <w:t xml:space="preserve">More reports and reviews into this need to continue to highlight this issue to promote better practise and increased pressure for resourcing. </w:t>
      </w:r>
      <w:r w:rsidR="000A37AC">
        <w:br/>
      </w:r>
    </w:p>
    <w:p w14:paraId="3C8FF1AF" w14:textId="77777777" w:rsidR="00BC6E6A" w:rsidRDefault="00BC6E6A"/>
    <w:p w14:paraId="7CFD572F" w14:textId="77777777" w:rsidR="004A415A" w:rsidRDefault="004A415A"/>
    <w:p w14:paraId="796DF5E3" w14:textId="77777777" w:rsidR="004A415A" w:rsidRDefault="004A415A"/>
    <w:p w14:paraId="44C7515A" w14:textId="77777777" w:rsidR="004A415A" w:rsidRDefault="004A415A"/>
    <w:p w14:paraId="4A430922" w14:textId="7E1959FC" w:rsidR="00D4557D" w:rsidRDefault="00D4557D">
      <w:proofErr w:type="spellStart"/>
      <w:r w:rsidRPr="00D4557D">
        <w:t>Sizmur</w:t>
      </w:r>
      <w:proofErr w:type="spellEnd"/>
      <w:r w:rsidRPr="00D4557D">
        <w:t xml:space="preserve"> </w:t>
      </w:r>
      <w:r>
        <w:t>S.</w:t>
      </w:r>
      <w:proofErr w:type="gramStart"/>
      <w:r>
        <w:t>,  V.</w:t>
      </w:r>
      <w:proofErr w:type="gramEnd"/>
      <w:r w:rsidRPr="00D4557D">
        <w:t xml:space="preserve"> </w:t>
      </w:r>
      <w:r>
        <w:t xml:space="preserve">Raleigh </w:t>
      </w:r>
      <w:r w:rsidRPr="00D4557D">
        <w:t xml:space="preserve">The risks to care quality and staff wellbeing of an NHS system under pressure </w:t>
      </w:r>
      <w:r>
        <w:t>(</w:t>
      </w:r>
      <w:r w:rsidRPr="00D4557D">
        <w:t>2018</w:t>
      </w:r>
      <w:r>
        <w:t xml:space="preserve">) </w:t>
      </w:r>
      <w:r w:rsidRPr="00D4557D">
        <w:t>The King’s Fund</w:t>
      </w:r>
      <w:r>
        <w:t xml:space="preserve">, </w:t>
      </w:r>
      <w:r w:rsidRPr="00D4557D">
        <w:t>Picker</w:t>
      </w:r>
    </w:p>
    <w:p w14:paraId="1C875317" w14:textId="77777777" w:rsidR="00D4557D" w:rsidRDefault="00D4557D"/>
    <w:p w14:paraId="678A633C" w14:textId="08C22EBA" w:rsidR="00BC6E6A" w:rsidRDefault="003B746D">
      <w:r w:rsidRPr="003B746D">
        <w:t>Harding, A. </w:t>
      </w:r>
      <w:r w:rsidRPr="003B746D">
        <w:rPr>
          <w:i/>
          <w:iCs/>
        </w:rPr>
        <w:t>et al.</w:t>
      </w:r>
      <w:r w:rsidRPr="003B746D">
        <w:t> (2025) ‘Levels of stress and burnout in trainee and qualified NHS psychological professionals: A systematic review and narrative synthesis.’, </w:t>
      </w:r>
      <w:r w:rsidRPr="003B746D">
        <w:rPr>
          <w:i/>
          <w:iCs/>
        </w:rPr>
        <w:t>Mental Health &amp; Prevention</w:t>
      </w:r>
      <w:r w:rsidRPr="003B746D">
        <w:t xml:space="preserve">, pp. 200453–200453. Available at: </w:t>
      </w:r>
      <w:r w:rsidR="008D0BE4" w:rsidRPr="008D0BE4">
        <w:t>https://www.sciencedirect.com/science/article/pii/S2212657025000637#sec0027</w:t>
      </w:r>
    </w:p>
    <w:p w14:paraId="0904181B" w14:textId="77777777" w:rsidR="00BC6E6A" w:rsidRDefault="00BC6E6A"/>
    <w:p w14:paraId="28035B1C" w14:textId="2E4B4C93" w:rsidR="003B746D" w:rsidRPr="003B746D" w:rsidRDefault="003B746D" w:rsidP="003B746D">
      <w:r w:rsidRPr="003B746D">
        <w:rPr>
          <w:i/>
          <w:iCs/>
        </w:rPr>
        <w:t>Managing the costs of clinical negligence in trusts - National Audit Office (NAO) report</w:t>
      </w:r>
      <w:r w:rsidRPr="003B746D">
        <w:t> </w:t>
      </w:r>
      <w:r>
        <w:t>2017</w:t>
      </w:r>
      <w:r w:rsidRPr="003B746D">
        <w:t> </w:t>
      </w:r>
      <w:r w:rsidRPr="003B746D">
        <w:rPr>
          <w:i/>
          <w:iCs/>
        </w:rPr>
        <w:t>National Audit Office (NAO)</w:t>
      </w:r>
      <w:r w:rsidRPr="003B746D">
        <w:t>. Available at: https://www.nao.org.uk/reports/managing-the-costs-of-clinical-negligence-in-trusts/.</w:t>
      </w:r>
    </w:p>
    <w:p w14:paraId="23CB0D27" w14:textId="77777777" w:rsidR="003B746D" w:rsidRPr="003B746D" w:rsidRDefault="003B746D" w:rsidP="003B746D">
      <w:r w:rsidRPr="003B746D">
        <w:t>‌</w:t>
      </w:r>
    </w:p>
    <w:p w14:paraId="7155DC15" w14:textId="6C37A284" w:rsidR="00BC6E6A" w:rsidRDefault="003B746D">
      <w:proofErr w:type="spellStart"/>
      <w:r w:rsidRPr="003B746D">
        <w:t>Ient</w:t>
      </w:r>
      <w:proofErr w:type="spellEnd"/>
      <w:r w:rsidRPr="003B746D">
        <w:t>, A. (2025) </w:t>
      </w:r>
      <w:r w:rsidRPr="003B746D">
        <w:rPr>
          <w:i/>
          <w:iCs/>
        </w:rPr>
        <w:t>NHS Resolution resolves record numbers of compensation claims through collaboration - NHS Resolution</w:t>
      </w:r>
      <w:r w:rsidRPr="003B746D">
        <w:t>, </w:t>
      </w:r>
      <w:r w:rsidRPr="003B746D">
        <w:rPr>
          <w:i/>
          <w:iCs/>
        </w:rPr>
        <w:t>NHS Resolution</w:t>
      </w:r>
      <w:r w:rsidRPr="003B746D">
        <w:t>. Available at: https://resolution.nhs.uk/2025/07/17/nhs-resolution-resolves-record-numbers-of-compensation-claims-through-collaboration/.</w:t>
      </w:r>
    </w:p>
    <w:p w14:paraId="56728BC0" w14:textId="2003CAF1" w:rsidR="00BC6E6A" w:rsidRDefault="00E8469F">
      <w:r w:rsidRPr="00E8469F">
        <w:t>Wilkinson, E. (2015) ‘UK NHS staff: stressed, exhausted, burnt out’, </w:t>
      </w:r>
      <w:r w:rsidRPr="00E8469F">
        <w:rPr>
          <w:i/>
          <w:iCs/>
        </w:rPr>
        <w:t>The Lancet</w:t>
      </w:r>
      <w:r w:rsidRPr="00E8469F">
        <w:t>, 385(9971), pp. 841–842. Available at:</w:t>
      </w:r>
    </w:p>
    <w:p w14:paraId="4CFCF1EE" w14:textId="6D8B6D90" w:rsidR="00BC6E6A" w:rsidRDefault="008D0BE4">
      <w:r>
        <w:t>(</w:t>
      </w:r>
      <w:r w:rsidRPr="008400BB">
        <w:t>https://www.nhsstaffsurveys.com/</w:t>
      </w:r>
      <w:r>
        <w:t xml:space="preserve">)  </w:t>
      </w:r>
    </w:p>
    <w:p w14:paraId="31C4C6E4" w14:textId="77777777" w:rsidR="00BC6E6A" w:rsidRDefault="00BC6E6A"/>
    <w:p w14:paraId="09387F08" w14:textId="77777777" w:rsidR="00BC6E6A" w:rsidRDefault="00BC6E6A"/>
    <w:p w14:paraId="318ABBDF" w14:textId="77777777" w:rsidR="00BC6E6A" w:rsidRDefault="00BC6E6A"/>
    <w:p w14:paraId="2FA5A8A7" w14:textId="77777777" w:rsidR="00BC6E6A" w:rsidRDefault="00BC6E6A"/>
    <w:p w14:paraId="2504F75C" w14:textId="77777777" w:rsidR="00BC6E6A" w:rsidRDefault="00BC6E6A"/>
    <w:p w14:paraId="66A26DC9" w14:textId="77777777" w:rsidR="00BC6E6A" w:rsidRDefault="00BC6E6A"/>
    <w:p w14:paraId="31F8A44A" w14:textId="77777777" w:rsidR="00BC6E6A" w:rsidRDefault="00BC6E6A"/>
    <w:p w14:paraId="252FE229" w14:textId="77777777" w:rsidR="00BC6E6A" w:rsidRDefault="00BC6E6A"/>
    <w:p w14:paraId="6C0DA349" w14:textId="77777777" w:rsidR="00BC6E6A" w:rsidRDefault="00BC6E6A"/>
    <w:p w14:paraId="05D4528A" w14:textId="77777777" w:rsidR="00BC6E6A" w:rsidRDefault="00BC6E6A"/>
    <w:p w14:paraId="6F80D378" w14:textId="77777777" w:rsidR="00BC6E6A" w:rsidRDefault="00BC6E6A"/>
    <w:p w14:paraId="1EDB547D" w14:textId="77777777" w:rsidR="00BC6E6A" w:rsidRDefault="00BC6E6A"/>
    <w:p w14:paraId="759C43D0" w14:textId="77777777" w:rsidR="00BC6E6A" w:rsidRDefault="00BC6E6A"/>
    <w:p w14:paraId="37A8EE71" w14:textId="77777777" w:rsidR="00BC6E6A" w:rsidRDefault="00BC6E6A"/>
    <w:p w14:paraId="5B54C1AB" w14:textId="77777777" w:rsidR="00BC6E6A" w:rsidRDefault="00BC6E6A"/>
    <w:p w14:paraId="7475152F" w14:textId="77777777" w:rsidR="00BC6E6A" w:rsidRDefault="00BC6E6A"/>
    <w:p w14:paraId="7508A1C7" w14:textId="77777777" w:rsidR="00BC6E6A" w:rsidRDefault="00BC6E6A"/>
    <w:p w14:paraId="3538BB93" w14:textId="77777777" w:rsidR="00BC6E6A" w:rsidRDefault="00BC6E6A"/>
    <w:p w14:paraId="51D36DF3" w14:textId="77777777" w:rsidR="00BC6E6A" w:rsidRDefault="00BC6E6A"/>
    <w:p w14:paraId="75ADF7E3" w14:textId="77777777" w:rsidR="00BC6E6A" w:rsidRDefault="00BC6E6A"/>
    <w:p w14:paraId="116C0FFA" w14:textId="77777777" w:rsidR="00BC6E6A" w:rsidRDefault="00BC6E6A"/>
    <w:p w14:paraId="1355EB59" w14:textId="77777777" w:rsidR="00BC6E6A" w:rsidRDefault="00BC6E6A"/>
    <w:p w14:paraId="41FFE97A" w14:textId="77777777" w:rsidR="00BC6E6A" w:rsidRDefault="00BC6E6A"/>
    <w:p w14:paraId="2B364F05" w14:textId="77777777" w:rsidR="00BC6E6A" w:rsidRDefault="00BC6E6A"/>
    <w:p w14:paraId="65EF9250" w14:textId="77777777" w:rsidR="00BC6E6A" w:rsidRDefault="00BC6E6A"/>
    <w:p w14:paraId="79E543B0" w14:textId="487BBDB5" w:rsidR="00BC6E6A" w:rsidRDefault="00BC6E6A"/>
    <w:sectPr w:rsidR="00BC6E6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73523CC"/>
    <w:multiLevelType w:val="hybridMultilevel"/>
    <w:tmpl w:val="1D9E993E"/>
    <w:lvl w:ilvl="0" w:tplc="554CA364">
      <w:start w:val="1"/>
      <w:numFmt w:val="bullet"/>
      <w:lvlText w:val=""/>
      <w:lvlJc w:val="left"/>
      <w:pPr>
        <w:tabs>
          <w:tab w:val="num" w:pos="720"/>
        </w:tabs>
        <w:ind w:left="720" w:hanging="360"/>
      </w:pPr>
      <w:rPr>
        <w:rFonts w:ascii="Wingdings" w:hAnsi="Wingdings" w:hint="default"/>
      </w:rPr>
    </w:lvl>
    <w:lvl w:ilvl="1" w:tplc="BCBAC9B8" w:tentative="1">
      <w:start w:val="1"/>
      <w:numFmt w:val="bullet"/>
      <w:lvlText w:val=""/>
      <w:lvlJc w:val="left"/>
      <w:pPr>
        <w:tabs>
          <w:tab w:val="num" w:pos="1440"/>
        </w:tabs>
        <w:ind w:left="1440" w:hanging="360"/>
      </w:pPr>
      <w:rPr>
        <w:rFonts w:ascii="Wingdings" w:hAnsi="Wingdings" w:hint="default"/>
      </w:rPr>
    </w:lvl>
    <w:lvl w:ilvl="2" w:tplc="51242D12" w:tentative="1">
      <w:start w:val="1"/>
      <w:numFmt w:val="bullet"/>
      <w:lvlText w:val=""/>
      <w:lvlJc w:val="left"/>
      <w:pPr>
        <w:tabs>
          <w:tab w:val="num" w:pos="2160"/>
        </w:tabs>
        <w:ind w:left="2160" w:hanging="360"/>
      </w:pPr>
      <w:rPr>
        <w:rFonts w:ascii="Wingdings" w:hAnsi="Wingdings" w:hint="default"/>
      </w:rPr>
    </w:lvl>
    <w:lvl w:ilvl="3" w:tplc="863078F4" w:tentative="1">
      <w:start w:val="1"/>
      <w:numFmt w:val="bullet"/>
      <w:lvlText w:val=""/>
      <w:lvlJc w:val="left"/>
      <w:pPr>
        <w:tabs>
          <w:tab w:val="num" w:pos="2880"/>
        </w:tabs>
        <w:ind w:left="2880" w:hanging="360"/>
      </w:pPr>
      <w:rPr>
        <w:rFonts w:ascii="Wingdings" w:hAnsi="Wingdings" w:hint="default"/>
      </w:rPr>
    </w:lvl>
    <w:lvl w:ilvl="4" w:tplc="AAF60DB0" w:tentative="1">
      <w:start w:val="1"/>
      <w:numFmt w:val="bullet"/>
      <w:lvlText w:val=""/>
      <w:lvlJc w:val="left"/>
      <w:pPr>
        <w:tabs>
          <w:tab w:val="num" w:pos="3600"/>
        </w:tabs>
        <w:ind w:left="3600" w:hanging="360"/>
      </w:pPr>
      <w:rPr>
        <w:rFonts w:ascii="Wingdings" w:hAnsi="Wingdings" w:hint="default"/>
      </w:rPr>
    </w:lvl>
    <w:lvl w:ilvl="5" w:tplc="8B7A3FDA" w:tentative="1">
      <w:start w:val="1"/>
      <w:numFmt w:val="bullet"/>
      <w:lvlText w:val=""/>
      <w:lvlJc w:val="left"/>
      <w:pPr>
        <w:tabs>
          <w:tab w:val="num" w:pos="4320"/>
        </w:tabs>
        <w:ind w:left="4320" w:hanging="360"/>
      </w:pPr>
      <w:rPr>
        <w:rFonts w:ascii="Wingdings" w:hAnsi="Wingdings" w:hint="default"/>
      </w:rPr>
    </w:lvl>
    <w:lvl w:ilvl="6" w:tplc="031A673C" w:tentative="1">
      <w:start w:val="1"/>
      <w:numFmt w:val="bullet"/>
      <w:lvlText w:val=""/>
      <w:lvlJc w:val="left"/>
      <w:pPr>
        <w:tabs>
          <w:tab w:val="num" w:pos="5040"/>
        </w:tabs>
        <w:ind w:left="5040" w:hanging="360"/>
      </w:pPr>
      <w:rPr>
        <w:rFonts w:ascii="Wingdings" w:hAnsi="Wingdings" w:hint="default"/>
      </w:rPr>
    </w:lvl>
    <w:lvl w:ilvl="7" w:tplc="E408A248" w:tentative="1">
      <w:start w:val="1"/>
      <w:numFmt w:val="bullet"/>
      <w:lvlText w:val=""/>
      <w:lvlJc w:val="left"/>
      <w:pPr>
        <w:tabs>
          <w:tab w:val="num" w:pos="5760"/>
        </w:tabs>
        <w:ind w:left="5760" w:hanging="360"/>
      </w:pPr>
      <w:rPr>
        <w:rFonts w:ascii="Wingdings" w:hAnsi="Wingdings" w:hint="default"/>
      </w:rPr>
    </w:lvl>
    <w:lvl w:ilvl="8" w:tplc="50EE5490" w:tentative="1">
      <w:start w:val="1"/>
      <w:numFmt w:val="bullet"/>
      <w:lvlText w:val=""/>
      <w:lvlJc w:val="left"/>
      <w:pPr>
        <w:tabs>
          <w:tab w:val="num" w:pos="6480"/>
        </w:tabs>
        <w:ind w:left="6480" w:hanging="360"/>
      </w:pPr>
      <w:rPr>
        <w:rFonts w:ascii="Wingdings" w:hAnsi="Wingdings" w:hint="default"/>
      </w:rPr>
    </w:lvl>
  </w:abstractNum>
  <w:num w:numId="1" w16cid:durableId="145860056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4"/>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3170F"/>
    <w:rsid w:val="000A37AC"/>
    <w:rsid w:val="00134DC4"/>
    <w:rsid w:val="001B0D04"/>
    <w:rsid w:val="001D35E7"/>
    <w:rsid w:val="001F2FEA"/>
    <w:rsid w:val="002B6C32"/>
    <w:rsid w:val="002D74FE"/>
    <w:rsid w:val="002E2752"/>
    <w:rsid w:val="003119EE"/>
    <w:rsid w:val="00387D1B"/>
    <w:rsid w:val="00395198"/>
    <w:rsid w:val="003B746D"/>
    <w:rsid w:val="003F6100"/>
    <w:rsid w:val="003F6F25"/>
    <w:rsid w:val="00447AB5"/>
    <w:rsid w:val="004A415A"/>
    <w:rsid w:val="006D5CB2"/>
    <w:rsid w:val="00747242"/>
    <w:rsid w:val="008400BB"/>
    <w:rsid w:val="008D0BE4"/>
    <w:rsid w:val="009B692B"/>
    <w:rsid w:val="009D1284"/>
    <w:rsid w:val="00B76660"/>
    <w:rsid w:val="00BC6E6A"/>
    <w:rsid w:val="00C3170F"/>
    <w:rsid w:val="00CA7A25"/>
    <w:rsid w:val="00D4557D"/>
    <w:rsid w:val="00DA0CF7"/>
    <w:rsid w:val="00E8469F"/>
    <w:rsid w:val="00EA7C85"/>
    <w:rsid w:val="00F7691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6344FB3"/>
  <w15:chartTrackingRefBased/>
  <w15:docId w15:val="{36B9522C-CCD9-4B59-B1C5-BCC837A06B8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3170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C3170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3170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3170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3170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3170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3170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3170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3170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3170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3170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3170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3170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3170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3170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3170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3170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3170F"/>
    <w:rPr>
      <w:rFonts w:eastAsiaTheme="majorEastAsia" w:cstheme="majorBidi"/>
      <w:color w:val="272727" w:themeColor="text1" w:themeTint="D8"/>
    </w:rPr>
  </w:style>
  <w:style w:type="paragraph" w:styleId="Title">
    <w:name w:val="Title"/>
    <w:basedOn w:val="Normal"/>
    <w:next w:val="Normal"/>
    <w:link w:val="TitleChar"/>
    <w:uiPriority w:val="10"/>
    <w:qFormat/>
    <w:rsid w:val="00C3170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3170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3170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3170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3170F"/>
    <w:pPr>
      <w:spacing w:before="160"/>
      <w:jc w:val="center"/>
    </w:pPr>
    <w:rPr>
      <w:i/>
      <w:iCs/>
      <w:color w:val="404040" w:themeColor="text1" w:themeTint="BF"/>
    </w:rPr>
  </w:style>
  <w:style w:type="character" w:customStyle="1" w:styleId="QuoteChar">
    <w:name w:val="Quote Char"/>
    <w:basedOn w:val="DefaultParagraphFont"/>
    <w:link w:val="Quote"/>
    <w:uiPriority w:val="29"/>
    <w:rsid w:val="00C3170F"/>
    <w:rPr>
      <w:i/>
      <w:iCs/>
      <w:color w:val="404040" w:themeColor="text1" w:themeTint="BF"/>
    </w:rPr>
  </w:style>
  <w:style w:type="paragraph" w:styleId="ListParagraph">
    <w:name w:val="List Paragraph"/>
    <w:basedOn w:val="Normal"/>
    <w:uiPriority w:val="34"/>
    <w:qFormat/>
    <w:rsid w:val="00C3170F"/>
    <w:pPr>
      <w:ind w:left="720"/>
      <w:contextualSpacing/>
    </w:pPr>
  </w:style>
  <w:style w:type="character" w:styleId="IntenseEmphasis">
    <w:name w:val="Intense Emphasis"/>
    <w:basedOn w:val="DefaultParagraphFont"/>
    <w:uiPriority w:val="21"/>
    <w:qFormat/>
    <w:rsid w:val="00C3170F"/>
    <w:rPr>
      <w:i/>
      <w:iCs/>
      <w:color w:val="0F4761" w:themeColor="accent1" w:themeShade="BF"/>
    </w:rPr>
  </w:style>
  <w:style w:type="paragraph" w:styleId="IntenseQuote">
    <w:name w:val="Intense Quote"/>
    <w:basedOn w:val="Normal"/>
    <w:next w:val="Normal"/>
    <w:link w:val="IntenseQuoteChar"/>
    <w:uiPriority w:val="30"/>
    <w:qFormat/>
    <w:rsid w:val="00C3170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3170F"/>
    <w:rPr>
      <w:i/>
      <w:iCs/>
      <w:color w:val="0F4761" w:themeColor="accent1" w:themeShade="BF"/>
    </w:rPr>
  </w:style>
  <w:style w:type="character" w:styleId="IntenseReference">
    <w:name w:val="Intense Reference"/>
    <w:basedOn w:val="DefaultParagraphFont"/>
    <w:uiPriority w:val="32"/>
    <w:qFormat/>
    <w:rsid w:val="00C3170F"/>
    <w:rPr>
      <w:b/>
      <w:bCs/>
      <w:smallCaps/>
      <w:color w:val="0F4761" w:themeColor="accent1" w:themeShade="BF"/>
      <w:spacing w:val="5"/>
    </w:rPr>
  </w:style>
  <w:style w:type="character" w:styleId="Hyperlink">
    <w:name w:val="Hyperlink"/>
    <w:basedOn w:val="DefaultParagraphFont"/>
    <w:uiPriority w:val="99"/>
    <w:unhideWhenUsed/>
    <w:rsid w:val="00BC6E6A"/>
    <w:rPr>
      <w:color w:val="467886" w:themeColor="hyperlink"/>
      <w:u w:val="single"/>
    </w:rPr>
  </w:style>
  <w:style w:type="character" w:styleId="UnresolvedMention">
    <w:name w:val="Unresolved Mention"/>
    <w:basedOn w:val="DefaultParagraphFont"/>
    <w:uiPriority w:val="99"/>
    <w:semiHidden/>
    <w:unhideWhenUsed/>
    <w:rsid w:val="00BC6E6A"/>
    <w:rPr>
      <w:color w:val="605E5C"/>
      <w:shd w:val="clear" w:color="auto" w:fill="E1DFDD"/>
    </w:rPr>
  </w:style>
  <w:style w:type="character" w:styleId="FollowedHyperlink">
    <w:name w:val="FollowedHyperlink"/>
    <w:basedOn w:val="DefaultParagraphFont"/>
    <w:uiPriority w:val="99"/>
    <w:semiHidden/>
    <w:unhideWhenUsed/>
    <w:rsid w:val="00447AB5"/>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TotalTime>
  <Pages>4</Pages>
  <Words>866</Words>
  <Characters>4939</Characters>
  <Application>Microsoft Office Word</Application>
  <DocSecurity>0</DocSecurity>
  <Lines>41</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5794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Ryan Merry (2413867)</dc:creator>
  <cp:keywords/>
  <dc:description/>
  <cp:lastModifiedBy>Ryan Merry (2413867)</cp:lastModifiedBy>
  <cp:revision>2</cp:revision>
  <dcterms:created xsi:type="dcterms:W3CDTF">2026-03-30T15:47:00Z</dcterms:created>
  <dcterms:modified xsi:type="dcterms:W3CDTF">2026-03-30T15:47:00Z</dcterms:modified>
</cp:coreProperties>
</file>