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4045A" w14:textId="21DA35DD" w:rsidR="004275AA" w:rsidRPr="00231CD6" w:rsidRDefault="004275AA" w:rsidP="000D29F8">
      <w:pPr>
        <w:spacing w:after="200" w:line="360" w:lineRule="auto"/>
        <w:jc w:val="center"/>
        <w:rPr>
          <w:rFonts w:ascii="Calibri" w:hAnsi="Calibri" w:cs="Calibri"/>
          <w:color w:val="000000" w:themeColor="text1"/>
          <w:sz w:val="24"/>
          <w:szCs w:val="24"/>
          <w:lang w:val="en-US"/>
        </w:rPr>
      </w:pPr>
      <w:r w:rsidRPr="00231CD6">
        <w:rPr>
          <w:rFonts w:ascii="Calibri" w:hAnsi="Calibri" w:cs="Calibri"/>
          <w:noProof/>
          <w:color w:val="000000" w:themeColor="text1"/>
          <w:sz w:val="24"/>
          <w:szCs w:val="24"/>
        </w:rPr>
        <w:drawing>
          <wp:inline distT="0" distB="0" distL="0" distR="0" wp14:anchorId="4EB796CD" wp14:editId="742113AE">
            <wp:extent cx="3771900" cy="942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771900" cy="942975"/>
                    </a:xfrm>
                    <a:prstGeom prst="rect">
                      <a:avLst/>
                    </a:prstGeom>
                  </pic:spPr>
                </pic:pic>
              </a:graphicData>
            </a:graphic>
          </wp:inline>
        </w:drawing>
      </w:r>
    </w:p>
    <w:p w14:paraId="315B5D9E" w14:textId="77777777" w:rsidR="000B55E4" w:rsidRDefault="000B55E4" w:rsidP="00847361">
      <w:pPr>
        <w:spacing w:after="120" w:line="360" w:lineRule="auto"/>
        <w:jc w:val="center"/>
        <w:rPr>
          <w:rFonts w:ascii="Calibri" w:hAnsi="Calibri" w:cs="Calibri"/>
          <w:b/>
          <w:bCs/>
          <w:color w:val="000000" w:themeColor="text1"/>
          <w:sz w:val="24"/>
          <w:szCs w:val="24"/>
          <w:lang w:val="en-US"/>
        </w:rPr>
      </w:pPr>
    </w:p>
    <w:p w14:paraId="41291C45" w14:textId="2D22F69B" w:rsidR="00847361" w:rsidRPr="00847361" w:rsidRDefault="00847361" w:rsidP="00847361">
      <w:pPr>
        <w:spacing w:after="120" w:line="360" w:lineRule="auto"/>
        <w:jc w:val="center"/>
        <w:rPr>
          <w:rFonts w:ascii="Calibri" w:hAnsi="Calibri" w:cs="Calibri"/>
          <w:b/>
          <w:bCs/>
          <w:color w:val="000000" w:themeColor="text1"/>
          <w:sz w:val="24"/>
          <w:szCs w:val="24"/>
        </w:rPr>
      </w:pPr>
      <w:r w:rsidRPr="00847361">
        <w:rPr>
          <w:rFonts w:ascii="Calibri" w:hAnsi="Calibri" w:cs="Calibri"/>
          <w:b/>
          <w:bCs/>
          <w:color w:val="000000" w:themeColor="text1"/>
          <w:sz w:val="24"/>
          <w:szCs w:val="24"/>
          <w:lang w:val="en-US"/>
        </w:rPr>
        <w:t xml:space="preserve">LCDB7008: </w:t>
      </w:r>
      <w:r w:rsidRPr="00847361">
        <w:rPr>
          <w:rFonts w:ascii="Calibri" w:hAnsi="Calibri" w:cs="Calibri"/>
          <w:b/>
          <w:bCs/>
          <w:color w:val="000000" w:themeColor="text1"/>
          <w:sz w:val="24"/>
          <w:szCs w:val="24"/>
        </w:rPr>
        <w:t xml:space="preserve">Visions for the Future - Theoretical Perspectives on Management </w:t>
      </w:r>
    </w:p>
    <w:p w14:paraId="7837FA30" w14:textId="2BD58C0E" w:rsidR="004275AA" w:rsidRPr="00231CD6" w:rsidRDefault="004275AA" w:rsidP="000D29F8">
      <w:pPr>
        <w:spacing w:after="120" w:line="360" w:lineRule="auto"/>
        <w:jc w:val="center"/>
        <w:rPr>
          <w:rFonts w:ascii="Calibri" w:hAnsi="Calibri" w:cs="Calibri"/>
          <w:color w:val="000000" w:themeColor="text1"/>
          <w:sz w:val="24"/>
          <w:szCs w:val="24"/>
          <w:lang w:val="en-US"/>
        </w:rPr>
      </w:pPr>
      <w:r w:rsidRPr="00231CD6">
        <w:rPr>
          <w:rFonts w:ascii="Calibri" w:hAnsi="Calibri" w:cs="Calibri"/>
          <w:color w:val="000000" w:themeColor="text1"/>
          <w:sz w:val="24"/>
          <w:szCs w:val="24"/>
          <w:lang w:val="en-US"/>
        </w:rPr>
        <w:t xml:space="preserve">Topic 2: </w:t>
      </w:r>
      <w:r w:rsidR="00CA563F" w:rsidRPr="00CA563F">
        <w:rPr>
          <w:rFonts w:ascii="Calibri" w:hAnsi="Calibri" w:cs="Calibri"/>
          <w:color w:val="000000" w:themeColor="text1"/>
          <w:sz w:val="24"/>
          <w:szCs w:val="24"/>
          <w:lang w:val="en-US"/>
        </w:rPr>
        <w:t xml:space="preserve">Technological and E-Business Transformation: Changing </w:t>
      </w:r>
      <w:r w:rsidR="00453B21" w:rsidRPr="00CA563F">
        <w:rPr>
          <w:rFonts w:ascii="Calibri" w:hAnsi="Calibri" w:cs="Calibri"/>
          <w:color w:val="000000" w:themeColor="text1"/>
          <w:sz w:val="24"/>
          <w:szCs w:val="24"/>
          <w:lang w:val="en-US"/>
        </w:rPr>
        <w:t>Organizational</w:t>
      </w:r>
      <w:r w:rsidR="00CA563F" w:rsidRPr="00CA563F">
        <w:rPr>
          <w:rFonts w:ascii="Calibri" w:hAnsi="Calibri" w:cs="Calibri"/>
          <w:color w:val="000000" w:themeColor="text1"/>
          <w:sz w:val="24"/>
          <w:szCs w:val="24"/>
          <w:lang w:val="en-US"/>
        </w:rPr>
        <w:t xml:space="preserve"> Structures and Redefining Management Roles in 21st-Century Corporations</w:t>
      </w:r>
    </w:p>
    <w:p w14:paraId="2A52A9D9" w14:textId="68D22F67" w:rsidR="004275AA" w:rsidRPr="00231CD6" w:rsidRDefault="004275AA" w:rsidP="000D29F8">
      <w:pPr>
        <w:spacing w:after="800" w:line="360" w:lineRule="auto"/>
        <w:jc w:val="center"/>
        <w:rPr>
          <w:rFonts w:ascii="Calibri" w:hAnsi="Calibri" w:cs="Calibri"/>
          <w:color w:val="000000" w:themeColor="text1"/>
          <w:sz w:val="24"/>
          <w:szCs w:val="24"/>
          <w:lang w:val="en-US"/>
        </w:rPr>
      </w:pPr>
    </w:p>
    <w:tbl>
      <w:tblPr>
        <w:tblW w:w="9060" w:type="dxa"/>
        <w:jc w:val="cente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left w:w="10" w:type="dxa"/>
          <w:right w:w="10" w:type="dxa"/>
        </w:tblCellMar>
        <w:tblLook w:val="0000" w:firstRow="0" w:lastRow="0" w:firstColumn="0" w:lastColumn="0" w:noHBand="0" w:noVBand="0"/>
      </w:tblPr>
      <w:tblGrid>
        <w:gridCol w:w="3200"/>
        <w:gridCol w:w="5860"/>
      </w:tblGrid>
      <w:tr w:rsidR="000D29F8" w:rsidRPr="00231CD6" w14:paraId="6997F0F3" w14:textId="77777777" w:rsidTr="006F084E">
        <w:trPr>
          <w:jc w:val="center"/>
        </w:trPr>
        <w:tc>
          <w:tcPr>
            <w:tcW w:w="3200" w:type="dxa"/>
            <w:shd w:val="clear" w:color="auto" w:fill="F2F2F2"/>
            <w:tcMar>
              <w:top w:w="160" w:type="dxa"/>
              <w:left w:w="160" w:type="dxa"/>
              <w:bottom w:w="160" w:type="dxa"/>
              <w:right w:w="160" w:type="dxa"/>
            </w:tcMar>
            <w:vAlign w:val="center"/>
          </w:tcPr>
          <w:p w14:paraId="39969C23" w14:textId="77777777" w:rsidR="004275AA" w:rsidRPr="00231CD6" w:rsidRDefault="004275AA" w:rsidP="000D29F8">
            <w:pPr>
              <w:spacing w:line="360" w:lineRule="auto"/>
              <w:jc w:val="center"/>
              <w:rPr>
                <w:rFonts w:ascii="Calibri" w:hAnsi="Calibri" w:cs="Calibri"/>
                <w:color w:val="000000" w:themeColor="text1"/>
                <w:sz w:val="24"/>
                <w:szCs w:val="24"/>
              </w:rPr>
            </w:pPr>
            <w:r w:rsidRPr="00231CD6">
              <w:rPr>
                <w:rFonts w:ascii="Calibri" w:eastAsia="Calibri" w:hAnsi="Calibri" w:cs="Calibri"/>
                <w:b/>
                <w:bCs/>
                <w:color w:val="000000" w:themeColor="text1"/>
                <w:sz w:val="24"/>
                <w:szCs w:val="24"/>
              </w:rPr>
              <w:t>Student ID:</w:t>
            </w:r>
          </w:p>
        </w:tc>
        <w:tc>
          <w:tcPr>
            <w:tcW w:w="5860" w:type="dxa"/>
            <w:tcMar>
              <w:top w:w="160" w:type="dxa"/>
              <w:left w:w="160" w:type="dxa"/>
              <w:bottom w:w="160" w:type="dxa"/>
              <w:right w:w="160" w:type="dxa"/>
            </w:tcMar>
            <w:vAlign w:val="center"/>
          </w:tcPr>
          <w:p w14:paraId="61F0AFDF" w14:textId="77994B6C" w:rsidR="004275AA" w:rsidRPr="00231CD6" w:rsidRDefault="00847361" w:rsidP="000D29F8">
            <w:pPr>
              <w:spacing w:line="360" w:lineRule="auto"/>
              <w:jc w:val="center"/>
              <w:rPr>
                <w:rFonts w:ascii="Calibri" w:hAnsi="Calibri" w:cs="Calibri"/>
                <w:color w:val="000000" w:themeColor="text1"/>
                <w:sz w:val="24"/>
                <w:szCs w:val="24"/>
                <w:lang w:val="en-US"/>
              </w:rPr>
            </w:pPr>
            <w:r>
              <w:rPr>
                <w:rFonts w:ascii="Calibri" w:hAnsi="Calibri" w:cs="Calibri"/>
                <w:color w:val="000000" w:themeColor="text1"/>
                <w:sz w:val="24"/>
                <w:szCs w:val="24"/>
                <w:lang w:val="en-US"/>
              </w:rPr>
              <w:t>2545200</w:t>
            </w:r>
          </w:p>
        </w:tc>
      </w:tr>
      <w:tr w:rsidR="000D29F8" w:rsidRPr="00231CD6" w14:paraId="7851B6C8" w14:textId="77777777" w:rsidTr="006F084E">
        <w:trPr>
          <w:jc w:val="center"/>
        </w:trPr>
        <w:tc>
          <w:tcPr>
            <w:tcW w:w="3200" w:type="dxa"/>
            <w:shd w:val="clear" w:color="auto" w:fill="F2F2F2"/>
            <w:tcMar>
              <w:top w:w="160" w:type="dxa"/>
              <w:left w:w="160" w:type="dxa"/>
              <w:bottom w:w="160" w:type="dxa"/>
              <w:right w:w="160" w:type="dxa"/>
            </w:tcMar>
            <w:vAlign w:val="center"/>
          </w:tcPr>
          <w:p w14:paraId="05038C8C" w14:textId="77777777" w:rsidR="004275AA" w:rsidRPr="00231CD6" w:rsidRDefault="004275AA" w:rsidP="000D29F8">
            <w:pPr>
              <w:spacing w:line="360" w:lineRule="auto"/>
              <w:jc w:val="center"/>
              <w:rPr>
                <w:rFonts w:ascii="Calibri" w:hAnsi="Calibri" w:cs="Calibri"/>
                <w:color w:val="000000" w:themeColor="text1"/>
                <w:sz w:val="24"/>
                <w:szCs w:val="24"/>
              </w:rPr>
            </w:pPr>
            <w:r w:rsidRPr="00231CD6">
              <w:rPr>
                <w:rFonts w:ascii="Calibri" w:eastAsia="Calibri" w:hAnsi="Calibri" w:cs="Calibri"/>
                <w:b/>
                <w:bCs/>
                <w:color w:val="000000" w:themeColor="text1"/>
                <w:sz w:val="24"/>
                <w:szCs w:val="24"/>
              </w:rPr>
              <w:t>Programme:</w:t>
            </w:r>
          </w:p>
        </w:tc>
        <w:tc>
          <w:tcPr>
            <w:tcW w:w="5860" w:type="dxa"/>
            <w:tcMar>
              <w:top w:w="160" w:type="dxa"/>
              <w:left w:w="160" w:type="dxa"/>
              <w:bottom w:w="160" w:type="dxa"/>
              <w:right w:w="160" w:type="dxa"/>
            </w:tcMar>
            <w:vAlign w:val="center"/>
          </w:tcPr>
          <w:p w14:paraId="74338A68" w14:textId="59A2FD56" w:rsidR="004275AA" w:rsidRPr="00231CD6" w:rsidRDefault="00847361" w:rsidP="000D29F8">
            <w:pPr>
              <w:spacing w:line="360" w:lineRule="auto"/>
              <w:jc w:val="center"/>
              <w:rPr>
                <w:rFonts w:ascii="Calibri" w:hAnsi="Calibri" w:cs="Calibri"/>
                <w:color w:val="000000" w:themeColor="text1"/>
                <w:sz w:val="24"/>
                <w:szCs w:val="24"/>
                <w:lang w:val="en-US"/>
              </w:rPr>
            </w:pPr>
            <w:r>
              <w:rPr>
                <w:rFonts w:ascii="Calibri" w:hAnsi="Calibri" w:cs="Calibri"/>
                <w:color w:val="000000" w:themeColor="text1"/>
                <w:sz w:val="24"/>
                <w:szCs w:val="24"/>
                <w:lang w:val="en-US"/>
              </w:rPr>
              <w:t>Doctor of Business Administration</w:t>
            </w:r>
          </w:p>
        </w:tc>
      </w:tr>
      <w:tr w:rsidR="000D29F8" w:rsidRPr="00231CD6" w14:paraId="35BAFA1D" w14:textId="77777777" w:rsidTr="006F084E">
        <w:trPr>
          <w:jc w:val="center"/>
        </w:trPr>
        <w:tc>
          <w:tcPr>
            <w:tcW w:w="3200" w:type="dxa"/>
            <w:shd w:val="clear" w:color="auto" w:fill="F2F2F2"/>
            <w:tcMar>
              <w:top w:w="160" w:type="dxa"/>
              <w:left w:w="160" w:type="dxa"/>
              <w:bottom w:w="160" w:type="dxa"/>
              <w:right w:w="160" w:type="dxa"/>
            </w:tcMar>
            <w:vAlign w:val="center"/>
          </w:tcPr>
          <w:p w14:paraId="71DE125C" w14:textId="77777777" w:rsidR="004275AA" w:rsidRPr="00231CD6" w:rsidRDefault="004275AA" w:rsidP="000D29F8">
            <w:pPr>
              <w:spacing w:line="360" w:lineRule="auto"/>
              <w:jc w:val="center"/>
              <w:rPr>
                <w:rFonts w:ascii="Calibri" w:hAnsi="Calibri" w:cs="Calibri"/>
                <w:color w:val="000000" w:themeColor="text1"/>
                <w:sz w:val="24"/>
                <w:szCs w:val="24"/>
              </w:rPr>
            </w:pPr>
            <w:r w:rsidRPr="00231CD6">
              <w:rPr>
                <w:rFonts w:ascii="Calibri" w:eastAsia="Calibri" w:hAnsi="Calibri" w:cs="Calibri"/>
                <w:b/>
                <w:bCs/>
                <w:color w:val="000000" w:themeColor="text1"/>
                <w:sz w:val="24"/>
                <w:szCs w:val="24"/>
              </w:rPr>
              <w:t>Module Tutor:</w:t>
            </w:r>
          </w:p>
        </w:tc>
        <w:tc>
          <w:tcPr>
            <w:tcW w:w="5860" w:type="dxa"/>
            <w:tcMar>
              <w:top w:w="160" w:type="dxa"/>
              <w:left w:w="160" w:type="dxa"/>
              <w:bottom w:w="160" w:type="dxa"/>
              <w:right w:w="160" w:type="dxa"/>
            </w:tcMar>
            <w:vAlign w:val="center"/>
          </w:tcPr>
          <w:p w14:paraId="6F734F6D" w14:textId="03494AE3" w:rsidR="004275AA" w:rsidRPr="00DA721C" w:rsidRDefault="00DA721C" w:rsidP="00DA721C">
            <w:pPr>
              <w:spacing w:line="360" w:lineRule="auto"/>
              <w:jc w:val="center"/>
              <w:rPr>
                <w:rFonts w:ascii="Calibri" w:hAnsi="Calibri" w:cs="Calibri"/>
                <w:b/>
                <w:bCs/>
                <w:color w:val="000000" w:themeColor="text1"/>
                <w:sz w:val="24"/>
                <w:szCs w:val="24"/>
              </w:rPr>
            </w:pPr>
            <w:r w:rsidRPr="00DA721C">
              <w:rPr>
                <w:rFonts w:ascii="Calibri" w:hAnsi="Calibri" w:cs="Calibri"/>
                <w:color w:val="000000" w:themeColor="text1"/>
                <w:sz w:val="24"/>
                <w:szCs w:val="24"/>
                <w:lang w:val="en-US"/>
              </w:rPr>
              <w:t xml:space="preserve">Xavier </w:t>
            </w:r>
            <w:proofErr w:type="spellStart"/>
            <w:r w:rsidRPr="00DA721C">
              <w:rPr>
                <w:rFonts w:ascii="Calibri" w:hAnsi="Calibri" w:cs="Calibri"/>
                <w:color w:val="000000" w:themeColor="text1"/>
                <w:sz w:val="24"/>
                <w:szCs w:val="24"/>
                <w:lang w:val="en-US"/>
              </w:rPr>
              <w:t>Matieni</w:t>
            </w:r>
            <w:proofErr w:type="spellEnd"/>
          </w:p>
        </w:tc>
      </w:tr>
      <w:tr w:rsidR="000D29F8" w:rsidRPr="00231CD6" w14:paraId="468491C1" w14:textId="77777777" w:rsidTr="006F084E">
        <w:trPr>
          <w:jc w:val="center"/>
        </w:trPr>
        <w:tc>
          <w:tcPr>
            <w:tcW w:w="3200" w:type="dxa"/>
            <w:shd w:val="clear" w:color="auto" w:fill="F2F2F2"/>
            <w:tcMar>
              <w:top w:w="160" w:type="dxa"/>
              <w:left w:w="160" w:type="dxa"/>
              <w:bottom w:w="160" w:type="dxa"/>
              <w:right w:w="160" w:type="dxa"/>
            </w:tcMar>
            <w:vAlign w:val="center"/>
          </w:tcPr>
          <w:p w14:paraId="611A0B91" w14:textId="77777777" w:rsidR="004275AA" w:rsidRPr="00231CD6" w:rsidRDefault="004275AA" w:rsidP="000D29F8">
            <w:pPr>
              <w:spacing w:line="360" w:lineRule="auto"/>
              <w:jc w:val="center"/>
              <w:rPr>
                <w:rFonts w:ascii="Calibri" w:hAnsi="Calibri" w:cs="Calibri"/>
                <w:color w:val="000000" w:themeColor="text1"/>
                <w:sz w:val="24"/>
                <w:szCs w:val="24"/>
              </w:rPr>
            </w:pPr>
            <w:r w:rsidRPr="00231CD6">
              <w:rPr>
                <w:rFonts w:ascii="Calibri" w:eastAsia="Calibri" w:hAnsi="Calibri" w:cs="Calibri"/>
                <w:b/>
                <w:bCs/>
                <w:color w:val="000000" w:themeColor="text1"/>
                <w:sz w:val="24"/>
                <w:szCs w:val="24"/>
              </w:rPr>
              <w:t>Submission Date:</w:t>
            </w:r>
          </w:p>
        </w:tc>
        <w:tc>
          <w:tcPr>
            <w:tcW w:w="5860" w:type="dxa"/>
            <w:tcMar>
              <w:top w:w="160" w:type="dxa"/>
              <w:left w:w="160" w:type="dxa"/>
              <w:bottom w:w="160" w:type="dxa"/>
              <w:right w:w="160" w:type="dxa"/>
            </w:tcMar>
            <w:vAlign w:val="center"/>
          </w:tcPr>
          <w:p w14:paraId="3F3A9C22" w14:textId="6B37951D" w:rsidR="004275AA" w:rsidRPr="00231CD6" w:rsidRDefault="00847361" w:rsidP="000D29F8">
            <w:pPr>
              <w:spacing w:line="360" w:lineRule="auto"/>
              <w:jc w:val="center"/>
              <w:rPr>
                <w:rFonts w:ascii="Calibri" w:hAnsi="Calibri" w:cs="Calibri"/>
                <w:color w:val="000000" w:themeColor="text1"/>
                <w:sz w:val="24"/>
                <w:szCs w:val="24"/>
                <w:lang w:val="en-US"/>
              </w:rPr>
            </w:pPr>
            <w:r>
              <w:rPr>
                <w:rFonts w:ascii="Calibri" w:hAnsi="Calibri" w:cs="Calibri"/>
                <w:color w:val="000000" w:themeColor="text1"/>
                <w:sz w:val="24"/>
                <w:szCs w:val="24"/>
                <w:lang w:val="en-US"/>
              </w:rPr>
              <w:t>20</w:t>
            </w:r>
            <w:r w:rsidRPr="00847361">
              <w:rPr>
                <w:rFonts w:ascii="Calibri" w:hAnsi="Calibri" w:cs="Calibri"/>
                <w:color w:val="000000" w:themeColor="text1"/>
                <w:sz w:val="24"/>
                <w:szCs w:val="24"/>
                <w:vertAlign w:val="superscript"/>
                <w:lang w:val="en-US"/>
              </w:rPr>
              <w:t>th</w:t>
            </w:r>
            <w:r>
              <w:rPr>
                <w:rFonts w:ascii="Calibri" w:hAnsi="Calibri" w:cs="Calibri"/>
                <w:color w:val="000000" w:themeColor="text1"/>
                <w:sz w:val="24"/>
                <w:szCs w:val="24"/>
                <w:lang w:val="en-US"/>
              </w:rPr>
              <w:t xml:space="preserve"> August 2026</w:t>
            </w:r>
          </w:p>
        </w:tc>
      </w:tr>
      <w:tr w:rsidR="000D29F8" w:rsidRPr="00231CD6" w14:paraId="5D4198E5" w14:textId="77777777" w:rsidTr="006F084E">
        <w:trPr>
          <w:jc w:val="center"/>
        </w:trPr>
        <w:tc>
          <w:tcPr>
            <w:tcW w:w="3200" w:type="dxa"/>
            <w:shd w:val="clear" w:color="auto" w:fill="F2F2F2"/>
            <w:tcMar>
              <w:top w:w="160" w:type="dxa"/>
              <w:left w:w="160" w:type="dxa"/>
              <w:bottom w:w="160" w:type="dxa"/>
              <w:right w:w="160" w:type="dxa"/>
            </w:tcMar>
            <w:vAlign w:val="center"/>
          </w:tcPr>
          <w:p w14:paraId="66D864F0" w14:textId="77777777" w:rsidR="004275AA" w:rsidRPr="00231CD6" w:rsidRDefault="004275AA" w:rsidP="000D29F8">
            <w:pPr>
              <w:spacing w:line="360" w:lineRule="auto"/>
              <w:jc w:val="center"/>
              <w:rPr>
                <w:rFonts w:ascii="Calibri" w:hAnsi="Calibri" w:cs="Calibri"/>
                <w:color w:val="000000" w:themeColor="text1"/>
                <w:sz w:val="24"/>
                <w:szCs w:val="24"/>
              </w:rPr>
            </w:pPr>
            <w:r w:rsidRPr="00231CD6">
              <w:rPr>
                <w:rFonts w:ascii="Calibri" w:eastAsia="Calibri" w:hAnsi="Calibri" w:cs="Calibri"/>
                <w:b/>
                <w:bCs/>
                <w:color w:val="000000" w:themeColor="text1"/>
                <w:sz w:val="24"/>
                <w:szCs w:val="24"/>
              </w:rPr>
              <w:t>Word Count:</w:t>
            </w:r>
          </w:p>
        </w:tc>
        <w:tc>
          <w:tcPr>
            <w:tcW w:w="5860" w:type="dxa"/>
            <w:tcMar>
              <w:top w:w="160" w:type="dxa"/>
              <w:left w:w="160" w:type="dxa"/>
              <w:bottom w:w="160" w:type="dxa"/>
              <w:right w:w="160" w:type="dxa"/>
            </w:tcMar>
            <w:vAlign w:val="center"/>
          </w:tcPr>
          <w:p w14:paraId="16A54480" w14:textId="1F4A53D3" w:rsidR="004275AA" w:rsidRPr="00231CD6" w:rsidRDefault="00847361" w:rsidP="000D29F8">
            <w:pPr>
              <w:spacing w:line="360" w:lineRule="auto"/>
              <w:jc w:val="center"/>
              <w:rPr>
                <w:rFonts w:ascii="Calibri" w:hAnsi="Calibri" w:cs="Calibri"/>
                <w:color w:val="000000" w:themeColor="text1"/>
                <w:sz w:val="24"/>
                <w:szCs w:val="24"/>
                <w:lang w:val="en-US"/>
              </w:rPr>
            </w:pPr>
            <w:r>
              <w:rPr>
                <w:rFonts w:ascii="Calibri" w:hAnsi="Calibri" w:cs="Calibri"/>
                <w:color w:val="000000" w:themeColor="text1"/>
                <w:sz w:val="24"/>
                <w:szCs w:val="24"/>
                <w:lang w:val="en-US"/>
              </w:rPr>
              <w:t>7</w:t>
            </w:r>
            <w:r w:rsidR="00DA2FFF">
              <w:rPr>
                <w:rFonts w:ascii="Calibri" w:hAnsi="Calibri" w:cs="Calibri"/>
                <w:color w:val="000000" w:themeColor="text1"/>
                <w:sz w:val="24"/>
                <w:szCs w:val="24"/>
                <w:lang w:val="en-US"/>
              </w:rPr>
              <w:t>306</w:t>
            </w:r>
          </w:p>
        </w:tc>
      </w:tr>
    </w:tbl>
    <w:p w14:paraId="0E4D01E7" w14:textId="77777777" w:rsidR="004275AA" w:rsidRPr="00231CD6" w:rsidRDefault="004275AA" w:rsidP="000D29F8">
      <w:pPr>
        <w:spacing w:after="200" w:line="360" w:lineRule="auto"/>
        <w:jc w:val="center"/>
        <w:rPr>
          <w:rFonts w:ascii="Calibri" w:hAnsi="Calibri" w:cs="Calibri"/>
          <w:color w:val="000000" w:themeColor="text1"/>
          <w:sz w:val="24"/>
          <w:szCs w:val="24"/>
          <w:lang w:val="en-US"/>
        </w:rPr>
      </w:pPr>
    </w:p>
    <w:p w14:paraId="53EA1166" w14:textId="77777777" w:rsidR="00DA721C" w:rsidRDefault="00DA721C" w:rsidP="000D29F8">
      <w:pPr>
        <w:spacing w:after="100" w:line="360" w:lineRule="auto"/>
        <w:jc w:val="center"/>
        <w:rPr>
          <w:rFonts w:ascii="Calibri" w:eastAsia="Calibri" w:hAnsi="Calibri" w:cs="Calibri"/>
          <w:b/>
          <w:bCs/>
          <w:color w:val="000000" w:themeColor="text1"/>
          <w:sz w:val="24"/>
          <w:szCs w:val="24"/>
        </w:rPr>
      </w:pPr>
    </w:p>
    <w:p w14:paraId="068346C5" w14:textId="77777777" w:rsidR="000B55E4" w:rsidRDefault="004275AA" w:rsidP="000B55E4">
      <w:pPr>
        <w:spacing w:after="100" w:line="360" w:lineRule="auto"/>
        <w:jc w:val="center"/>
        <w:rPr>
          <w:rFonts w:ascii="Calibri" w:hAnsi="Calibri" w:cs="Calibri"/>
          <w:color w:val="000000" w:themeColor="text1"/>
          <w:sz w:val="24"/>
          <w:szCs w:val="24"/>
        </w:rPr>
      </w:pPr>
      <w:r w:rsidRPr="00231CD6">
        <w:rPr>
          <w:rFonts w:ascii="Calibri" w:eastAsia="Calibri" w:hAnsi="Calibri" w:cs="Calibri"/>
          <w:b/>
          <w:bCs/>
          <w:color w:val="000000" w:themeColor="text1"/>
          <w:sz w:val="24"/>
          <w:szCs w:val="24"/>
        </w:rPr>
        <w:t>Declaration</w:t>
      </w:r>
      <w:r w:rsidR="000B55E4">
        <w:rPr>
          <w:rFonts w:ascii="Calibri" w:hAnsi="Calibri" w:cs="Calibri"/>
          <w:color w:val="000000" w:themeColor="text1"/>
          <w:sz w:val="24"/>
          <w:szCs w:val="24"/>
        </w:rPr>
        <w:t xml:space="preserve"> </w:t>
      </w:r>
    </w:p>
    <w:p w14:paraId="24C40978" w14:textId="13C84ECA" w:rsidR="00746ACB" w:rsidRPr="000B55E4" w:rsidRDefault="004275AA" w:rsidP="000B55E4">
      <w:pPr>
        <w:spacing w:after="100" w:line="360" w:lineRule="auto"/>
        <w:jc w:val="center"/>
        <w:rPr>
          <w:rFonts w:ascii="Calibri" w:hAnsi="Calibri" w:cs="Calibri"/>
          <w:color w:val="000000" w:themeColor="text1"/>
          <w:sz w:val="24"/>
          <w:szCs w:val="24"/>
        </w:rPr>
      </w:pPr>
      <w:r w:rsidRPr="00231CD6">
        <w:rPr>
          <w:rFonts w:ascii="Calibri" w:eastAsia="Calibri" w:hAnsi="Calibri" w:cs="Calibri"/>
          <w:i/>
          <w:iCs/>
          <w:color w:val="000000" w:themeColor="text1"/>
          <w:sz w:val="24"/>
          <w:szCs w:val="24"/>
        </w:rPr>
        <w:t>I confirm that this assignment is my own work, that it has not been submitted for any other award, and that all sources have been acknowledged.</w:t>
      </w:r>
      <w:r w:rsidRPr="00231CD6">
        <w:rPr>
          <w:rFonts w:ascii="Calibri" w:hAnsi="Calibri" w:cs="Calibri"/>
          <w:color w:val="000000" w:themeColor="text1"/>
          <w:sz w:val="24"/>
          <w:szCs w:val="24"/>
        </w:rPr>
        <w:br w:type="page"/>
      </w:r>
    </w:p>
    <w:p w14:paraId="0FAC00A9" w14:textId="77777777" w:rsidR="00746ACB" w:rsidRPr="00231CD6" w:rsidRDefault="00064733" w:rsidP="000D29F8">
      <w:pPr>
        <w:spacing w:line="360" w:lineRule="auto"/>
        <w:jc w:val="both"/>
        <w:rPr>
          <w:rFonts w:ascii="Calibri" w:hAnsi="Calibri" w:cs="Calibri"/>
          <w:b/>
          <w:bCs/>
          <w:color w:val="000000" w:themeColor="text1"/>
          <w:sz w:val="24"/>
          <w:szCs w:val="24"/>
        </w:rPr>
      </w:pPr>
      <w:r w:rsidRPr="00231CD6">
        <w:rPr>
          <w:rFonts w:ascii="Calibri" w:hAnsi="Calibri" w:cs="Calibri"/>
          <w:b/>
          <w:bCs/>
          <w:color w:val="000000" w:themeColor="text1"/>
          <w:sz w:val="24"/>
          <w:szCs w:val="24"/>
        </w:rPr>
        <w:lastRenderedPageBreak/>
        <w:t>Table of Contents</w:t>
      </w:r>
    </w:p>
    <w:sdt>
      <w:sdtPr>
        <w:rPr>
          <w:rFonts w:ascii="Calibri" w:hAnsi="Calibri" w:cs="Calibri"/>
          <w:color w:val="000000" w:themeColor="text1"/>
          <w:sz w:val="24"/>
          <w:szCs w:val="24"/>
        </w:rPr>
        <w:alias w:val="Table of Contents"/>
        <w:id w:val="-2112189106"/>
      </w:sdtPr>
      <w:sdtContent>
        <w:p w14:paraId="6C6A389D" w14:textId="41C3997B" w:rsidR="00723708" w:rsidRPr="00231CD6" w:rsidRDefault="00064733"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r w:rsidRPr="00231CD6">
            <w:rPr>
              <w:rFonts w:ascii="Calibri" w:hAnsi="Calibri" w:cs="Calibri"/>
              <w:color w:val="000000" w:themeColor="text1"/>
              <w:sz w:val="24"/>
              <w:szCs w:val="24"/>
            </w:rPr>
            <w:fldChar w:fldCharType="begin"/>
          </w:r>
          <w:r w:rsidRPr="00231CD6">
            <w:rPr>
              <w:rFonts w:ascii="Calibri" w:hAnsi="Calibri" w:cs="Calibri"/>
              <w:color w:val="000000" w:themeColor="text1"/>
              <w:sz w:val="24"/>
              <w:szCs w:val="24"/>
            </w:rPr>
            <w:instrText>TOC \h \o "1-3"</w:instrText>
          </w:r>
          <w:r w:rsidRPr="00231CD6">
            <w:rPr>
              <w:rFonts w:ascii="Calibri" w:hAnsi="Calibri" w:cs="Calibri"/>
              <w:color w:val="000000" w:themeColor="text1"/>
              <w:sz w:val="24"/>
              <w:szCs w:val="24"/>
            </w:rPr>
            <w:fldChar w:fldCharType="separate"/>
          </w:r>
          <w:hyperlink w:anchor="_Toc237694471" w:history="1">
            <w:r w:rsidR="00723708" w:rsidRPr="00231CD6">
              <w:rPr>
                <w:rStyle w:val="Hyperlink"/>
                <w:rFonts w:ascii="Calibri" w:hAnsi="Calibri" w:cs="Calibri"/>
                <w:noProof/>
                <w:color w:val="000000" w:themeColor="text1"/>
                <w:sz w:val="24"/>
                <w:szCs w:val="24"/>
              </w:rPr>
              <w:t>1. Introduction</w:t>
            </w:r>
            <w:r w:rsidR="00723708" w:rsidRPr="00231CD6">
              <w:rPr>
                <w:rFonts w:ascii="Calibri" w:hAnsi="Calibri" w:cs="Calibri"/>
                <w:noProof/>
                <w:color w:val="000000" w:themeColor="text1"/>
                <w:sz w:val="24"/>
                <w:szCs w:val="24"/>
              </w:rPr>
              <w:tab/>
            </w:r>
            <w:r w:rsidR="00723708" w:rsidRPr="00231CD6">
              <w:rPr>
                <w:rFonts w:ascii="Calibri" w:hAnsi="Calibri" w:cs="Calibri"/>
                <w:noProof/>
                <w:color w:val="000000" w:themeColor="text1"/>
                <w:sz w:val="24"/>
                <w:szCs w:val="24"/>
              </w:rPr>
              <w:fldChar w:fldCharType="begin"/>
            </w:r>
            <w:r w:rsidR="00723708" w:rsidRPr="00231CD6">
              <w:rPr>
                <w:rFonts w:ascii="Calibri" w:hAnsi="Calibri" w:cs="Calibri"/>
                <w:noProof/>
                <w:color w:val="000000" w:themeColor="text1"/>
                <w:sz w:val="24"/>
                <w:szCs w:val="24"/>
              </w:rPr>
              <w:instrText xml:space="preserve"> PAGEREF _Toc237694471 \h </w:instrText>
            </w:r>
            <w:r w:rsidR="00723708" w:rsidRPr="00231CD6">
              <w:rPr>
                <w:rFonts w:ascii="Calibri" w:hAnsi="Calibri" w:cs="Calibri"/>
                <w:noProof/>
                <w:color w:val="000000" w:themeColor="text1"/>
                <w:sz w:val="24"/>
                <w:szCs w:val="24"/>
              </w:rPr>
            </w:r>
            <w:r w:rsidR="00723708" w:rsidRPr="00231CD6">
              <w:rPr>
                <w:rFonts w:ascii="Calibri" w:hAnsi="Calibri" w:cs="Calibri"/>
                <w:noProof/>
                <w:color w:val="000000" w:themeColor="text1"/>
                <w:sz w:val="24"/>
                <w:szCs w:val="24"/>
              </w:rPr>
              <w:fldChar w:fldCharType="separate"/>
            </w:r>
            <w:r w:rsidR="00723708" w:rsidRPr="00231CD6">
              <w:rPr>
                <w:rFonts w:ascii="Calibri" w:hAnsi="Calibri" w:cs="Calibri"/>
                <w:noProof/>
                <w:color w:val="000000" w:themeColor="text1"/>
                <w:sz w:val="24"/>
                <w:szCs w:val="24"/>
              </w:rPr>
              <w:t>4</w:t>
            </w:r>
            <w:r w:rsidR="00723708" w:rsidRPr="00231CD6">
              <w:rPr>
                <w:rFonts w:ascii="Calibri" w:hAnsi="Calibri" w:cs="Calibri"/>
                <w:noProof/>
                <w:color w:val="000000" w:themeColor="text1"/>
                <w:sz w:val="24"/>
                <w:szCs w:val="24"/>
              </w:rPr>
              <w:fldChar w:fldCharType="end"/>
            </w:r>
          </w:hyperlink>
        </w:p>
        <w:p w14:paraId="420AE070" w14:textId="266B5D81"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72" w:history="1">
            <w:r w:rsidRPr="00231CD6">
              <w:rPr>
                <w:rStyle w:val="Hyperlink"/>
                <w:rFonts w:ascii="Calibri" w:hAnsi="Calibri" w:cs="Calibri"/>
                <w:noProof/>
                <w:color w:val="000000" w:themeColor="text1"/>
                <w:sz w:val="24"/>
                <w:szCs w:val="24"/>
              </w:rPr>
              <w:t>1.1 Aim and Objectives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5</w:t>
            </w:r>
          </w:hyperlink>
        </w:p>
        <w:p w14:paraId="3650F6D7" w14:textId="0A96891D"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73" w:history="1">
            <w:r w:rsidRPr="00231CD6">
              <w:rPr>
                <w:rStyle w:val="Hyperlink"/>
                <w:rFonts w:ascii="Calibri" w:hAnsi="Calibri" w:cs="Calibri"/>
                <w:noProof/>
                <w:color w:val="000000" w:themeColor="text1"/>
                <w:sz w:val="24"/>
                <w:szCs w:val="24"/>
              </w:rPr>
              <w:t>1.2 Background and Context</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6</w:t>
            </w:r>
          </w:hyperlink>
        </w:p>
        <w:p w14:paraId="5B1A5AE3" w14:textId="22F2AB0A"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74" w:history="1">
            <w:r w:rsidRPr="00231CD6">
              <w:rPr>
                <w:rStyle w:val="Hyperlink"/>
                <w:rFonts w:ascii="Calibri" w:hAnsi="Calibri" w:cs="Calibri"/>
                <w:noProof/>
                <w:color w:val="000000" w:themeColor="text1"/>
                <w:sz w:val="24"/>
                <w:szCs w:val="24"/>
              </w:rPr>
              <w:t>2. Literature Review</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7</w:t>
            </w:r>
          </w:hyperlink>
        </w:p>
        <w:p w14:paraId="1D1DACEE" w14:textId="3AE2F334"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75" w:history="1">
            <w:r w:rsidRPr="00231CD6">
              <w:rPr>
                <w:rStyle w:val="Hyperlink"/>
                <w:rFonts w:ascii="Calibri" w:hAnsi="Calibri" w:cs="Calibri"/>
                <w:noProof/>
                <w:color w:val="000000" w:themeColor="text1"/>
                <w:sz w:val="24"/>
                <w:szCs w:val="24"/>
              </w:rPr>
              <w:t>2.1 Traditional Organisational Structure and Management Role Theory</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7</w:t>
            </w:r>
          </w:hyperlink>
        </w:p>
        <w:p w14:paraId="167FE09C" w14:textId="17C93FEB"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76" w:history="1">
            <w:r w:rsidRPr="00231CD6">
              <w:rPr>
                <w:rStyle w:val="Hyperlink"/>
                <w:rFonts w:ascii="Calibri" w:hAnsi="Calibri" w:cs="Calibri"/>
                <w:noProof/>
                <w:color w:val="000000" w:themeColor="text1"/>
                <w:sz w:val="24"/>
                <w:szCs w:val="24"/>
              </w:rPr>
              <w:t>2.2 E-commerce, E-business and the Platform Firm</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8</w:t>
            </w:r>
          </w:hyperlink>
        </w:p>
        <w:p w14:paraId="42D87259" w14:textId="5DFE5FA7"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77" w:history="1">
            <w:r w:rsidRPr="00231CD6">
              <w:rPr>
                <w:rStyle w:val="Hyperlink"/>
                <w:rFonts w:ascii="Calibri" w:hAnsi="Calibri" w:cs="Calibri"/>
                <w:noProof/>
                <w:color w:val="000000" w:themeColor="text1"/>
                <w:sz w:val="24"/>
                <w:szCs w:val="24"/>
              </w:rPr>
              <w:t>2.3 Digital Transformation Theory and its Blind Spot</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8</w:t>
            </w:r>
          </w:hyperlink>
        </w:p>
        <w:p w14:paraId="04A7AA96" w14:textId="1262B3DD"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78" w:history="1">
            <w:r w:rsidRPr="00231CD6">
              <w:rPr>
                <w:rStyle w:val="Hyperlink"/>
                <w:rFonts w:ascii="Calibri" w:hAnsi="Calibri" w:cs="Calibri"/>
                <w:noProof/>
                <w:color w:val="000000" w:themeColor="text1"/>
                <w:sz w:val="24"/>
                <w:szCs w:val="24"/>
              </w:rPr>
              <w:t>2.4 The Literature Gap and This Report's Contribution</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9</w:t>
            </w:r>
          </w:hyperlink>
        </w:p>
        <w:p w14:paraId="2F47DF56" w14:textId="2651AD4A"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79" w:history="1">
            <w:r w:rsidRPr="00231CD6">
              <w:rPr>
                <w:rStyle w:val="Hyperlink"/>
                <w:rFonts w:ascii="Calibri" w:hAnsi="Calibri" w:cs="Calibri"/>
                <w:noProof/>
                <w:color w:val="000000" w:themeColor="text1"/>
                <w:sz w:val="24"/>
                <w:szCs w:val="24"/>
              </w:rPr>
              <w:t>2.5 Power, Data and Trust in the Platform Economy</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9</w:t>
            </w:r>
          </w:hyperlink>
        </w:p>
        <w:p w14:paraId="734FAB79" w14:textId="0A800B3D"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0" w:history="1">
            <w:r w:rsidRPr="00231CD6">
              <w:rPr>
                <w:rStyle w:val="Hyperlink"/>
                <w:rFonts w:ascii="Calibri" w:hAnsi="Calibri" w:cs="Calibri"/>
                <w:noProof/>
                <w:color w:val="000000" w:themeColor="text1"/>
                <w:sz w:val="24"/>
                <w:szCs w:val="24"/>
              </w:rPr>
              <w:t>3. Theoretical Framework: CATWOE Applied to Amazon</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10</w:t>
            </w:r>
          </w:hyperlink>
        </w:p>
        <w:p w14:paraId="52723ADD" w14:textId="7E884251"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1" w:history="1">
            <w:r w:rsidRPr="00231CD6">
              <w:rPr>
                <w:rStyle w:val="Hyperlink"/>
                <w:rFonts w:ascii="Calibri" w:hAnsi="Calibri" w:cs="Calibri"/>
                <w:noProof/>
                <w:color w:val="000000" w:themeColor="text1"/>
                <w:sz w:val="24"/>
                <w:szCs w:val="24"/>
              </w:rPr>
              <w:t>3.1 Environmental Constraints: A Brief SWOT/PESTLE Reading</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11</w:t>
            </w:r>
          </w:hyperlink>
        </w:p>
        <w:p w14:paraId="03491E82" w14:textId="77A75250"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2" w:history="1">
            <w:r w:rsidRPr="00231CD6">
              <w:rPr>
                <w:rStyle w:val="Hyperlink"/>
                <w:rFonts w:ascii="Calibri" w:hAnsi="Calibri" w:cs="Calibri"/>
                <w:noProof/>
                <w:color w:val="000000" w:themeColor="text1"/>
                <w:sz w:val="24"/>
                <w:szCs w:val="24"/>
              </w:rPr>
              <w:t>4. Analytical Core: Amazon Through Seven Lenses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12</w:t>
            </w:r>
          </w:hyperlink>
        </w:p>
        <w:p w14:paraId="27241C1F" w14:textId="2D578298"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3" w:history="1">
            <w:r w:rsidRPr="00231CD6">
              <w:rPr>
                <w:rStyle w:val="Hyperlink"/>
                <w:rFonts w:ascii="Calibri" w:hAnsi="Calibri" w:cs="Calibri"/>
                <w:noProof/>
                <w:color w:val="000000" w:themeColor="text1"/>
                <w:sz w:val="24"/>
                <w:szCs w:val="24"/>
              </w:rPr>
              <w:t>4.1 Network</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12</w:t>
            </w:r>
          </w:hyperlink>
        </w:p>
        <w:p w14:paraId="2F57A243" w14:textId="7C4D172A"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4" w:history="1">
            <w:r w:rsidRPr="00231CD6">
              <w:rPr>
                <w:rStyle w:val="Hyperlink"/>
                <w:rFonts w:ascii="Calibri" w:hAnsi="Calibri" w:cs="Calibri"/>
                <w:noProof/>
                <w:color w:val="000000" w:themeColor="text1"/>
                <w:sz w:val="24"/>
                <w:szCs w:val="24"/>
              </w:rPr>
              <w:t>4.2 Data</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13</w:t>
            </w:r>
          </w:hyperlink>
        </w:p>
        <w:p w14:paraId="4FF8BC61" w14:textId="777D48CA"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5" w:history="1">
            <w:r w:rsidRPr="00231CD6">
              <w:rPr>
                <w:rStyle w:val="Hyperlink"/>
                <w:rFonts w:ascii="Calibri" w:hAnsi="Calibri" w:cs="Calibri"/>
                <w:noProof/>
                <w:color w:val="000000" w:themeColor="text1"/>
                <w:sz w:val="24"/>
                <w:szCs w:val="24"/>
              </w:rPr>
              <w:t>4.3 Platform</w:t>
            </w:r>
            <w:r w:rsidRPr="00231CD6">
              <w:rPr>
                <w:rFonts w:ascii="Calibri" w:hAnsi="Calibri" w:cs="Calibri"/>
                <w:noProof/>
                <w:color w:val="000000" w:themeColor="text1"/>
                <w:sz w:val="24"/>
                <w:szCs w:val="24"/>
              </w:rPr>
              <w:tab/>
            </w:r>
            <w:r w:rsidRPr="00231CD6">
              <w:rPr>
                <w:rFonts w:ascii="Calibri" w:hAnsi="Calibri" w:cs="Calibri"/>
                <w:noProof/>
                <w:color w:val="000000" w:themeColor="text1"/>
                <w:sz w:val="24"/>
                <w:szCs w:val="24"/>
              </w:rPr>
              <w:fldChar w:fldCharType="begin"/>
            </w:r>
            <w:r w:rsidRPr="00231CD6">
              <w:rPr>
                <w:rFonts w:ascii="Calibri" w:hAnsi="Calibri" w:cs="Calibri"/>
                <w:noProof/>
                <w:color w:val="000000" w:themeColor="text1"/>
                <w:sz w:val="24"/>
                <w:szCs w:val="24"/>
              </w:rPr>
              <w:instrText xml:space="preserve"> PAGEREF _Toc237694485 \h </w:instrText>
            </w:r>
            <w:r w:rsidRPr="00231CD6">
              <w:rPr>
                <w:rFonts w:ascii="Calibri" w:hAnsi="Calibri" w:cs="Calibri"/>
                <w:noProof/>
                <w:color w:val="000000" w:themeColor="text1"/>
                <w:sz w:val="24"/>
                <w:szCs w:val="24"/>
              </w:rPr>
            </w:r>
            <w:r w:rsidRPr="00231CD6">
              <w:rPr>
                <w:rFonts w:ascii="Calibri" w:hAnsi="Calibri" w:cs="Calibri"/>
                <w:noProof/>
                <w:color w:val="000000" w:themeColor="text1"/>
                <w:sz w:val="24"/>
                <w:szCs w:val="24"/>
              </w:rPr>
              <w:fldChar w:fldCharType="separate"/>
            </w:r>
            <w:r w:rsidRPr="00231CD6">
              <w:rPr>
                <w:rFonts w:ascii="Calibri" w:hAnsi="Calibri" w:cs="Calibri"/>
                <w:noProof/>
                <w:color w:val="000000" w:themeColor="text1"/>
                <w:sz w:val="24"/>
                <w:szCs w:val="24"/>
              </w:rPr>
              <w:t>1</w:t>
            </w:r>
            <w:r w:rsidR="00453B21">
              <w:rPr>
                <w:rFonts w:ascii="Calibri" w:hAnsi="Calibri" w:cs="Calibri"/>
                <w:noProof/>
                <w:color w:val="000000" w:themeColor="text1"/>
                <w:sz w:val="24"/>
                <w:szCs w:val="24"/>
              </w:rPr>
              <w:t>4</w:t>
            </w:r>
            <w:r w:rsidRPr="00231CD6">
              <w:rPr>
                <w:rFonts w:ascii="Calibri" w:hAnsi="Calibri" w:cs="Calibri"/>
                <w:noProof/>
                <w:color w:val="000000" w:themeColor="text1"/>
                <w:sz w:val="24"/>
                <w:szCs w:val="24"/>
              </w:rPr>
              <w:fldChar w:fldCharType="end"/>
            </w:r>
          </w:hyperlink>
        </w:p>
        <w:p w14:paraId="145FBF7D" w14:textId="6C7112E4"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6" w:history="1">
            <w:r w:rsidRPr="00231CD6">
              <w:rPr>
                <w:rStyle w:val="Hyperlink"/>
                <w:rFonts w:ascii="Calibri" w:hAnsi="Calibri" w:cs="Calibri"/>
                <w:noProof/>
                <w:color w:val="000000" w:themeColor="text1"/>
                <w:sz w:val="24"/>
                <w:szCs w:val="24"/>
              </w:rPr>
              <w:t>4.4 Algorithm</w:t>
            </w:r>
            <w:r w:rsidRPr="00231CD6">
              <w:rPr>
                <w:rFonts w:ascii="Calibri" w:hAnsi="Calibri" w:cs="Calibri"/>
                <w:noProof/>
                <w:color w:val="000000" w:themeColor="text1"/>
                <w:sz w:val="24"/>
                <w:szCs w:val="24"/>
              </w:rPr>
              <w:tab/>
            </w:r>
            <w:r w:rsidRPr="00231CD6">
              <w:rPr>
                <w:rFonts w:ascii="Calibri" w:hAnsi="Calibri" w:cs="Calibri"/>
                <w:noProof/>
                <w:color w:val="000000" w:themeColor="text1"/>
                <w:sz w:val="24"/>
                <w:szCs w:val="24"/>
              </w:rPr>
              <w:fldChar w:fldCharType="begin"/>
            </w:r>
            <w:r w:rsidRPr="00231CD6">
              <w:rPr>
                <w:rFonts w:ascii="Calibri" w:hAnsi="Calibri" w:cs="Calibri"/>
                <w:noProof/>
                <w:color w:val="000000" w:themeColor="text1"/>
                <w:sz w:val="24"/>
                <w:szCs w:val="24"/>
              </w:rPr>
              <w:instrText xml:space="preserve"> PAGEREF _Toc237694486 \h </w:instrText>
            </w:r>
            <w:r w:rsidRPr="00231CD6">
              <w:rPr>
                <w:rFonts w:ascii="Calibri" w:hAnsi="Calibri" w:cs="Calibri"/>
                <w:noProof/>
                <w:color w:val="000000" w:themeColor="text1"/>
                <w:sz w:val="24"/>
                <w:szCs w:val="24"/>
              </w:rPr>
            </w:r>
            <w:r w:rsidRPr="00231CD6">
              <w:rPr>
                <w:rFonts w:ascii="Calibri" w:hAnsi="Calibri" w:cs="Calibri"/>
                <w:noProof/>
                <w:color w:val="000000" w:themeColor="text1"/>
                <w:sz w:val="24"/>
                <w:szCs w:val="24"/>
              </w:rPr>
              <w:fldChar w:fldCharType="separate"/>
            </w:r>
            <w:r w:rsidRPr="00231CD6">
              <w:rPr>
                <w:rFonts w:ascii="Calibri" w:hAnsi="Calibri" w:cs="Calibri"/>
                <w:noProof/>
                <w:color w:val="000000" w:themeColor="text1"/>
                <w:sz w:val="24"/>
                <w:szCs w:val="24"/>
              </w:rPr>
              <w:t>1</w:t>
            </w:r>
            <w:r w:rsidR="00453B21">
              <w:rPr>
                <w:rFonts w:ascii="Calibri" w:hAnsi="Calibri" w:cs="Calibri"/>
                <w:noProof/>
                <w:color w:val="000000" w:themeColor="text1"/>
                <w:sz w:val="24"/>
                <w:szCs w:val="24"/>
              </w:rPr>
              <w:t>6</w:t>
            </w:r>
            <w:r w:rsidRPr="00231CD6">
              <w:rPr>
                <w:rFonts w:ascii="Calibri" w:hAnsi="Calibri" w:cs="Calibri"/>
                <w:noProof/>
                <w:color w:val="000000" w:themeColor="text1"/>
                <w:sz w:val="24"/>
                <w:szCs w:val="24"/>
              </w:rPr>
              <w:fldChar w:fldCharType="end"/>
            </w:r>
          </w:hyperlink>
        </w:p>
        <w:p w14:paraId="3841E79E" w14:textId="06847E2D"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7" w:history="1">
            <w:r w:rsidRPr="00231CD6">
              <w:rPr>
                <w:rStyle w:val="Hyperlink"/>
                <w:rFonts w:ascii="Calibri" w:hAnsi="Calibri" w:cs="Calibri"/>
                <w:noProof/>
                <w:color w:val="000000" w:themeColor="text1"/>
                <w:sz w:val="24"/>
                <w:szCs w:val="24"/>
              </w:rPr>
              <w:t>4.5 Customers</w:t>
            </w:r>
            <w:r w:rsidRPr="00231CD6">
              <w:rPr>
                <w:rFonts w:ascii="Calibri" w:hAnsi="Calibri" w:cs="Calibri"/>
                <w:noProof/>
                <w:color w:val="000000" w:themeColor="text1"/>
                <w:sz w:val="24"/>
                <w:szCs w:val="24"/>
              </w:rPr>
              <w:tab/>
            </w:r>
            <w:r w:rsidRPr="00231CD6">
              <w:rPr>
                <w:rFonts w:ascii="Calibri" w:hAnsi="Calibri" w:cs="Calibri"/>
                <w:noProof/>
                <w:color w:val="000000" w:themeColor="text1"/>
                <w:sz w:val="24"/>
                <w:szCs w:val="24"/>
              </w:rPr>
              <w:fldChar w:fldCharType="begin"/>
            </w:r>
            <w:r w:rsidRPr="00231CD6">
              <w:rPr>
                <w:rFonts w:ascii="Calibri" w:hAnsi="Calibri" w:cs="Calibri"/>
                <w:noProof/>
                <w:color w:val="000000" w:themeColor="text1"/>
                <w:sz w:val="24"/>
                <w:szCs w:val="24"/>
              </w:rPr>
              <w:instrText xml:space="preserve"> PAGEREF _Toc237694487 \h </w:instrText>
            </w:r>
            <w:r w:rsidRPr="00231CD6">
              <w:rPr>
                <w:rFonts w:ascii="Calibri" w:hAnsi="Calibri" w:cs="Calibri"/>
                <w:noProof/>
                <w:color w:val="000000" w:themeColor="text1"/>
                <w:sz w:val="24"/>
                <w:szCs w:val="24"/>
              </w:rPr>
            </w:r>
            <w:r w:rsidRPr="00231CD6">
              <w:rPr>
                <w:rFonts w:ascii="Calibri" w:hAnsi="Calibri" w:cs="Calibri"/>
                <w:noProof/>
                <w:color w:val="000000" w:themeColor="text1"/>
                <w:sz w:val="24"/>
                <w:szCs w:val="24"/>
              </w:rPr>
              <w:fldChar w:fldCharType="separate"/>
            </w:r>
            <w:r w:rsidRPr="00231CD6">
              <w:rPr>
                <w:rFonts w:ascii="Calibri" w:hAnsi="Calibri" w:cs="Calibri"/>
                <w:noProof/>
                <w:color w:val="000000" w:themeColor="text1"/>
                <w:sz w:val="24"/>
                <w:szCs w:val="24"/>
              </w:rPr>
              <w:t>1</w:t>
            </w:r>
            <w:r w:rsidR="00453B21">
              <w:rPr>
                <w:rFonts w:ascii="Calibri" w:hAnsi="Calibri" w:cs="Calibri"/>
                <w:noProof/>
                <w:color w:val="000000" w:themeColor="text1"/>
                <w:sz w:val="24"/>
                <w:szCs w:val="24"/>
              </w:rPr>
              <w:t>7</w:t>
            </w:r>
            <w:r w:rsidRPr="00231CD6">
              <w:rPr>
                <w:rFonts w:ascii="Calibri" w:hAnsi="Calibri" w:cs="Calibri"/>
                <w:noProof/>
                <w:color w:val="000000" w:themeColor="text1"/>
                <w:sz w:val="24"/>
                <w:szCs w:val="24"/>
              </w:rPr>
              <w:fldChar w:fldCharType="end"/>
            </w:r>
          </w:hyperlink>
        </w:p>
        <w:p w14:paraId="535F5DA2" w14:textId="4312A237"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8" w:history="1">
            <w:r w:rsidRPr="00231CD6">
              <w:rPr>
                <w:rStyle w:val="Hyperlink"/>
                <w:rFonts w:ascii="Calibri" w:hAnsi="Calibri" w:cs="Calibri"/>
                <w:noProof/>
                <w:color w:val="000000" w:themeColor="text1"/>
                <w:sz w:val="24"/>
                <w:szCs w:val="24"/>
              </w:rPr>
              <w:t>4.6 Power</w:t>
            </w:r>
            <w:r w:rsidRPr="00231CD6">
              <w:rPr>
                <w:rFonts w:ascii="Calibri" w:hAnsi="Calibri" w:cs="Calibri"/>
                <w:noProof/>
                <w:color w:val="000000" w:themeColor="text1"/>
                <w:sz w:val="24"/>
                <w:szCs w:val="24"/>
              </w:rPr>
              <w:tab/>
            </w:r>
            <w:r w:rsidRPr="00231CD6">
              <w:rPr>
                <w:rFonts w:ascii="Calibri" w:hAnsi="Calibri" w:cs="Calibri"/>
                <w:noProof/>
                <w:color w:val="000000" w:themeColor="text1"/>
                <w:sz w:val="24"/>
                <w:szCs w:val="24"/>
              </w:rPr>
              <w:fldChar w:fldCharType="begin"/>
            </w:r>
            <w:r w:rsidRPr="00231CD6">
              <w:rPr>
                <w:rFonts w:ascii="Calibri" w:hAnsi="Calibri" w:cs="Calibri"/>
                <w:noProof/>
                <w:color w:val="000000" w:themeColor="text1"/>
                <w:sz w:val="24"/>
                <w:szCs w:val="24"/>
              </w:rPr>
              <w:instrText xml:space="preserve"> PAGEREF _Toc237694488 \h </w:instrText>
            </w:r>
            <w:r w:rsidRPr="00231CD6">
              <w:rPr>
                <w:rFonts w:ascii="Calibri" w:hAnsi="Calibri" w:cs="Calibri"/>
                <w:noProof/>
                <w:color w:val="000000" w:themeColor="text1"/>
                <w:sz w:val="24"/>
                <w:szCs w:val="24"/>
              </w:rPr>
            </w:r>
            <w:r w:rsidRPr="00231CD6">
              <w:rPr>
                <w:rFonts w:ascii="Calibri" w:hAnsi="Calibri" w:cs="Calibri"/>
                <w:noProof/>
                <w:color w:val="000000" w:themeColor="text1"/>
                <w:sz w:val="24"/>
                <w:szCs w:val="24"/>
              </w:rPr>
              <w:fldChar w:fldCharType="separate"/>
            </w:r>
            <w:r w:rsidRPr="00231CD6">
              <w:rPr>
                <w:rFonts w:ascii="Calibri" w:hAnsi="Calibri" w:cs="Calibri"/>
                <w:noProof/>
                <w:color w:val="000000" w:themeColor="text1"/>
                <w:sz w:val="24"/>
                <w:szCs w:val="24"/>
              </w:rPr>
              <w:t>1</w:t>
            </w:r>
            <w:r w:rsidR="00453B21">
              <w:rPr>
                <w:rFonts w:ascii="Calibri" w:hAnsi="Calibri" w:cs="Calibri"/>
                <w:noProof/>
                <w:color w:val="000000" w:themeColor="text1"/>
                <w:sz w:val="24"/>
                <w:szCs w:val="24"/>
              </w:rPr>
              <w:t>8</w:t>
            </w:r>
            <w:r w:rsidRPr="00231CD6">
              <w:rPr>
                <w:rFonts w:ascii="Calibri" w:hAnsi="Calibri" w:cs="Calibri"/>
                <w:noProof/>
                <w:color w:val="000000" w:themeColor="text1"/>
                <w:sz w:val="24"/>
                <w:szCs w:val="24"/>
              </w:rPr>
              <w:fldChar w:fldCharType="end"/>
            </w:r>
          </w:hyperlink>
        </w:p>
        <w:p w14:paraId="0C97E366" w14:textId="5C7DB6D5" w:rsidR="00723708" w:rsidRPr="00231CD6" w:rsidRDefault="00723708" w:rsidP="000D29F8">
          <w:pPr>
            <w:pStyle w:val="TOC2"/>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89" w:history="1">
            <w:r w:rsidRPr="00231CD6">
              <w:rPr>
                <w:rStyle w:val="Hyperlink"/>
                <w:rFonts w:ascii="Calibri" w:hAnsi="Calibri" w:cs="Calibri"/>
                <w:noProof/>
                <w:color w:val="000000" w:themeColor="text1"/>
                <w:sz w:val="24"/>
                <w:szCs w:val="24"/>
              </w:rPr>
              <w:t>4.7 Trust</w:t>
            </w:r>
            <w:r w:rsidRPr="00231CD6">
              <w:rPr>
                <w:rFonts w:ascii="Calibri" w:hAnsi="Calibri" w:cs="Calibri"/>
                <w:noProof/>
                <w:color w:val="000000" w:themeColor="text1"/>
                <w:sz w:val="24"/>
                <w:szCs w:val="24"/>
              </w:rPr>
              <w:tab/>
            </w:r>
            <w:r w:rsidRPr="00231CD6">
              <w:rPr>
                <w:rFonts w:ascii="Calibri" w:hAnsi="Calibri" w:cs="Calibri"/>
                <w:noProof/>
                <w:color w:val="000000" w:themeColor="text1"/>
                <w:sz w:val="24"/>
                <w:szCs w:val="24"/>
              </w:rPr>
              <w:fldChar w:fldCharType="begin"/>
            </w:r>
            <w:r w:rsidRPr="00231CD6">
              <w:rPr>
                <w:rFonts w:ascii="Calibri" w:hAnsi="Calibri" w:cs="Calibri"/>
                <w:noProof/>
                <w:color w:val="000000" w:themeColor="text1"/>
                <w:sz w:val="24"/>
                <w:szCs w:val="24"/>
              </w:rPr>
              <w:instrText xml:space="preserve"> PAGEREF _Toc237694489 \h </w:instrText>
            </w:r>
            <w:r w:rsidRPr="00231CD6">
              <w:rPr>
                <w:rFonts w:ascii="Calibri" w:hAnsi="Calibri" w:cs="Calibri"/>
                <w:noProof/>
                <w:color w:val="000000" w:themeColor="text1"/>
                <w:sz w:val="24"/>
                <w:szCs w:val="24"/>
              </w:rPr>
            </w:r>
            <w:r w:rsidRPr="00231CD6">
              <w:rPr>
                <w:rFonts w:ascii="Calibri" w:hAnsi="Calibri" w:cs="Calibri"/>
                <w:noProof/>
                <w:color w:val="000000" w:themeColor="text1"/>
                <w:sz w:val="24"/>
                <w:szCs w:val="24"/>
              </w:rPr>
              <w:fldChar w:fldCharType="separate"/>
            </w:r>
            <w:r w:rsidRPr="00231CD6">
              <w:rPr>
                <w:rFonts w:ascii="Calibri" w:hAnsi="Calibri" w:cs="Calibri"/>
                <w:noProof/>
                <w:color w:val="000000" w:themeColor="text1"/>
                <w:sz w:val="24"/>
                <w:szCs w:val="24"/>
              </w:rPr>
              <w:t>1</w:t>
            </w:r>
            <w:r w:rsidR="00453B21">
              <w:rPr>
                <w:rFonts w:ascii="Calibri" w:hAnsi="Calibri" w:cs="Calibri"/>
                <w:noProof/>
                <w:color w:val="000000" w:themeColor="text1"/>
                <w:sz w:val="24"/>
                <w:szCs w:val="24"/>
              </w:rPr>
              <w:t>9</w:t>
            </w:r>
            <w:r w:rsidRPr="00231CD6">
              <w:rPr>
                <w:rFonts w:ascii="Calibri" w:hAnsi="Calibri" w:cs="Calibri"/>
                <w:noProof/>
                <w:color w:val="000000" w:themeColor="text1"/>
                <w:sz w:val="24"/>
                <w:szCs w:val="24"/>
              </w:rPr>
              <w:fldChar w:fldCharType="end"/>
            </w:r>
          </w:hyperlink>
        </w:p>
        <w:p w14:paraId="39FB87D6" w14:textId="363B1083"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0" w:history="1">
            <w:r w:rsidRPr="00231CD6">
              <w:rPr>
                <w:rStyle w:val="Hyperlink"/>
                <w:rFonts w:ascii="Calibri" w:hAnsi="Calibri" w:cs="Calibri"/>
                <w:noProof/>
                <w:color w:val="000000" w:themeColor="text1"/>
                <w:sz w:val="24"/>
                <w:szCs w:val="24"/>
              </w:rPr>
              <w:t>5. The Evolution of Amazon's Management Strategy Over Time</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21</w:t>
            </w:r>
          </w:hyperlink>
        </w:p>
        <w:p w14:paraId="0196F709" w14:textId="247C7E8F"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1" w:history="1">
            <w:r w:rsidRPr="00231CD6">
              <w:rPr>
                <w:rStyle w:val="Hyperlink"/>
                <w:rFonts w:ascii="Calibri" w:hAnsi="Calibri" w:cs="Calibri"/>
                <w:noProof/>
                <w:color w:val="000000" w:themeColor="text1"/>
                <w:sz w:val="24"/>
                <w:szCs w:val="24"/>
              </w:rPr>
              <w:t>Phase 1 — Functional Hierarchy (1994 to the early 2000s)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21</w:t>
            </w:r>
          </w:hyperlink>
        </w:p>
        <w:p w14:paraId="178FC307" w14:textId="756128F9"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2" w:history="1">
            <w:r w:rsidRPr="00231CD6">
              <w:rPr>
                <w:rStyle w:val="Hyperlink"/>
                <w:rFonts w:ascii="Calibri" w:hAnsi="Calibri" w:cs="Calibri"/>
                <w:noProof/>
                <w:color w:val="000000" w:themeColor="text1"/>
                <w:sz w:val="24"/>
                <w:szCs w:val="24"/>
              </w:rPr>
              <w:t>Phase 2 — Service-Oriented Decentralisation (mid-2000s)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21</w:t>
            </w:r>
          </w:hyperlink>
        </w:p>
        <w:p w14:paraId="0139A436" w14:textId="501391F6"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3" w:history="1">
            <w:r w:rsidRPr="00231CD6">
              <w:rPr>
                <w:rStyle w:val="Hyperlink"/>
                <w:rFonts w:ascii="Calibri" w:hAnsi="Calibri" w:cs="Calibri"/>
                <w:noProof/>
                <w:color w:val="000000" w:themeColor="text1"/>
                <w:sz w:val="24"/>
                <w:szCs w:val="24"/>
              </w:rPr>
              <w:t>Phase 3 — Single-Threaded Ownership and Two-Pizza Teams (2010s)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21</w:t>
            </w:r>
          </w:hyperlink>
        </w:p>
        <w:p w14:paraId="1B5D613B" w14:textId="46EF601E"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4" w:history="1">
            <w:r w:rsidRPr="00231CD6">
              <w:rPr>
                <w:rStyle w:val="Hyperlink"/>
                <w:rFonts w:ascii="Calibri" w:hAnsi="Calibri" w:cs="Calibri"/>
                <w:noProof/>
                <w:color w:val="000000" w:themeColor="text1"/>
                <w:sz w:val="24"/>
                <w:szCs w:val="24"/>
              </w:rPr>
              <w:t>Phase 4 — Algorithmic and AI-Augmented Coordination (2020s to present)</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21</w:t>
            </w:r>
          </w:hyperlink>
        </w:p>
        <w:p w14:paraId="6867D9B4" w14:textId="7E37D456"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5" w:history="1">
            <w:r w:rsidRPr="00231CD6">
              <w:rPr>
                <w:rStyle w:val="Hyperlink"/>
                <w:rFonts w:ascii="Calibri" w:hAnsi="Calibri" w:cs="Calibri"/>
                <w:noProof/>
                <w:color w:val="000000" w:themeColor="text1"/>
                <w:sz w:val="24"/>
                <w:szCs w:val="24"/>
              </w:rPr>
              <w:t>6. Critical Evaluation of Digital Transformation Theory and AI Theory: Testing the Assumptions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22</w:t>
            </w:r>
          </w:hyperlink>
        </w:p>
        <w:p w14:paraId="7317C41A" w14:textId="2FB6BC9A"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6" w:history="1">
            <w:r w:rsidRPr="00231CD6">
              <w:rPr>
                <w:rStyle w:val="Hyperlink"/>
                <w:rFonts w:ascii="Calibri" w:hAnsi="Calibri" w:cs="Calibri"/>
                <w:noProof/>
                <w:color w:val="000000" w:themeColor="text1"/>
                <w:sz w:val="24"/>
                <w:szCs w:val="24"/>
              </w:rPr>
              <w:t>Assumption 1: Technology as an exogenous shock</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22</w:t>
            </w:r>
          </w:hyperlink>
        </w:p>
        <w:p w14:paraId="71CB00FE" w14:textId="40B2CE60"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7" w:history="1">
            <w:r w:rsidRPr="00231CD6">
              <w:rPr>
                <w:rStyle w:val="Hyperlink"/>
                <w:rFonts w:ascii="Calibri" w:hAnsi="Calibri" w:cs="Calibri"/>
                <w:noProof/>
                <w:color w:val="000000" w:themeColor="text1"/>
                <w:sz w:val="24"/>
                <w:szCs w:val="24"/>
              </w:rPr>
              <w:t>Assumption 2: Flatter structures are inherently more effective</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23</w:t>
            </w:r>
          </w:hyperlink>
        </w:p>
        <w:p w14:paraId="13F211AD" w14:textId="0EF5E2D9"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8" w:history="1">
            <w:r w:rsidRPr="00231CD6">
              <w:rPr>
                <w:rStyle w:val="Hyperlink"/>
                <w:rFonts w:ascii="Calibri" w:hAnsi="Calibri" w:cs="Calibri"/>
                <w:noProof/>
                <w:color w:val="000000" w:themeColor="text1"/>
                <w:sz w:val="24"/>
                <w:szCs w:val="24"/>
              </w:rPr>
              <w:t>Assumption 3: Algorithmic coordination is value-neutral</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23</w:t>
            </w:r>
          </w:hyperlink>
        </w:p>
        <w:p w14:paraId="489CE7FF" w14:textId="09408568"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499" w:history="1">
            <w:r w:rsidRPr="00231CD6">
              <w:rPr>
                <w:rStyle w:val="Hyperlink"/>
                <w:rFonts w:ascii="Calibri" w:hAnsi="Calibri" w:cs="Calibri"/>
                <w:noProof/>
                <w:color w:val="000000" w:themeColor="text1"/>
                <w:sz w:val="24"/>
                <w:szCs w:val="24"/>
              </w:rPr>
              <w:t>7. Managerial Implications / Application to Practice</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24</w:t>
            </w:r>
          </w:hyperlink>
        </w:p>
        <w:p w14:paraId="467D0CC9" w14:textId="22A50CD8"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500" w:history="1">
            <w:r w:rsidRPr="00231CD6">
              <w:rPr>
                <w:rStyle w:val="Hyperlink"/>
                <w:rFonts w:ascii="Calibri" w:hAnsi="Calibri" w:cs="Calibri"/>
                <w:noProof/>
                <w:color w:val="000000" w:themeColor="text1"/>
                <w:sz w:val="24"/>
                <w:szCs w:val="24"/>
              </w:rPr>
              <w:t>8. Challenges and Opportunities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25</w:t>
            </w:r>
          </w:hyperlink>
        </w:p>
        <w:p w14:paraId="46604B1E" w14:textId="7482B288"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501" w:history="1">
            <w:r w:rsidRPr="00231CD6">
              <w:rPr>
                <w:rStyle w:val="Hyperlink"/>
                <w:rFonts w:ascii="Calibri" w:hAnsi="Calibri" w:cs="Calibri"/>
                <w:noProof/>
                <w:color w:val="000000" w:themeColor="text1"/>
                <w:sz w:val="24"/>
                <w:szCs w:val="24"/>
              </w:rPr>
              <w:t>Challenges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25</w:t>
            </w:r>
          </w:hyperlink>
        </w:p>
        <w:p w14:paraId="772E9E67" w14:textId="61123601" w:rsidR="00723708" w:rsidRPr="00231CD6" w:rsidRDefault="00723708" w:rsidP="000D29F8">
          <w:pPr>
            <w:pStyle w:val="TOC3"/>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502" w:history="1">
            <w:r w:rsidRPr="00231CD6">
              <w:rPr>
                <w:rStyle w:val="Hyperlink"/>
                <w:rFonts w:ascii="Calibri" w:hAnsi="Calibri" w:cs="Calibri"/>
                <w:noProof/>
                <w:color w:val="000000" w:themeColor="text1"/>
                <w:sz w:val="24"/>
                <w:szCs w:val="24"/>
              </w:rPr>
              <w:t>Opportunities</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26</w:t>
            </w:r>
          </w:hyperlink>
        </w:p>
        <w:p w14:paraId="527FD3D2" w14:textId="44A5B7E7"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503" w:history="1">
            <w:r w:rsidRPr="00231CD6">
              <w:rPr>
                <w:rStyle w:val="Hyperlink"/>
                <w:rFonts w:ascii="Calibri" w:hAnsi="Calibri" w:cs="Calibri"/>
                <w:noProof/>
                <w:color w:val="000000" w:themeColor="text1"/>
                <w:sz w:val="24"/>
                <w:szCs w:val="24"/>
              </w:rPr>
              <w:t>9. Conclusion</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26</w:t>
            </w:r>
          </w:hyperlink>
        </w:p>
        <w:p w14:paraId="0CEE099E" w14:textId="11F1BD18"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504" w:history="1">
            <w:r w:rsidRPr="00231CD6">
              <w:rPr>
                <w:rStyle w:val="Hyperlink"/>
                <w:rFonts w:ascii="Calibri" w:hAnsi="Calibri" w:cs="Calibri"/>
                <w:noProof/>
                <w:color w:val="000000" w:themeColor="text1"/>
                <w:sz w:val="24"/>
                <w:szCs w:val="24"/>
              </w:rPr>
              <w:t>Reference List</w:t>
            </w:r>
            <w:r w:rsidRPr="00231CD6">
              <w:rPr>
                <w:rFonts w:ascii="Calibri" w:hAnsi="Calibri" w:cs="Calibri"/>
                <w:noProof/>
                <w:color w:val="000000" w:themeColor="text1"/>
                <w:sz w:val="24"/>
                <w:szCs w:val="24"/>
              </w:rPr>
              <w:tab/>
            </w:r>
            <w:r w:rsidR="00453B21">
              <w:rPr>
                <w:rFonts w:ascii="Calibri" w:hAnsi="Calibri" w:cs="Calibri"/>
                <w:noProof/>
                <w:color w:val="000000" w:themeColor="text1"/>
                <w:sz w:val="24"/>
                <w:szCs w:val="24"/>
              </w:rPr>
              <w:t>28</w:t>
            </w:r>
          </w:hyperlink>
        </w:p>
        <w:p w14:paraId="22F39C36" w14:textId="6D5F13AE" w:rsidR="00723708" w:rsidRPr="00231CD6" w:rsidRDefault="00723708" w:rsidP="000D29F8">
          <w:pPr>
            <w:pStyle w:val="TOC1"/>
            <w:tabs>
              <w:tab w:val="right" w:leader="dot" w:pos="9016"/>
            </w:tabs>
            <w:spacing w:line="360" w:lineRule="auto"/>
            <w:jc w:val="both"/>
            <w:rPr>
              <w:rFonts w:ascii="Calibri" w:eastAsiaTheme="minorEastAsia" w:hAnsi="Calibri" w:cs="Calibri"/>
              <w:noProof/>
              <w:color w:val="000000" w:themeColor="text1"/>
              <w:kern w:val="2"/>
              <w:sz w:val="24"/>
              <w:szCs w:val="24"/>
              <w14:ligatures w14:val="standardContextual"/>
            </w:rPr>
          </w:pPr>
          <w:hyperlink w:anchor="_Toc237694505" w:history="1">
            <w:r w:rsidRPr="00231CD6">
              <w:rPr>
                <w:rStyle w:val="Hyperlink"/>
                <w:rFonts w:ascii="Calibri" w:hAnsi="Calibri" w:cs="Calibri"/>
                <w:noProof/>
                <w:color w:val="000000" w:themeColor="text1"/>
                <w:sz w:val="24"/>
                <w:szCs w:val="24"/>
              </w:rPr>
              <w:t>Index of Abbreviations</w:t>
            </w:r>
            <w:r w:rsidRPr="00231CD6">
              <w:rPr>
                <w:rFonts w:ascii="Calibri" w:hAnsi="Calibri" w:cs="Calibri"/>
                <w:noProof/>
                <w:color w:val="000000" w:themeColor="text1"/>
                <w:sz w:val="24"/>
                <w:szCs w:val="24"/>
              </w:rPr>
              <w:tab/>
            </w:r>
            <w:r w:rsidRPr="00231CD6">
              <w:rPr>
                <w:rFonts w:ascii="Calibri" w:hAnsi="Calibri" w:cs="Calibri"/>
                <w:noProof/>
                <w:color w:val="000000" w:themeColor="text1"/>
                <w:sz w:val="24"/>
                <w:szCs w:val="24"/>
              </w:rPr>
              <w:fldChar w:fldCharType="begin"/>
            </w:r>
            <w:r w:rsidRPr="00231CD6">
              <w:rPr>
                <w:rFonts w:ascii="Calibri" w:hAnsi="Calibri" w:cs="Calibri"/>
                <w:noProof/>
                <w:color w:val="000000" w:themeColor="text1"/>
                <w:sz w:val="24"/>
                <w:szCs w:val="24"/>
              </w:rPr>
              <w:instrText xml:space="preserve"> PAGEREF _Toc237694505 \h </w:instrText>
            </w:r>
            <w:r w:rsidRPr="00231CD6">
              <w:rPr>
                <w:rFonts w:ascii="Calibri" w:hAnsi="Calibri" w:cs="Calibri"/>
                <w:noProof/>
                <w:color w:val="000000" w:themeColor="text1"/>
                <w:sz w:val="24"/>
                <w:szCs w:val="24"/>
              </w:rPr>
            </w:r>
            <w:r w:rsidRPr="00231CD6">
              <w:rPr>
                <w:rFonts w:ascii="Calibri" w:hAnsi="Calibri" w:cs="Calibri"/>
                <w:noProof/>
                <w:color w:val="000000" w:themeColor="text1"/>
                <w:sz w:val="24"/>
                <w:szCs w:val="24"/>
              </w:rPr>
              <w:fldChar w:fldCharType="separate"/>
            </w:r>
            <w:r w:rsidR="00453B21">
              <w:rPr>
                <w:rFonts w:ascii="Calibri" w:hAnsi="Calibri" w:cs="Calibri"/>
                <w:noProof/>
                <w:color w:val="000000" w:themeColor="text1"/>
                <w:sz w:val="24"/>
                <w:szCs w:val="24"/>
              </w:rPr>
              <w:t>3</w:t>
            </w:r>
            <w:r w:rsidRPr="00231CD6">
              <w:rPr>
                <w:rFonts w:ascii="Calibri" w:hAnsi="Calibri" w:cs="Calibri"/>
                <w:noProof/>
                <w:color w:val="000000" w:themeColor="text1"/>
                <w:sz w:val="24"/>
                <w:szCs w:val="24"/>
              </w:rPr>
              <w:t>3</w:t>
            </w:r>
            <w:r w:rsidRPr="00231CD6">
              <w:rPr>
                <w:rFonts w:ascii="Calibri" w:hAnsi="Calibri" w:cs="Calibri"/>
                <w:noProof/>
                <w:color w:val="000000" w:themeColor="text1"/>
                <w:sz w:val="24"/>
                <w:szCs w:val="24"/>
              </w:rPr>
              <w:fldChar w:fldCharType="end"/>
            </w:r>
          </w:hyperlink>
        </w:p>
        <w:p w14:paraId="0721B708" w14:textId="76BC84BA"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fldChar w:fldCharType="end"/>
          </w:r>
        </w:p>
      </w:sdtContent>
    </w:sdt>
    <w:p w14:paraId="33776521"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br w:type="page"/>
      </w:r>
    </w:p>
    <w:p w14:paraId="066F77D0" w14:textId="77777777" w:rsidR="00746ACB" w:rsidRPr="00F67E44" w:rsidRDefault="00064733" w:rsidP="000D29F8">
      <w:pPr>
        <w:pStyle w:val="Heading1"/>
        <w:spacing w:before="400" w:after="200" w:line="360" w:lineRule="auto"/>
        <w:jc w:val="both"/>
        <w:rPr>
          <w:rFonts w:ascii="Calibri" w:hAnsi="Calibri" w:cs="Calibri"/>
          <w:b/>
          <w:bCs/>
          <w:color w:val="000000" w:themeColor="text1"/>
          <w:sz w:val="24"/>
          <w:szCs w:val="24"/>
        </w:rPr>
      </w:pPr>
      <w:bookmarkStart w:id="0" w:name="_Toc237694471"/>
      <w:r w:rsidRPr="00F67E44">
        <w:rPr>
          <w:rFonts w:ascii="Calibri" w:hAnsi="Calibri" w:cs="Calibri"/>
          <w:b/>
          <w:bCs/>
          <w:color w:val="000000" w:themeColor="text1"/>
          <w:sz w:val="24"/>
          <w:szCs w:val="24"/>
        </w:rPr>
        <w:lastRenderedPageBreak/>
        <w:t>1. Introduction</w:t>
      </w:r>
      <w:bookmarkEnd w:id="0"/>
    </w:p>
    <w:p w14:paraId="7D540B59"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A recurring claim in current management discourse is that e-commerce, e-business and digital platform models have made classical and contemporary theories of organisational structure and managerial roles redundant. This claim is often asserted with little sustained critical examination (</w:t>
      </w:r>
      <w:proofErr w:type="spellStart"/>
      <w:r w:rsidRPr="00B51B4C">
        <w:rPr>
          <w:rFonts w:ascii="Calibri" w:hAnsi="Calibri" w:cs="Calibri"/>
          <w:color w:val="000000" w:themeColor="text1"/>
          <w:sz w:val="24"/>
          <w:szCs w:val="24"/>
        </w:rPr>
        <w:t>Handoyo</w:t>
      </w:r>
      <w:proofErr w:type="spellEnd"/>
      <w:r w:rsidRPr="00B51B4C">
        <w:rPr>
          <w:rFonts w:ascii="Calibri" w:hAnsi="Calibri" w:cs="Calibri"/>
          <w:color w:val="000000" w:themeColor="text1"/>
          <w:sz w:val="24"/>
          <w:szCs w:val="24"/>
        </w:rPr>
        <w:t>, 2024), circulating as a background assumption in both popular management writing and, to a lesser extent, academic digital-transformation (DT) literature rather than as a proposition that has been directly tested against a single, closely observed case. This report tests it rather than assuming it, and structures that test around three questions.</w:t>
      </w:r>
    </w:p>
    <w:p w14:paraId="118396A5" w14:textId="230A6C10" w:rsidR="00B91C2B" w:rsidRPr="00B51B4C" w:rsidRDefault="00B91C2B"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First, </w:t>
      </w:r>
      <w:r w:rsidR="00F234E3" w:rsidRPr="00B51B4C">
        <w:rPr>
          <w:rFonts w:ascii="Calibri" w:hAnsi="Calibri" w:cs="Calibri"/>
          <w:color w:val="000000" w:themeColor="text1"/>
          <w:sz w:val="24"/>
          <w:szCs w:val="24"/>
        </w:rPr>
        <w:t>the</w:t>
      </w:r>
      <w:r w:rsidRPr="00B51B4C">
        <w:rPr>
          <w:rFonts w:ascii="Calibri" w:hAnsi="Calibri" w:cs="Calibri"/>
          <w:color w:val="000000" w:themeColor="text1"/>
          <w:sz w:val="24"/>
          <w:szCs w:val="24"/>
        </w:rPr>
        <w:t xml:space="preserve"> ‘obsolescence thesis’ is that the use of technology now replaces traditional hierarchical structures, organisation that separates tasks, by flatter, data driven &amp; algorithm managed ones and as such most classical ideas (e.g. Fayol’s work management functions, Weber’s bureaucracy), nor more recent accounts of organisational structures (Mintzberg, Galbraith), apply today and don’t explain practices in such organisations as Amazon. Second, a less extreme view (often taken by authors such as Hamel and Birkinshaw, 2023), is that technology only alters HOW management functions take place, not the functions themselves. The article supports the idea in between these two, i.e. To what degree the information gleaned from the amazon case study supports either claim.</w:t>
      </w:r>
    </w:p>
    <w:p w14:paraId="00370499" w14:textId="51F51C9C" w:rsidR="00B91C2B" w:rsidRPr="00B51B4C" w:rsidRDefault="00B91C2B"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Secondly, </w:t>
      </w:r>
      <w:r w:rsidR="007A0EFD">
        <w:rPr>
          <w:rFonts w:ascii="Calibri" w:hAnsi="Calibri" w:cs="Calibri"/>
          <w:color w:val="000000" w:themeColor="text1"/>
          <w:sz w:val="24"/>
          <w:szCs w:val="24"/>
        </w:rPr>
        <w:t>a</w:t>
      </w:r>
      <w:r w:rsidRPr="00B51B4C">
        <w:rPr>
          <w:rFonts w:ascii="Calibri" w:hAnsi="Calibri" w:cs="Calibri"/>
          <w:color w:val="000000" w:themeColor="text1"/>
          <w:sz w:val="24"/>
          <w:szCs w:val="24"/>
        </w:rPr>
        <w:t>s an organization, amazon spans a range of business activities: operating an e-commerce site, a cloud service provider, managing delivery logistics, an advertising platform, etc. Such breadth means that Amazon confronts various digital co- ordination challenges within a single entity. Furthermore, the company has public record of making significant organisational design shifts that serve as an ideal candidate for studying how established theories match contemporary organisational realities. This makes</w:t>
      </w:r>
      <w:r w:rsidR="00F234E3" w:rsidRPr="00B51B4C">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amazon as a challenging test for management’s theories in an age of pervasive automation.</w:t>
      </w:r>
    </w:p>
    <w:p w14:paraId="481F8652" w14:textId="32D1F593" w:rsidR="00746ACB" w:rsidRPr="00B51B4C" w:rsidRDefault="00B91C2B"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 xml:space="preserve">Finally, </w:t>
      </w:r>
      <w:r w:rsidR="007A0EFD">
        <w:rPr>
          <w:rFonts w:ascii="Calibri" w:hAnsi="Calibri" w:cs="Calibri"/>
          <w:color w:val="000000" w:themeColor="text1"/>
          <w:sz w:val="24"/>
          <w:szCs w:val="24"/>
        </w:rPr>
        <w:t>this report</w:t>
      </w:r>
      <w:r w:rsidRPr="00B51B4C">
        <w:rPr>
          <w:rFonts w:ascii="Calibri" w:hAnsi="Calibri" w:cs="Calibri"/>
          <w:color w:val="000000" w:themeColor="text1"/>
          <w:sz w:val="24"/>
          <w:szCs w:val="24"/>
        </w:rPr>
        <w:t xml:space="preserve"> </w:t>
      </w:r>
      <w:proofErr w:type="gramStart"/>
      <w:r w:rsidRPr="00B51B4C">
        <w:rPr>
          <w:rFonts w:ascii="Calibri" w:hAnsi="Calibri" w:cs="Calibri"/>
          <w:color w:val="000000" w:themeColor="text1"/>
          <w:sz w:val="24"/>
          <w:szCs w:val="24"/>
        </w:rPr>
        <w:t>aim</w:t>
      </w:r>
      <w:proofErr w:type="gramEnd"/>
      <w:r w:rsidRPr="00B51B4C">
        <w:rPr>
          <w:rFonts w:ascii="Calibri" w:hAnsi="Calibri" w:cs="Calibri"/>
          <w:color w:val="000000" w:themeColor="text1"/>
          <w:sz w:val="24"/>
          <w:szCs w:val="24"/>
        </w:rPr>
        <w:t xml:space="preserve"> to evaluate the obsolescence claim as a hypothesis by examining Amazon within seven themes of digital organisation: Network, Data, Platform, Algorithm, Customers, Power and Trust. The entire conceptual framework of the research has been structured around CATWOE framework developed by </w:t>
      </w:r>
      <w:proofErr w:type="spellStart"/>
      <w:r w:rsidRPr="00B51B4C">
        <w:rPr>
          <w:rFonts w:ascii="Calibri" w:hAnsi="Calibri" w:cs="Calibri"/>
          <w:color w:val="000000" w:themeColor="text1"/>
          <w:sz w:val="24"/>
          <w:szCs w:val="24"/>
        </w:rPr>
        <w:t>Checkland</w:t>
      </w:r>
      <w:proofErr w:type="spellEnd"/>
      <w:r w:rsidRPr="00B51B4C">
        <w:rPr>
          <w:rFonts w:ascii="Calibri" w:hAnsi="Calibri" w:cs="Calibri"/>
          <w:color w:val="000000" w:themeColor="text1"/>
          <w:sz w:val="24"/>
          <w:szCs w:val="24"/>
        </w:rPr>
        <w:t xml:space="preserve"> (1999). Each of the six themes examined examines aspects of the CATWOE framework, but after addressing each </w:t>
      </w:r>
      <w:r w:rsidRPr="00B51B4C">
        <w:rPr>
          <w:rFonts w:ascii="Calibri" w:hAnsi="Calibri" w:cs="Calibri"/>
          <w:color w:val="000000" w:themeColor="text1"/>
          <w:sz w:val="24"/>
          <w:szCs w:val="24"/>
        </w:rPr>
        <w:lastRenderedPageBreak/>
        <w:t xml:space="preserve">issue, the study circles back to the main subject question of what has become obsolete and what may just have changed form. We will maintain the assumption as a working principle, rather than stated argument, the assumption of the working thesis – that digitalisation has changed the mechanism through which managerial works have taken place than eliminating functions themselves. Two-pizza-team, STO and algorithm coordination are used as an empirical indicator of functions like division of </w:t>
      </w:r>
      <w:proofErr w:type="spellStart"/>
      <w:r w:rsidRPr="00B51B4C">
        <w:rPr>
          <w:rFonts w:ascii="Calibri" w:hAnsi="Calibri" w:cs="Calibri"/>
          <w:color w:val="000000" w:themeColor="text1"/>
          <w:sz w:val="24"/>
          <w:szCs w:val="24"/>
        </w:rPr>
        <w:t>labor</w:t>
      </w:r>
      <w:proofErr w:type="spellEnd"/>
      <w:r w:rsidRPr="00B51B4C">
        <w:rPr>
          <w:rFonts w:ascii="Calibri" w:hAnsi="Calibri" w:cs="Calibri"/>
          <w:color w:val="000000" w:themeColor="text1"/>
          <w:sz w:val="24"/>
          <w:szCs w:val="24"/>
        </w:rPr>
        <w:t>, span of control, and control that are theoretically defined by Fayol, and elaborated upon by Mintzberg (1979). We assume nothing is outdated in theories. This will allow this document to provide evidence to the opposing assumption with actual facts about</w:t>
      </w:r>
      <w:r w:rsidR="00F234E3" w:rsidRPr="00B51B4C">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amazon’s organisational practices rather than just describe what is taking place within. The remainder of the report are structured as such in order to justify our working principle: Section 2 will make a critical review of the competing literature. Section 3 will frame the basic theory that will be utilised. Sections 4 will then set about detailing application of Amazon's internal practices using the CATWOE framework. Sections 5 and 6 will document the strategy undertaken by amazon, detail aspects of DT and IT theory which support our finding and critique alternative explanations respectively. Finally, Section 7 to 9 draw out managerial implications and conclusions from our findings in sections 4 to 6.</w:t>
      </w:r>
    </w:p>
    <w:p w14:paraId="7C70CF01" w14:textId="77777777" w:rsidR="00746ACB" w:rsidRPr="003D2E42" w:rsidRDefault="00064733" w:rsidP="000D29F8">
      <w:pPr>
        <w:pStyle w:val="Heading2"/>
        <w:spacing w:before="300" w:after="150" w:line="360" w:lineRule="auto"/>
        <w:jc w:val="both"/>
        <w:rPr>
          <w:rFonts w:ascii="Calibri" w:hAnsi="Calibri" w:cs="Calibri"/>
          <w:b/>
          <w:bCs/>
          <w:color w:val="000000" w:themeColor="text1"/>
          <w:sz w:val="24"/>
          <w:szCs w:val="24"/>
        </w:rPr>
      </w:pPr>
      <w:bookmarkStart w:id="1" w:name="_Toc237694472"/>
      <w:r w:rsidRPr="003D2E42">
        <w:rPr>
          <w:rFonts w:ascii="Calibri" w:hAnsi="Calibri" w:cs="Calibri"/>
          <w:b/>
          <w:bCs/>
          <w:color w:val="000000" w:themeColor="text1"/>
          <w:sz w:val="24"/>
          <w:szCs w:val="24"/>
        </w:rPr>
        <w:t>1.1 Aim and Objectives</w:t>
      </w:r>
      <w:bookmarkEnd w:id="1"/>
    </w:p>
    <w:p w14:paraId="0EC243B1" w14:textId="5A4872EE"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This </w:t>
      </w:r>
      <w:r w:rsidR="00362EB9">
        <w:rPr>
          <w:rFonts w:ascii="Calibri" w:hAnsi="Calibri" w:cs="Calibri"/>
          <w:color w:val="000000" w:themeColor="text1"/>
          <w:sz w:val="24"/>
          <w:szCs w:val="24"/>
        </w:rPr>
        <w:t>research</w:t>
      </w:r>
      <w:r w:rsidRPr="00B51B4C">
        <w:rPr>
          <w:rFonts w:ascii="Calibri" w:hAnsi="Calibri" w:cs="Calibri"/>
          <w:color w:val="000000" w:themeColor="text1"/>
          <w:sz w:val="24"/>
          <w:szCs w:val="24"/>
        </w:rPr>
        <w:t xml:space="preserve"> aims to critically evaluate whether the rise of e-commerce, e-business and digital platform models </w:t>
      </w:r>
      <w:r w:rsidR="000F0224" w:rsidRPr="00B51B4C">
        <w:rPr>
          <w:rFonts w:ascii="Calibri" w:hAnsi="Calibri" w:cs="Calibri"/>
          <w:color w:val="000000" w:themeColor="text1"/>
          <w:sz w:val="24"/>
          <w:szCs w:val="24"/>
        </w:rPr>
        <w:t>render</w:t>
      </w:r>
      <w:r w:rsidRPr="00B51B4C">
        <w:rPr>
          <w:rFonts w:ascii="Calibri" w:hAnsi="Calibri" w:cs="Calibri"/>
          <w:color w:val="000000" w:themeColor="text1"/>
          <w:sz w:val="24"/>
          <w:szCs w:val="24"/>
        </w:rPr>
        <w:t xml:space="preserve"> classical and contemporary theories of organisational structure and managerial roles redundant, using Amazon as the primary case and CATWOE together with a seven-lens analytical model as the primary method.</w:t>
      </w:r>
    </w:p>
    <w:p w14:paraId="4DAB872F"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The following objectives structure the analysis and are each returned to explicitly in the Conclusion (Section 9):</w:t>
      </w:r>
    </w:p>
    <w:p w14:paraId="486E0485"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Assess how core managerial functions — division of labour, coordination, control and authority — are re-instantiated within digital and algorithmic substrates at Amazon, rather than assuming in advance that they have simply disappeared.</w:t>
      </w:r>
    </w:p>
    <w:p w14:paraId="3FB0321E"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lastRenderedPageBreak/>
        <w:t xml:space="preserve">Apply </w:t>
      </w:r>
      <w:proofErr w:type="spellStart"/>
      <w:r w:rsidRPr="00B51B4C">
        <w:rPr>
          <w:rFonts w:ascii="Calibri" w:hAnsi="Calibri" w:cs="Calibri"/>
          <w:color w:val="000000" w:themeColor="text1"/>
          <w:sz w:val="24"/>
          <w:szCs w:val="24"/>
        </w:rPr>
        <w:t>Checkland's</w:t>
      </w:r>
      <w:proofErr w:type="spellEnd"/>
      <w:r w:rsidRPr="00B51B4C">
        <w:rPr>
          <w:rFonts w:ascii="Calibri" w:hAnsi="Calibri" w:cs="Calibri"/>
          <w:color w:val="000000" w:themeColor="text1"/>
          <w:sz w:val="24"/>
          <w:szCs w:val="24"/>
        </w:rPr>
        <w:t xml:space="preserve"> CATWOE framework and a seven-lens analytical model to evaluate Amazon's operational and strategic mechanisms in a structured, theoretically grounded way.</w:t>
      </w:r>
    </w:p>
    <w:p w14:paraId="657F6D88" w14:textId="34B565BB" w:rsidR="00746ACB" w:rsidRPr="00B51B4C" w:rsidRDefault="00C10169" w:rsidP="000D29F8">
      <w:pPr>
        <w:pStyle w:val="ListParagraph"/>
        <w:numPr>
          <w:ilvl w:val="0"/>
          <w:numId w:val="2"/>
        </w:numPr>
        <w:spacing w:after="200" w:line="360" w:lineRule="auto"/>
        <w:jc w:val="both"/>
        <w:rPr>
          <w:rFonts w:ascii="Calibri" w:hAnsi="Calibri" w:cs="Calibri"/>
          <w:color w:val="000000" w:themeColor="text1"/>
          <w:sz w:val="24"/>
          <w:szCs w:val="24"/>
        </w:rPr>
      </w:pPr>
      <w:r>
        <w:rPr>
          <w:rFonts w:ascii="Calibri" w:hAnsi="Calibri" w:cs="Calibri"/>
          <w:color w:val="000000" w:themeColor="text1"/>
          <w:sz w:val="24"/>
          <w:szCs w:val="24"/>
        </w:rPr>
        <w:t>A</w:t>
      </w:r>
      <w:r w:rsidR="0004472C" w:rsidRPr="00B51B4C">
        <w:rPr>
          <w:rFonts w:ascii="Calibri" w:hAnsi="Calibri" w:cs="Calibri"/>
          <w:color w:val="000000" w:themeColor="text1"/>
          <w:sz w:val="24"/>
          <w:szCs w:val="24"/>
        </w:rPr>
        <w:t xml:space="preserve"> gap found in digital-transformation literature through representing the firm as an active creator of organisational design as rather than a passive respondent to technology " shocks " </w:t>
      </w:r>
    </w:p>
    <w:p w14:paraId="6499E2EE"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Provide managerial implications, grounded explicitly in the report's own findings, for leaders navigating platform governance, algorithmic management and workforce trust.</w:t>
      </w:r>
    </w:p>
    <w:p w14:paraId="6838C7E8" w14:textId="77777777" w:rsidR="00746ACB" w:rsidRPr="003D2E42" w:rsidRDefault="00064733" w:rsidP="000D29F8">
      <w:pPr>
        <w:pStyle w:val="Heading2"/>
        <w:spacing w:before="300" w:after="150" w:line="360" w:lineRule="auto"/>
        <w:jc w:val="both"/>
        <w:rPr>
          <w:rFonts w:ascii="Calibri" w:hAnsi="Calibri" w:cs="Calibri"/>
          <w:b/>
          <w:bCs/>
          <w:color w:val="000000" w:themeColor="text1"/>
          <w:sz w:val="24"/>
          <w:szCs w:val="24"/>
        </w:rPr>
      </w:pPr>
      <w:bookmarkStart w:id="2" w:name="_Toc237694473"/>
      <w:r w:rsidRPr="003D2E42">
        <w:rPr>
          <w:rFonts w:ascii="Calibri" w:hAnsi="Calibri" w:cs="Calibri"/>
          <w:b/>
          <w:bCs/>
          <w:color w:val="000000" w:themeColor="text1"/>
          <w:sz w:val="24"/>
          <w:szCs w:val="24"/>
        </w:rPr>
        <w:t>1.2 Background and Context</w:t>
      </w:r>
      <w:bookmarkEnd w:id="2"/>
    </w:p>
    <w:p w14:paraId="655A00A5" w14:textId="5E22EDBA"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Four related but distinct </w:t>
      </w:r>
      <w:r w:rsidR="00AA32F7" w:rsidRPr="00B51B4C">
        <w:rPr>
          <w:rFonts w:ascii="Calibri" w:hAnsi="Calibri" w:cs="Calibri"/>
          <w:color w:val="000000" w:themeColor="text1"/>
          <w:sz w:val="24"/>
          <w:szCs w:val="24"/>
        </w:rPr>
        <w:t>term’s</w:t>
      </w:r>
      <w:r w:rsidRPr="00B51B4C">
        <w:rPr>
          <w:rFonts w:ascii="Calibri" w:hAnsi="Calibri" w:cs="Calibri"/>
          <w:color w:val="000000" w:themeColor="text1"/>
          <w:sz w:val="24"/>
          <w:szCs w:val="24"/>
        </w:rPr>
        <w:t xml:space="preserve"> structure this report, and conflating them is one of the more common weaknesses in this literature. E-commerce refers narrowly to buying and selling co</w:t>
      </w:r>
      <w:r w:rsidR="00F234E3" w:rsidRPr="00B51B4C">
        <w:rPr>
          <w:rFonts w:ascii="Calibri" w:hAnsi="Calibri" w:cs="Calibri"/>
          <w:color w:val="000000" w:themeColor="text1"/>
          <w:sz w:val="24"/>
          <w:szCs w:val="24"/>
        </w:rPr>
        <w:t xml:space="preserve">nducted over digital channels </w:t>
      </w:r>
      <w:r w:rsidRPr="00B51B4C">
        <w:rPr>
          <w:rFonts w:ascii="Calibri" w:hAnsi="Calibri" w:cs="Calibri"/>
          <w:color w:val="000000" w:themeColor="text1"/>
          <w:sz w:val="24"/>
          <w:szCs w:val="24"/>
        </w:rPr>
        <w:t xml:space="preserve">a transaction-level phenomenon that predates most of the structural claims this report is interested in. E-business is broader, covering the digitisation of internal processes, supply chains and inter-firm coordination, and is closer to the phenomenon this report actually investigates. Platform firms extend e-business by mediating transactions between third </w:t>
      </w:r>
      <w:r w:rsidR="00362EB9" w:rsidRPr="00B51B4C">
        <w:rPr>
          <w:rFonts w:ascii="Calibri" w:hAnsi="Calibri" w:cs="Calibri"/>
          <w:color w:val="000000" w:themeColor="text1"/>
          <w:sz w:val="24"/>
          <w:szCs w:val="24"/>
        </w:rPr>
        <w:t>parties’</w:t>
      </w:r>
      <w:r w:rsidRPr="00B51B4C">
        <w:rPr>
          <w:rFonts w:ascii="Calibri" w:hAnsi="Calibri" w:cs="Calibri"/>
          <w:color w:val="000000" w:themeColor="text1"/>
          <w:sz w:val="24"/>
          <w:szCs w:val="24"/>
        </w:rPr>
        <w:t xml:space="preserve"> buyers, sellers, developers at scale, generating network effects that are themselves a further, distinct source of organisational change. Algorithmic management refers specifically to the use of software to perform functions historically carried out by human managers: task allocation, performance monitoring, scheduling and, in some accounts, disciplinary action (Ens, </w:t>
      </w:r>
      <w:proofErr w:type="spellStart"/>
      <w:r w:rsidRPr="00B51B4C">
        <w:rPr>
          <w:rFonts w:ascii="Calibri" w:hAnsi="Calibri" w:cs="Calibri"/>
          <w:color w:val="000000" w:themeColor="text1"/>
          <w:sz w:val="24"/>
          <w:szCs w:val="24"/>
        </w:rPr>
        <w:t>Hukal</w:t>
      </w:r>
      <w:proofErr w:type="spellEnd"/>
      <w:r w:rsidRPr="00B51B4C">
        <w:rPr>
          <w:rFonts w:ascii="Calibri" w:hAnsi="Calibri" w:cs="Calibri"/>
          <w:color w:val="000000" w:themeColor="text1"/>
          <w:sz w:val="24"/>
          <w:szCs w:val="24"/>
        </w:rPr>
        <w:t xml:space="preserve"> and Márton, 2025; Zhou et al., 2025). Amazon's transformation is argued here to be better explained by deeper e-business and platform integration than by online selling alone, since the structural changes this report traces the internal API mandate, STO, algorithmic coordination are e-business and platform phenomena rather than e-commerce ones in the narrow sense.</w:t>
      </w:r>
    </w:p>
    <w:p w14:paraId="48D7B353" w14:textId="1AD8C15D" w:rsidR="00746ACB" w:rsidRPr="00B51B4C" w:rsidRDefault="00225FB0"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 xml:space="preserve">Much is stated on these topics with stronger evidence than the evidence allows this report seeks to avoid mirroring that tendency. This report differentiates throughout between documented fact (attested via primary, or, from sources demonstrably reliable as regards Amazon's structure and operation via secondary sources as indicated here) analytical </w:t>
      </w:r>
      <w:r w:rsidRPr="00B51B4C">
        <w:rPr>
          <w:rFonts w:ascii="Calibri" w:hAnsi="Calibri" w:cs="Calibri"/>
          <w:color w:val="000000" w:themeColor="text1"/>
          <w:sz w:val="24"/>
          <w:szCs w:val="24"/>
        </w:rPr>
        <w:lastRenderedPageBreak/>
        <w:t>interpretation (application of theory to those facts) and analytical proposition (the reasoning of this report itself, as far as this report can extend to interpret evidence beyond existing theory</w:t>
      </w:r>
      <w:r w:rsidR="008311CB"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in all such cases such claims and reasoning as propositions are clearly signposted to the supporting evidence). For example, where this report asserts that flat forms of organisation might be engendered by algorithmic tools and generative AI, or where, for example, working on platforms is linked to labour burnout, labour churn and the 'trust gap', this report has indicated that these are propositions supported by the evidence listed at Sections 2.5 and 4.7 and presented as reasoning.</w:t>
      </w:r>
    </w:p>
    <w:p w14:paraId="16075AE3" w14:textId="77777777" w:rsidR="00746ACB" w:rsidRPr="003D2E42" w:rsidRDefault="00064733" w:rsidP="000D29F8">
      <w:pPr>
        <w:pStyle w:val="Heading1"/>
        <w:spacing w:before="400" w:after="200" w:line="360" w:lineRule="auto"/>
        <w:jc w:val="both"/>
        <w:rPr>
          <w:rFonts w:ascii="Calibri" w:hAnsi="Calibri" w:cs="Calibri"/>
          <w:b/>
          <w:bCs/>
          <w:color w:val="000000" w:themeColor="text1"/>
          <w:sz w:val="24"/>
          <w:szCs w:val="24"/>
        </w:rPr>
      </w:pPr>
      <w:bookmarkStart w:id="3" w:name="_Toc237694474"/>
      <w:r w:rsidRPr="003D2E42">
        <w:rPr>
          <w:rFonts w:ascii="Calibri" w:hAnsi="Calibri" w:cs="Calibri"/>
          <w:b/>
          <w:bCs/>
          <w:color w:val="000000" w:themeColor="text1"/>
          <w:sz w:val="24"/>
          <w:szCs w:val="24"/>
        </w:rPr>
        <w:t>2. Literature Review</w:t>
      </w:r>
      <w:bookmarkEnd w:id="3"/>
    </w:p>
    <w:p w14:paraId="333660E0"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This review is organised to set out competing positions in each area before developing this report's own reading, rather than assembling only the sources that support the report's eventual conclusion. Five areas are covered: traditional organisational and management-role theory; the distinction between e-commerce, e-business and the platform firm; digital-transformation theory and its principal blind spot; the literature gap this report addresses; and the treatment of power, data and trust in the platform economy.</w:t>
      </w:r>
    </w:p>
    <w:p w14:paraId="482F43DF" w14:textId="77777777" w:rsidR="00746ACB" w:rsidRPr="003D2E42" w:rsidRDefault="00064733" w:rsidP="000D29F8">
      <w:pPr>
        <w:pStyle w:val="Heading2"/>
        <w:spacing w:before="300" w:after="150" w:line="360" w:lineRule="auto"/>
        <w:jc w:val="both"/>
        <w:rPr>
          <w:rFonts w:ascii="Calibri" w:hAnsi="Calibri" w:cs="Calibri"/>
          <w:b/>
          <w:bCs/>
          <w:color w:val="000000" w:themeColor="text1"/>
          <w:sz w:val="24"/>
          <w:szCs w:val="24"/>
        </w:rPr>
      </w:pPr>
      <w:bookmarkStart w:id="4" w:name="_Toc237694475"/>
      <w:r w:rsidRPr="003D2E42">
        <w:rPr>
          <w:rFonts w:ascii="Calibri" w:hAnsi="Calibri" w:cs="Calibri"/>
          <w:b/>
          <w:bCs/>
          <w:color w:val="000000" w:themeColor="text1"/>
          <w:sz w:val="24"/>
          <w:szCs w:val="24"/>
        </w:rPr>
        <w:t>2.1 Traditional Organisational Structure and Management Role Theory</w:t>
      </w:r>
      <w:bookmarkEnd w:id="4"/>
    </w:p>
    <w:p w14:paraId="584B9B53" w14:textId="6E380036" w:rsidR="00746ACB" w:rsidRPr="00B51B4C" w:rsidRDefault="008A6CFC"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In this report, by 'traditional management theory' I have assumed four somewhat separable traditions to have this characteristic, although each of them </w:t>
      </w:r>
      <w:proofErr w:type="gramStart"/>
      <w:r w:rsidRPr="00B51B4C">
        <w:rPr>
          <w:rFonts w:ascii="Calibri" w:hAnsi="Calibri" w:cs="Calibri"/>
          <w:color w:val="000000" w:themeColor="text1"/>
          <w:sz w:val="24"/>
          <w:szCs w:val="24"/>
        </w:rPr>
        <w:t>explain</w:t>
      </w:r>
      <w:proofErr w:type="gramEnd"/>
      <w:r w:rsidRPr="00B51B4C">
        <w:rPr>
          <w:rFonts w:ascii="Calibri" w:hAnsi="Calibri" w:cs="Calibri"/>
          <w:color w:val="000000" w:themeColor="text1"/>
          <w:sz w:val="24"/>
          <w:szCs w:val="24"/>
        </w:rPr>
        <w:t xml:space="preserve"> different issues, and differ among themselves in what they describe. Classical administrative theory; Fayol's five functions (planning, organizing, commanding, coordinating and controlling) and which is presented in 'the need of contemporary organization' by Sharma, Goyal and Sharma (2024); describe activities of a manager. Bureaucratic theory (Weber, 1947); focuses on managerial legitimacy, the claim that rational-legal, rules and hierarchies distinguish the modern form of organization from prior traditional or charismatic types of authority.</w:t>
      </w:r>
      <w:r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Structural and contingency the</w:t>
      </w:r>
      <w:r w:rsidR="00F234E3" w:rsidRPr="00B51B4C">
        <w:rPr>
          <w:rFonts w:ascii="Calibri" w:hAnsi="Calibri" w:cs="Calibri"/>
          <w:color w:val="000000" w:themeColor="text1"/>
          <w:sz w:val="24"/>
          <w:szCs w:val="24"/>
        </w:rPr>
        <w:t xml:space="preserve">ory (Mintzberg, 1979); description </w:t>
      </w:r>
      <w:r w:rsidRPr="00B51B4C">
        <w:rPr>
          <w:rFonts w:ascii="Calibri" w:hAnsi="Calibri" w:cs="Calibri"/>
          <w:color w:val="000000" w:themeColor="text1"/>
          <w:sz w:val="24"/>
          <w:szCs w:val="24"/>
        </w:rPr>
        <w:t>fit</w:t>
      </w:r>
      <w:r w:rsidR="00F234E3" w:rsidRPr="00B51B4C">
        <w:rPr>
          <w:rFonts w:ascii="Calibri" w:hAnsi="Calibri" w:cs="Calibri"/>
          <w:color w:val="000000" w:themeColor="text1"/>
          <w:sz w:val="24"/>
          <w:szCs w:val="24"/>
        </w:rPr>
        <w:t>s</w:t>
      </w:r>
      <w:r w:rsidRPr="00B51B4C">
        <w:rPr>
          <w:rFonts w:ascii="Calibri" w:hAnsi="Calibri" w:cs="Calibri"/>
          <w:color w:val="000000" w:themeColor="text1"/>
          <w:sz w:val="24"/>
          <w:szCs w:val="24"/>
        </w:rPr>
        <w:t>; claim that the optimal structure is determined by task, environment, and size, no single best design for all.</w:t>
      </w:r>
      <w:r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 xml:space="preserve">And </w:t>
      </w:r>
      <w:r w:rsidR="00B17043" w:rsidRPr="00B51B4C">
        <w:rPr>
          <w:rFonts w:ascii="Calibri" w:hAnsi="Calibri" w:cs="Calibri"/>
          <w:color w:val="000000" w:themeColor="text1"/>
          <w:sz w:val="24"/>
          <w:szCs w:val="24"/>
        </w:rPr>
        <w:t>finally,</w:t>
      </w:r>
      <w:r w:rsidRPr="00B51B4C">
        <w:rPr>
          <w:rFonts w:ascii="Calibri" w:hAnsi="Calibri" w:cs="Calibri"/>
          <w:color w:val="000000" w:themeColor="text1"/>
          <w:sz w:val="24"/>
          <w:szCs w:val="24"/>
        </w:rPr>
        <w:t xml:space="preserve"> systems theory (Galbraith, 1973) describes information-processing capacity, the explanation of structure being a means to solve the information movement to decision locations. These four traditions blur the fact that even one of them (like the evidence for Amazon's structure not </w:t>
      </w:r>
      <w:r w:rsidRPr="00B51B4C">
        <w:rPr>
          <w:rFonts w:ascii="Calibri" w:hAnsi="Calibri" w:cs="Calibri"/>
          <w:color w:val="000000" w:themeColor="text1"/>
          <w:sz w:val="24"/>
          <w:szCs w:val="24"/>
        </w:rPr>
        <w:lastRenderedPageBreak/>
        <w:t xml:space="preserve">being rigid, as opposed to the case for Mintzberg, where even though they describe the same </w:t>
      </w:r>
      <w:r w:rsidR="00B17043" w:rsidRPr="00B51B4C">
        <w:rPr>
          <w:rFonts w:ascii="Calibri" w:hAnsi="Calibri" w:cs="Calibri"/>
          <w:color w:val="000000" w:themeColor="text1"/>
          <w:sz w:val="24"/>
          <w:szCs w:val="24"/>
        </w:rPr>
        <w:t>issue,</w:t>
      </w:r>
      <w:r w:rsidRPr="00B51B4C">
        <w:rPr>
          <w:rFonts w:ascii="Calibri" w:hAnsi="Calibri" w:cs="Calibri"/>
          <w:color w:val="000000" w:themeColor="text1"/>
          <w:sz w:val="24"/>
          <w:szCs w:val="24"/>
        </w:rPr>
        <w:t xml:space="preserve"> they explain it differently) does not necessarily challenge the others.</w:t>
      </w:r>
    </w:p>
    <w:p w14:paraId="00FAF7CF" w14:textId="77777777" w:rsidR="00746ACB" w:rsidRPr="003D2E42" w:rsidRDefault="00064733" w:rsidP="000D29F8">
      <w:pPr>
        <w:pStyle w:val="Heading2"/>
        <w:spacing w:before="300" w:after="150" w:line="360" w:lineRule="auto"/>
        <w:jc w:val="both"/>
        <w:rPr>
          <w:rFonts w:ascii="Calibri" w:hAnsi="Calibri" w:cs="Calibri"/>
          <w:b/>
          <w:bCs/>
          <w:color w:val="000000" w:themeColor="text1"/>
          <w:sz w:val="24"/>
          <w:szCs w:val="24"/>
        </w:rPr>
      </w:pPr>
      <w:bookmarkStart w:id="5" w:name="_Toc237694476"/>
      <w:r w:rsidRPr="003D2E42">
        <w:rPr>
          <w:rFonts w:ascii="Calibri" w:hAnsi="Calibri" w:cs="Calibri"/>
          <w:b/>
          <w:bCs/>
          <w:color w:val="000000" w:themeColor="text1"/>
          <w:sz w:val="24"/>
          <w:szCs w:val="24"/>
        </w:rPr>
        <w:t>2.2 E-commerce, E-business and the Platform Firm</w:t>
      </w:r>
      <w:bookmarkEnd w:id="5"/>
    </w:p>
    <w:p w14:paraId="37016571"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The distinction drawn in Section 1.2 between e-commerce and e-business matters here because it determines which body of literature is actually relevant to Amazon's structural transformation. Treating Amazon primarily as an e-commerce retailer would point toward literature on online purchasing behaviour and trust (</w:t>
      </w:r>
      <w:proofErr w:type="spellStart"/>
      <w:r w:rsidRPr="00B51B4C">
        <w:rPr>
          <w:rFonts w:ascii="Calibri" w:hAnsi="Calibri" w:cs="Calibri"/>
          <w:color w:val="000000" w:themeColor="text1"/>
          <w:sz w:val="24"/>
          <w:szCs w:val="24"/>
        </w:rPr>
        <w:t>Handoyo</w:t>
      </w:r>
      <w:proofErr w:type="spellEnd"/>
      <w:r w:rsidRPr="00B51B4C">
        <w:rPr>
          <w:rFonts w:ascii="Calibri" w:hAnsi="Calibri" w:cs="Calibri"/>
          <w:color w:val="000000" w:themeColor="text1"/>
          <w:sz w:val="24"/>
          <w:szCs w:val="24"/>
        </w:rPr>
        <w:t>, 2024; Soleimani, 2021); treating it, as this report does, primarily as an e-business and platform organisation points instead toward literature on platform capitalism and organisational boundary change.</w:t>
      </w:r>
    </w:p>
    <w:p w14:paraId="4B9D5E18" w14:textId="2C8756DE" w:rsidR="00746ACB" w:rsidRPr="00B51B4C" w:rsidRDefault="00897FBF"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 xml:space="preserve">There is an existing body of literature that conceptualises digital platforms not simply as reconfigurations of existing organizational forms, but as a displacement of them. Both Srnicek (2017) and Casas-Corts, Caedo-Rodrguez and Diz (2023) propose that platform capitalism transforms firms around the logic of data-extraction and intermediation rather than production hierarchies, moving firms from direct production to being infrastructures that define the rules of engagement. This report takes these articles as being representatives of an obsolescence-adjacent position-one that has genuine structural transformation at its centre-as opposed to pointing to a nameless “obsolescence literature”. This can be contrasted with, below, Hamel &amp; Birkinshaw (2023) and Gilli, Lettner &amp; </w:t>
      </w:r>
      <w:proofErr w:type="spellStart"/>
      <w:r w:rsidRPr="00B51B4C">
        <w:rPr>
          <w:rFonts w:ascii="Calibri" w:hAnsi="Calibri" w:cs="Calibri"/>
          <w:color w:val="000000" w:themeColor="text1"/>
          <w:sz w:val="24"/>
          <w:szCs w:val="24"/>
        </w:rPr>
        <w:t>Guettel</w:t>
      </w:r>
      <w:proofErr w:type="spellEnd"/>
      <w:r w:rsidRPr="00B51B4C">
        <w:rPr>
          <w:rFonts w:ascii="Calibri" w:hAnsi="Calibri" w:cs="Calibri"/>
          <w:color w:val="000000" w:themeColor="text1"/>
          <w:sz w:val="24"/>
          <w:szCs w:val="24"/>
        </w:rPr>
        <w:t xml:space="preserve"> (2023) who propose, from a management-research perspective that existing managerial competencies and functions remain even when the system that delivers them changes, and that claims about overall organizational obsolescence are overplaying the novelty of platform organization against the backdrop of earlier non-hierarchy based, decentralised, and matrix forms.</w:t>
      </w:r>
    </w:p>
    <w:p w14:paraId="6F2F8CF1" w14:textId="0C55B9E2"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Amazon's own structural tra</w:t>
      </w:r>
      <w:r w:rsidR="00F234E3" w:rsidRPr="00B51B4C">
        <w:rPr>
          <w:rFonts w:ascii="Calibri" w:hAnsi="Calibri" w:cs="Calibri"/>
          <w:color w:val="000000" w:themeColor="text1"/>
          <w:sz w:val="24"/>
          <w:szCs w:val="24"/>
        </w:rPr>
        <w:t>nsformation</w:t>
      </w:r>
      <w:r w:rsidRPr="00B51B4C">
        <w:rPr>
          <w:rFonts w:ascii="Calibri" w:hAnsi="Calibri" w:cs="Calibri"/>
          <w:color w:val="000000" w:themeColor="text1"/>
          <w:sz w:val="24"/>
          <w:szCs w:val="24"/>
        </w:rPr>
        <w:t xml:space="preserve"> beginning with the internal API m</w:t>
      </w:r>
      <w:r w:rsidR="00F234E3" w:rsidRPr="00B51B4C">
        <w:rPr>
          <w:rFonts w:ascii="Calibri" w:hAnsi="Calibri" w:cs="Calibri"/>
          <w:color w:val="000000" w:themeColor="text1"/>
          <w:sz w:val="24"/>
          <w:szCs w:val="24"/>
        </w:rPr>
        <w:t xml:space="preserve">andate discussed in Section 5 </w:t>
      </w:r>
      <w:r w:rsidRPr="00B51B4C">
        <w:rPr>
          <w:rFonts w:ascii="Calibri" w:hAnsi="Calibri" w:cs="Calibri"/>
          <w:color w:val="000000" w:themeColor="text1"/>
          <w:sz w:val="24"/>
          <w:szCs w:val="24"/>
        </w:rPr>
        <w:t>is more accurately associated with this deeper e-business and platform integration than with online selling considered narrowly, since the mandate restructured internal coordination between teams rather than the customer-facing transaction itself.</w:t>
      </w:r>
    </w:p>
    <w:p w14:paraId="0E3EEBAC" w14:textId="77777777" w:rsidR="00746ACB" w:rsidRPr="003D2E42" w:rsidRDefault="00064733" w:rsidP="000D29F8">
      <w:pPr>
        <w:pStyle w:val="Heading2"/>
        <w:spacing w:before="300" w:after="150" w:line="360" w:lineRule="auto"/>
        <w:jc w:val="both"/>
        <w:rPr>
          <w:rFonts w:ascii="Calibri" w:hAnsi="Calibri" w:cs="Calibri"/>
          <w:b/>
          <w:bCs/>
          <w:color w:val="000000" w:themeColor="text1"/>
          <w:sz w:val="24"/>
          <w:szCs w:val="24"/>
        </w:rPr>
      </w:pPr>
      <w:bookmarkStart w:id="6" w:name="_Toc237694477"/>
      <w:r w:rsidRPr="003D2E42">
        <w:rPr>
          <w:rFonts w:ascii="Calibri" w:hAnsi="Calibri" w:cs="Calibri"/>
          <w:b/>
          <w:bCs/>
          <w:color w:val="000000" w:themeColor="text1"/>
          <w:sz w:val="24"/>
          <w:szCs w:val="24"/>
        </w:rPr>
        <w:t>2.3 Digital Transformation Theory and its Blind Spot</w:t>
      </w:r>
      <w:bookmarkEnd w:id="6"/>
    </w:p>
    <w:p w14:paraId="1EE3CB2D"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Hanelt et al. (2021) provide a systematic review of DT research, synthesising it around four perspectives: technology, organisational change, strategy, and the interplay between them. </w:t>
      </w:r>
      <w:r w:rsidRPr="00B51B4C">
        <w:rPr>
          <w:rFonts w:ascii="Calibri" w:hAnsi="Calibri" w:cs="Calibri"/>
          <w:color w:val="000000" w:themeColor="text1"/>
          <w:sz w:val="24"/>
          <w:szCs w:val="24"/>
        </w:rPr>
        <w:lastRenderedPageBreak/>
        <w:t>Their review establishes, as a finding of the literature they surveyed, that DT scholarship has generally treated technology as an exogenous force to which organisations adapt, arriving from outside the firm and prompting a response rather than being actively shaped by the firm from within.</w:t>
      </w:r>
    </w:p>
    <w:p w14:paraId="23F63ED6" w14:textId="5A66B855" w:rsidR="00746ACB" w:rsidRPr="00B51B4C" w:rsidRDefault="00000049"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This is the result derived by the review finding and it should be kept distinct how precise Hanelt et al make a distinction between this and what this report infers from it. Viewing this pattern of how the external "technological shock framing</w:t>
      </w:r>
      <w:r w:rsidR="0012589D"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how we argue, downplays agency of Firms to proactively constructing these digital infrastructures instead of passively conforming" is This report's view in Section 6, and not one that is articulated by Hanelt et al themselves. To maintain this distinction is an important one for in the following Section</w:t>
      </w:r>
      <w:r w:rsidR="00B80592">
        <w:rPr>
          <w:rFonts w:ascii="Calibri" w:hAnsi="Calibri" w:cs="Calibri"/>
          <w:color w:val="000000" w:themeColor="text1"/>
          <w:sz w:val="24"/>
          <w:szCs w:val="24"/>
        </w:rPr>
        <w:t xml:space="preserve">, try </w:t>
      </w:r>
      <w:r w:rsidR="00B80592" w:rsidRPr="00B51B4C">
        <w:rPr>
          <w:rFonts w:ascii="Calibri" w:hAnsi="Calibri" w:cs="Calibri"/>
          <w:color w:val="000000" w:themeColor="text1"/>
          <w:sz w:val="24"/>
          <w:szCs w:val="24"/>
        </w:rPr>
        <w:t>to</w:t>
      </w:r>
      <w:r w:rsidRPr="00B51B4C">
        <w:rPr>
          <w:rFonts w:ascii="Calibri" w:hAnsi="Calibri" w:cs="Calibri"/>
          <w:color w:val="000000" w:themeColor="text1"/>
          <w:sz w:val="24"/>
          <w:szCs w:val="24"/>
        </w:rPr>
        <w:t xml:space="preserve"> demonstrate how there is a gap of the work and merging Hanelt et </w:t>
      </w:r>
      <w:proofErr w:type="spellStart"/>
      <w:r w:rsidRPr="00B51B4C">
        <w:rPr>
          <w:rFonts w:ascii="Calibri" w:hAnsi="Calibri" w:cs="Calibri"/>
          <w:color w:val="000000" w:themeColor="text1"/>
          <w:sz w:val="24"/>
          <w:szCs w:val="24"/>
        </w:rPr>
        <w:t>al's</w:t>
      </w:r>
      <w:proofErr w:type="spellEnd"/>
      <w:r w:rsidRPr="00B51B4C">
        <w:rPr>
          <w:rFonts w:ascii="Calibri" w:hAnsi="Calibri" w:cs="Calibri"/>
          <w:color w:val="000000" w:themeColor="text1"/>
          <w:sz w:val="24"/>
          <w:szCs w:val="24"/>
        </w:rPr>
        <w:t xml:space="preserve"> claim with this report's claim as an earlier version of this write up partly did will dilute and damage rather than complement one another.</w:t>
      </w:r>
    </w:p>
    <w:p w14:paraId="38D56824" w14:textId="77777777" w:rsidR="00746ACB" w:rsidRPr="003D2E42" w:rsidRDefault="00064733" w:rsidP="000D29F8">
      <w:pPr>
        <w:pStyle w:val="Heading2"/>
        <w:spacing w:before="300" w:after="150" w:line="360" w:lineRule="auto"/>
        <w:jc w:val="both"/>
        <w:rPr>
          <w:rFonts w:ascii="Calibri" w:hAnsi="Calibri" w:cs="Calibri"/>
          <w:b/>
          <w:bCs/>
          <w:color w:val="000000" w:themeColor="text1"/>
          <w:sz w:val="24"/>
          <w:szCs w:val="24"/>
        </w:rPr>
      </w:pPr>
      <w:bookmarkStart w:id="7" w:name="_Toc237694478"/>
      <w:r w:rsidRPr="003D2E42">
        <w:rPr>
          <w:rFonts w:ascii="Calibri" w:hAnsi="Calibri" w:cs="Calibri"/>
          <w:b/>
          <w:bCs/>
          <w:color w:val="000000" w:themeColor="text1"/>
          <w:sz w:val="24"/>
          <w:szCs w:val="24"/>
        </w:rPr>
        <w:t>2.4 The Literature Gap and This Report's Contribution</w:t>
      </w:r>
      <w:bookmarkEnd w:id="7"/>
    </w:p>
    <w:p w14:paraId="572CF038" w14:textId="714C723E" w:rsidR="006A70D0" w:rsidRPr="00B51B4C" w:rsidRDefault="006A70D0"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First: what existing scholarship already tells us: that DT leads to some form of organisational restructuring and that p</w:t>
      </w:r>
      <w:r w:rsidR="00F234E3" w:rsidRPr="00B51B4C">
        <w:rPr>
          <w:rFonts w:ascii="Calibri" w:hAnsi="Calibri" w:cs="Calibri"/>
          <w:color w:val="000000" w:themeColor="text1"/>
          <w:sz w:val="24"/>
          <w:szCs w:val="24"/>
        </w:rPr>
        <w:t xml:space="preserve">latform-based (and Algorithmic) </w:t>
      </w:r>
      <w:r w:rsidRPr="00B51B4C">
        <w:rPr>
          <w:rFonts w:ascii="Calibri" w:hAnsi="Calibri" w:cs="Calibri"/>
          <w:color w:val="000000" w:themeColor="text1"/>
          <w:sz w:val="24"/>
          <w:szCs w:val="24"/>
        </w:rPr>
        <w:t xml:space="preserve">based operations affect the ways in which organisation and coordination </w:t>
      </w:r>
      <w:r w:rsidR="00B17043" w:rsidRPr="00B51B4C">
        <w:rPr>
          <w:rFonts w:ascii="Calibri" w:hAnsi="Calibri" w:cs="Calibri"/>
          <w:color w:val="000000" w:themeColor="text1"/>
          <w:sz w:val="24"/>
          <w:szCs w:val="24"/>
        </w:rPr>
        <w:t>take</w:t>
      </w:r>
      <w:r w:rsidRPr="00B51B4C">
        <w:rPr>
          <w:rFonts w:ascii="Calibri" w:hAnsi="Calibri" w:cs="Calibri"/>
          <w:color w:val="000000" w:themeColor="text1"/>
          <w:sz w:val="24"/>
          <w:szCs w:val="24"/>
        </w:rPr>
        <w:t xml:space="preserve"> place (e.g. Hanelt et al., 2021; Ens et al., 2025).</w:t>
      </w:r>
      <w:r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Secondly</w:t>
      </w:r>
      <w:r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that it's hasn't done so clearly enough: whether and in which way these alterations result in the disappearance or merely reconfiguring of management's core (classical &amp; contingency</w:t>
      </w:r>
      <w:r w:rsidR="00F234E3" w:rsidRPr="00B51B4C">
        <w:rPr>
          <w:rFonts w:ascii="Calibri" w:hAnsi="Calibri" w:cs="Calibri"/>
          <w:color w:val="000000" w:themeColor="text1"/>
          <w:sz w:val="24"/>
          <w:szCs w:val="24"/>
        </w:rPr>
        <w:t xml:space="preserve"> theory) managerial functions </w:t>
      </w:r>
      <w:r w:rsidRPr="00B51B4C">
        <w:rPr>
          <w:rFonts w:ascii="Calibri" w:hAnsi="Calibri" w:cs="Calibri"/>
          <w:color w:val="000000" w:themeColor="text1"/>
          <w:sz w:val="24"/>
          <w:szCs w:val="24"/>
        </w:rPr>
        <w:t xml:space="preserve">the central question addressed by this report. </w:t>
      </w:r>
    </w:p>
    <w:p w14:paraId="6E090318" w14:textId="0E61517A" w:rsidR="00746ACB" w:rsidRPr="00B51B4C" w:rsidRDefault="006A70D0"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Thirdly</w:t>
      </w:r>
      <w:r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what this report is practically able to contribute: an empirical, single-case, analysis of this distinction via the example of Amazon - employing the use of</w:t>
      </w:r>
      <w:r w:rsidR="00F234E3" w:rsidRPr="00B51B4C">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CATWOE</w:t>
      </w:r>
      <w:r w:rsidR="00F234E3" w:rsidRPr="00B51B4C">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and the seven-lens model to explore across each of the seven dimensions of digital organisation identified. I am presenting this as one of many available tools responding to the identified gap, rather than claiming this work as a seminal original finding</w:t>
      </w:r>
      <w:r w:rsidR="00B80592">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An identified literature gap is an indicator not of any single paper's primacy.</w:t>
      </w:r>
    </w:p>
    <w:p w14:paraId="6AC89DA3" w14:textId="77777777" w:rsidR="00746ACB" w:rsidRPr="003D2E42" w:rsidRDefault="00064733" w:rsidP="000D29F8">
      <w:pPr>
        <w:pStyle w:val="Heading2"/>
        <w:spacing w:before="300" w:after="150" w:line="360" w:lineRule="auto"/>
        <w:jc w:val="both"/>
        <w:rPr>
          <w:rFonts w:ascii="Calibri" w:hAnsi="Calibri" w:cs="Calibri"/>
          <w:b/>
          <w:bCs/>
          <w:color w:val="000000" w:themeColor="text1"/>
          <w:sz w:val="24"/>
          <w:szCs w:val="24"/>
        </w:rPr>
      </w:pPr>
      <w:bookmarkStart w:id="8" w:name="_Toc237694479"/>
      <w:r w:rsidRPr="003D2E42">
        <w:rPr>
          <w:rFonts w:ascii="Calibri" w:hAnsi="Calibri" w:cs="Calibri"/>
          <w:b/>
          <w:bCs/>
          <w:color w:val="000000" w:themeColor="text1"/>
          <w:sz w:val="24"/>
          <w:szCs w:val="24"/>
        </w:rPr>
        <w:t>2.5 Power, Data and Trust in the Platform Economy</w:t>
      </w:r>
      <w:bookmarkEnd w:id="8"/>
    </w:p>
    <w:p w14:paraId="2D54620A"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Including power and trust alongside the more obviously technical dimensions of network, data, platform and algorithm is deliberate: it prevents the analysis from becoming </w:t>
      </w:r>
      <w:r w:rsidRPr="00B51B4C">
        <w:rPr>
          <w:rFonts w:ascii="Calibri" w:hAnsi="Calibri" w:cs="Calibri"/>
          <w:color w:val="000000" w:themeColor="text1"/>
          <w:sz w:val="24"/>
          <w:szCs w:val="24"/>
        </w:rPr>
        <w:lastRenderedPageBreak/>
        <w:t>technologically deterministic, and both concepts are integrated directly into the report's central question rather than treated as separate, parallel topics to be covered for completeness.</w:t>
      </w:r>
    </w:p>
    <w:p w14:paraId="1941DBCC" w14:textId="33871FAA" w:rsidR="00746ACB" w:rsidRPr="00B51B4C" w:rsidRDefault="00E915E8"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There are two key questions, underpinning the respective lenses within Chapters 4.6 and 4.7 and responded to herein, rather than simply posited herein: how is digitally negotiated power changed from traditional management power and </w:t>
      </w:r>
      <w:r w:rsidR="00246536">
        <w:rPr>
          <w:rFonts w:ascii="Calibri" w:hAnsi="Calibri" w:cs="Calibri"/>
          <w:color w:val="000000" w:themeColor="text1"/>
          <w:sz w:val="24"/>
          <w:szCs w:val="24"/>
        </w:rPr>
        <w:t>the</w:t>
      </w:r>
      <w:r w:rsidRPr="00B51B4C">
        <w:rPr>
          <w:rFonts w:ascii="Calibri" w:hAnsi="Calibri" w:cs="Calibri"/>
          <w:color w:val="000000" w:themeColor="text1"/>
          <w:sz w:val="24"/>
          <w:szCs w:val="24"/>
        </w:rPr>
        <w:t xml:space="preserve"> challenge</w:t>
      </w:r>
      <w:r w:rsidR="00246536">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of traditional managerial thought from mediated technology-driven trust</w:t>
      </w:r>
      <w:r w:rsidR="00246536">
        <w:rPr>
          <w:rFonts w:ascii="Calibri" w:hAnsi="Calibri" w:cs="Calibri"/>
          <w:color w:val="000000" w:themeColor="text1"/>
          <w:sz w:val="24"/>
          <w:szCs w:val="24"/>
        </w:rPr>
        <w:t>.</w:t>
      </w:r>
      <w:r w:rsidRPr="00B51B4C">
        <w:rPr>
          <w:rFonts w:ascii="Calibri" w:hAnsi="Calibri" w:cs="Calibri"/>
          <w:color w:val="000000" w:themeColor="text1"/>
          <w:sz w:val="24"/>
          <w:szCs w:val="24"/>
        </w:rPr>
        <w:t xml:space="preserve"> Regarding power Ens et al. (2025) and Zhou et al. (2025) provide platform </w:t>
      </w:r>
      <w:r w:rsidR="00B17043" w:rsidRPr="00B51B4C">
        <w:rPr>
          <w:rFonts w:ascii="Calibri" w:hAnsi="Calibri" w:cs="Calibri"/>
          <w:color w:val="000000" w:themeColor="text1"/>
          <w:sz w:val="24"/>
          <w:szCs w:val="24"/>
        </w:rPr>
        <w:t>work-based</w:t>
      </w:r>
      <w:r w:rsidRPr="00B51B4C">
        <w:rPr>
          <w:rFonts w:ascii="Calibri" w:hAnsi="Calibri" w:cs="Calibri"/>
          <w:color w:val="000000" w:themeColor="text1"/>
          <w:sz w:val="24"/>
          <w:szCs w:val="24"/>
        </w:rPr>
        <w:t xml:space="preserve"> accounts of algorithmic management-based task allocation and performance management; Casas-Corts et al. (2023) provide the broader platform capitalism framework for this process. For the purpose of trust, we employ primarily an e-commerce trust lens that the bulk of Chapters 2.5 and 4.7 utilise, in a systematic manner (Papadopoulou and </w:t>
      </w:r>
      <w:proofErr w:type="spellStart"/>
      <w:r w:rsidRPr="00B51B4C">
        <w:rPr>
          <w:rFonts w:ascii="Calibri" w:hAnsi="Calibri" w:cs="Calibri"/>
          <w:color w:val="000000" w:themeColor="text1"/>
          <w:sz w:val="24"/>
          <w:szCs w:val="24"/>
        </w:rPr>
        <w:t>Martakos</w:t>
      </w:r>
      <w:proofErr w:type="spellEnd"/>
      <w:r w:rsidRPr="00B51B4C">
        <w:rPr>
          <w:rFonts w:ascii="Calibri" w:hAnsi="Calibri" w:cs="Calibri"/>
          <w:color w:val="000000" w:themeColor="text1"/>
          <w:sz w:val="24"/>
          <w:szCs w:val="24"/>
        </w:rPr>
        <w:t xml:space="preserve"> 2008).</w:t>
      </w:r>
      <w:r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This is augmented with some sources on buyer-seller trust (Soleimani 2021) and general trust in AI (Choung et al.</w:t>
      </w:r>
      <w:r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2022).</w:t>
      </w:r>
    </w:p>
    <w:p w14:paraId="40B9566E" w14:textId="77777777" w:rsidR="00746ACB" w:rsidRPr="003D2E42" w:rsidRDefault="00064733" w:rsidP="000D29F8">
      <w:pPr>
        <w:pStyle w:val="Heading1"/>
        <w:spacing w:before="400" w:after="200" w:line="360" w:lineRule="auto"/>
        <w:jc w:val="both"/>
        <w:rPr>
          <w:rFonts w:ascii="Calibri" w:hAnsi="Calibri" w:cs="Calibri"/>
          <w:b/>
          <w:bCs/>
          <w:color w:val="000000" w:themeColor="text1"/>
          <w:sz w:val="24"/>
          <w:szCs w:val="24"/>
        </w:rPr>
      </w:pPr>
      <w:bookmarkStart w:id="9" w:name="_Toc237694480"/>
      <w:r w:rsidRPr="003D2E42">
        <w:rPr>
          <w:rFonts w:ascii="Calibri" w:hAnsi="Calibri" w:cs="Calibri"/>
          <w:b/>
          <w:bCs/>
          <w:color w:val="000000" w:themeColor="text1"/>
          <w:sz w:val="24"/>
          <w:szCs w:val="24"/>
        </w:rPr>
        <w:t>3. Theoretical Framework: CATWOE Applied to Amazon</w:t>
      </w:r>
      <w:bookmarkEnd w:id="9"/>
    </w:p>
    <w:p w14:paraId="213584E4"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CATWOE was developed within </w:t>
      </w:r>
      <w:proofErr w:type="spellStart"/>
      <w:r w:rsidRPr="00B51B4C">
        <w:rPr>
          <w:rFonts w:ascii="Calibri" w:hAnsi="Calibri" w:cs="Calibri"/>
          <w:color w:val="000000" w:themeColor="text1"/>
          <w:sz w:val="24"/>
          <w:szCs w:val="24"/>
        </w:rPr>
        <w:t>Checkland's</w:t>
      </w:r>
      <w:proofErr w:type="spellEnd"/>
      <w:r w:rsidRPr="00B51B4C">
        <w:rPr>
          <w:rFonts w:ascii="Calibri" w:hAnsi="Calibri" w:cs="Calibri"/>
          <w:color w:val="000000" w:themeColor="text1"/>
          <w:sz w:val="24"/>
          <w:szCs w:val="24"/>
        </w:rPr>
        <w:t xml:space="preserve"> (1999) Soft Systems Methodology (SSM) as a device for structuring the exploration of complex, contested problem situations by making explicit the Customers, Actors, Transformation process, Weltanschauung (worldview), Owners and Environmental constraints bearing on a system. It was not, in its original form, designed as a case-analysis tool for a single commercial organisation, and its adaptation here for that purpose is not self-justifying — it needs to be argued for rather than simply asserted, which is what this section does.</w:t>
      </w:r>
    </w:p>
    <w:p w14:paraId="1D37EAE2" w14:textId="13779527" w:rsidR="00746ACB" w:rsidRPr="00B51B4C" w:rsidRDefault="0048107F"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This adaptation is justified in three regards. First, the core problem, being whether digitalisation has re-defined the meaning of "management" at Amazon, is exactly the type of multi-perspective debate where CATWOE is intended to reveal where it is that observers can reasonably disagree about whether the changes in Amazon's structure constitutes a true reinvention or just a reframing of older principles. Second, CATWOE's</w:t>
      </w:r>
      <w:r w:rsidR="00F234E3" w:rsidRPr="00B51B4C">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Weltanschauung</w:t>
      </w:r>
      <w:r w:rsidR="00F234E3" w:rsidRPr="00B51B4C">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 xml:space="preserve">component allows for a structured approach to explicitly state and </w:t>
      </w:r>
      <w:r w:rsidR="00F234E3" w:rsidRPr="00B51B4C">
        <w:rPr>
          <w:rFonts w:ascii="Calibri" w:hAnsi="Calibri" w:cs="Calibri"/>
          <w:color w:val="000000" w:themeColor="text1"/>
          <w:sz w:val="24"/>
          <w:szCs w:val="24"/>
        </w:rPr>
        <w:t>analyse</w:t>
      </w:r>
      <w:r w:rsidRPr="00B51B4C">
        <w:rPr>
          <w:rFonts w:ascii="Calibri" w:hAnsi="Calibri" w:cs="Calibri"/>
          <w:color w:val="000000" w:themeColor="text1"/>
          <w:sz w:val="24"/>
          <w:szCs w:val="24"/>
        </w:rPr>
        <w:t xml:space="preserve"> what Amazon's own operating assumptions are, its "customer obsession" worldview, which a purely descriptive case framework based on, for example, time alone, could not provide.</w:t>
      </w:r>
      <w:r w:rsidR="008521D9" w:rsidRPr="00B51B4C">
        <w:rPr>
          <w:rFonts w:ascii="Calibri" w:hAnsi="Calibri" w:cs="Calibri"/>
          <w:color w:val="000000" w:themeColor="text1"/>
          <w:sz w:val="24"/>
          <w:szCs w:val="24"/>
          <w:lang w:val="en-US"/>
        </w:rPr>
        <w:t xml:space="preserve"> </w:t>
      </w:r>
      <w:r w:rsidR="00E11A64" w:rsidRPr="00E11A64">
        <w:rPr>
          <w:rFonts w:ascii="Calibri" w:hAnsi="Calibri" w:cs="Calibri"/>
          <w:color w:val="000000" w:themeColor="text1"/>
          <w:sz w:val="24"/>
          <w:szCs w:val="24"/>
        </w:rPr>
        <w:t xml:space="preserve">To counter </w:t>
      </w:r>
      <w:r w:rsidR="00E11A64" w:rsidRPr="00E11A64">
        <w:rPr>
          <w:rFonts w:ascii="Calibri" w:hAnsi="Calibri" w:cs="Calibri"/>
          <w:color w:val="000000" w:themeColor="text1"/>
          <w:sz w:val="24"/>
          <w:szCs w:val="24"/>
        </w:rPr>
        <w:lastRenderedPageBreak/>
        <w:t>the potential of framework overload, this study establishes a clear hierarchy among its analytical approaches rather than treating them as competing frameworks</w:t>
      </w:r>
      <w:r w:rsidRPr="00B51B4C">
        <w:rPr>
          <w:rFonts w:ascii="Calibri" w:hAnsi="Calibri" w:cs="Calibri"/>
          <w:color w:val="000000" w:themeColor="text1"/>
          <w:sz w:val="24"/>
          <w:szCs w:val="24"/>
        </w:rPr>
        <w:t>,</w:t>
      </w:r>
      <w:r w:rsidR="001C66D9" w:rsidRPr="00B51B4C">
        <w:rPr>
          <w:rFonts w:ascii="Calibri" w:hAnsi="Calibri" w:cs="Calibri"/>
          <w:color w:val="000000" w:themeColor="text1"/>
          <w:sz w:val="24"/>
          <w:szCs w:val="24"/>
          <w:lang w:val="en-US"/>
        </w:rPr>
        <w:t xml:space="preserve"> </w:t>
      </w:r>
      <w:proofErr w:type="spellStart"/>
      <w:r w:rsidRPr="00B51B4C">
        <w:rPr>
          <w:rFonts w:ascii="Calibri" w:hAnsi="Calibri" w:cs="Calibri"/>
          <w:color w:val="000000" w:themeColor="text1"/>
          <w:sz w:val="24"/>
          <w:szCs w:val="24"/>
        </w:rPr>
        <w:t>CATWOEis</w:t>
      </w:r>
      <w:proofErr w:type="spellEnd"/>
      <w:r w:rsidRPr="00B51B4C">
        <w:rPr>
          <w:rFonts w:ascii="Calibri" w:hAnsi="Calibri" w:cs="Calibri"/>
          <w:color w:val="000000" w:themeColor="text1"/>
          <w:sz w:val="24"/>
          <w:szCs w:val="24"/>
        </w:rPr>
        <w:t xml:space="preserve"> established as the core structuring framework, with the seven-lens framework in Section 4 serving as the evidence-populating structure on each element of CATWOE, while classical, contingency, DT, AI and trust theories act as contextual lenses which are selectively applied, rather than competing frameworks vying for priority.</w:t>
      </w:r>
      <w:r w:rsidR="008521D9" w:rsidRPr="00B51B4C">
        <w:rPr>
          <w:rFonts w:ascii="Calibri" w:hAnsi="Calibri" w:cs="Calibri"/>
          <w:color w:val="000000" w:themeColor="text1"/>
          <w:sz w:val="24"/>
          <w:szCs w:val="24"/>
          <w:lang w:val="en-US"/>
        </w:rPr>
        <w:t xml:space="preserve"> </w:t>
      </w:r>
      <w:r w:rsidRPr="00B51B4C">
        <w:rPr>
          <w:rFonts w:ascii="Calibri" w:hAnsi="Calibri" w:cs="Calibri"/>
          <w:color w:val="000000" w:themeColor="text1"/>
          <w:sz w:val="24"/>
          <w:szCs w:val="24"/>
        </w:rPr>
        <w:t xml:space="preserve">This hierarchy, one central framework, one sub-structure, and a set of applied lenses, </w:t>
      </w:r>
      <w:r w:rsidR="00F234E3" w:rsidRPr="00B51B4C">
        <w:rPr>
          <w:rFonts w:ascii="Calibri" w:hAnsi="Calibri" w:cs="Calibri"/>
          <w:color w:val="000000" w:themeColor="text1"/>
          <w:sz w:val="24"/>
          <w:szCs w:val="24"/>
        </w:rPr>
        <w:t>supplants</w:t>
      </w:r>
      <w:r w:rsidRPr="00B51B4C">
        <w:rPr>
          <w:rFonts w:ascii="Calibri" w:hAnsi="Calibri" w:cs="Calibri"/>
          <w:color w:val="000000" w:themeColor="text1"/>
          <w:sz w:val="24"/>
          <w:szCs w:val="24"/>
        </w:rPr>
        <w:t xml:space="preserve"> the flatter listing of CATWOE, seven lenses, SWOT/PESTLE, classical theory, contingency theory, platform theory, DT theory, AI theory, and trust theory, where they seemed to stand as equally weighted frameworks</w:t>
      </w:r>
      <w:r w:rsidR="00847361">
        <w:rPr>
          <w:rFonts w:ascii="Calibri" w:hAnsi="Calibri" w:cs="Calibri"/>
          <w:color w:val="000000" w:themeColor="text1"/>
          <w:sz w:val="24"/>
          <w:szCs w:val="24"/>
        </w:rPr>
        <w:t xml:space="preserve"> and </w:t>
      </w:r>
      <w:r w:rsidR="00847361" w:rsidRPr="00847361">
        <w:rPr>
          <w:rFonts w:ascii="Calibri" w:hAnsi="Calibri" w:cs="Calibri"/>
          <w:color w:val="000000" w:themeColor="text1"/>
          <w:sz w:val="24"/>
          <w:szCs w:val="24"/>
        </w:rPr>
        <w:t>each working at a distinct analytical level</w:t>
      </w:r>
      <w:r w:rsidRPr="00B51B4C">
        <w:rPr>
          <w:rFonts w:ascii="Calibri" w:hAnsi="Calibri" w:cs="Calibri"/>
          <w:color w:val="000000" w:themeColor="text1"/>
          <w:sz w:val="24"/>
          <w:szCs w:val="24"/>
        </w:rPr>
        <w:t>.</w:t>
      </w:r>
    </w:p>
    <w:p w14:paraId="053AA198" w14:textId="3C6ECE0D"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Applying CATWOE to Amazon: Customers are end-consumers, third-party sellers, and AWS enterprise clients, each with a different relationship to the system being analysed. Actors are Amazon employees, S-Team executives, algorithmic systems that now perform some coordination functions directly, and gig or warehouse labour whose work is heavily shaped by those systems. The Transformation process is the conversion of raw coordination problems what to build, how to allocate labour, how to price into automated or semi-automated decisions, a process that has itself changed substantially over the four phases traced in Section 5. Weltanschauung is Amazon's stated "customer obsession" and Working Backwards worldview, examined critically rather than accepted at face value in Section 4.5. Owners are Amazon's S-Team and board, who retain ultimate authority to change or dissolve any of the structures described in this report a distinction that matters directly for the analysis in Section 4.5. Environmental constraints include labour law, the EU's Digital Markets Act (DMA), the General Data Protection Regulation (GDPR), and competitive pressure from other platform firms, discussed further immediately below.</w:t>
      </w:r>
    </w:p>
    <w:p w14:paraId="3555EE41" w14:textId="77777777" w:rsidR="00746ACB" w:rsidRPr="00B51B4C" w:rsidRDefault="00064733" w:rsidP="000D29F8">
      <w:pPr>
        <w:pStyle w:val="Heading2"/>
        <w:spacing w:before="300" w:after="150" w:line="360" w:lineRule="auto"/>
        <w:jc w:val="both"/>
        <w:rPr>
          <w:rFonts w:ascii="Calibri" w:hAnsi="Calibri" w:cs="Calibri"/>
          <w:color w:val="000000" w:themeColor="text1"/>
          <w:sz w:val="24"/>
          <w:szCs w:val="24"/>
        </w:rPr>
      </w:pPr>
      <w:bookmarkStart w:id="10" w:name="_Toc237694481"/>
      <w:r w:rsidRPr="003D2E42">
        <w:rPr>
          <w:rFonts w:ascii="Calibri" w:hAnsi="Calibri" w:cs="Calibri"/>
          <w:b/>
          <w:bCs/>
          <w:color w:val="000000" w:themeColor="text1"/>
          <w:sz w:val="24"/>
          <w:szCs w:val="24"/>
        </w:rPr>
        <w:t>3.1 Environmental Constraints: A Brief SWOT/PESTLE Reading</w:t>
      </w:r>
      <w:bookmarkEnd w:id="10"/>
    </w:p>
    <w:p w14:paraId="3CA209A2" w14:textId="74D0641F" w:rsidR="00746ACB" w:rsidRPr="00B51B4C" w:rsidRDefault="00FB1CCC"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This is NOT a complete commercial audit of Amazon, only used to find the prevailing environmental conditions that affect the design, fed directly into the CATWOE Environmental Constraints element below. That it isn't intended as a standalone framework like CATWOE. Amazon's scale of network, </w:t>
      </w:r>
      <w:r w:rsidR="003D2E42">
        <w:rPr>
          <w:rFonts w:ascii="Calibri" w:hAnsi="Calibri" w:cs="Calibri"/>
          <w:color w:val="000000" w:themeColor="text1"/>
          <w:sz w:val="24"/>
          <w:szCs w:val="24"/>
        </w:rPr>
        <w:t>r</w:t>
      </w:r>
      <w:r w:rsidRPr="00B51B4C">
        <w:rPr>
          <w:rFonts w:ascii="Calibri" w:hAnsi="Calibri" w:cs="Calibri"/>
          <w:color w:val="000000" w:themeColor="text1"/>
          <w:sz w:val="24"/>
          <w:szCs w:val="24"/>
        </w:rPr>
        <w:t xml:space="preserve">egulatory exposure from DMA arising from scale, cost of coordination that varies with number of independent pieces under single thread ownership </w:t>
      </w:r>
      <w:r w:rsidRPr="00B51B4C">
        <w:rPr>
          <w:rFonts w:ascii="Calibri" w:hAnsi="Calibri" w:cs="Calibri"/>
          <w:color w:val="000000" w:themeColor="text1"/>
          <w:sz w:val="24"/>
          <w:szCs w:val="24"/>
        </w:rPr>
        <w:lastRenderedPageBreak/>
        <w:t>and accountability gaps from devolved decision rights under STO. These are now presented as related concepts in a 'strength and associated exposure' framework instead of a 'feature as weakness' in different sections, which seems to me to be the more defensible approach taken throughout</w:t>
      </w:r>
      <w:r w:rsidR="00F234E3" w:rsidRPr="00B51B4C">
        <w:rPr>
          <w:rFonts w:ascii="Calibri" w:hAnsi="Calibri" w:cs="Calibri"/>
          <w:color w:val="000000" w:themeColor="text1"/>
          <w:sz w:val="24"/>
          <w:szCs w:val="24"/>
        </w:rPr>
        <w:t xml:space="preserve"> </w:t>
      </w:r>
      <w:r w:rsidRPr="00B51B4C">
        <w:rPr>
          <w:rFonts w:ascii="Calibri" w:hAnsi="Calibri" w:cs="Calibri"/>
          <w:color w:val="000000" w:themeColor="text1"/>
          <w:sz w:val="24"/>
          <w:szCs w:val="24"/>
        </w:rPr>
        <w:t>Section 4 below.</w:t>
      </w:r>
    </w:p>
    <w:p w14:paraId="2F585369" w14:textId="77777777" w:rsidR="00746ACB" w:rsidRPr="003D2E42" w:rsidRDefault="00064733" w:rsidP="000D29F8">
      <w:pPr>
        <w:pStyle w:val="Heading1"/>
        <w:spacing w:before="400" w:after="200" w:line="360" w:lineRule="auto"/>
        <w:jc w:val="both"/>
        <w:rPr>
          <w:rFonts w:ascii="Calibri" w:hAnsi="Calibri" w:cs="Calibri"/>
          <w:b/>
          <w:bCs/>
          <w:color w:val="000000" w:themeColor="text1"/>
          <w:sz w:val="24"/>
          <w:szCs w:val="24"/>
        </w:rPr>
      </w:pPr>
      <w:bookmarkStart w:id="11" w:name="_Toc237694482"/>
      <w:r w:rsidRPr="003D2E42">
        <w:rPr>
          <w:rFonts w:ascii="Calibri" w:hAnsi="Calibri" w:cs="Calibri"/>
          <w:b/>
          <w:bCs/>
          <w:color w:val="000000" w:themeColor="text1"/>
          <w:sz w:val="24"/>
          <w:szCs w:val="24"/>
        </w:rPr>
        <w:t>4. Analytical Core: Amazon Through Seven Lenses</w:t>
      </w:r>
      <w:bookmarkEnd w:id="11"/>
    </w:p>
    <w:p w14:paraId="6A84A887" w14:textId="03236A5E" w:rsidR="00746ACB" w:rsidRPr="00B51B4C" w:rsidRDefault="0084635D"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 xml:space="preserve">The seven </w:t>
      </w:r>
      <w:r w:rsidR="00891003">
        <w:rPr>
          <w:rFonts w:ascii="Calibri" w:hAnsi="Calibri" w:cs="Calibri"/>
          <w:color w:val="000000" w:themeColor="text1"/>
          <w:sz w:val="24"/>
          <w:szCs w:val="24"/>
        </w:rPr>
        <w:t xml:space="preserve">analytical lenses presented below with </w:t>
      </w:r>
      <w:r w:rsidRPr="00B51B4C">
        <w:rPr>
          <w:rFonts w:ascii="Calibri" w:hAnsi="Calibri" w:cs="Calibri"/>
          <w:color w:val="000000" w:themeColor="text1"/>
          <w:sz w:val="24"/>
          <w:szCs w:val="24"/>
        </w:rPr>
        <w:t xml:space="preserve">examples </w:t>
      </w:r>
      <w:r w:rsidR="00891003">
        <w:rPr>
          <w:rFonts w:ascii="Calibri" w:hAnsi="Calibri" w:cs="Calibri"/>
          <w:color w:val="000000" w:themeColor="text1"/>
          <w:sz w:val="24"/>
          <w:szCs w:val="24"/>
        </w:rPr>
        <w:t xml:space="preserve">therefore </w:t>
      </w:r>
      <w:r w:rsidR="00891003" w:rsidRPr="00891003">
        <w:rPr>
          <w:rFonts w:ascii="Calibri" w:hAnsi="Calibri" w:cs="Calibri"/>
          <w:color w:val="000000" w:themeColor="text1"/>
          <w:sz w:val="24"/>
          <w:szCs w:val="24"/>
        </w:rPr>
        <w:t>structured around the six core sections:</w:t>
      </w:r>
      <w:r w:rsidR="00891003" w:rsidRPr="00891003">
        <w:t xml:space="preserve"> </w:t>
      </w:r>
      <w:r w:rsidR="00891003" w:rsidRPr="00891003">
        <w:rPr>
          <w:rFonts w:ascii="Calibri" w:hAnsi="Calibri" w:cs="Calibri"/>
          <w:color w:val="000000" w:themeColor="text1"/>
          <w:sz w:val="24"/>
          <w:szCs w:val="24"/>
        </w:rPr>
        <w:t>Problem, Theory, Application to Amazon, Limitation, Contemporary Challenge, and Future Impact</w:t>
      </w:r>
      <w:r w:rsidRPr="00B51B4C">
        <w:rPr>
          <w:rFonts w:ascii="Calibri" w:hAnsi="Calibri" w:cs="Calibri"/>
          <w:color w:val="000000" w:themeColor="text1"/>
          <w:sz w:val="24"/>
          <w:szCs w:val="24"/>
        </w:rPr>
        <w:t xml:space="preserve">. </w:t>
      </w:r>
      <w:r w:rsidR="00361FCF" w:rsidRPr="00361FCF">
        <w:rPr>
          <w:rFonts w:ascii="Calibri" w:hAnsi="Calibri" w:cs="Calibri"/>
          <w:color w:val="000000" w:themeColor="text1"/>
          <w:sz w:val="24"/>
          <w:szCs w:val="24"/>
        </w:rPr>
        <w:t>While allowing each lens to look at a different aspect of the dynamic nature of 21st-century organizations, this shared structure ensures consistency across the examination.</w:t>
      </w:r>
    </w:p>
    <w:p w14:paraId="7E422485" w14:textId="77777777" w:rsidR="00746ACB" w:rsidRPr="000B7FBC" w:rsidRDefault="00064733" w:rsidP="000D29F8">
      <w:pPr>
        <w:pStyle w:val="Heading2"/>
        <w:spacing w:before="300" w:after="150" w:line="360" w:lineRule="auto"/>
        <w:jc w:val="both"/>
        <w:rPr>
          <w:rFonts w:ascii="Calibri" w:hAnsi="Calibri" w:cs="Calibri"/>
          <w:b/>
          <w:bCs/>
          <w:color w:val="000000" w:themeColor="text1"/>
          <w:sz w:val="24"/>
          <w:szCs w:val="24"/>
        </w:rPr>
      </w:pPr>
      <w:bookmarkStart w:id="12" w:name="_Toc237694483"/>
      <w:r w:rsidRPr="000B7FBC">
        <w:rPr>
          <w:rFonts w:ascii="Calibri" w:hAnsi="Calibri" w:cs="Calibri"/>
          <w:b/>
          <w:bCs/>
          <w:color w:val="000000" w:themeColor="text1"/>
          <w:sz w:val="24"/>
          <w:szCs w:val="24"/>
        </w:rPr>
        <w:t>4.1 Network</w:t>
      </w:r>
      <w:bookmarkEnd w:id="12"/>
    </w:p>
    <w:p w14:paraId="4A800E95" w14:textId="43BF9F7C" w:rsidR="00746ACB" w:rsidRPr="00C022EC" w:rsidRDefault="00064733" w:rsidP="00C022EC">
      <w:pPr>
        <w:pStyle w:val="ListParagraph"/>
        <w:numPr>
          <w:ilvl w:val="0"/>
          <w:numId w:val="3"/>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Problem:</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Digital networks are often assumed, in popular commentary, to eliminate the coordination problems traditionally associated with hierarchical structure by allowing information to flow freely between any two points regardless of formal reporting lines.</w:t>
      </w:r>
    </w:p>
    <w:p w14:paraId="2DBC452B" w14:textId="77777777" w:rsidR="00746ACB" w:rsidRPr="00C022EC" w:rsidRDefault="00064733" w:rsidP="00C022EC">
      <w:pPr>
        <w:pStyle w:val="ListParagraph"/>
        <w:numPr>
          <w:ilvl w:val="0"/>
          <w:numId w:val="3"/>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Theory:</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Network organisation theory and Galbraith's (1973) information-processing view of structure suggest a more precise claim: that coordination costs do not disappear under digitalisation but relocate to wherever information must actually flow, and that the choice of structure is fundamentally a choice about where those costs should sit.</w:t>
      </w:r>
    </w:p>
    <w:p w14:paraId="2AB650B3" w14:textId="77777777" w:rsidR="00746ACB" w:rsidRPr="00C022EC" w:rsidRDefault="00064733" w:rsidP="00C022EC">
      <w:pPr>
        <w:pStyle w:val="ListParagraph"/>
        <w:numPr>
          <w:ilvl w:val="0"/>
          <w:numId w:val="3"/>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Application to Amazon:</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Amazon's cross-functional, API-mediated teams relocate coordination from vertical hierarchy to horizontal service contracts between teams, a shift evidenced in the internal API mandate that later underpinned the emergence of AWS as an internal capability turned external product. Teams are no longer required to negotiate access to another team's systems through management layers; they consume a defined service interface instead.</w:t>
      </w:r>
    </w:p>
    <w:p w14:paraId="2F42A0D8" w14:textId="20AC6520" w:rsidR="00746ACB" w:rsidRPr="00C022EC" w:rsidRDefault="00064733" w:rsidP="00C022EC">
      <w:pPr>
        <w:pStyle w:val="ListParagraph"/>
        <w:numPr>
          <w:ilvl w:val="0"/>
          <w:numId w:val="3"/>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Limitation:</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 xml:space="preserve">Distinguishing organisational network structure how teams relate to and depend on one another from technological network infrastructure how systems </w:t>
      </w:r>
      <w:r w:rsidRPr="00C022EC">
        <w:rPr>
          <w:rFonts w:ascii="Calibri" w:hAnsi="Calibri" w:cs="Calibri"/>
          <w:color w:val="000000" w:themeColor="text1"/>
          <w:sz w:val="24"/>
          <w:szCs w:val="24"/>
        </w:rPr>
        <w:lastRenderedPageBreak/>
        <w:t>technically connect is necessary and was not consistently maintained in the earlier draft, where the two concepts occasionally blurred together in ways that made claims about "the network" ambiguous as to which sense was meant.</w:t>
      </w:r>
    </w:p>
    <w:p w14:paraId="2A2152B1" w14:textId="77777777" w:rsidR="00746ACB" w:rsidRPr="00C022EC" w:rsidRDefault="00064733" w:rsidP="00C022EC">
      <w:pPr>
        <w:pStyle w:val="ListParagraph"/>
        <w:numPr>
          <w:ilvl w:val="0"/>
          <w:numId w:val="3"/>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Contemporary Challenge:</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Coordination across hundreds of independently owned services introduces new integration, versioning and dependency-management overhead that did not exist under a simpler functional hierarchy, meaning the coordination burden has not been eliminated so much as moved into a different, more technical register.</w:t>
      </w:r>
    </w:p>
    <w:p w14:paraId="5B6E0A12" w14:textId="77777777" w:rsidR="00746ACB" w:rsidRPr="00C022EC" w:rsidRDefault="00064733" w:rsidP="00C022EC">
      <w:pPr>
        <w:pStyle w:val="ListParagraph"/>
        <w:numPr>
          <w:ilvl w:val="0"/>
          <w:numId w:val="3"/>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Future Implication:</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As AI-mediated coordination grows, network structure may increasingly be defined by data contracts and model dependencies rather than by reporting lines, extending the same relocation logic one step further.</w:t>
      </w:r>
    </w:p>
    <w:p w14:paraId="06B9CAF1" w14:textId="68B6A8E4" w:rsidR="00F234E3" w:rsidRPr="00C022EC" w:rsidRDefault="00064733" w:rsidP="000D29F8">
      <w:pPr>
        <w:pStyle w:val="ListParagraph"/>
        <w:numPr>
          <w:ilvl w:val="0"/>
          <w:numId w:val="3"/>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What this shows:</w:t>
      </w:r>
      <w:r w:rsidRPr="00C022EC">
        <w:rPr>
          <w:rFonts w:ascii="Calibri" w:hAnsi="Calibri" w:cs="Calibri"/>
          <w:bCs/>
          <w:color w:val="000000" w:themeColor="text1"/>
          <w:sz w:val="24"/>
          <w:szCs w:val="24"/>
        </w:rPr>
        <w:t xml:space="preserve"> </w:t>
      </w:r>
      <w:r w:rsidR="00053FA8" w:rsidRPr="00C022EC">
        <w:rPr>
          <w:rFonts w:ascii="Calibri" w:hAnsi="Calibri" w:cs="Calibri"/>
          <w:color w:val="000000" w:themeColor="text1"/>
          <w:sz w:val="24"/>
          <w:szCs w:val="24"/>
        </w:rPr>
        <w:t>Although Amazon's networks have changed from hierarchical reporting, to service delivery in autonomous teams, they continue to operate in response to the coordination problem that Galbraith identified as operating at organisational levels.</w:t>
      </w:r>
    </w:p>
    <w:p w14:paraId="3B932DF0" w14:textId="77777777" w:rsidR="00746ACB" w:rsidRPr="00C022EC" w:rsidRDefault="00064733" w:rsidP="000D29F8">
      <w:pPr>
        <w:pStyle w:val="Heading2"/>
        <w:spacing w:before="300" w:after="150" w:line="360" w:lineRule="auto"/>
        <w:jc w:val="both"/>
        <w:rPr>
          <w:rFonts w:ascii="Calibri" w:hAnsi="Calibri" w:cs="Calibri"/>
          <w:b/>
          <w:bCs/>
          <w:color w:val="000000" w:themeColor="text1"/>
          <w:sz w:val="24"/>
          <w:szCs w:val="24"/>
        </w:rPr>
      </w:pPr>
      <w:bookmarkStart w:id="13" w:name="_Toc237694484"/>
      <w:r w:rsidRPr="00C022EC">
        <w:rPr>
          <w:rFonts w:ascii="Calibri" w:hAnsi="Calibri" w:cs="Calibri"/>
          <w:b/>
          <w:bCs/>
          <w:color w:val="000000" w:themeColor="text1"/>
          <w:sz w:val="24"/>
          <w:szCs w:val="24"/>
        </w:rPr>
        <w:t>4.2 Data</w:t>
      </w:r>
      <w:bookmarkEnd w:id="13"/>
    </w:p>
    <w:p w14:paraId="18561786" w14:textId="77777777" w:rsidR="00746ACB" w:rsidRPr="00C022EC" w:rsidRDefault="00064733" w:rsidP="00C022EC">
      <w:pPr>
        <w:pStyle w:val="ListParagraph"/>
        <w:numPr>
          <w:ilvl w:val="0"/>
          <w:numId w:val="4"/>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Problem:</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Data is often invoked, sometimes uncritically, as the mechanism by which entire layers of management become unnecessary, on the logic that if a system can observe outcomes directly, it no longer needs a human intermediary to interpret and report them.</w:t>
      </w:r>
    </w:p>
    <w:p w14:paraId="39D12029" w14:textId="77777777" w:rsidR="00746ACB" w:rsidRPr="00C022EC" w:rsidRDefault="00064733" w:rsidP="00C022EC">
      <w:pPr>
        <w:pStyle w:val="ListParagraph"/>
        <w:numPr>
          <w:ilvl w:val="0"/>
          <w:numId w:val="4"/>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Theory:</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 xml:space="preserve">Algorithmic management theory (Ens, </w:t>
      </w:r>
      <w:proofErr w:type="spellStart"/>
      <w:r w:rsidRPr="00C022EC">
        <w:rPr>
          <w:rFonts w:ascii="Calibri" w:hAnsi="Calibri" w:cs="Calibri"/>
          <w:color w:val="000000" w:themeColor="text1"/>
          <w:sz w:val="24"/>
          <w:szCs w:val="24"/>
        </w:rPr>
        <w:t>Hukal</w:t>
      </w:r>
      <w:proofErr w:type="spellEnd"/>
      <w:r w:rsidRPr="00C022EC">
        <w:rPr>
          <w:rFonts w:ascii="Calibri" w:hAnsi="Calibri" w:cs="Calibri"/>
          <w:color w:val="000000" w:themeColor="text1"/>
          <w:sz w:val="24"/>
          <w:szCs w:val="24"/>
        </w:rPr>
        <w:t xml:space="preserve"> and Márton, 2025) offers a more bounded version of this claim: that data-driven decision systems can substitute for supervisory judgement in specific, well-defined tasks — principally scheduling, routing and basic performance monitoring — without necessarily substituting for judgement in ambiguous or exception-heavy situations.</w:t>
      </w:r>
    </w:p>
    <w:p w14:paraId="26CB8C61" w14:textId="77777777" w:rsidR="00746ACB" w:rsidRPr="00C022EC" w:rsidRDefault="00064733" w:rsidP="00C022EC">
      <w:pPr>
        <w:pStyle w:val="ListParagraph"/>
        <w:numPr>
          <w:ilvl w:val="0"/>
          <w:numId w:val="4"/>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Application to Amazon:</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 xml:space="preserve">Amazon uses AI-supported forecasting and routing across its distribution and fulfilment network, and has restructured some management layers in </w:t>
      </w:r>
      <w:r w:rsidRPr="00C022EC">
        <w:rPr>
          <w:rFonts w:ascii="Calibri" w:hAnsi="Calibri" w:cs="Calibri"/>
          <w:color w:val="000000" w:themeColor="text1"/>
          <w:sz w:val="24"/>
          <w:szCs w:val="24"/>
        </w:rPr>
        <w:lastRenderedPageBreak/>
        <w:t>recent years in ways that have been widely discussed in both business and general press coverage.</w:t>
      </w:r>
    </w:p>
    <w:p w14:paraId="69D523A7" w14:textId="77777777" w:rsidR="00746ACB" w:rsidRPr="00C022EC" w:rsidRDefault="00064733" w:rsidP="00C022EC">
      <w:pPr>
        <w:pStyle w:val="ListParagraph"/>
        <w:numPr>
          <w:ilvl w:val="0"/>
          <w:numId w:val="4"/>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Limitation:</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Correlation is not causation here, and this is treated carefully in this report: that Amazon has reduced certain managerial layers does not by itself demonstrate that AI-driven data systems caused that reduction, since the same period has also seen cost-cutting pressure, post-pandemic demand normalisation and broader technology-sector layoffs that could independently explain some of the same restructuring. This report does not assert a causal link between data systems and management-layer reduction without direct evidence connecting the two.</w:t>
      </w:r>
    </w:p>
    <w:p w14:paraId="30C5A346" w14:textId="77777777" w:rsidR="00746ACB" w:rsidRPr="00C022EC" w:rsidRDefault="00064733" w:rsidP="00C022EC">
      <w:pPr>
        <w:pStyle w:val="ListParagraph"/>
        <w:numPr>
          <w:ilvl w:val="0"/>
          <w:numId w:val="4"/>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Contemporary Challenge:</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Claims about the specific number of AI-integrated facilities across Amazon's network require a verifiable, dated primary source rather than a round figure repeated across secondary commentary, and this remains an open item flagged below.</w:t>
      </w:r>
    </w:p>
    <w:p w14:paraId="29157399" w14:textId="77777777" w:rsidR="00746ACB" w:rsidRPr="00C022EC" w:rsidRDefault="00064733" w:rsidP="00C022EC">
      <w:pPr>
        <w:pStyle w:val="ListParagraph"/>
        <w:numPr>
          <w:ilvl w:val="0"/>
          <w:numId w:val="4"/>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Future Implication:</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As forecasting and scheduling models take on a larger share of routine decisions, the theoretical question shifts from whether managers are needed at all to which specific managerial functions — judgement under ambiguity, exception-handling, and accountability for outcomes — remain irreducibly human even as routine decisions are automated.</w:t>
      </w:r>
    </w:p>
    <w:p w14:paraId="37006CC7" w14:textId="59E46FB8" w:rsidR="00746ACB" w:rsidRPr="00C022EC" w:rsidRDefault="00064733" w:rsidP="00C022EC">
      <w:pPr>
        <w:pStyle w:val="ListParagraph"/>
        <w:numPr>
          <w:ilvl w:val="0"/>
          <w:numId w:val="4"/>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What this shows:</w:t>
      </w:r>
      <w:r w:rsidRPr="00C022EC">
        <w:rPr>
          <w:rFonts w:ascii="Calibri" w:hAnsi="Calibri" w:cs="Calibri"/>
          <w:bCs/>
          <w:color w:val="000000" w:themeColor="text1"/>
          <w:sz w:val="24"/>
          <w:szCs w:val="24"/>
        </w:rPr>
        <w:t xml:space="preserve"> </w:t>
      </w:r>
      <w:r w:rsidR="00733800" w:rsidRPr="00C022EC">
        <w:rPr>
          <w:rFonts w:ascii="Calibri" w:hAnsi="Calibri" w:cs="Calibri"/>
          <w:color w:val="000000" w:themeColor="text1"/>
          <w:sz w:val="24"/>
          <w:szCs w:val="24"/>
        </w:rPr>
        <w:t>The fact that data-driven systems have altered the way that certain coordination decisions are made at Amazon does not provide evidence for the stronger claim that management has been replaced by data, the evidence that this report presently contains supports the weaker claim that data have replaced certain routine elements of management</w:t>
      </w:r>
      <w:r w:rsidRPr="00C022EC">
        <w:rPr>
          <w:rFonts w:ascii="Calibri" w:hAnsi="Calibri" w:cs="Calibri"/>
          <w:color w:val="000000" w:themeColor="text1"/>
          <w:sz w:val="24"/>
          <w:szCs w:val="24"/>
        </w:rPr>
        <w:t>.</w:t>
      </w:r>
    </w:p>
    <w:p w14:paraId="637E62C3" w14:textId="77777777" w:rsidR="00746ACB" w:rsidRPr="00C022EC" w:rsidRDefault="00064733" w:rsidP="000D29F8">
      <w:pPr>
        <w:pStyle w:val="Heading2"/>
        <w:spacing w:before="300" w:after="150" w:line="360" w:lineRule="auto"/>
        <w:jc w:val="both"/>
        <w:rPr>
          <w:rFonts w:ascii="Calibri" w:hAnsi="Calibri" w:cs="Calibri"/>
          <w:b/>
          <w:bCs/>
          <w:color w:val="000000" w:themeColor="text1"/>
          <w:sz w:val="24"/>
          <w:szCs w:val="24"/>
        </w:rPr>
      </w:pPr>
      <w:bookmarkStart w:id="14" w:name="_Toc237694485"/>
      <w:r w:rsidRPr="00C022EC">
        <w:rPr>
          <w:rFonts w:ascii="Calibri" w:hAnsi="Calibri" w:cs="Calibri"/>
          <w:b/>
          <w:bCs/>
          <w:color w:val="000000" w:themeColor="text1"/>
          <w:sz w:val="24"/>
          <w:szCs w:val="24"/>
        </w:rPr>
        <w:t>4.3 Platform</w:t>
      </w:r>
      <w:bookmarkEnd w:id="14"/>
    </w:p>
    <w:p w14:paraId="029FB8AC" w14:textId="77777777" w:rsidR="00746ACB" w:rsidRPr="00C022EC" w:rsidRDefault="00064733" w:rsidP="00C022EC">
      <w:pPr>
        <w:pStyle w:val="ListParagraph"/>
        <w:numPr>
          <w:ilvl w:val="0"/>
          <w:numId w:val="5"/>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Problem:</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Platform firms blur organisational boundaries between employees, contractors and third-party sellers in ways that raise classical principal-agent and accountability questions in a new institutional form, rather than making those questions disappear.</w:t>
      </w:r>
    </w:p>
    <w:p w14:paraId="447C4C31" w14:textId="77777777" w:rsidR="00746ACB" w:rsidRPr="00C022EC" w:rsidRDefault="00064733" w:rsidP="00C022EC">
      <w:pPr>
        <w:pStyle w:val="ListParagraph"/>
        <w:numPr>
          <w:ilvl w:val="0"/>
          <w:numId w:val="5"/>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lastRenderedPageBreak/>
        <w:t>Theory:</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Platform theory (Srnicek, 2017) explains how platforms govern participants they do not directly employ, using rules, algorithms and access conditions in place of the employment contract and direct supervision that classical organisation theory assumes.</w:t>
      </w:r>
    </w:p>
    <w:p w14:paraId="6F83C5FF" w14:textId="77777777" w:rsidR="00746ACB" w:rsidRPr="00C022EC" w:rsidRDefault="00064733" w:rsidP="00C022EC">
      <w:pPr>
        <w:pStyle w:val="ListParagraph"/>
        <w:numPr>
          <w:ilvl w:val="0"/>
          <w:numId w:val="5"/>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Application to Amazon:</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Amazon's Marketplace extends its effective operational boundary to third-party sellers, who are governed through algorithmic rules — search ranking, account suspension, buy-box allocation — rather than through direct employment contracts or conventional line management.</w:t>
      </w:r>
    </w:p>
    <w:p w14:paraId="2D4FC272" w14:textId="4587D4B8" w:rsidR="00746ACB" w:rsidRPr="00C022EC" w:rsidRDefault="00064733" w:rsidP="00C022EC">
      <w:pPr>
        <w:pStyle w:val="ListParagraph"/>
        <w:numPr>
          <w:ilvl w:val="0"/>
          <w:numId w:val="5"/>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Limitation:</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 xml:space="preserve">This arrangement creates accountability gaps: sellers affected by algorithmic decisions have materially more limited recourse than employees would have under traditional line management, a pattern echoed in documented disputes over search ranking and alleged self-preferencing of Amazon's own private-label products (Kalra and </w:t>
      </w:r>
      <w:proofErr w:type="spellStart"/>
      <w:r w:rsidRPr="00C022EC">
        <w:rPr>
          <w:rFonts w:ascii="Calibri" w:hAnsi="Calibri" w:cs="Calibri"/>
          <w:color w:val="000000" w:themeColor="text1"/>
          <w:sz w:val="24"/>
          <w:szCs w:val="24"/>
        </w:rPr>
        <w:t>Stecklow</w:t>
      </w:r>
      <w:proofErr w:type="spellEnd"/>
      <w:r w:rsidRPr="00C022EC">
        <w:rPr>
          <w:rFonts w:ascii="Calibri" w:hAnsi="Calibri" w:cs="Calibri"/>
          <w:color w:val="000000" w:themeColor="text1"/>
          <w:sz w:val="24"/>
          <w:szCs w:val="24"/>
        </w:rPr>
        <w:t>, 2021).</w:t>
      </w:r>
    </w:p>
    <w:p w14:paraId="67E35E29" w14:textId="3487E80A" w:rsidR="00746ACB" w:rsidRPr="00C022EC" w:rsidRDefault="00064733" w:rsidP="00C022EC">
      <w:pPr>
        <w:pStyle w:val="ListParagraph"/>
        <w:numPr>
          <w:ilvl w:val="0"/>
          <w:numId w:val="5"/>
        </w:numPr>
        <w:spacing w:after="200" w:line="360" w:lineRule="auto"/>
        <w:jc w:val="both"/>
        <w:rPr>
          <w:rFonts w:ascii="Calibri" w:hAnsi="Calibri" w:cs="Calibri"/>
          <w:color w:val="000000" w:themeColor="text1"/>
          <w:sz w:val="24"/>
          <w:szCs w:val="24"/>
        </w:rPr>
      </w:pPr>
      <w:r w:rsidRPr="00C022EC">
        <w:rPr>
          <w:rFonts w:ascii="Calibri" w:hAnsi="Calibri" w:cs="Calibri"/>
          <w:b/>
          <w:color w:val="000000" w:themeColor="text1"/>
          <w:sz w:val="24"/>
          <w:szCs w:val="24"/>
        </w:rPr>
        <w:t>Contemporary Challenge:</w:t>
      </w:r>
      <w:r w:rsidRPr="00C022EC">
        <w:rPr>
          <w:rFonts w:ascii="Calibri" w:hAnsi="Calibri" w:cs="Calibri"/>
          <w:bCs/>
          <w:color w:val="000000" w:themeColor="text1"/>
          <w:sz w:val="24"/>
          <w:szCs w:val="24"/>
        </w:rPr>
        <w:t xml:space="preserve"> </w:t>
      </w:r>
      <w:r w:rsidRPr="00C022EC">
        <w:rPr>
          <w:rFonts w:ascii="Calibri" w:hAnsi="Calibri" w:cs="Calibri"/>
          <w:color w:val="000000" w:themeColor="text1"/>
          <w:sz w:val="24"/>
          <w:szCs w:val="24"/>
        </w:rPr>
        <w:t>Regulatory responses such as the EU's Digital Markets Act are beginning to impose accountability and transparency requirements on platform governance that resemble, in practical function if not in name, the oversight traditionally provided by internal management structures.</w:t>
      </w:r>
    </w:p>
    <w:p w14:paraId="18A0476E" w14:textId="562C1449" w:rsidR="00746ACB" w:rsidRPr="00AB0C0B" w:rsidRDefault="00064733" w:rsidP="00AB0C0B">
      <w:pPr>
        <w:pStyle w:val="ListParagraph"/>
        <w:numPr>
          <w:ilvl w:val="0"/>
          <w:numId w:val="5"/>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Future Implication:</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Platform governance may increasingly be shaped by external regulation rather than by internal management choice, which would represent a genuinely new source of managerial constraint not fully anticipated by classical theory, developed within firms that did not face this kind of externally imposed platform-specific obligation.</w:t>
      </w:r>
    </w:p>
    <w:p w14:paraId="57E0F617" w14:textId="4E5CCE92" w:rsidR="00746ACB" w:rsidRPr="00AB0C0B" w:rsidRDefault="00064733" w:rsidP="00AB0C0B">
      <w:pPr>
        <w:pStyle w:val="ListParagraph"/>
        <w:numPr>
          <w:ilvl w:val="0"/>
          <w:numId w:val="5"/>
        </w:numPr>
        <w:spacing w:after="200" w:line="360" w:lineRule="auto"/>
        <w:jc w:val="both"/>
        <w:rPr>
          <w:rFonts w:ascii="Calibri" w:hAnsi="Calibri" w:cs="Calibri"/>
          <w:color w:val="000000" w:themeColor="text1"/>
          <w:sz w:val="24"/>
          <w:szCs w:val="24"/>
          <w:lang w:val="en-US"/>
        </w:rPr>
      </w:pPr>
      <w:r w:rsidRPr="00AB0C0B">
        <w:rPr>
          <w:rFonts w:ascii="Calibri" w:hAnsi="Calibri" w:cs="Calibri"/>
          <w:b/>
          <w:color w:val="000000" w:themeColor="text1"/>
          <w:sz w:val="24"/>
          <w:szCs w:val="24"/>
        </w:rPr>
        <w:t>What this shows:</w:t>
      </w:r>
      <w:r w:rsidRPr="00AB0C0B">
        <w:rPr>
          <w:rFonts w:ascii="Calibri" w:hAnsi="Calibri" w:cs="Calibri"/>
          <w:bCs/>
          <w:color w:val="000000" w:themeColor="text1"/>
          <w:sz w:val="24"/>
          <w:szCs w:val="24"/>
        </w:rPr>
        <w:t xml:space="preserve"> </w:t>
      </w:r>
      <w:r w:rsidR="00F97978" w:rsidRPr="00AB0C0B">
        <w:rPr>
          <w:rFonts w:ascii="Calibri" w:hAnsi="Calibri" w:cs="Calibri"/>
          <w:color w:val="000000" w:themeColor="text1"/>
          <w:sz w:val="24"/>
          <w:szCs w:val="24"/>
        </w:rPr>
        <w:t>The basic principal-agency problem which, according to classical organisation theory is what classical organisations were structured to resolve is a problem within platform organizations too, albeit that it has resurfaced in the relationship between the platform owner/s and non-employee users of the platform, as of writing currently with, arguably worse mechanisms of accountability than typically seen within a contractual employment arrangement.</w:t>
      </w:r>
    </w:p>
    <w:p w14:paraId="6C4DB3DC" w14:textId="77777777" w:rsidR="00746ACB" w:rsidRPr="00AB0C0B" w:rsidRDefault="00064733" w:rsidP="000D29F8">
      <w:pPr>
        <w:pStyle w:val="Heading2"/>
        <w:spacing w:before="300" w:after="150" w:line="360" w:lineRule="auto"/>
        <w:jc w:val="both"/>
        <w:rPr>
          <w:rFonts w:ascii="Calibri" w:hAnsi="Calibri" w:cs="Calibri"/>
          <w:b/>
          <w:bCs/>
          <w:color w:val="000000" w:themeColor="text1"/>
          <w:sz w:val="24"/>
          <w:szCs w:val="24"/>
        </w:rPr>
      </w:pPr>
      <w:bookmarkStart w:id="15" w:name="_Toc237694486"/>
      <w:r w:rsidRPr="00AB0C0B">
        <w:rPr>
          <w:rFonts w:ascii="Calibri" w:hAnsi="Calibri" w:cs="Calibri"/>
          <w:b/>
          <w:bCs/>
          <w:color w:val="000000" w:themeColor="text1"/>
          <w:sz w:val="24"/>
          <w:szCs w:val="24"/>
        </w:rPr>
        <w:lastRenderedPageBreak/>
        <w:t>4.4 Algorithm</w:t>
      </w:r>
      <w:bookmarkEnd w:id="15"/>
    </w:p>
    <w:p w14:paraId="7BF9E126" w14:textId="77777777" w:rsidR="00746ACB" w:rsidRPr="00AB0C0B" w:rsidRDefault="00064733" w:rsidP="00AB0C0B">
      <w:pPr>
        <w:pStyle w:val="ListParagraph"/>
        <w:numPr>
          <w:ilvl w:val="0"/>
          <w:numId w:val="6"/>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Problem:</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Algorithmic management is sometimes presented, particularly in more popular accounts, as replacing rather than merely executing traditional managerial functions, collapsing the distinction between a tool that performs a function and a system that has made the function itself obsolete.</w:t>
      </w:r>
    </w:p>
    <w:p w14:paraId="3C3F741A" w14:textId="5F7E93E1" w:rsidR="00746ACB" w:rsidRPr="00AB0C0B" w:rsidRDefault="00064733" w:rsidP="00AB0C0B">
      <w:pPr>
        <w:pStyle w:val="ListParagraph"/>
        <w:numPr>
          <w:ilvl w:val="0"/>
          <w:numId w:val="6"/>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Theory:</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Mapping algorithmic management directly against Fayol's five classical functions</w:t>
      </w:r>
      <w:r w:rsidR="00231CD6" w:rsidRPr="00AB0C0B">
        <w:rPr>
          <w:rFonts w:ascii="Calibri" w:hAnsi="Calibri" w:cs="Calibri"/>
          <w:color w:val="000000" w:themeColor="text1"/>
          <w:sz w:val="24"/>
          <w:szCs w:val="24"/>
        </w:rPr>
        <w:t>,</w:t>
      </w:r>
      <w:r w:rsidRPr="00AB0C0B">
        <w:rPr>
          <w:rFonts w:ascii="Calibri" w:hAnsi="Calibri" w:cs="Calibri"/>
          <w:color w:val="000000" w:themeColor="text1"/>
          <w:sz w:val="24"/>
          <w:szCs w:val="24"/>
        </w:rPr>
        <w:t xml:space="preserve"> planning, organising, commanding</w:t>
      </w:r>
      <w:r w:rsidR="00231CD6" w:rsidRPr="00AB0C0B">
        <w:rPr>
          <w:rFonts w:ascii="Calibri" w:hAnsi="Calibri" w:cs="Calibri"/>
          <w:color w:val="000000" w:themeColor="text1"/>
          <w:sz w:val="24"/>
          <w:szCs w:val="24"/>
        </w:rPr>
        <w:t>, coordinating and controlling</w:t>
      </w:r>
      <w:r w:rsidRPr="00AB0C0B">
        <w:rPr>
          <w:rFonts w:ascii="Calibri" w:hAnsi="Calibri" w:cs="Calibri"/>
          <w:color w:val="000000" w:themeColor="text1"/>
          <w:sz w:val="24"/>
          <w:szCs w:val="24"/>
        </w:rPr>
        <w:t xml:space="preserve"> provides a disciplined way of identifying which specific functions are genuinely automatable with current technology and which are not, rather than treating "management" as a single undifferentiated activity.</w:t>
      </w:r>
    </w:p>
    <w:p w14:paraId="6955E8AD" w14:textId="77777777" w:rsidR="00746ACB" w:rsidRPr="00AB0C0B" w:rsidRDefault="00064733" w:rsidP="00AB0C0B">
      <w:pPr>
        <w:pStyle w:val="ListParagraph"/>
        <w:numPr>
          <w:ilvl w:val="0"/>
          <w:numId w:val="6"/>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Application to Amazon:</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 xml:space="preserve">At Amazon, algorithmic systems are documented as performing planning (demand forecasting), organising (task and route allocation) and controlling (performance monitoring against defined metrics) functions within warehouse and delivery operations, drawing on the pattern of algorithmic management described more generally by Ens, </w:t>
      </w:r>
      <w:proofErr w:type="spellStart"/>
      <w:r w:rsidRPr="00AB0C0B">
        <w:rPr>
          <w:rFonts w:ascii="Calibri" w:hAnsi="Calibri" w:cs="Calibri"/>
          <w:color w:val="000000" w:themeColor="text1"/>
          <w:sz w:val="24"/>
          <w:szCs w:val="24"/>
        </w:rPr>
        <w:t>Hukal</w:t>
      </w:r>
      <w:proofErr w:type="spellEnd"/>
      <w:r w:rsidRPr="00AB0C0B">
        <w:rPr>
          <w:rFonts w:ascii="Calibri" w:hAnsi="Calibri" w:cs="Calibri"/>
          <w:color w:val="000000" w:themeColor="text1"/>
          <w:sz w:val="24"/>
          <w:szCs w:val="24"/>
        </w:rPr>
        <w:t xml:space="preserve"> and Márton (2025) and Zhou et al. (2025).</w:t>
      </w:r>
    </w:p>
    <w:p w14:paraId="1FCC2FE2" w14:textId="77777777" w:rsidR="00746ACB" w:rsidRPr="00AB0C0B" w:rsidRDefault="00064733" w:rsidP="00AB0C0B">
      <w:pPr>
        <w:pStyle w:val="ListParagraph"/>
        <w:numPr>
          <w:ilvl w:val="0"/>
          <w:numId w:val="6"/>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Limitation:</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Commanding and coordinating — functions that require judgement about ambiguous, non-routine situations and negotiation across teams with competing priorities — remain considerably harder to automate with current systems and are typically retained by human managers, meaning the automation of algorithmic management is uneven across Fayol's five functions rather than complete.</w:t>
      </w:r>
    </w:p>
    <w:p w14:paraId="7755AE51" w14:textId="6A150F8C" w:rsidR="00746ACB" w:rsidRPr="00AB0C0B" w:rsidRDefault="00064733" w:rsidP="00AB0C0B">
      <w:pPr>
        <w:pStyle w:val="ListParagraph"/>
        <w:numPr>
          <w:ilvl w:val="0"/>
          <w:numId w:val="6"/>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Contemporary Challenge:</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Regulatory and labour-relations pressure on algorithmic monitoring specifically (Zhou et al., 2025) is increasing the compliance burden attached to these systems, particularly around disclosure of the criteria used in automated performance evaluation.</w:t>
      </w:r>
    </w:p>
    <w:p w14:paraId="2D0D42A0" w14:textId="6400BA33" w:rsidR="00746ACB" w:rsidRPr="00AB0C0B" w:rsidRDefault="00064733" w:rsidP="00AB0C0B">
      <w:pPr>
        <w:pStyle w:val="ListParagraph"/>
        <w:numPr>
          <w:ilvl w:val="0"/>
          <w:numId w:val="6"/>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Future Implication:</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As generative AI extends into less routine tasks including some forms of judgement and even negotiation the boundary between automatable and non-automatable managerial functions may narrow further, and this is arguably the single strongest test of the obsolescence thesis examined anywhere in this report.</w:t>
      </w:r>
    </w:p>
    <w:p w14:paraId="70C1CEDC" w14:textId="0BE34AA2" w:rsidR="00746ACB" w:rsidRPr="00AB0C0B" w:rsidRDefault="00064733" w:rsidP="00AB0C0B">
      <w:pPr>
        <w:pStyle w:val="ListParagraph"/>
        <w:numPr>
          <w:ilvl w:val="0"/>
          <w:numId w:val="6"/>
        </w:numPr>
        <w:spacing w:after="200" w:line="360" w:lineRule="auto"/>
        <w:jc w:val="both"/>
        <w:rPr>
          <w:rFonts w:ascii="Calibri" w:hAnsi="Calibri" w:cs="Calibri"/>
          <w:color w:val="000000" w:themeColor="text1"/>
          <w:sz w:val="24"/>
          <w:szCs w:val="24"/>
          <w:lang w:val="en-US"/>
        </w:rPr>
      </w:pPr>
      <w:r w:rsidRPr="00AB0C0B">
        <w:rPr>
          <w:rFonts w:ascii="Calibri" w:hAnsi="Calibri" w:cs="Calibri"/>
          <w:b/>
          <w:color w:val="000000" w:themeColor="text1"/>
          <w:sz w:val="24"/>
          <w:szCs w:val="24"/>
        </w:rPr>
        <w:lastRenderedPageBreak/>
        <w:t>What this shows:</w:t>
      </w:r>
      <w:r w:rsidRPr="00AB0C0B">
        <w:rPr>
          <w:rFonts w:ascii="Calibri" w:hAnsi="Calibri" w:cs="Calibri"/>
          <w:bCs/>
          <w:color w:val="000000" w:themeColor="text1"/>
          <w:sz w:val="24"/>
          <w:szCs w:val="24"/>
        </w:rPr>
        <w:t xml:space="preserve"> </w:t>
      </w:r>
      <w:r w:rsidR="0069735C" w:rsidRPr="00AB0C0B">
        <w:rPr>
          <w:rFonts w:ascii="Calibri" w:hAnsi="Calibri" w:cs="Calibri"/>
          <w:color w:val="000000" w:themeColor="text1"/>
          <w:sz w:val="24"/>
          <w:szCs w:val="24"/>
        </w:rPr>
        <w:t>Robotic systems now dominate certain rule-based management tasks at Amazon, but classical management theory's view of a partition between routine and judgment-based tasks still effectively allows predictions to be made, more or less accurately, about functions that are likely to be retained by humans as this partitioning continues to drift.</w:t>
      </w:r>
    </w:p>
    <w:p w14:paraId="1CA495A6" w14:textId="77777777" w:rsidR="00746ACB" w:rsidRPr="00AB0C0B" w:rsidRDefault="00064733" w:rsidP="000D29F8">
      <w:pPr>
        <w:pStyle w:val="Heading2"/>
        <w:spacing w:before="300" w:after="150" w:line="360" w:lineRule="auto"/>
        <w:jc w:val="both"/>
        <w:rPr>
          <w:rFonts w:ascii="Calibri" w:hAnsi="Calibri" w:cs="Calibri"/>
          <w:b/>
          <w:bCs/>
          <w:color w:val="000000" w:themeColor="text1"/>
          <w:sz w:val="24"/>
          <w:szCs w:val="24"/>
        </w:rPr>
      </w:pPr>
      <w:bookmarkStart w:id="16" w:name="_Toc237694487"/>
      <w:r w:rsidRPr="00AB0C0B">
        <w:rPr>
          <w:rFonts w:ascii="Calibri" w:hAnsi="Calibri" w:cs="Calibri"/>
          <w:b/>
          <w:bCs/>
          <w:color w:val="000000" w:themeColor="text1"/>
          <w:sz w:val="24"/>
          <w:szCs w:val="24"/>
        </w:rPr>
        <w:t>4.5 Customers</w:t>
      </w:r>
      <w:bookmarkEnd w:id="16"/>
    </w:p>
    <w:p w14:paraId="710DBB99" w14:textId="7FDC0F83" w:rsidR="00746ACB" w:rsidRPr="00AB0C0B" w:rsidRDefault="00064733" w:rsidP="00AB0C0B">
      <w:pPr>
        <w:pStyle w:val="ListParagraph"/>
        <w:numPr>
          <w:ilvl w:val="0"/>
          <w:numId w:val="7"/>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Problem:</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Amazon's stated "customer obsession" and it</w:t>
      </w:r>
      <w:r w:rsidR="00B667BC">
        <w:rPr>
          <w:rFonts w:ascii="Calibri" w:hAnsi="Calibri" w:cs="Calibri"/>
          <w:color w:val="000000" w:themeColor="text1"/>
          <w:sz w:val="24"/>
          <w:szCs w:val="24"/>
        </w:rPr>
        <w:t>’</w:t>
      </w:r>
      <w:r w:rsidRPr="00AB0C0B">
        <w:rPr>
          <w:rFonts w:ascii="Calibri" w:hAnsi="Calibri" w:cs="Calibri"/>
          <w:color w:val="000000" w:themeColor="text1"/>
          <w:sz w:val="24"/>
          <w:szCs w:val="24"/>
        </w:rPr>
        <w:t>s Working Backwards method appear, on the surface, to make the customer central to organisational decision-making in a way that could plausibly be read as displacing conventional managerial authority over what gets built.</w:t>
      </w:r>
    </w:p>
    <w:p w14:paraId="36E2C28F" w14:textId="77777777" w:rsidR="00746ACB" w:rsidRPr="00AB0C0B" w:rsidRDefault="00064733" w:rsidP="00AB0C0B">
      <w:pPr>
        <w:pStyle w:val="ListParagraph"/>
        <w:numPr>
          <w:ilvl w:val="0"/>
          <w:numId w:val="7"/>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Theory:</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CATWOE treats Customers and Owners as distinct categories with different relationships to a system: Customers are those affected by or benefiting from the system, while Owners are those with the authority to change, redirect or stop it entirely.</w:t>
      </w:r>
    </w:p>
    <w:p w14:paraId="344ECA08" w14:textId="075CBD36" w:rsidR="00746ACB" w:rsidRPr="00AB0C0B" w:rsidRDefault="00064733" w:rsidP="00AB0C0B">
      <w:pPr>
        <w:pStyle w:val="ListParagraph"/>
        <w:numPr>
          <w:ilvl w:val="0"/>
          <w:numId w:val="7"/>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Application to Amazon:</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Amazon's Working Backwards process begins product development from a hypothetical customer-facing press release, giving customers considerable practical influence over what gets built and in what form, and this influence is real and worth documenting carefully.</w:t>
      </w:r>
    </w:p>
    <w:p w14:paraId="4DA965D4" w14:textId="5F7E7ABE" w:rsidR="00746ACB" w:rsidRPr="00AB0C0B" w:rsidRDefault="00064733" w:rsidP="00AB0C0B">
      <w:pPr>
        <w:pStyle w:val="ListParagraph"/>
        <w:numPr>
          <w:ilvl w:val="0"/>
          <w:numId w:val="7"/>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Limitation:</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Influence over direction is not the same as ownership, and conflating the two is a conceptual error. Customers cannot alter Amazon's organisational structure, reporting lines or resource allocation; that authority sits with the S-Team as identified in Section 3. Treating the customer as a nominal CATWOE "owner" because of Working Backwards — as an earlier draft of this report did — conflates influence with authority, and is corrected here: customers remain squarely in the Customer category, and the Owner category is reserved for those who can actually change the system.</w:t>
      </w:r>
    </w:p>
    <w:p w14:paraId="76B45672" w14:textId="3CAD396E" w:rsidR="00746ACB" w:rsidRPr="00AB0C0B" w:rsidRDefault="00064733" w:rsidP="00AB0C0B">
      <w:pPr>
        <w:pStyle w:val="ListParagraph"/>
        <w:numPr>
          <w:ilvl w:val="0"/>
          <w:numId w:val="7"/>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t>Contemporary Challenge:</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Customer-obsession rhetoric can obscure, rather than clarify, where decision authority actually sits within Amazon, which matters directly for the accountability analysis carried out in Sections 4.3 and 4.6.</w:t>
      </w:r>
    </w:p>
    <w:p w14:paraId="7F654AD9" w14:textId="77777777" w:rsidR="00746ACB" w:rsidRPr="00AB0C0B" w:rsidRDefault="00064733" w:rsidP="00AB0C0B">
      <w:pPr>
        <w:pStyle w:val="ListParagraph"/>
        <w:numPr>
          <w:ilvl w:val="0"/>
          <w:numId w:val="7"/>
        </w:numPr>
        <w:spacing w:after="200" w:line="360" w:lineRule="auto"/>
        <w:jc w:val="both"/>
        <w:rPr>
          <w:rFonts w:ascii="Calibri" w:hAnsi="Calibri" w:cs="Calibri"/>
          <w:color w:val="000000" w:themeColor="text1"/>
          <w:sz w:val="24"/>
          <w:szCs w:val="24"/>
        </w:rPr>
      </w:pPr>
      <w:r w:rsidRPr="00AB0C0B">
        <w:rPr>
          <w:rFonts w:ascii="Calibri" w:hAnsi="Calibri" w:cs="Calibri"/>
          <w:b/>
          <w:color w:val="000000" w:themeColor="text1"/>
          <w:sz w:val="24"/>
          <w:szCs w:val="24"/>
        </w:rPr>
        <w:lastRenderedPageBreak/>
        <w:t>Future Implication:</w:t>
      </w:r>
      <w:r w:rsidRPr="00AB0C0B">
        <w:rPr>
          <w:rFonts w:ascii="Calibri" w:hAnsi="Calibri" w:cs="Calibri"/>
          <w:bCs/>
          <w:color w:val="000000" w:themeColor="text1"/>
          <w:sz w:val="24"/>
          <w:szCs w:val="24"/>
        </w:rPr>
        <w:t xml:space="preserve"> </w:t>
      </w:r>
      <w:r w:rsidRPr="00AB0C0B">
        <w:rPr>
          <w:rFonts w:ascii="Calibri" w:hAnsi="Calibri" w:cs="Calibri"/>
          <w:color w:val="000000" w:themeColor="text1"/>
          <w:sz w:val="24"/>
          <w:szCs w:val="24"/>
        </w:rPr>
        <w:t>As personalisation and AI-driven recommendation deepen customer influence over specific product and service decisions, the distinction between influencing outcomes and owning structure becomes more, not less, important to maintain analytically, since the two are likely to become harder to tell apart in practice even as they remain conceptually distinct.</w:t>
      </w:r>
    </w:p>
    <w:p w14:paraId="6BF55559" w14:textId="4E5EB33B" w:rsidR="00746ACB" w:rsidRPr="00AB0C0B" w:rsidRDefault="00064733" w:rsidP="00AB0C0B">
      <w:pPr>
        <w:pStyle w:val="ListParagraph"/>
        <w:numPr>
          <w:ilvl w:val="0"/>
          <w:numId w:val="7"/>
        </w:numPr>
        <w:spacing w:after="200" w:line="360" w:lineRule="auto"/>
        <w:jc w:val="both"/>
        <w:rPr>
          <w:rFonts w:ascii="Calibri" w:hAnsi="Calibri" w:cs="Calibri"/>
          <w:color w:val="000000" w:themeColor="text1"/>
          <w:sz w:val="24"/>
          <w:szCs w:val="24"/>
          <w:lang w:val="en-US"/>
        </w:rPr>
      </w:pPr>
      <w:r w:rsidRPr="00AB0C0B">
        <w:rPr>
          <w:rFonts w:ascii="Calibri" w:hAnsi="Calibri" w:cs="Calibri"/>
          <w:b/>
          <w:color w:val="000000" w:themeColor="text1"/>
          <w:sz w:val="24"/>
          <w:szCs w:val="24"/>
        </w:rPr>
        <w:t>What this shows:</w:t>
      </w:r>
      <w:r w:rsidRPr="00AB0C0B">
        <w:rPr>
          <w:rFonts w:ascii="Calibri" w:hAnsi="Calibri" w:cs="Calibri"/>
          <w:bCs/>
          <w:color w:val="000000" w:themeColor="text1"/>
          <w:sz w:val="24"/>
          <w:szCs w:val="24"/>
        </w:rPr>
        <w:t xml:space="preserve"> </w:t>
      </w:r>
      <w:r w:rsidR="00B17043" w:rsidRPr="00AB0C0B">
        <w:rPr>
          <w:rFonts w:ascii="Calibri" w:hAnsi="Calibri" w:cs="Calibri"/>
          <w:color w:val="000000" w:themeColor="text1"/>
          <w:sz w:val="24"/>
          <w:szCs w:val="24"/>
        </w:rPr>
        <w:t>Yes,</w:t>
      </w:r>
      <w:r w:rsidR="006C2CE0" w:rsidRPr="00AB0C0B">
        <w:rPr>
          <w:rFonts w:ascii="Calibri" w:hAnsi="Calibri" w:cs="Calibri"/>
          <w:color w:val="000000" w:themeColor="text1"/>
          <w:sz w:val="24"/>
          <w:szCs w:val="24"/>
        </w:rPr>
        <w:t xml:space="preserve"> Amazon's customer input into decisions has undeniably risen since Working Backwards, yet CATWOE ownership</w:t>
      </w:r>
      <w:r w:rsidR="00D750C5" w:rsidRPr="00AB0C0B">
        <w:rPr>
          <w:rFonts w:ascii="Calibri" w:hAnsi="Calibri" w:cs="Calibri"/>
          <w:color w:val="000000" w:themeColor="text1"/>
          <w:sz w:val="24"/>
          <w:szCs w:val="24"/>
          <w:lang w:val="en-US"/>
        </w:rPr>
        <w:t xml:space="preserve">, </w:t>
      </w:r>
      <w:r w:rsidR="006C2CE0" w:rsidRPr="00AB0C0B">
        <w:rPr>
          <w:rFonts w:ascii="Calibri" w:hAnsi="Calibri" w:cs="Calibri"/>
          <w:color w:val="000000" w:themeColor="text1"/>
          <w:sz w:val="24"/>
          <w:szCs w:val="24"/>
        </w:rPr>
        <w:t>and hence the standard management right to run the show through controlling structure and the flow of resources</w:t>
      </w:r>
      <w:r w:rsidR="006C2CE0" w:rsidRPr="00AB0C0B">
        <w:rPr>
          <w:rFonts w:ascii="Calibri" w:hAnsi="Calibri" w:cs="Calibri"/>
          <w:color w:val="000000" w:themeColor="text1"/>
          <w:sz w:val="24"/>
          <w:szCs w:val="24"/>
          <w:lang w:val="en-US"/>
        </w:rPr>
        <w:t xml:space="preserve">, </w:t>
      </w:r>
      <w:r w:rsidR="006C2CE0" w:rsidRPr="00AB0C0B">
        <w:rPr>
          <w:rFonts w:ascii="Calibri" w:hAnsi="Calibri" w:cs="Calibri"/>
          <w:color w:val="000000" w:themeColor="text1"/>
          <w:sz w:val="24"/>
          <w:szCs w:val="24"/>
        </w:rPr>
        <w:t>has not transferred to the customer</w:t>
      </w:r>
      <w:r w:rsidR="006C2CE0" w:rsidRPr="00AB0C0B">
        <w:rPr>
          <w:rFonts w:ascii="Calibri" w:hAnsi="Calibri" w:cs="Calibri"/>
          <w:color w:val="000000" w:themeColor="text1"/>
          <w:sz w:val="24"/>
          <w:szCs w:val="24"/>
          <w:lang w:val="en-US"/>
        </w:rPr>
        <w:t>.</w:t>
      </w:r>
    </w:p>
    <w:p w14:paraId="3DD8348A" w14:textId="77777777" w:rsidR="00746ACB" w:rsidRPr="00996A1C" w:rsidRDefault="00064733" w:rsidP="000D29F8">
      <w:pPr>
        <w:pStyle w:val="Heading2"/>
        <w:spacing w:before="300" w:after="150" w:line="360" w:lineRule="auto"/>
        <w:jc w:val="both"/>
        <w:rPr>
          <w:rFonts w:ascii="Calibri" w:hAnsi="Calibri" w:cs="Calibri"/>
          <w:b/>
          <w:bCs/>
          <w:color w:val="000000" w:themeColor="text1"/>
          <w:sz w:val="24"/>
          <w:szCs w:val="24"/>
        </w:rPr>
      </w:pPr>
      <w:bookmarkStart w:id="17" w:name="_Toc237694488"/>
      <w:r w:rsidRPr="00996A1C">
        <w:rPr>
          <w:rFonts w:ascii="Calibri" w:hAnsi="Calibri" w:cs="Calibri"/>
          <w:b/>
          <w:bCs/>
          <w:color w:val="000000" w:themeColor="text1"/>
          <w:sz w:val="24"/>
          <w:szCs w:val="24"/>
        </w:rPr>
        <w:t>4.6 Power</w:t>
      </w:r>
      <w:bookmarkEnd w:id="17"/>
    </w:p>
    <w:p w14:paraId="2A6459B1" w14:textId="77777777" w:rsidR="00746ACB" w:rsidRPr="00996A1C" w:rsidRDefault="00064733" w:rsidP="00996A1C">
      <w:pPr>
        <w:pStyle w:val="ListParagraph"/>
        <w:numPr>
          <w:ilvl w:val="0"/>
          <w:numId w:val="8"/>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Problem:</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Digitalisation is often described in a single breath as simultaneously decentralising and concentrating power, a description that needs to be unpacked rather than accepted as a coherent single phenomenon, since decentralisation and concentration cannot both be true of the same thing at the same time without further specification of what is being decentralised or concentrated.</w:t>
      </w:r>
    </w:p>
    <w:p w14:paraId="66D1A0AF" w14:textId="77777777" w:rsidR="00746ACB" w:rsidRPr="00996A1C" w:rsidRDefault="00064733" w:rsidP="00996A1C">
      <w:pPr>
        <w:pStyle w:val="ListParagraph"/>
        <w:numPr>
          <w:ilvl w:val="0"/>
          <w:numId w:val="8"/>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Theory:</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This report distinguishes five related but conceptually separate forms of power that were treated almost interchangeably in the earlier draft: authority (the formally sanctioned right to decide), managerial control (oversight of task execution), platform power (control over market access and visibility for third parties), informational power (control over data that others depend on), and algorithmic control (automated enforcement of rules without direct human involvement in individual cases).</w:t>
      </w:r>
    </w:p>
    <w:p w14:paraId="130E3B0F" w14:textId="5455F6E9" w:rsidR="00746ACB" w:rsidRPr="00996A1C" w:rsidRDefault="00064733" w:rsidP="00996A1C">
      <w:pPr>
        <w:pStyle w:val="ListParagraph"/>
        <w:numPr>
          <w:ilvl w:val="0"/>
          <w:numId w:val="8"/>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Application to Amazon:</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At Amazon, Single-Threaded Ownership decentralises day-to-day authority and managerial control to small, autonomous teams, each responsible for a defined initiative a genuine decentralisation at the operational level. At the same time, platform power, informational power and algorithmic control over the Marketplace remain firmly centralised at the firm level, exercised through search-ranking algorithms, data infrastructure, and platform terms of service that individual teams do not control.</w:t>
      </w:r>
    </w:p>
    <w:p w14:paraId="23FC6DFE" w14:textId="4D2612AC" w:rsidR="00746ACB" w:rsidRPr="00996A1C" w:rsidRDefault="00064733" w:rsidP="00996A1C">
      <w:pPr>
        <w:pStyle w:val="ListParagraph"/>
        <w:numPr>
          <w:ilvl w:val="0"/>
          <w:numId w:val="8"/>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lastRenderedPageBreak/>
        <w:t>Limitation:</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Treating these five forms of power as interchangeable, as earlier drafts of several seven-lens sections sometimes did, obscures the fact that decentralisation at one level (team-level operational authority) can coexist comfortably with concentration at another level (platform and informational power) the two are not in tension because they concern different things.</w:t>
      </w:r>
    </w:p>
    <w:p w14:paraId="26145DF3" w14:textId="77777777" w:rsidR="00746ACB" w:rsidRPr="00996A1C" w:rsidRDefault="00064733" w:rsidP="00996A1C">
      <w:pPr>
        <w:pStyle w:val="ListParagraph"/>
        <w:numPr>
          <w:ilvl w:val="0"/>
          <w:numId w:val="8"/>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Contemporary Challenge:</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 xml:space="preserve">Regulatory scrutiny, including the DMA and the findings reported by Kalra and </w:t>
      </w:r>
      <w:proofErr w:type="spellStart"/>
      <w:r w:rsidRPr="00996A1C">
        <w:rPr>
          <w:rFonts w:ascii="Calibri" w:hAnsi="Calibri" w:cs="Calibri"/>
          <w:color w:val="000000" w:themeColor="text1"/>
          <w:sz w:val="24"/>
          <w:szCs w:val="24"/>
        </w:rPr>
        <w:t>Stecklow</w:t>
      </w:r>
      <w:proofErr w:type="spellEnd"/>
      <w:r w:rsidRPr="00996A1C">
        <w:rPr>
          <w:rFonts w:ascii="Calibri" w:hAnsi="Calibri" w:cs="Calibri"/>
          <w:color w:val="000000" w:themeColor="text1"/>
          <w:sz w:val="24"/>
          <w:szCs w:val="24"/>
        </w:rPr>
        <w:t xml:space="preserve"> (2021), is directed specifically at platform and informational power, not at Amazon's internal team-level authority structures — a distinction this report's power analysis needed to make explicit but did not in the earlier draft.</w:t>
      </w:r>
    </w:p>
    <w:p w14:paraId="7665015A" w14:textId="77777777" w:rsidR="00746ACB" w:rsidRPr="00996A1C" w:rsidRDefault="00064733" w:rsidP="00996A1C">
      <w:pPr>
        <w:pStyle w:val="ListParagraph"/>
        <w:numPr>
          <w:ilvl w:val="0"/>
          <w:numId w:val="8"/>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Future Implication:</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As AI systems increasingly mediate both internal coordination and external marketplace governance, informational and algorithmic power are likely to become more, not less, concentrated even as operational authority continues to decentralise further under STO-style models, widening rather than narrowing the gap between these two trajectories.</w:t>
      </w:r>
    </w:p>
    <w:p w14:paraId="1BF1BDE1" w14:textId="2306855A" w:rsidR="00746ACB" w:rsidRPr="00996A1C" w:rsidRDefault="00064733" w:rsidP="00996A1C">
      <w:pPr>
        <w:pStyle w:val="ListParagraph"/>
        <w:numPr>
          <w:ilvl w:val="0"/>
          <w:numId w:val="8"/>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What this shows:</w:t>
      </w:r>
      <w:r w:rsidR="00D750C5" w:rsidRPr="00996A1C">
        <w:rPr>
          <w:rFonts w:ascii="Calibri" w:hAnsi="Calibri" w:cs="Calibri"/>
          <w:bCs/>
          <w:color w:val="000000" w:themeColor="text1"/>
          <w:sz w:val="24"/>
          <w:szCs w:val="24"/>
          <w:lang w:val="en-US"/>
        </w:rPr>
        <w:t xml:space="preserve"> </w:t>
      </w:r>
      <w:r w:rsidR="00D750C5" w:rsidRPr="00996A1C">
        <w:rPr>
          <w:rFonts w:ascii="Calibri" w:hAnsi="Calibri" w:cs="Calibri"/>
          <w:color w:val="000000" w:themeColor="text1"/>
          <w:sz w:val="24"/>
          <w:szCs w:val="24"/>
        </w:rPr>
        <w:t xml:space="preserve">At the organizational level too, power has not merely decentralised, nor merely centralised at Amazon, but different manifestations of power </w:t>
      </w:r>
      <w:proofErr w:type="gramStart"/>
      <w:r w:rsidR="00D750C5" w:rsidRPr="00996A1C">
        <w:rPr>
          <w:rFonts w:ascii="Calibri" w:hAnsi="Calibri" w:cs="Calibri"/>
          <w:color w:val="000000" w:themeColor="text1"/>
          <w:sz w:val="24"/>
          <w:szCs w:val="24"/>
        </w:rPr>
        <w:t>has</w:t>
      </w:r>
      <w:proofErr w:type="gramEnd"/>
      <w:r w:rsidR="00D750C5" w:rsidRPr="00996A1C">
        <w:rPr>
          <w:rFonts w:ascii="Calibri" w:hAnsi="Calibri" w:cs="Calibri"/>
          <w:color w:val="000000" w:themeColor="text1"/>
          <w:sz w:val="24"/>
          <w:szCs w:val="24"/>
        </w:rPr>
        <w:t xml:space="preserve"> simultaneously moved in opposite directions in ways that alone, the classical 'singular-</w:t>
      </w:r>
      <w:proofErr w:type="spellStart"/>
      <w:r w:rsidR="00D750C5" w:rsidRPr="00996A1C">
        <w:rPr>
          <w:rFonts w:ascii="Calibri" w:hAnsi="Calibri" w:cs="Calibri"/>
          <w:color w:val="000000" w:themeColor="text1"/>
          <w:sz w:val="24"/>
          <w:szCs w:val="24"/>
        </w:rPr>
        <w:t>center</w:t>
      </w:r>
      <w:proofErr w:type="spellEnd"/>
      <w:r w:rsidR="00D750C5" w:rsidRPr="00996A1C">
        <w:rPr>
          <w:rFonts w:ascii="Calibri" w:hAnsi="Calibri" w:cs="Calibri"/>
          <w:color w:val="000000" w:themeColor="text1"/>
          <w:sz w:val="24"/>
          <w:szCs w:val="24"/>
        </w:rPr>
        <w:t>' theories of managerial authority. Cannot be used to account for alone</w:t>
      </w:r>
      <w:r w:rsidRPr="00996A1C">
        <w:rPr>
          <w:rFonts w:ascii="Calibri" w:hAnsi="Calibri" w:cs="Calibri"/>
          <w:color w:val="000000" w:themeColor="text1"/>
          <w:sz w:val="24"/>
          <w:szCs w:val="24"/>
        </w:rPr>
        <w:t>.</w:t>
      </w:r>
    </w:p>
    <w:p w14:paraId="240E0EAC" w14:textId="77777777" w:rsidR="00746ACB" w:rsidRPr="00996A1C" w:rsidRDefault="00064733" w:rsidP="000D29F8">
      <w:pPr>
        <w:pStyle w:val="Heading2"/>
        <w:spacing w:before="300" w:after="150" w:line="360" w:lineRule="auto"/>
        <w:jc w:val="both"/>
        <w:rPr>
          <w:rFonts w:ascii="Calibri" w:hAnsi="Calibri" w:cs="Calibri"/>
          <w:b/>
          <w:bCs/>
          <w:color w:val="000000" w:themeColor="text1"/>
          <w:sz w:val="24"/>
          <w:szCs w:val="24"/>
        </w:rPr>
      </w:pPr>
      <w:bookmarkStart w:id="18" w:name="_Toc237694489"/>
      <w:r w:rsidRPr="00996A1C">
        <w:rPr>
          <w:rFonts w:ascii="Calibri" w:hAnsi="Calibri" w:cs="Calibri"/>
          <w:b/>
          <w:bCs/>
          <w:color w:val="000000" w:themeColor="text1"/>
          <w:sz w:val="24"/>
          <w:szCs w:val="24"/>
        </w:rPr>
        <w:t>4.7 Trust</w:t>
      </w:r>
      <w:bookmarkEnd w:id="18"/>
    </w:p>
    <w:p w14:paraId="4A559D39" w14:textId="77777777" w:rsidR="00746ACB" w:rsidRPr="00996A1C" w:rsidRDefault="00064733" w:rsidP="00996A1C">
      <w:pPr>
        <w:pStyle w:val="ListParagraph"/>
        <w:numPr>
          <w:ilvl w:val="0"/>
          <w:numId w:val="9"/>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Problem:</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Digital mediation is argued to change how trust is built and maintained, both between Amazon and its customers (external trust) and between Amazon and its workforce (internal trust), and these two forms of trust are analytically distinct even though they are sometimes discussed together.</w:t>
      </w:r>
    </w:p>
    <w:p w14:paraId="517D6B26" w14:textId="77777777" w:rsidR="00746ACB" w:rsidRPr="00996A1C" w:rsidRDefault="00064733" w:rsidP="00996A1C">
      <w:pPr>
        <w:pStyle w:val="ListParagraph"/>
        <w:numPr>
          <w:ilvl w:val="0"/>
          <w:numId w:val="9"/>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Theory:</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 xml:space="preserve">This report uses Papadopoulou and </w:t>
      </w:r>
      <w:proofErr w:type="spellStart"/>
      <w:r w:rsidRPr="00996A1C">
        <w:rPr>
          <w:rFonts w:ascii="Calibri" w:hAnsi="Calibri" w:cs="Calibri"/>
          <w:color w:val="000000" w:themeColor="text1"/>
          <w:sz w:val="24"/>
          <w:szCs w:val="24"/>
        </w:rPr>
        <w:t>Martakos's</w:t>
      </w:r>
      <w:proofErr w:type="spellEnd"/>
      <w:r w:rsidRPr="00996A1C">
        <w:rPr>
          <w:rFonts w:ascii="Calibri" w:hAnsi="Calibri" w:cs="Calibri"/>
          <w:color w:val="000000" w:themeColor="text1"/>
          <w:sz w:val="24"/>
          <w:szCs w:val="24"/>
        </w:rPr>
        <w:t xml:space="preserve"> (2008) e-commerce trust model as its primary framework, given its direct relevance to customer-facing trust, supplemented by Soleimani (2021) on buyer trust and mistrust specifically and Choung, David and Ross (2022) on trust in AI systems more generally — the same combination of sources used consistently in Section 2.5, resolving an earlier </w:t>
      </w:r>
      <w:r w:rsidRPr="00996A1C">
        <w:rPr>
          <w:rFonts w:ascii="Calibri" w:hAnsi="Calibri" w:cs="Calibri"/>
          <w:color w:val="000000" w:themeColor="text1"/>
          <w:sz w:val="24"/>
          <w:szCs w:val="24"/>
        </w:rPr>
        <w:lastRenderedPageBreak/>
        <w:t>inconsistency where that section referenced one combination of authors and this section referenced a different, partly overlapping set including a model not present in the reference list at all.</w:t>
      </w:r>
    </w:p>
    <w:p w14:paraId="538469AB" w14:textId="77777777" w:rsidR="00746ACB" w:rsidRPr="00996A1C" w:rsidRDefault="00064733" w:rsidP="00996A1C">
      <w:pPr>
        <w:pStyle w:val="ListParagraph"/>
        <w:numPr>
          <w:ilvl w:val="0"/>
          <w:numId w:val="9"/>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Application to Amazon:</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Externally, trust is built through customer review systems, buyer protection guarantees and algorithmically curated recommendations that customers can inspect, at least partially, through visible ratings and scores. Internally, trust is affected by the transparency or opacity of algorithmic performance monitoring in warehouse and delivery operations, where the criteria being applied are typically far less visible to the person being evaluated.</w:t>
      </w:r>
    </w:p>
    <w:p w14:paraId="19D6AF4C" w14:textId="77777777" w:rsidR="00746ACB" w:rsidRPr="00996A1C" w:rsidRDefault="00064733" w:rsidP="00996A1C">
      <w:pPr>
        <w:pStyle w:val="ListParagraph"/>
        <w:numPr>
          <w:ilvl w:val="0"/>
          <w:numId w:val="9"/>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Limitation:</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Algorithmically mediated trust is therefore asymmetric in a specific, identifiable way: customers can see review scores and delivery guarantees and can act on that information, but workers subject to algorithmic monitoring typically cannot see the criteria by which they are being evaluated — a gap not fully captured by e-commerce-specific trust models alone, since those models were developed primarily with the customer relationship in mind.</w:t>
      </w:r>
    </w:p>
    <w:p w14:paraId="5C0FB8D8" w14:textId="77777777" w:rsidR="00746ACB" w:rsidRPr="00996A1C" w:rsidRDefault="00064733" w:rsidP="00996A1C">
      <w:pPr>
        <w:pStyle w:val="ListParagraph"/>
        <w:numPr>
          <w:ilvl w:val="0"/>
          <w:numId w:val="9"/>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Contemporary Challenge:</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Workforce organising activity in some Amazon facilities has been linked, in secondary reporting, to this internal trust gap, though this report treats that link as a proposition requiring direct, primary sourcing rather than as an established finding, consistent with the evidentiary caution set out in Section 1.2.</w:t>
      </w:r>
    </w:p>
    <w:p w14:paraId="6233262F" w14:textId="77777777" w:rsidR="00746ACB" w:rsidRPr="00996A1C" w:rsidRDefault="00064733" w:rsidP="00996A1C">
      <w:pPr>
        <w:pStyle w:val="ListParagraph"/>
        <w:numPr>
          <w:ilvl w:val="0"/>
          <w:numId w:val="9"/>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Future Implication:</w:t>
      </w:r>
      <w:r w:rsidRPr="00996A1C">
        <w:rPr>
          <w:rFonts w:ascii="Calibri" w:hAnsi="Calibri" w:cs="Calibri"/>
          <w:bCs/>
          <w:color w:val="000000" w:themeColor="text1"/>
          <w:sz w:val="24"/>
          <w:szCs w:val="24"/>
        </w:rPr>
        <w:t xml:space="preserve"> </w:t>
      </w:r>
      <w:r w:rsidRPr="00996A1C">
        <w:rPr>
          <w:rFonts w:ascii="Calibri" w:hAnsi="Calibri" w:cs="Calibri"/>
          <w:color w:val="000000" w:themeColor="text1"/>
          <w:sz w:val="24"/>
          <w:szCs w:val="24"/>
        </w:rPr>
        <w:t>As algorithmic management expands further, internal trust may require a theoretical treatment distinct from external e-commerce trust, since the two involve fundamentally different power relationships between the trustor and the system — a customer can walk away from a platform relatively easily, while a warehouse worker's relationship to algorithmic monitoring is embedded in an employment relationship with much higher switching costs.</w:t>
      </w:r>
    </w:p>
    <w:p w14:paraId="5F4CD29B" w14:textId="4220018A" w:rsidR="00746ACB" w:rsidRPr="00996A1C" w:rsidRDefault="00064733" w:rsidP="00996A1C">
      <w:pPr>
        <w:pStyle w:val="ListParagraph"/>
        <w:numPr>
          <w:ilvl w:val="0"/>
          <w:numId w:val="9"/>
        </w:numPr>
        <w:spacing w:after="200" w:line="360" w:lineRule="auto"/>
        <w:jc w:val="both"/>
        <w:rPr>
          <w:rFonts w:ascii="Calibri" w:hAnsi="Calibri" w:cs="Calibri"/>
          <w:color w:val="000000" w:themeColor="text1"/>
          <w:sz w:val="24"/>
          <w:szCs w:val="24"/>
        </w:rPr>
      </w:pPr>
      <w:r w:rsidRPr="00996A1C">
        <w:rPr>
          <w:rFonts w:ascii="Calibri" w:hAnsi="Calibri" w:cs="Calibri"/>
          <w:b/>
          <w:color w:val="000000" w:themeColor="text1"/>
          <w:sz w:val="24"/>
          <w:szCs w:val="24"/>
        </w:rPr>
        <w:t>What this shows:</w:t>
      </w:r>
      <w:r w:rsidRPr="00996A1C">
        <w:rPr>
          <w:rFonts w:ascii="Calibri" w:hAnsi="Calibri" w:cs="Calibri"/>
          <w:bCs/>
          <w:color w:val="000000" w:themeColor="text1"/>
          <w:sz w:val="24"/>
          <w:szCs w:val="24"/>
        </w:rPr>
        <w:t xml:space="preserve"> </w:t>
      </w:r>
      <w:r w:rsidR="0027468C" w:rsidRPr="00996A1C">
        <w:rPr>
          <w:rFonts w:ascii="Calibri" w:hAnsi="Calibri" w:cs="Calibri"/>
          <w:color w:val="000000" w:themeColor="text1"/>
          <w:sz w:val="24"/>
          <w:szCs w:val="24"/>
        </w:rPr>
        <w:t xml:space="preserve">The external, customer-facing trusts are fairly successfully mediated digitally at Amazon: far less theorisation about the internal, workforce-facing trust has been encountered within the literature reviewed here; it seems here that </w:t>
      </w:r>
      <w:r w:rsidR="0027468C" w:rsidRPr="00996A1C">
        <w:rPr>
          <w:rFonts w:ascii="Calibri" w:hAnsi="Calibri" w:cs="Calibri"/>
          <w:color w:val="000000" w:themeColor="text1"/>
          <w:sz w:val="24"/>
          <w:szCs w:val="24"/>
        </w:rPr>
        <w:lastRenderedPageBreak/>
        <w:t>management theory’s enduring quest for legitimacy and justice in authority deployment is as unresolved as ever</w:t>
      </w:r>
      <w:r w:rsidRPr="00996A1C">
        <w:rPr>
          <w:rFonts w:ascii="Calibri" w:hAnsi="Calibri" w:cs="Calibri"/>
          <w:color w:val="000000" w:themeColor="text1"/>
          <w:sz w:val="24"/>
          <w:szCs w:val="24"/>
        </w:rPr>
        <w:t>.</w:t>
      </w:r>
    </w:p>
    <w:p w14:paraId="0E12C05B" w14:textId="77777777" w:rsidR="00746ACB" w:rsidRPr="00996A1C" w:rsidRDefault="00064733" w:rsidP="000D29F8">
      <w:pPr>
        <w:pStyle w:val="Heading1"/>
        <w:spacing w:before="400" w:after="200" w:line="360" w:lineRule="auto"/>
        <w:jc w:val="both"/>
        <w:rPr>
          <w:rFonts w:ascii="Calibri" w:hAnsi="Calibri" w:cs="Calibri"/>
          <w:b/>
          <w:bCs/>
          <w:color w:val="000000" w:themeColor="text1"/>
          <w:sz w:val="24"/>
          <w:szCs w:val="24"/>
        </w:rPr>
      </w:pPr>
      <w:bookmarkStart w:id="19" w:name="_Toc237694490"/>
      <w:r w:rsidRPr="00996A1C">
        <w:rPr>
          <w:rFonts w:ascii="Calibri" w:hAnsi="Calibri" w:cs="Calibri"/>
          <w:b/>
          <w:bCs/>
          <w:color w:val="000000" w:themeColor="text1"/>
          <w:sz w:val="24"/>
          <w:szCs w:val="24"/>
        </w:rPr>
        <w:t>5. The Evolution of Amazon's Management Strategy Over Time</w:t>
      </w:r>
      <w:bookmarkEnd w:id="19"/>
    </w:p>
    <w:p w14:paraId="7FF262D2" w14:textId="77777777" w:rsidR="00746ACB" w:rsidRPr="00315713" w:rsidRDefault="00064733" w:rsidP="000D29F8">
      <w:pPr>
        <w:pStyle w:val="Heading3"/>
        <w:spacing w:before="200" w:after="120" w:line="360" w:lineRule="auto"/>
        <w:jc w:val="both"/>
        <w:rPr>
          <w:rFonts w:ascii="Calibri" w:hAnsi="Calibri" w:cs="Calibri"/>
          <w:b/>
          <w:bCs/>
          <w:color w:val="000000" w:themeColor="text1"/>
        </w:rPr>
      </w:pPr>
      <w:bookmarkStart w:id="20" w:name="_Toc237694491"/>
      <w:r w:rsidRPr="00315713">
        <w:rPr>
          <w:rFonts w:ascii="Calibri" w:hAnsi="Calibri" w:cs="Calibri"/>
          <w:b/>
          <w:bCs/>
          <w:color w:val="000000" w:themeColor="text1"/>
        </w:rPr>
        <w:t>Phase 1 — Functional Hierarchy (1994 to the early 2000s)</w:t>
      </w:r>
      <w:bookmarkEnd w:id="20"/>
    </w:p>
    <w:p w14:paraId="10C5FD11" w14:textId="35AD2D19"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Amazon began as a conventionally structured retailer with functional departments merchandising, operations, technology coordinated through a fairly standard managerial hierarchy. This is consistent with what classical and contingency theory would predict for a firm of Amazon's size and task complexity at the time: a young, single-product-category retailer did not yet face the coordination problems that later structural changes were designed to solve, and its structure reflected that.</w:t>
      </w:r>
    </w:p>
    <w:p w14:paraId="168A30E6" w14:textId="77777777" w:rsidR="00746ACB" w:rsidRPr="00315713" w:rsidRDefault="00064733" w:rsidP="000D29F8">
      <w:pPr>
        <w:pStyle w:val="Heading3"/>
        <w:spacing w:before="200" w:after="120" w:line="360" w:lineRule="auto"/>
        <w:jc w:val="both"/>
        <w:rPr>
          <w:rFonts w:ascii="Calibri" w:hAnsi="Calibri" w:cs="Calibri"/>
          <w:b/>
          <w:bCs/>
          <w:color w:val="000000" w:themeColor="text1"/>
        </w:rPr>
      </w:pPr>
      <w:bookmarkStart w:id="21" w:name="_Toc237694492"/>
      <w:r w:rsidRPr="00315713">
        <w:rPr>
          <w:rFonts w:ascii="Calibri" w:hAnsi="Calibri" w:cs="Calibri"/>
          <w:b/>
          <w:bCs/>
          <w:color w:val="000000" w:themeColor="text1"/>
        </w:rPr>
        <w:t>Phase 2 — Service-Oriented Decentralisation (mid-2000s)</w:t>
      </w:r>
      <w:bookmarkEnd w:id="21"/>
    </w:p>
    <w:p w14:paraId="4E82921D" w14:textId="0FC0378A"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The internal API mandate requiring internal teams to expose their functionality through defined service interfaces rather than through direct, ad hoc access to one another's systems and data restructured internal coordination from department-based hierarchy toward service contracts between small teams. This is the clearest single piece of evidence for the network-structure change discussed in Section 4.1, and it later enabled Amazon Web Services to be offered externally as a commercial product, since the internal service architecture was, in effect, already built to be consumed by parties outside the immediate team.</w:t>
      </w:r>
    </w:p>
    <w:p w14:paraId="022C42F9" w14:textId="77777777" w:rsidR="00746ACB" w:rsidRPr="00315713" w:rsidRDefault="00064733" w:rsidP="000D29F8">
      <w:pPr>
        <w:pStyle w:val="Heading3"/>
        <w:spacing w:before="200" w:after="120" w:line="360" w:lineRule="auto"/>
        <w:jc w:val="both"/>
        <w:rPr>
          <w:rFonts w:ascii="Calibri" w:hAnsi="Calibri" w:cs="Calibri"/>
          <w:b/>
          <w:bCs/>
          <w:color w:val="000000" w:themeColor="text1"/>
        </w:rPr>
      </w:pPr>
      <w:bookmarkStart w:id="22" w:name="_Toc237694493"/>
      <w:r w:rsidRPr="00315713">
        <w:rPr>
          <w:rFonts w:ascii="Calibri" w:hAnsi="Calibri" w:cs="Calibri"/>
          <w:b/>
          <w:bCs/>
          <w:color w:val="000000" w:themeColor="text1"/>
        </w:rPr>
        <w:t>Phase 3 — Single-Threaded Ownership and Two-Pizza Teams (2010s)</w:t>
      </w:r>
      <w:bookmarkEnd w:id="22"/>
    </w:p>
    <w:p w14:paraId="7711F52A" w14:textId="36AE552E"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Building on the service-oriented architecture established in Phase 2, Amazon formalised small, autonomously accountable teams under Single-Threaded Ownership, with a single owner responsible end-to-end for a defined initiative. Team size was kept deliberately small famously, small enough to be fed by two pizzas on the theory that smaller teams reduce communication overhead and cross-team dependency, and in principle reduce the number of sign-off layers a decision must pass through before being acted on.</w:t>
      </w:r>
    </w:p>
    <w:p w14:paraId="06F73AA2" w14:textId="77777777" w:rsidR="00746ACB" w:rsidRPr="00315713" w:rsidRDefault="00064733" w:rsidP="000D29F8">
      <w:pPr>
        <w:pStyle w:val="Heading3"/>
        <w:spacing w:before="200" w:after="120" w:line="360" w:lineRule="auto"/>
        <w:jc w:val="both"/>
        <w:rPr>
          <w:rFonts w:ascii="Calibri" w:hAnsi="Calibri" w:cs="Calibri"/>
          <w:b/>
          <w:bCs/>
          <w:color w:val="000000" w:themeColor="text1"/>
        </w:rPr>
      </w:pPr>
      <w:bookmarkStart w:id="23" w:name="_Toc237694494"/>
      <w:r w:rsidRPr="00315713">
        <w:rPr>
          <w:rFonts w:ascii="Calibri" w:hAnsi="Calibri" w:cs="Calibri"/>
          <w:b/>
          <w:bCs/>
          <w:color w:val="000000" w:themeColor="text1"/>
        </w:rPr>
        <w:t>Phase 4 — Algorithmic and AI-Augmented Coordination (2020s to present)</w:t>
      </w:r>
      <w:bookmarkEnd w:id="23"/>
    </w:p>
    <w:p w14:paraId="55911252" w14:textId="3F376784" w:rsidR="00746ACB" w:rsidRPr="00B51B4C" w:rsidRDefault="002D4EB0"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The latter phase involves AI forecasting, routing, and- in a few well-known examples- reduction of management levels, generalizing the algorithmic management trend discussed </w:t>
      </w:r>
      <w:r w:rsidRPr="00B51B4C">
        <w:rPr>
          <w:rFonts w:ascii="Calibri" w:hAnsi="Calibri" w:cs="Calibri"/>
          <w:color w:val="000000" w:themeColor="text1"/>
          <w:sz w:val="24"/>
          <w:szCs w:val="24"/>
        </w:rPr>
        <w:lastRenderedPageBreak/>
        <w:t>in Section 4.4 into a fundamental reorientation of the strategy by the firm of how it will be run. This phase is the most speculative of the four- the one about which the least evidence currently exists in the research discussed here and it includes what are undoubtedly the most current claims - such as that made of a reduction in levels of management by AI. The reader should take particular note that direct dated primary sources of information rather than merely commentary on that evidence would still be required before it would be considered sufficiently finished.</w:t>
      </w:r>
    </w:p>
    <w:p w14:paraId="3978B9D8" w14:textId="5D3D132D"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Across all four phases, this report's interpretation is that the underlying managerial functions allocating labour, coordinating dependent tasks, controlling quality and cost persist throughout; what changes between phases is the mechanism performing them, moving in sequence from human hierarchy, to service architecture, to small-team ownership, and now to algorithmic systems operating alongside human managers rather than fully replacing them.</w:t>
      </w:r>
    </w:p>
    <w:p w14:paraId="677E5614" w14:textId="77777777" w:rsidR="00746ACB" w:rsidRPr="00B51B4C" w:rsidRDefault="00064733" w:rsidP="000D29F8">
      <w:pPr>
        <w:pStyle w:val="Heading1"/>
        <w:spacing w:before="400" w:after="200" w:line="360" w:lineRule="auto"/>
        <w:jc w:val="both"/>
        <w:rPr>
          <w:rFonts w:ascii="Calibri" w:hAnsi="Calibri" w:cs="Calibri"/>
          <w:color w:val="000000" w:themeColor="text1"/>
          <w:sz w:val="24"/>
          <w:szCs w:val="24"/>
        </w:rPr>
      </w:pPr>
      <w:bookmarkStart w:id="24" w:name="_Toc237694495"/>
      <w:r w:rsidRPr="00315713">
        <w:rPr>
          <w:rFonts w:ascii="Calibri" w:hAnsi="Calibri" w:cs="Calibri"/>
          <w:b/>
          <w:bCs/>
          <w:color w:val="000000" w:themeColor="text1"/>
          <w:sz w:val="24"/>
          <w:szCs w:val="24"/>
        </w:rPr>
        <w:t>6. Critical Evaluation of Digital Transformation Theory and AI Theory:</w:t>
      </w:r>
      <w:r w:rsidRPr="00B51B4C">
        <w:rPr>
          <w:rFonts w:ascii="Calibri" w:hAnsi="Calibri" w:cs="Calibri"/>
          <w:color w:val="000000" w:themeColor="text1"/>
          <w:sz w:val="24"/>
          <w:szCs w:val="24"/>
        </w:rPr>
        <w:t xml:space="preserve"> Testing the Assumptions</w:t>
      </w:r>
      <w:bookmarkEnd w:id="24"/>
    </w:p>
    <w:p w14:paraId="74B92976"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This section interrogates assumptions underlying DT and AI management theory directly, rather than simply applying those theories to Amazon as though their own foundations were settled, and is where this report makes its strongest critical contribution rather than its strongest descriptive one.</w:t>
      </w:r>
    </w:p>
    <w:p w14:paraId="7E7878CB" w14:textId="77777777" w:rsidR="00746ACB" w:rsidRPr="00315713" w:rsidRDefault="00064733" w:rsidP="000D29F8">
      <w:pPr>
        <w:pStyle w:val="Heading3"/>
        <w:spacing w:before="200" w:after="120" w:line="360" w:lineRule="auto"/>
        <w:jc w:val="both"/>
        <w:rPr>
          <w:rFonts w:ascii="Calibri" w:hAnsi="Calibri" w:cs="Calibri"/>
          <w:b/>
          <w:bCs/>
          <w:color w:val="000000" w:themeColor="text1"/>
        </w:rPr>
      </w:pPr>
      <w:bookmarkStart w:id="25" w:name="_Toc237694496"/>
      <w:r w:rsidRPr="00315713">
        <w:rPr>
          <w:rFonts w:ascii="Calibri" w:hAnsi="Calibri" w:cs="Calibri"/>
          <w:b/>
          <w:bCs/>
          <w:color w:val="000000" w:themeColor="text1"/>
        </w:rPr>
        <w:t>Assumption 1: Technology as an exogenous shock</w:t>
      </w:r>
      <w:bookmarkEnd w:id="25"/>
    </w:p>
    <w:p w14:paraId="6EBEF75C" w14:textId="078314F2" w:rsidR="00746ACB"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As discussed in Section 2.3, much DT theory following the pattern identified by Hanelt et al. (2021) frames technology as an external force to which organisations respond, arriving from outside the firm's own decision-making. Amazon's internal API mandate, discussed in Section 5, is evidence against a strong version of this assumption: Amazon actively designed the technological substrate that later enabled its own structural change, rather than merely reacting to a shock originating outside the organisation. This does not refute the exogenous-shock framing entirely plenty of Amazon's later AI adoption plausibly does respond to external technological developments it did not create but it shows the framing is incomplete as a general account of how digitally driven structural change happens.</w:t>
      </w:r>
    </w:p>
    <w:p w14:paraId="3DCC2BEB" w14:textId="77777777" w:rsidR="00315713" w:rsidRPr="00B51B4C" w:rsidRDefault="00315713" w:rsidP="000D29F8">
      <w:pPr>
        <w:spacing w:after="200" w:line="360" w:lineRule="auto"/>
        <w:jc w:val="both"/>
        <w:rPr>
          <w:rFonts w:ascii="Calibri" w:hAnsi="Calibri" w:cs="Calibri"/>
          <w:color w:val="000000" w:themeColor="text1"/>
          <w:sz w:val="24"/>
          <w:szCs w:val="24"/>
        </w:rPr>
      </w:pPr>
    </w:p>
    <w:p w14:paraId="2F2468C1" w14:textId="77777777" w:rsidR="00746ACB" w:rsidRPr="00E22415" w:rsidRDefault="00064733" w:rsidP="000D29F8">
      <w:pPr>
        <w:pStyle w:val="Heading3"/>
        <w:spacing w:before="200" w:after="120" w:line="360" w:lineRule="auto"/>
        <w:jc w:val="both"/>
        <w:rPr>
          <w:rFonts w:ascii="Calibri" w:hAnsi="Calibri" w:cs="Calibri"/>
          <w:b/>
          <w:bCs/>
          <w:color w:val="000000" w:themeColor="text1"/>
        </w:rPr>
      </w:pPr>
      <w:bookmarkStart w:id="26" w:name="_Toc237694497"/>
      <w:r w:rsidRPr="00E22415">
        <w:rPr>
          <w:rFonts w:ascii="Calibri" w:hAnsi="Calibri" w:cs="Calibri"/>
          <w:b/>
          <w:bCs/>
          <w:color w:val="000000" w:themeColor="text1"/>
        </w:rPr>
        <w:lastRenderedPageBreak/>
        <w:t>Assumption 2: Flatter structures are inherently more effective</w:t>
      </w:r>
      <w:bookmarkEnd w:id="26"/>
    </w:p>
    <w:p w14:paraId="22D36FFC" w14:textId="31EA39FB" w:rsidR="00746ACB" w:rsidRPr="00B51B4C" w:rsidRDefault="0096744C"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This is an assumption often made in popular management writing, flat is held implicitly as a universally good thing, and it probably needs some more rigorous, academic backup rather than just being taken as fact for now. Hamel and Birkinshaw (2003), referenced again in a new reading I found on these structures, also challenge the flatter is simply better idea more directly than I did with the evidence from the 2 previous reading. They claim that whether flat structures work well is highly dependent upon the type of work, and the degree of interdependence within it - more sensible indeed and will now cite that reading instead of just presuming the idea without support.</w:t>
      </w:r>
    </w:p>
    <w:p w14:paraId="247BCF0B" w14:textId="77777777" w:rsidR="00746ACB" w:rsidRPr="00E22415" w:rsidRDefault="00064733" w:rsidP="000D29F8">
      <w:pPr>
        <w:pStyle w:val="Heading3"/>
        <w:spacing w:before="200" w:after="120" w:line="360" w:lineRule="auto"/>
        <w:jc w:val="both"/>
        <w:rPr>
          <w:rFonts w:ascii="Calibri" w:hAnsi="Calibri" w:cs="Calibri"/>
          <w:b/>
          <w:bCs/>
          <w:color w:val="000000" w:themeColor="text1"/>
        </w:rPr>
      </w:pPr>
      <w:bookmarkStart w:id="27" w:name="_Toc237694498"/>
      <w:r w:rsidRPr="00E22415">
        <w:rPr>
          <w:rFonts w:ascii="Calibri" w:hAnsi="Calibri" w:cs="Calibri"/>
          <w:b/>
          <w:bCs/>
          <w:color w:val="000000" w:themeColor="text1"/>
        </w:rPr>
        <w:t>Assumption 3: Algorithmic coordination is value-neutral</w:t>
      </w:r>
      <w:bookmarkEnd w:id="27"/>
    </w:p>
    <w:p w14:paraId="79A41163" w14:textId="77777777" w:rsidR="0096744C" w:rsidRPr="00B51B4C" w:rsidRDefault="0096744C"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 xml:space="preserve">Algorithmic systems will embody the designers' priorities- generally cost, speed and consistency- and as such, cannot be truly neutral coordinating devices as their popular treatment sometimes suggests. I need to provide direct evidence for this through some of the algorithmic-management literature I reference later in the paper (Ens, </w:t>
      </w:r>
      <w:proofErr w:type="spellStart"/>
      <w:r w:rsidRPr="00B51B4C">
        <w:rPr>
          <w:rFonts w:ascii="Calibri" w:hAnsi="Calibri" w:cs="Calibri"/>
          <w:color w:val="000000" w:themeColor="text1"/>
          <w:sz w:val="24"/>
          <w:szCs w:val="24"/>
        </w:rPr>
        <w:t>Hukal</w:t>
      </w:r>
      <w:proofErr w:type="spellEnd"/>
      <w:r w:rsidRPr="00B51B4C">
        <w:rPr>
          <w:rFonts w:ascii="Calibri" w:hAnsi="Calibri" w:cs="Calibri"/>
          <w:color w:val="000000" w:themeColor="text1"/>
          <w:sz w:val="24"/>
          <w:szCs w:val="24"/>
        </w:rPr>
        <w:t xml:space="preserve"> and </w:t>
      </w:r>
      <w:proofErr w:type="spellStart"/>
      <w:r w:rsidRPr="00B51B4C">
        <w:rPr>
          <w:rFonts w:ascii="Calibri" w:hAnsi="Calibri" w:cs="Calibri"/>
          <w:color w:val="000000" w:themeColor="text1"/>
          <w:sz w:val="24"/>
          <w:szCs w:val="24"/>
        </w:rPr>
        <w:t>Mrton</w:t>
      </w:r>
      <w:proofErr w:type="spellEnd"/>
      <w:r w:rsidRPr="00B51B4C">
        <w:rPr>
          <w:rFonts w:ascii="Calibri" w:hAnsi="Calibri" w:cs="Calibri"/>
          <w:color w:val="000000" w:themeColor="text1"/>
          <w:sz w:val="24"/>
          <w:szCs w:val="24"/>
        </w:rPr>
        <w:t>, 2025; Zhou et al., 2025) rather than simply assuming it to be true and I have linked this directly to the internal trust-gap discussion in Section 4.7- if algorithmic coordination will embody certain preferences rather than merely carrying out management intentions in a neutral way, then lack of visibility on these preferences of those managed by them will be a problem of legitimacy rather than simply a technical one; i.e., it will be a Weberian, not a purely implementation-based, problem.</w:t>
      </w:r>
    </w:p>
    <w:p w14:paraId="14145043" w14:textId="669A62A5" w:rsidR="00746ACB" w:rsidRPr="00B51B4C" w:rsidRDefault="0096744C"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A second methodological consequence also arises from the testing of these three assumptions- if common DT and management theory embodies assumptions of the exogenous shock and neutrality discussed above, then applying these common theories to analyse Amazon unreflectingly replicates rather than rectifies their limitations; the report would be employing a partially problematic tool for evaluating the specific question of the validity of the lens itself. This report has tried to overcome this limitation in two ways, both by making each of the conventional theories, contingency theory, DT and classical management theory the objects of criticism in this section as well as instruments of analysis in Sections 3-5 and by explicitly stating in the limitation below that the tension between applying and scrutinizing simultaneously is difficult to resolve.</w:t>
      </w:r>
    </w:p>
    <w:p w14:paraId="6A57DB4D"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E22415">
        <w:rPr>
          <w:rFonts w:ascii="Calibri" w:hAnsi="Calibri" w:cs="Calibri"/>
          <w:b/>
          <w:bCs/>
          <w:color w:val="000000" w:themeColor="text1"/>
          <w:sz w:val="24"/>
          <w:szCs w:val="24"/>
        </w:rPr>
        <w:lastRenderedPageBreak/>
        <w:t>Limitation:</w:t>
      </w:r>
      <w:r w:rsidRPr="00B51B4C">
        <w:rPr>
          <w:rFonts w:ascii="Calibri" w:hAnsi="Calibri" w:cs="Calibri"/>
          <w:color w:val="000000" w:themeColor="text1"/>
          <w:sz w:val="24"/>
          <w:szCs w:val="24"/>
        </w:rPr>
        <w:t xml:space="preserve"> This analysis rests on a single case. Amazon's scale, resources and market position are atypical among firms generally, and conclusions about the persistence of managerial functions under digitalisation drawn from this case may not generalise to smaller or less digitally mature organisations, which typically have neither the resources to build the kind of internal service architecture described in Section 5 nor the scale at which algorithmic management becomes cost-effective to deploy.</w:t>
      </w:r>
    </w:p>
    <w:p w14:paraId="47850552" w14:textId="77777777" w:rsidR="00746ACB" w:rsidRPr="00650B24" w:rsidRDefault="00064733" w:rsidP="000D29F8">
      <w:pPr>
        <w:pStyle w:val="Heading1"/>
        <w:spacing w:before="400" w:after="200" w:line="360" w:lineRule="auto"/>
        <w:jc w:val="both"/>
        <w:rPr>
          <w:rFonts w:ascii="Calibri" w:hAnsi="Calibri" w:cs="Calibri"/>
          <w:b/>
          <w:bCs/>
          <w:color w:val="000000" w:themeColor="text1"/>
          <w:sz w:val="24"/>
          <w:szCs w:val="24"/>
        </w:rPr>
      </w:pPr>
      <w:bookmarkStart w:id="28" w:name="_Toc237694499"/>
      <w:r w:rsidRPr="00650B24">
        <w:rPr>
          <w:rFonts w:ascii="Calibri" w:hAnsi="Calibri" w:cs="Calibri"/>
          <w:b/>
          <w:bCs/>
          <w:color w:val="000000" w:themeColor="text1"/>
          <w:sz w:val="24"/>
          <w:szCs w:val="24"/>
        </w:rPr>
        <w:t>7. Managerial Implications / Application to Practice</w:t>
      </w:r>
      <w:bookmarkEnd w:id="28"/>
    </w:p>
    <w:p w14:paraId="5529E74A" w14:textId="5BBE0874"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Each recommendation below is traced explicitly from a specific finding, through its theoretical interpretation, to a practical implication, following the sequence finding → interpretation → implication throughout, rather than presenting generic recommendations that are not clearly connected back to a specific piece of analysis in this report</w:t>
      </w:r>
      <w:r w:rsidR="00650B24">
        <w:rPr>
          <w:rFonts w:ascii="Calibri" w:hAnsi="Calibri" w:cs="Calibri"/>
          <w:color w:val="000000" w:themeColor="text1"/>
          <w:sz w:val="24"/>
          <w:szCs w:val="24"/>
        </w:rPr>
        <w:t>.</w:t>
      </w:r>
    </w:p>
    <w:p w14:paraId="439AED2E" w14:textId="2CB704F6" w:rsidR="00746ACB" w:rsidRPr="00650B24" w:rsidRDefault="00064733" w:rsidP="00650B24">
      <w:pPr>
        <w:pStyle w:val="ListParagraph"/>
        <w:numPr>
          <w:ilvl w:val="0"/>
          <w:numId w:val="10"/>
        </w:numPr>
        <w:spacing w:after="200" w:line="360" w:lineRule="auto"/>
        <w:jc w:val="both"/>
        <w:rPr>
          <w:rFonts w:ascii="Calibri" w:hAnsi="Calibri" w:cs="Calibri"/>
          <w:color w:val="000000" w:themeColor="text1"/>
          <w:sz w:val="24"/>
          <w:szCs w:val="24"/>
        </w:rPr>
      </w:pPr>
      <w:r w:rsidRPr="00650B24">
        <w:rPr>
          <w:rFonts w:ascii="Calibri" w:hAnsi="Calibri" w:cs="Calibri"/>
          <w:b/>
          <w:color w:val="000000" w:themeColor="text1"/>
          <w:sz w:val="24"/>
          <w:szCs w:val="24"/>
        </w:rPr>
        <w:t>Finding</w:t>
      </w:r>
      <w:r w:rsidR="00B17043">
        <w:rPr>
          <w:rFonts w:ascii="Calibri" w:hAnsi="Calibri" w:cs="Calibri"/>
          <w:b/>
          <w:color w:val="000000" w:themeColor="text1"/>
          <w:sz w:val="24"/>
          <w:szCs w:val="24"/>
        </w:rPr>
        <w:t>-1</w:t>
      </w:r>
      <w:r w:rsidRPr="00650B24">
        <w:rPr>
          <w:rFonts w:ascii="Calibri" w:hAnsi="Calibri" w:cs="Calibri"/>
          <w:b/>
          <w:color w:val="000000" w:themeColor="text1"/>
          <w:sz w:val="24"/>
          <w:szCs w:val="24"/>
        </w:rPr>
        <w:t>:</w:t>
      </w:r>
      <w:r w:rsidRPr="00650B24">
        <w:rPr>
          <w:rFonts w:ascii="Calibri" w:hAnsi="Calibri" w:cs="Calibri"/>
          <w:bCs/>
          <w:color w:val="000000" w:themeColor="text1"/>
          <w:sz w:val="24"/>
          <w:szCs w:val="24"/>
        </w:rPr>
        <w:t xml:space="preserve"> </w:t>
      </w:r>
      <w:r w:rsidRPr="00650B24">
        <w:rPr>
          <w:rFonts w:ascii="Calibri" w:hAnsi="Calibri" w:cs="Calibri"/>
          <w:color w:val="000000" w:themeColor="text1"/>
          <w:sz w:val="24"/>
          <w:szCs w:val="24"/>
        </w:rPr>
        <w:t>Algorithmic monitoring creates a specific internal trust gap because workers cannot see the criteria by which they are being evaluated, while customers can see comparable information about the systems that affect them (Section 4.7).</w:t>
      </w:r>
    </w:p>
    <w:p w14:paraId="2989DBBF" w14:textId="77777777" w:rsidR="00746ACB" w:rsidRPr="00650B24" w:rsidRDefault="00064733" w:rsidP="00650B24">
      <w:pPr>
        <w:pStyle w:val="ListParagraph"/>
        <w:numPr>
          <w:ilvl w:val="0"/>
          <w:numId w:val="10"/>
        </w:numPr>
        <w:spacing w:after="200" w:line="360" w:lineRule="auto"/>
        <w:jc w:val="both"/>
        <w:rPr>
          <w:rFonts w:ascii="Calibri" w:hAnsi="Calibri" w:cs="Calibri"/>
          <w:color w:val="000000" w:themeColor="text1"/>
          <w:sz w:val="24"/>
          <w:szCs w:val="24"/>
        </w:rPr>
      </w:pPr>
      <w:r w:rsidRPr="00650B24">
        <w:rPr>
          <w:rFonts w:ascii="Calibri" w:hAnsi="Calibri" w:cs="Calibri"/>
          <w:b/>
          <w:color w:val="000000" w:themeColor="text1"/>
          <w:sz w:val="24"/>
          <w:szCs w:val="24"/>
        </w:rPr>
        <w:t>Interpretation:</w:t>
      </w:r>
      <w:r w:rsidRPr="00650B24">
        <w:rPr>
          <w:rFonts w:ascii="Calibri" w:hAnsi="Calibri" w:cs="Calibri"/>
          <w:bCs/>
          <w:color w:val="000000" w:themeColor="text1"/>
          <w:sz w:val="24"/>
          <w:szCs w:val="24"/>
        </w:rPr>
        <w:t xml:space="preserve"> </w:t>
      </w:r>
      <w:r w:rsidRPr="00650B24">
        <w:rPr>
          <w:rFonts w:ascii="Calibri" w:hAnsi="Calibri" w:cs="Calibri"/>
          <w:color w:val="000000" w:themeColor="text1"/>
          <w:sz w:val="24"/>
          <w:szCs w:val="24"/>
        </w:rPr>
        <w:t>In classical management theory terms, this is a legitimacy problem in the Weberian sense — authority exercised through opaque rules is harder to accept as legitimate than authority exercised through visible, rule-bound procedure — rather than merely a technology adoption or user-experience issue that better design alone would solve.</w:t>
      </w:r>
    </w:p>
    <w:p w14:paraId="28C006A7" w14:textId="77777777" w:rsidR="00746ACB" w:rsidRPr="00650B24" w:rsidRDefault="00064733" w:rsidP="00650B24">
      <w:pPr>
        <w:pStyle w:val="ListParagraph"/>
        <w:numPr>
          <w:ilvl w:val="0"/>
          <w:numId w:val="10"/>
        </w:numPr>
        <w:spacing w:after="200" w:line="360" w:lineRule="auto"/>
        <w:jc w:val="both"/>
        <w:rPr>
          <w:rFonts w:ascii="Calibri" w:hAnsi="Calibri" w:cs="Calibri"/>
          <w:color w:val="000000" w:themeColor="text1"/>
          <w:sz w:val="24"/>
          <w:szCs w:val="24"/>
        </w:rPr>
      </w:pPr>
      <w:r w:rsidRPr="00650B24">
        <w:rPr>
          <w:rFonts w:ascii="Calibri" w:hAnsi="Calibri" w:cs="Calibri"/>
          <w:b/>
          <w:color w:val="000000" w:themeColor="text1"/>
          <w:sz w:val="24"/>
          <w:szCs w:val="24"/>
        </w:rPr>
        <w:t xml:space="preserve">Implication: </w:t>
      </w:r>
      <w:r w:rsidRPr="00650B24">
        <w:rPr>
          <w:rFonts w:ascii="Calibri" w:hAnsi="Calibri" w:cs="Calibri"/>
          <w:color w:val="000000" w:themeColor="text1"/>
          <w:sz w:val="24"/>
          <w:szCs w:val="24"/>
        </w:rPr>
        <w:t>Leaders should require algorithmic governance mechanisms — disclosed evaluation criteria, accessible appeal routes, and human review of high-stakes decisions — before scaling algorithmic monitoring further into new areas of the workforce, treating governance as a precondition for expansion rather than an afterthought.</w:t>
      </w:r>
    </w:p>
    <w:p w14:paraId="69CC0D75" w14:textId="10D23A80" w:rsidR="00746ACB" w:rsidRPr="0006457F" w:rsidRDefault="00064733" w:rsidP="0006457F">
      <w:pPr>
        <w:pStyle w:val="ListParagraph"/>
        <w:numPr>
          <w:ilvl w:val="0"/>
          <w:numId w:val="10"/>
        </w:numPr>
        <w:spacing w:after="200" w:line="360" w:lineRule="auto"/>
        <w:jc w:val="both"/>
        <w:rPr>
          <w:rFonts w:ascii="Calibri" w:hAnsi="Calibri" w:cs="Calibri"/>
          <w:color w:val="000000" w:themeColor="text1"/>
          <w:sz w:val="24"/>
          <w:szCs w:val="24"/>
        </w:rPr>
      </w:pPr>
      <w:r w:rsidRPr="0006457F">
        <w:rPr>
          <w:rFonts w:ascii="Calibri" w:hAnsi="Calibri" w:cs="Calibri"/>
          <w:b/>
          <w:color w:val="000000" w:themeColor="text1"/>
          <w:sz w:val="24"/>
          <w:szCs w:val="24"/>
        </w:rPr>
        <w:t>Finding</w:t>
      </w:r>
      <w:r w:rsidR="00B17043">
        <w:rPr>
          <w:rFonts w:ascii="Calibri" w:hAnsi="Calibri" w:cs="Calibri"/>
          <w:b/>
          <w:color w:val="000000" w:themeColor="text1"/>
          <w:sz w:val="24"/>
          <w:szCs w:val="24"/>
        </w:rPr>
        <w:t>-2</w:t>
      </w:r>
      <w:r w:rsidRPr="0006457F">
        <w:rPr>
          <w:rFonts w:ascii="Calibri" w:hAnsi="Calibri" w:cs="Calibri"/>
          <w:b/>
          <w:color w:val="000000" w:themeColor="text1"/>
          <w:sz w:val="24"/>
          <w:szCs w:val="24"/>
        </w:rPr>
        <w:t>:</w:t>
      </w:r>
      <w:r w:rsidRPr="0006457F">
        <w:rPr>
          <w:rFonts w:ascii="Calibri" w:hAnsi="Calibri" w:cs="Calibri"/>
          <w:bCs/>
          <w:color w:val="000000" w:themeColor="text1"/>
          <w:sz w:val="24"/>
          <w:szCs w:val="24"/>
        </w:rPr>
        <w:t xml:space="preserve"> </w:t>
      </w:r>
      <w:r w:rsidRPr="0006457F">
        <w:rPr>
          <w:rFonts w:ascii="Calibri" w:hAnsi="Calibri" w:cs="Calibri"/>
          <w:color w:val="000000" w:themeColor="text1"/>
          <w:sz w:val="24"/>
          <w:szCs w:val="24"/>
        </w:rPr>
        <w:t>Platform power over third-party sellers operates with materially weaker accountability mechanisms than conventional employment relationships, evidenced in disputes over search ranking and self-preferencing (Section 4.3).</w:t>
      </w:r>
    </w:p>
    <w:p w14:paraId="542D24B5" w14:textId="77777777" w:rsidR="00746ACB" w:rsidRPr="0006457F" w:rsidRDefault="00064733" w:rsidP="0006457F">
      <w:pPr>
        <w:pStyle w:val="ListParagraph"/>
        <w:numPr>
          <w:ilvl w:val="0"/>
          <w:numId w:val="10"/>
        </w:numPr>
        <w:spacing w:after="200" w:line="360" w:lineRule="auto"/>
        <w:jc w:val="both"/>
        <w:rPr>
          <w:rFonts w:ascii="Calibri" w:hAnsi="Calibri" w:cs="Calibri"/>
          <w:color w:val="000000" w:themeColor="text1"/>
          <w:sz w:val="24"/>
          <w:szCs w:val="24"/>
        </w:rPr>
      </w:pPr>
      <w:r w:rsidRPr="0006457F">
        <w:rPr>
          <w:rFonts w:ascii="Calibri" w:hAnsi="Calibri" w:cs="Calibri"/>
          <w:b/>
          <w:color w:val="000000" w:themeColor="text1"/>
          <w:sz w:val="24"/>
          <w:szCs w:val="24"/>
        </w:rPr>
        <w:lastRenderedPageBreak/>
        <w:t>Interpretation:</w:t>
      </w:r>
      <w:r w:rsidRPr="0006457F">
        <w:rPr>
          <w:rFonts w:ascii="Calibri" w:hAnsi="Calibri" w:cs="Calibri"/>
          <w:bCs/>
          <w:color w:val="000000" w:themeColor="text1"/>
          <w:sz w:val="24"/>
          <w:szCs w:val="24"/>
        </w:rPr>
        <w:t xml:space="preserve"> </w:t>
      </w:r>
      <w:r w:rsidRPr="0006457F">
        <w:rPr>
          <w:rFonts w:ascii="Calibri" w:hAnsi="Calibri" w:cs="Calibri"/>
          <w:color w:val="000000" w:themeColor="text1"/>
          <w:sz w:val="24"/>
          <w:szCs w:val="24"/>
        </w:rPr>
        <w:t>This reproduces the classical principal-agent problem in a new, currently less regulated institutional setting, where the usual correctives available within an employment relationship — grievance procedures, direct managerial accountability — are largely absent.</w:t>
      </w:r>
    </w:p>
    <w:p w14:paraId="62E62079" w14:textId="77777777" w:rsidR="00746ACB" w:rsidRPr="0006457F" w:rsidRDefault="00064733" w:rsidP="0006457F">
      <w:pPr>
        <w:pStyle w:val="ListParagraph"/>
        <w:numPr>
          <w:ilvl w:val="0"/>
          <w:numId w:val="10"/>
        </w:numPr>
        <w:spacing w:after="200" w:line="360" w:lineRule="auto"/>
        <w:jc w:val="both"/>
        <w:rPr>
          <w:rFonts w:ascii="Calibri" w:hAnsi="Calibri" w:cs="Calibri"/>
          <w:color w:val="000000" w:themeColor="text1"/>
          <w:sz w:val="24"/>
          <w:szCs w:val="24"/>
        </w:rPr>
      </w:pPr>
      <w:r w:rsidRPr="0006457F">
        <w:rPr>
          <w:rFonts w:ascii="Calibri" w:hAnsi="Calibri" w:cs="Calibri"/>
          <w:b/>
          <w:color w:val="000000" w:themeColor="text1"/>
          <w:sz w:val="24"/>
          <w:szCs w:val="24"/>
        </w:rPr>
        <w:t>Implication:</w:t>
      </w:r>
      <w:r w:rsidRPr="0006457F">
        <w:rPr>
          <w:rFonts w:ascii="Calibri" w:hAnsi="Calibri" w:cs="Calibri"/>
          <w:bCs/>
          <w:color w:val="000000" w:themeColor="text1"/>
          <w:sz w:val="24"/>
          <w:szCs w:val="24"/>
        </w:rPr>
        <w:t xml:space="preserve"> </w:t>
      </w:r>
      <w:r w:rsidRPr="0006457F">
        <w:rPr>
          <w:rFonts w:ascii="Calibri" w:hAnsi="Calibri" w:cs="Calibri"/>
          <w:color w:val="000000" w:themeColor="text1"/>
          <w:sz w:val="24"/>
          <w:szCs w:val="24"/>
        </w:rPr>
        <w:t>Firms should proactively build seller-facing transparency and appeal processes ahead of regulatory mandates such as the DMA, rather than only in response to them once compliance becomes mandatory and the firm has less room to design the process on its own terms.</w:t>
      </w:r>
    </w:p>
    <w:p w14:paraId="3178B14D" w14:textId="6358F51C" w:rsidR="00746ACB" w:rsidRPr="0006457F" w:rsidRDefault="00064733" w:rsidP="0006457F">
      <w:pPr>
        <w:pStyle w:val="ListParagraph"/>
        <w:numPr>
          <w:ilvl w:val="0"/>
          <w:numId w:val="10"/>
        </w:numPr>
        <w:spacing w:after="200" w:line="360" w:lineRule="auto"/>
        <w:jc w:val="both"/>
        <w:rPr>
          <w:rFonts w:ascii="Calibri" w:hAnsi="Calibri" w:cs="Calibri"/>
          <w:color w:val="000000" w:themeColor="text1"/>
          <w:sz w:val="24"/>
          <w:szCs w:val="24"/>
        </w:rPr>
      </w:pPr>
      <w:r w:rsidRPr="0006457F">
        <w:rPr>
          <w:rFonts w:ascii="Calibri" w:hAnsi="Calibri" w:cs="Calibri"/>
          <w:b/>
          <w:color w:val="000000" w:themeColor="text1"/>
          <w:sz w:val="24"/>
          <w:szCs w:val="24"/>
        </w:rPr>
        <w:t>Finding</w:t>
      </w:r>
      <w:r w:rsidR="00B17043">
        <w:rPr>
          <w:rFonts w:ascii="Calibri" w:hAnsi="Calibri" w:cs="Calibri"/>
          <w:b/>
          <w:color w:val="000000" w:themeColor="text1"/>
          <w:sz w:val="24"/>
          <w:szCs w:val="24"/>
        </w:rPr>
        <w:t>-3</w:t>
      </w:r>
      <w:r w:rsidRPr="0006457F">
        <w:rPr>
          <w:rFonts w:ascii="Calibri" w:hAnsi="Calibri" w:cs="Calibri"/>
          <w:b/>
          <w:color w:val="000000" w:themeColor="text1"/>
          <w:sz w:val="24"/>
          <w:szCs w:val="24"/>
        </w:rPr>
        <w:t>:</w:t>
      </w:r>
      <w:r w:rsidRPr="0006457F">
        <w:rPr>
          <w:rFonts w:ascii="Calibri" w:hAnsi="Calibri" w:cs="Calibri"/>
          <w:bCs/>
          <w:color w:val="000000" w:themeColor="text1"/>
          <w:sz w:val="24"/>
          <w:szCs w:val="24"/>
        </w:rPr>
        <w:t xml:space="preserve"> </w:t>
      </w:r>
      <w:r w:rsidRPr="0006457F">
        <w:rPr>
          <w:rFonts w:ascii="Calibri" w:hAnsi="Calibri" w:cs="Calibri"/>
          <w:color w:val="000000" w:themeColor="text1"/>
          <w:sz w:val="24"/>
          <w:szCs w:val="24"/>
        </w:rPr>
        <w:t>Single-Threaded Ownership decentralises day-to-day authority, but this report's own analysis in Section 4.6 identified accountability limitations arising specifically from that devolution of decision rights.</w:t>
      </w:r>
    </w:p>
    <w:p w14:paraId="7E36ADA9" w14:textId="77777777" w:rsidR="00746ACB" w:rsidRPr="0006457F" w:rsidRDefault="00064733" w:rsidP="0006457F">
      <w:pPr>
        <w:pStyle w:val="ListParagraph"/>
        <w:numPr>
          <w:ilvl w:val="0"/>
          <w:numId w:val="10"/>
        </w:numPr>
        <w:spacing w:after="200" w:line="360" w:lineRule="auto"/>
        <w:jc w:val="both"/>
        <w:rPr>
          <w:rFonts w:ascii="Calibri" w:hAnsi="Calibri" w:cs="Calibri"/>
          <w:color w:val="000000" w:themeColor="text1"/>
          <w:sz w:val="24"/>
          <w:szCs w:val="24"/>
        </w:rPr>
      </w:pPr>
      <w:r w:rsidRPr="0006457F">
        <w:rPr>
          <w:rFonts w:ascii="Calibri" w:hAnsi="Calibri" w:cs="Calibri"/>
          <w:b/>
          <w:color w:val="000000" w:themeColor="text1"/>
          <w:sz w:val="24"/>
          <w:szCs w:val="24"/>
        </w:rPr>
        <w:t>Interpretation:</w:t>
      </w:r>
      <w:r w:rsidRPr="0006457F">
        <w:rPr>
          <w:rFonts w:ascii="Calibri" w:hAnsi="Calibri" w:cs="Calibri"/>
          <w:bCs/>
          <w:color w:val="000000" w:themeColor="text1"/>
          <w:sz w:val="24"/>
          <w:szCs w:val="24"/>
        </w:rPr>
        <w:t xml:space="preserve"> </w:t>
      </w:r>
      <w:r w:rsidRPr="0006457F">
        <w:rPr>
          <w:rFonts w:ascii="Calibri" w:hAnsi="Calibri" w:cs="Calibri"/>
          <w:color w:val="000000" w:themeColor="text1"/>
          <w:sz w:val="24"/>
          <w:szCs w:val="24"/>
        </w:rPr>
        <w:t>Decentralised authority without a matching accountability structure is a recognised weakness within contingency theory's account of structure, where fit between authority and accountability — not authority alone — is what determines whether a structure functions well.</w:t>
      </w:r>
    </w:p>
    <w:p w14:paraId="12B132AB" w14:textId="77777777" w:rsidR="00746ACB" w:rsidRPr="0006457F" w:rsidRDefault="00064733" w:rsidP="0006457F">
      <w:pPr>
        <w:pStyle w:val="ListParagraph"/>
        <w:numPr>
          <w:ilvl w:val="0"/>
          <w:numId w:val="10"/>
        </w:numPr>
        <w:spacing w:after="200" w:line="360" w:lineRule="auto"/>
        <w:jc w:val="both"/>
        <w:rPr>
          <w:rFonts w:ascii="Calibri" w:hAnsi="Calibri" w:cs="Calibri"/>
          <w:color w:val="000000" w:themeColor="text1"/>
          <w:sz w:val="24"/>
          <w:szCs w:val="24"/>
        </w:rPr>
      </w:pPr>
      <w:r w:rsidRPr="0006457F">
        <w:rPr>
          <w:rFonts w:ascii="Calibri" w:hAnsi="Calibri" w:cs="Calibri"/>
          <w:b/>
          <w:color w:val="000000" w:themeColor="text1"/>
          <w:sz w:val="24"/>
          <w:szCs w:val="24"/>
        </w:rPr>
        <w:t>Implication:</w:t>
      </w:r>
      <w:r w:rsidRPr="0006457F">
        <w:rPr>
          <w:rFonts w:ascii="Calibri" w:hAnsi="Calibri" w:cs="Calibri"/>
          <w:bCs/>
          <w:color w:val="000000" w:themeColor="text1"/>
          <w:sz w:val="24"/>
          <w:szCs w:val="24"/>
        </w:rPr>
        <w:t xml:space="preserve"> </w:t>
      </w:r>
      <w:r w:rsidRPr="0006457F">
        <w:rPr>
          <w:rFonts w:ascii="Calibri" w:hAnsi="Calibri" w:cs="Calibri"/>
          <w:color w:val="000000" w:themeColor="text1"/>
          <w:sz w:val="24"/>
          <w:szCs w:val="24"/>
        </w:rPr>
        <w:t>STO-style models should not be adopted as an unqualified best practice on the strength of Amazon's use of them alone; they require complementary accountability mechanisms, and this report's recommendation is offered with that qualification attached rather than as an endorsement of STO in isolation.</w:t>
      </w:r>
    </w:p>
    <w:p w14:paraId="784C0725" w14:textId="77777777" w:rsidR="00746ACB" w:rsidRPr="0006457F" w:rsidRDefault="00064733" w:rsidP="000D29F8">
      <w:pPr>
        <w:pStyle w:val="Heading1"/>
        <w:spacing w:before="400" w:after="200" w:line="360" w:lineRule="auto"/>
        <w:jc w:val="both"/>
        <w:rPr>
          <w:rFonts w:ascii="Calibri" w:hAnsi="Calibri" w:cs="Calibri"/>
          <w:b/>
          <w:bCs/>
          <w:color w:val="000000" w:themeColor="text1"/>
          <w:sz w:val="24"/>
          <w:szCs w:val="24"/>
        </w:rPr>
      </w:pPr>
      <w:bookmarkStart w:id="29" w:name="_Toc237694500"/>
      <w:r w:rsidRPr="0006457F">
        <w:rPr>
          <w:rFonts w:ascii="Calibri" w:hAnsi="Calibri" w:cs="Calibri"/>
          <w:b/>
          <w:bCs/>
          <w:color w:val="000000" w:themeColor="text1"/>
          <w:sz w:val="24"/>
          <w:szCs w:val="24"/>
        </w:rPr>
        <w:t>8. Challenges and Opportunities</w:t>
      </w:r>
      <w:bookmarkEnd w:id="29"/>
    </w:p>
    <w:p w14:paraId="17BB0304"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This section is kept deliberately brief, since it substantially overlaps with evidence already presented in Sections 4 and 7; only points not already made in full elsewhere are summarised here, rather than restating the seven-lens analysis and managerial implications in a third form.</w:t>
      </w:r>
    </w:p>
    <w:p w14:paraId="7C6F6B91" w14:textId="77777777" w:rsidR="00746ACB" w:rsidRPr="0006457F" w:rsidRDefault="00064733" w:rsidP="000D29F8">
      <w:pPr>
        <w:pStyle w:val="Heading3"/>
        <w:spacing w:before="200" w:after="120" w:line="360" w:lineRule="auto"/>
        <w:jc w:val="both"/>
        <w:rPr>
          <w:rFonts w:ascii="Calibri" w:hAnsi="Calibri" w:cs="Calibri"/>
          <w:b/>
          <w:bCs/>
          <w:color w:val="000000" w:themeColor="text1"/>
        </w:rPr>
      </w:pPr>
      <w:bookmarkStart w:id="30" w:name="_Toc237694501"/>
      <w:r w:rsidRPr="0006457F">
        <w:rPr>
          <w:rFonts w:ascii="Calibri" w:hAnsi="Calibri" w:cs="Calibri"/>
          <w:b/>
          <w:bCs/>
          <w:color w:val="000000" w:themeColor="text1"/>
        </w:rPr>
        <w:t>Challenges</w:t>
      </w:r>
      <w:bookmarkEnd w:id="30"/>
    </w:p>
    <w:p w14:paraId="597EA5F1"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Regulatory exposure under the DMA and GDPR as platform and algorithmic governance requirements continue to tighten across jurisdictions relevant to Amazon's operations.</w:t>
      </w:r>
    </w:p>
    <w:p w14:paraId="6AB0E996"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lastRenderedPageBreak/>
        <w:t>Workforce trust and retention pressure linked to the algorithmic-monitoring transparency gap identified in Section 4.7.</w:t>
      </w:r>
    </w:p>
    <w:p w14:paraId="1FFE13EF"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Accountability gaps in devolved decision rights under STO, identified in Section 4.6 and carried through into the managerial implications in Section 7.</w:t>
      </w:r>
    </w:p>
    <w:p w14:paraId="714F75A3" w14:textId="77777777" w:rsidR="00746ACB" w:rsidRPr="0006457F" w:rsidRDefault="00064733" w:rsidP="000D29F8">
      <w:pPr>
        <w:pStyle w:val="Heading3"/>
        <w:spacing w:before="200" w:after="120" w:line="360" w:lineRule="auto"/>
        <w:jc w:val="both"/>
        <w:rPr>
          <w:rFonts w:ascii="Calibri" w:hAnsi="Calibri" w:cs="Calibri"/>
          <w:b/>
          <w:bCs/>
          <w:color w:val="000000" w:themeColor="text1"/>
        </w:rPr>
      </w:pPr>
      <w:bookmarkStart w:id="31" w:name="_Toc237694502"/>
      <w:r w:rsidRPr="0006457F">
        <w:rPr>
          <w:rFonts w:ascii="Calibri" w:hAnsi="Calibri" w:cs="Calibri"/>
          <w:b/>
          <w:bCs/>
          <w:color w:val="000000" w:themeColor="text1"/>
        </w:rPr>
        <w:t>Opportunities</w:t>
      </w:r>
      <w:bookmarkEnd w:id="31"/>
    </w:p>
    <w:p w14:paraId="1060E8CD"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Proactive algorithmic governance ahead of regulation, converting a compliance cost into a genuine trust-building differentiator relative to competitors who wait for regulation to force the change.</w:t>
      </w:r>
    </w:p>
    <w:p w14:paraId="70CFBA3D"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Structured, disclosed criteria for algorithmic performance evaluation, directly addressing the internal trust gap identified in Section 4.7 rather than treating it as an unavoidable cost of algorithmic management.</w:t>
      </w:r>
    </w:p>
    <w:p w14:paraId="6C28B815" w14:textId="7260E895" w:rsidR="00746ACB" w:rsidRPr="00B51B4C" w:rsidRDefault="00F9243E" w:rsidP="000D29F8">
      <w:pPr>
        <w:spacing w:after="200" w:line="360" w:lineRule="auto"/>
        <w:jc w:val="both"/>
        <w:rPr>
          <w:rFonts w:ascii="Calibri" w:hAnsi="Calibri" w:cs="Calibri"/>
          <w:color w:val="000000" w:themeColor="text1"/>
          <w:sz w:val="24"/>
          <w:szCs w:val="24"/>
          <w:lang w:val="en-US"/>
        </w:rPr>
      </w:pPr>
      <w:r w:rsidRPr="00B51B4C">
        <w:rPr>
          <w:rFonts w:ascii="Calibri" w:hAnsi="Calibri" w:cs="Calibri"/>
          <w:color w:val="000000" w:themeColor="text1"/>
          <w:sz w:val="24"/>
          <w:szCs w:val="24"/>
        </w:rPr>
        <w:t>Note that references in workforce-focused recommendations related to clarity and use of specified rating schemes point to Section 7 (Managerial Implications), not Section 4.5. An earlier draft mistakenly cited 4.5 in this context for “technical training,” but this section deals with customers.</w:t>
      </w:r>
    </w:p>
    <w:p w14:paraId="712AFCA1" w14:textId="77777777" w:rsidR="00746ACB" w:rsidRPr="0006457F" w:rsidRDefault="00064733" w:rsidP="000D29F8">
      <w:pPr>
        <w:pStyle w:val="Heading1"/>
        <w:spacing w:before="400" w:after="200" w:line="360" w:lineRule="auto"/>
        <w:jc w:val="both"/>
        <w:rPr>
          <w:rFonts w:ascii="Calibri" w:hAnsi="Calibri" w:cs="Calibri"/>
          <w:b/>
          <w:bCs/>
          <w:color w:val="000000" w:themeColor="text1"/>
          <w:sz w:val="24"/>
          <w:szCs w:val="24"/>
        </w:rPr>
      </w:pPr>
      <w:bookmarkStart w:id="32" w:name="_Toc237694503"/>
      <w:r w:rsidRPr="0006457F">
        <w:rPr>
          <w:rFonts w:ascii="Calibri" w:hAnsi="Calibri" w:cs="Calibri"/>
          <w:b/>
          <w:bCs/>
          <w:color w:val="000000" w:themeColor="text1"/>
          <w:sz w:val="24"/>
          <w:szCs w:val="24"/>
        </w:rPr>
        <w:t>9. Conclusion</w:t>
      </w:r>
      <w:bookmarkEnd w:id="32"/>
    </w:p>
    <w:p w14:paraId="192AA833" w14:textId="77777777" w:rsidR="00746ACB" w:rsidRPr="00B51B4C"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This report's central conclusion is that digitalisation has changed how classical organisational problems are managed considerably more than it has eliminated those problems. Returning explicitly to each objective set out in Section 1.1:</w:t>
      </w:r>
    </w:p>
    <w:p w14:paraId="14835BCF"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06457F">
        <w:rPr>
          <w:rFonts w:ascii="Calibri" w:hAnsi="Calibri" w:cs="Calibri"/>
          <w:b/>
          <w:bCs/>
          <w:color w:val="000000" w:themeColor="text1"/>
          <w:sz w:val="24"/>
          <w:szCs w:val="24"/>
        </w:rPr>
        <w:t>Objective 1 (re-instantiation of managerial functions):</w:t>
      </w:r>
      <w:r w:rsidRPr="00B51B4C">
        <w:rPr>
          <w:rFonts w:ascii="Calibri" w:hAnsi="Calibri" w:cs="Calibri"/>
          <w:color w:val="000000" w:themeColor="text1"/>
          <w:sz w:val="24"/>
          <w:szCs w:val="24"/>
        </w:rPr>
        <w:t xml:space="preserve"> confirmed across all seven lenses in Section 4 — planning, organising and controlling are increasingly automated at Amazon, while commanding, coordinating and accountability-bearing decisions remain predominantly human, a pattern most sharply visible in the Algorithm and Data lenses (Sections 4.2 and 4.4).</w:t>
      </w:r>
    </w:p>
    <w:p w14:paraId="0E65DF48"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06457F">
        <w:rPr>
          <w:rFonts w:ascii="Calibri" w:hAnsi="Calibri" w:cs="Calibri"/>
          <w:b/>
          <w:bCs/>
          <w:color w:val="000000" w:themeColor="text1"/>
          <w:sz w:val="24"/>
          <w:szCs w:val="24"/>
        </w:rPr>
        <w:t>Objective 2 (CATWOE and seven-lens application):</w:t>
      </w:r>
      <w:r w:rsidRPr="00B51B4C">
        <w:rPr>
          <w:rFonts w:ascii="Calibri" w:hAnsi="Calibri" w:cs="Calibri"/>
          <w:color w:val="000000" w:themeColor="text1"/>
          <w:sz w:val="24"/>
          <w:szCs w:val="24"/>
        </w:rPr>
        <w:t xml:space="preserve"> completed, with the framework hierarchy and its justification set out explicitly in Section 3, addressing the earlier framework-overload concern.</w:t>
      </w:r>
    </w:p>
    <w:p w14:paraId="753380C7"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06457F">
        <w:rPr>
          <w:rFonts w:ascii="Calibri" w:hAnsi="Calibri" w:cs="Calibri"/>
          <w:b/>
          <w:bCs/>
          <w:color w:val="000000" w:themeColor="text1"/>
          <w:sz w:val="24"/>
          <w:szCs w:val="24"/>
        </w:rPr>
        <w:lastRenderedPageBreak/>
        <w:t>Objective 3 (addressing the DT literature gap):</w:t>
      </w:r>
      <w:r w:rsidRPr="00B51B4C">
        <w:rPr>
          <w:rFonts w:ascii="Calibri" w:hAnsi="Calibri" w:cs="Calibri"/>
          <w:color w:val="000000" w:themeColor="text1"/>
          <w:sz w:val="24"/>
          <w:szCs w:val="24"/>
        </w:rPr>
        <w:t xml:space="preserve"> addressed through the distinction, developed in Section 6, between technology as an exogenous shock and Amazon's own demonstrated agency in designing its technological substrate — offered as a contribution proportionate to a single-case analysis, not as a claim to have closed the gap entirely.</w:t>
      </w:r>
    </w:p>
    <w:p w14:paraId="53E05844" w14:textId="77777777" w:rsidR="00746ACB" w:rsidRPr="00B51B4C" w:rsidRDefault="00064733" w:rsidP="000D29F8">
      <w:pPr>
        <w:pStyle w:val="ListParagraph"/>
        <w:numPr>
          <w:ilvl w:val="0"/>
          <w:numId w:val="2"/>
        </w:numPr>
        <w:spacing w:after="100" w:line="360" w:lineRule="auto"/>
        <w:jc w:val="both"/>
        <w:rPr>
          <w:rFonts w:ascii="Calibri" w:hAnsi="Calibri" w:cs="Calibri"/>
          <w:color w:val="000000" w:themeColor="text1"/>
          <w:sz w:val="24"/>
          <w:szCs w:val="24"/>
        </w:rPr>
      </w:pPr>
      <w:r w:rsidRPr="0006457F">
        <w:rPr>
          <w:rFonts w:ascii="Calibri" w:hAnsi="Calibri" w:cs="Calibri"/>
          <w:b/>
          <w:bCs/>
          <w:color w:val="000000" w:themeColor="text1"/>
          <w:sz w:val="24"/>
          <w:szCs w:val="24"/>
        </w:rPr>
        <w:t>Objective 4 (managerial implications):</w:t>
      </w:r>
      <w:r w:rsidRPr="00B51B4C">
        <w:rPr>
          <w:rFonts w:ascii="Calibri" w:hAnsi="Calibri" w:cs="Calibri"/>
          <w:color w:val="000000" w:themeColor="text1"/>
          <w:sz w:val="24"/>
          <w:szCs w:val="24"/>
        </w:rPr>
        <w:t xml:space="preserve"> three finding-to-implication sequences provided in Section 7, each traceable to a specific piece of analysis earlier in the report rather than offered as a generic recommendation.</w:t>
      </w:r>
    </w:p>
    <w:p w14:paraId="60A6F9D9" w14:textId="77777777" w:rsidR="00746ACB" w:rsidRPr="00231CD6" w:rsidRDefault="00064733" w:rsidP="000D29F8">
      <w:pPr>
        <w:spacing w:after="200" w:line="360" w:lineRule="auto"/>
        <w:jc w:val="both"/>
        <w:rPr>
          <w:rFonts w:ascii="Calibri" w:hAnsi="Calibri" w:cs="Calibri"/>
          <w:color w:val="000000" w:themeColor="text1"/>
          <w:sz w:val="24"/>
          <w:szCs w:val="24"/>
        </w:rPr>
      </w:pPr>
      <w:r w:rsidRPr="00B51B4C">
        <w:rPr>
          <w:rFonts w:ascii="Calibri" w:hAnsi="Calibri" w:cs="Calibri"/>
          <w:color w:val="000000" w:themeColor="text1"/>
          <w:sz w:val="24"/>
          <w:szCs w:val="24"/>
        </w:rPr>
        <w:t>The strongest evidence for this position is the persistence, across every lens examined in Section 4, of a distinction between routine and automatable managerial functions on one hand and judgement-based, accountability-bearing functions on the other — a distinction classical theory anticipated in its own terms and that this report's evidence continues to support under digitalisation rather than under a simpler pre-digital form of organisation. The clearest limit on this conclusion is that it rests on a single, atypical case: Amazon's scale and resources are not representative of most firms, and the same test applied to a smaller platform firm, with fewer resources to build comparable internal service architecture or deploy algorithmic management at comparable scale, might plausibly yield a different balance between automated and human-retained managerial functions. That question is identified here as a direction for further study rather than developed within this report, since doing so would extend meaningfully beyond what a single-case assignment of this length can adequately support.</w:t>
      </w:r>
    </w:p>
    <w:p w14:paraId="00CBEF2D"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br w:type="page"/>
      </w:r>
    </w:p>
    <w:p w14:paraId="2AA32FB2" w14:textId="77777777" w:rsidR="00746ACB" w:rsidRPr="00231CD6" w:rsidRDefault="00064733" w:rsidP="000D29F8">
      <w:pPr>
        <w:pStyle w:val="Heading1"/>
        <w:spacing w:before="400" w:after="200" w:line="360" w:lineRule="auto"/>
        <w:jc w:val="both"/>
        <w:rPr>
          <w:rFonts w:ascii="Calibri" w:hAnsi="Calibri" w:cs="Calibri"/>
          <w:color w:val="000000" w:themeColor="text1"/>
          <w:sz w:val="24"/>
          <w:szCs w:val="24"/>
        </w:rPr>
      </w:pPr>
      <w:bookmarkStart w:id="33" w:name="_Toc237694504"/>
      <w:r w:rsidRPr="00231CD6">
        <w:rPr>
          <w:rFonts w:ascii="Calibri" w:hAnsi="Calibri" w:cs="Calibri"/>
          <w:color w:val="000000" w:themeColor="text1"/>
          <w:sz w:val="24"/>
          <w:szCs w:val="24"/>
        </w:rPr>
        <w:lastRenderedPageBreak/>
        <w:t>Reference List</w:t>
      </w:r>
      <w:bookmarkEnd w:id="33"/>
    </w:p>
    <w:p w14:paraId="0EC29651"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Addanki, S. (2024). Dynamics of Corporate entrepreneurship in Technology companies: A study of Strategic practices and governing frameworks shaping entrepreneurial ecosystems. </w:t>
      </w:r>
      <w:r w:rsidRPr="00231CD6">
        <w:rPr>
          <w:rFonts w:ascii="Calibri" w:hAnsi="Calibri" w:cs="Calibri"/>
          <w:i/>
          <w:iCs/>
          <w:color w:val="000000" w:themeColor="text1"/>
        </w:rPr>
        <w:t>Mit.edu</w:t>
      </w:r>
      <w:r w:rsidRPr="00231CD6">
        <w:rPr>
          <w:rFonts w:ascii="Calibri" w:hAnsi="Calibri" w:cs="Calibri"/>
          <w:color w:val="000000" w:themeColor="text1"/>
        </w:rPr>
        <w:t xml:space="preserve">. [online] </w:t>
      </w:r>
      <w:proofErr w:type="spellStart"/>
      <w:proofErr w:type="gramStart"/>
      <w:r w:rsidRPr="00231CD6">
        <w:rPr>
          <w:rFonts w:ascii="Calibri" w:hAnsi="Calibri" w:cs="Calibri"/>
          <w:color w:val="000000" w:themeColor="text1"/>
        </w:rPr>
        <w:t>doi:https</w:t>
      </w:r>
      <w:proofErr w:type="spellEnd"/>
      <w:r w:rsidRPr="00231CD6">
        <w:rPr>
          <w:rFonts w:ascii="Calibri" w:hAnsi="Calibri" w:cs="Calibri"/>
          <w:color w:val="000000" w:themeColor="text1"/>
        </w:rPr>
        <w:t>://hdl.handle.net/1721.1/155611</w:t>
      </w:r>
      <w:proofErr w:type="gramEnd"/>
      <w:r w:rsidRPr="00231CD6">
        <w:rPr>
          <w:rFonts w:ascii="Calibri" w:hAnsi="Calibri" w:cs="Calibri"/>
          <w:color w:val="000000" w:themeColor="text1"/>
        </w:rPr>
        <w:t>.</w:t>
      </w:r>
    </w:p>
    <w:p w14:paraId="5A0D51D4"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Ali, U. (2025). </w:t>
      </w:r>
      <w:r w:rsidRPr="00231CD6">
        <w:rPr>
          <w:rFonts w:ascii="Calibri" w:hAnsi="Calibri" w:cs="Calibri"/>
          <w:i/>
          <w:iCs/>
          <w:color w:val="000000" w:themeColor="text1"/>
        </w:rPr>
        <w:t xml:space="preserve">Amazon order </w:t>
      </w:r>
      <w:proofErr w:type="spellStart"/>
      <w:r w:rsidRPr="00231CD6">
        <w:rPr>
          <w:rFonts w:ascii="Calibri" w:hAnsi="Calibri" w:cs="Calibri"/>
          <w:i/>
          <w:iCs/>
          <w:color w:val="000000" w:themeColor="text1"/>
        </w:rPr>
        <w:t>fulfillment</w:t>
      </w:r>
      <w:proofErr w:type="spellEnd"/>
      <w:r w:rsidRPr="00231CD6">
        <w:rPr>
          <w:rFonts w:ascii="Calibri" w:hAnsi="Calibri" w:cs="Calibri"/>
          <w:i/>
          <w:iCs/>
          <w:color w:val="000000" w:themeColor="text1"/>
        </w:rPr>
        <w:t xml:space="preserve"> process</w:t>
      </w:r>
      <w:r w:rsidRPr="00231CD6">
        <w:rPr>
          <w:rFonts w:ascii="Calibri" w:hAnsi="Calibri" w:cs="Calibri"/>
          <w:color w:val="000000" w:themeColor="text1"/>
        </w:rPr>
        <w:t xml:space="preserve">. [online] </w:t>
      </w:r>
      <w:r w:rsidRPr="00231CD6">
        <w:rPr>
          <w:rFonts w:ascii="Calibri" w:hAnsi="Calibri" w:cs="Calibri"/>
          <w:i/>
          <w:iCs/>
          <w:color w:val="000000" w:themeColor="text1"/>
        </w:rPr>
        <w:t>ResearchGate</w:t>
      </w:r>
      <w:r w:rsidRPr="00231CD6">
        <w:rPr>
          <w:rFonts w:ascii="Calibri" w:hAnsi="Calibri" w:cs="Calibri"/>
          <w:color w:val="000000" w:themeColor="text1"/>
        </w:rPr>
        <w:t>. unknown. Available at: https://www.researchgate.net/publication/396166142_Amazon_Order_Fulfillment_Process [Accessed 21 July 2026].</w:t>
      </w:r>
    </w:p>
    <w:p w14:paraId="4C0918E4"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Amazon Web Services (2026). </w:t>
      </w:r>
      <w:r w:rsidRPr="00231CD6">
        <w:rPr>
          <w:rFonts w:ascii="Calibri" w:hAnsi="Calibri" w:cs="Calibri"/>
          <w:i/>
          <w:iCs/>
          <w:color w:val="000000" w:themeColor="text1"/>
        </w:rPr>
        <w:t>AI code generation</w:t>
      </w:r>
      <w:r w:rsidRPr="00231CD6">
        <w:rPr>
          <w:rFonts w:ascii="Calibri" w:hAnsi="Calibri" w:cs="Calibri"/>
          <w:color w:val="000000" w:themeColor="text1"/>
        </w:rPr>
        <w:t>. [online] Amazon web services, inc. Available at: https://aws.amazon.com/what-is/ai-coding/ [Accessed 21 July 2026].</w:t>
      </w:r>
    </w:p>
    <w:p w14:paraId="140CCBBB"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Ashrafi, A., Constantinides, P., Mehandjiev, N. and Thatcher, J.B. (2024). Mobilising new frontiers in digital transformation research: A problematization review. </w:t>
      </w:r>
      <w:r w:rsidRPr="00231CD6">
        <w:rPr>
          <w:rFonts w:ascii="Calibri" w:hAnsi="Calibri" w:cs="Calibri"/>
          <w:i/>
          <w:iCs/>
          <w:color w:val="000000" w:themeColor="text1"/>
        </w:rPr>
        <w:t>Information systems journal</w:t>
      </w:r>
      <w:r w:rsidRPr="00231CD6">
        <w:rPr>
          <w:rFonts w:ascii="Calibri" w:hAnsi="Calibri" w:cs="Calibri"/>
          <w:color w:val="000000" w:themeColor="text1"/>
        </w:rPr>
        <w:t>, 35(1), pp.97–139. doi:10.1111/isj.12531.</w:t>
      </w:r>
    </w:p>
    <w:p w14:paraId="49F083CC"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Ates, A. and </w:t>
      </w:r>
      <w:proofErr w:type="spellStart"/>
      <w:r w:rsidRPr="00231CD6">
        <w:rPr>
          <w:rFonts w:ascii="Calibri" w:hAnsi="Calibri" w:cs="Calibri"/>
          <w:color w:val="000000" w:themeColor="text1"/>
        </w:rPr>
        <w:t>Suppayah</w:t>
      </w:r>
      <w:proofErr w:type="spellEnd"/>
      <w:r w:rsidRPr="00231CD6">
        <w:rPr>
          <w:rFonts w:ascii="Calibri" w:hAnsi="Calibri" w:cs="Calibri"/>
          <w:color w:val="000000" w:themeColor="text1"/>
        </w:rPr>
        <w:t xml:space="preserve">, K. (2024). Disciplined innovation: A case study of the amazon working backwards approach to Internal corporate venturing. </w:t>
      </w:r>
      <w:r w:rsidRPr="00231CD6">
        <w:rPr>
          <w:rFonts w:ascii="Calibri" w:hAnsi="Calibri" w:cs="Calibri"/>
          <w:i/>
          <w:iCs/>
          <w:color w:val="000000" w:themeColor="text1"/>
        </w:rPr>
        <w:t>Research technology management</w:t>
      </w:r>
      <w:r w:rsidRPr="00231CD6">
        <w:rPr>
          <w:rFonts w:ascii="Calibri" w:hAnsi="Calibri" w:cs="Calibri"/>
          <w:color w:val="000000" w:themeColor="text1"/>
        </w:rPr>
        <w:t>, 67(3), pp.23–33.</w:t>
      </w:r>
    </w:p>
    <w:p w14:paraId="2AFD1229"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Ball, S.J. (2003). The teacher’s soul and the terrors of performativity. </w:t>
      </w:r>
      <w:r w:rsidRPr="00231CD6">
        <w:rPr>
          <w:rFonts w:ascii="Calibri" w:hAnsi="Calibri" w:cs="Calibri"/>
          <w:i/>
          <w:iCs/>
          <w:color w:val="000000" w:themeColor="text1"/>
        </w:rPr>
        <w:t>Journal of Education policy</w:t>
      </w:r>
      <w:r w:rsidRPr="00231CD6">
        <w:rPr>
          <w:rFonts w:ascii="Calibri" w:hAnsi="Calibri" w:cs="Calibri"/>
          <w:color w:val="000000" w:themeColor="text1"/>
        </w:rPr>
        <w:t>, [online] 18(2), pp.215–228. doi:10.1080/0268093022000043065.</w:t>
      </w:r>
    </w:p>
    <w:p w14:paraId="49AE7BB2"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Casas-Cortés, M., </w:t>
      </w:r>
      <w:proofErr w:type="spellStart"/>
      <w:r w:rsidRPr="00231CD6">
        <w:rPr>
          <w:rFonts w:ascii="Calibri" w:hAnsi="Calibri" w:cs="Calibri"/>
          <w:color w:val="000000" w:themeColor="text1"/>
        </w:rPr>
        <w:t>Cañedo</w:t>
      </w:r>
      <w:proofErr w:type="spellEnd"/>
      <w:r w:rsidRPr="00231CD6">
        <w:rPr>
          <w:rFonts w:ascii="Calibri" w:hAnsi="Calibri" w:cs="Calibri"/>
          <w:color w:val="000000" w:themeColor="text1"/>
        </w:rPr>
        <w:t xml:space="preserve">-Rodríguez, M. and Diz, C. (2023). Platform capitalism. </w:t>
      </w:r>
      <w:r w:rsidRPr="00231CD6">
        <w:rPr>
          <w:rFonts w:ascii="Calibri" w:hAnsi="Calibri" w:cs="Calibri"/>
          <w:i/>
          <w:iCs/>
          <w:color w:val="000000" w:themeColor="text1"/>
        </w:rPr>
        <w:t xml:space="preserve">Oxford research </w:t>
      </w:r>
      <w:proofErr w:type="spellStart"/>
      <w:r w:rsidRPr="00231CD6">
        <w:rPr>
          <w:rFonts w:ascii="Calibri" w:hAnsi="Calibri" w:cs="Calibri"/>
          <w:i/>
          <w:iCs/>
          <w:color w:val="000000" w:themeColor="text1"/>
        </w:rPr>
        <w:t>encyclopedia</w:t>
      </w:r>
      <w:proofErr w:type="spellEnd"/>
      <w:r w:rsidRPr="00231CD6">
        <w:rPr>
          <w:rFonts w:ascii="Calibri" w:hAnsi="Calibri" w:cs="Calibri"/>
          <w:i/>
          <w:iCs/>
          <w:color w:val="000000" w:themeColor="text1"/>
        </w:rPr>
        <w:t xml:space="preserve"> of Anthropology</w:t>
      </w:r>
      <w:r w:rsidRPr="00231CD6">
        <w:rPr>
          <w:rFonts w:ascii="Calibri" w:hAnsi="Calibri" w:cs="Calibri"/>
          <w:color w:val="000000" w:themeColor="text1"/>
        </w:rPr>
        <w:t>. doi:10.1093/</w:t>
      </w:r>
      <w:proofErr w:type="spellStart"/>
      <w:r w:rsidRPr="00231CD6">
        <w:rPr>
          <w:rFonts w:ascii="Calibri" w:hAnsi="Calibri" w:cs="Calibri"/>
          <w:color w:val="000000" w:themeColor="text1"/>
        </w:rPr>
        <w:t>acrefore</w:t>
      </w:r>
      <w:proofErr w:type="spellEnd"/>
      <w:r w:rsidRPr="00231CD6">
        <w:rPr>
          <w:rFonts w:ascii="Calibri" w:hAnsi="Calibri" w:cs="Calibri"/>
          <w:color w:val="000000" w:themeColor="text1"/>
        </w:rPr>
        <w:t>/9780190854584.013.597.</w:t>
      </w:r>
    </w:p>
    <w:p w14:paraId="45CC3C79"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proofErr w:type="spellStart"/>
      <w:r w:rsidRPr="00231CD6">
        <w:rPr>
          <w:rFonts w:ascii="Calibri" w:hAnsi="Calibri" w:cs="Calibri"/>
          <w:color w:val="000000" w:themeColor="text1"/>
        </w:rPr>
        <w:t>Checkland</w:t>
      </w:r>
      <w:proofErr w:type="spellEnd"/>
      <w:r w:rsidRPr="00231CD6">
        <w:rPr>
          <w:rFonts w:ascii="Calibri" w:hAnsi="Calibri" w:cs="Calibri"/>
          <w:color w:val="000000" w:themeColor="text1"/>
        </w:rPr>
        <w:t xml:space="preserve">, P. (1999). </w:t>
      </w:r>
      <w:r w:rsidRPr="00231CD6">
        <w:rPr>
          <w:rFonts w:ascii="Calibri" w:hAnsi="Calibri" w:cs="Calibri"/>
          <w:i/>
          <w:iCs/>
          <w:color w:val="000000" w:themeColor="text1"/>
        </w:rPr>
        <w:t>Systems thinking, systems practice</w:t>
      </w:r>
      <w:r w:rsidRPr="00231CD6">
        <w:rPr>
          <w:rFonts w:ascii="Calibri" w:hAnsi="Calibri" w:cs="Calibri"/>
          <w:color w:val="000000" w:themeColor="text1"/>
        </w:rPr>
        <w:t>.</w:t>
      </w:r>
    </w:p>
    <w:p w14:paraId="4738BB82"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Choung, H., David, P. and Ross, A. (2022). Trust and ethics in AI. </w:t>
      </w:r>
      <w:r w:rsidRPr="00231CD6">
        <w:rPr>
          <w:rFonts w:ascii="Calibri" w:hAnsi="Calibri" w:cs="Calibri"/>
          <w:i/>
          <w:iCs/>
          <w:color w:val="000000" w:themeColor="text1"/>
        </w:rPr>
        <w:t>AI &amp; society</w:t>
      </w:r>
      <w:r w:rsidRPr="00231CD6">
        <w:rPr>
          <w:rFonts w:ascii="Calibri" w:hAnsi="Calibri" w:cs="Calibri"/>
          <w:color w:val="000000" w:themeColor="text1"/>
        </w:rPr>
        <w:t>, 38(2). doi:10.1007/s00146-022-01473-4.</w:t>
      </w:r>
    </w:p>
    <w:p w14:paraId="667E43FD"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Cristiano </w:t>
      </w:r>
      <w:proofErr w:type="spellStart"/>
      <w:r w:rsidRPr="00231CD6">
        <w:rPr>
          <w:rFonts w:ascii="Calibri" w:hAnsi="Calibri" w:cs="Calibri"/>
          <w:color w:val="000000" w:themeColor="text1"/>
        </w:rPr>
        <w:t>Castelfranchi</w:t>
      </w:r>
      <w:proofErr w:type="spellEnd"/>
      <w:r w:rsidRPr="00231CD6">
        <w:rPr>
          <w:rFonts w:ascii="Calibri" w:hAnsi="Calibri" w:cs="Calibri"/>
          <w:color w:val="000000" w:themeColor="text1"/>
        </w:rPr>
        <w:t xml:space="preserve"> and Falcone, R. (2010). </w:t>
      </w:r>
      <w:r w:rsidRPr="00231CD6">
        <w:rPr>
          <w:rFonts w:ascii="Calibri" w:hAnsi="Calibri" w:cs="Calibri"/>
          <w:i/>
          <w:iCs/>
          <w:color w:val="000000" w:themeColor="text1"/>
        </w:rPr>
        <w:t>Trust and technology</w:t>
      </w:r>
      <w:r w:rsidRPr="00231CD6">
        <w:rPr>
          <w:rFonts w:ascii="Calibri" w:hAnsi="Calibri" w:cs="Calibri"/>
          <w:color w:val="000000" w:themeColor="text1"/>
        </w:rPr>
        <w:t>. [online] doi:10.1002/9780470519851.ch12.</w:t>
      </w:r>
    </w:p>
    <w:p w14:paraId="150331FB"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lastRenderedPageBreak/>
        <w:t xml:space="preserve">Dany </w:t>
      </w:r>
      <w:proofErr w:type="spellStart"/>
      <w:r w:rsidRPr="00231CD6">
        <w:rPr>
          <w:rFonts w:ascii="Calibri" w:hAnsi="Calibri" w:cs="Calibri"/>
          <w:color w:val="000000" w:themeColor="text1"/>
        </w:rPr>
        <w:t>Kitishian</w:t>
      </w:r>
      <w:proofErr w:type="spellEnd"/>
      <w:r w:rsidRPr="00231CD6">
        <w:rPr>
          <w:rFonts w:ascii="Calibri" w:hAnsi="Calibri" w:cs="Calibri"/>
          <w:color w:val="000000" w:themeColor="text1"/>
        </w:rPr>
        <w:t xml:space="preserve"> (2025). </w:t>
      </w:r>
      <w:r w:rsidRPr="00231CD6">
        <w:rPr>
          <w:rFonts w:ascii="Calibri" w:hAnsi="Calibri" w:cs="Calibri"/>
          <w:i/>
          <w:iCs/>
          <w:color w:val="000000" w:themeColor="text1"/>
        </w:rPr>
        <w:t>Amazon uses AI agents: 10 Ways to use AI [In-Depth analysis] [2025]</w:t>
      </w:r>
      <w:r w:rsidRPr="00231CD6">
        <w:rPr>
          <w:rFonts w:ascii="Calibri" w:hAnsi="Calibri" w:cs="Calibri"/>
          <w:color w:val="000000" w:themeColor="text1"/>
        </w:rPr>
        <w:t>. [online] Klover.ai - klover.ai. Available at: https://www.klover.ai/amazon-uses-ai-agents-10-ways-to-use-ai-in-depth-analysis-2025/ [Accessed 21 July 2026].</w:t>
      </w:r>
    </w:p>
    <w:p w14:paraId="36A12155"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Denning, S. (2021). Generating market-creating innovation by working backwards from the future. </w:t>
      </w:r>
      <w:r w:rsidRPr="00231CD6">
        <w:rPr>
          <w:rFonts w:ascii="Calibri" w:hAnsi="Calibri" w:cs="Calibri"/>
          <w:i/>
          <w:iCs/>
          <w:color w:val="000000" w:themeColor="text1"/>
        </w:rPr>
        <w:t>Strategy &amp; leadership</w:t>
      </w:r>
      <w:r w:rsidRPr="00231CD6">
        <w:rPr>
          <w:rFonts w:ascii="Calibri" w:hAnsi="Calibri" w:cs="Calibri"/>
          <w:color w:val="000000" w:themeColor="text1"/>
        </w:rPr>
        <w:t>, 49(6), pp.9–14. doi:10.1108/sl-10-2021-0094.</w:t>
      </w:r>
    </w:p>
    <w:p w14:paraId="5E8887BA"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Desta Haileselassie, H., Alami, H. El and Danda B, R. (2024). </w:t>
      </w:r>
      <w:r w:rsidRPr="00231CD6">
        <w:rPr>
          <w:rFonts w:ascii="Calibri" w:hAnsi="Calibri" w:cs="Calibri"/>
          <w:i/>
          <w:iCs/>
          <w:color w:val="000000" w:themeColor="text1"/>
        </w:rPr>
        <w:t>AI-Driven Human-Autonomy teaming in Tactical operations: Proposed framework, challenges, and future directions</w:t>
      </w:r>
      <w:r w:rsidRPr="00231CD6">
        <w:rPr>
          <w:rFonts w:ascii="Calibri" w:hAnsi="Calibri" w:cs="Calibri"/>
          <w:color w:val="000000" w:themeColor="text1"/>
        </w:rPr>
        <w:t>. [online] arXiv.org. Available at: https://arxiv.org/abs/2411.09788 [Accessed 21 July 2026].</w:t>
      </w:r>
    </w:p>
    <w:p w14:paraId="36CBE035"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Ens, N., </w:t>
      </w:r>
      <w:proofErr w:type="spellStart"/>
      <w:r w:rsidRPr="00231CD6">
        <w:rPr>
          <w:rFonts w:ascii="Calibri" w:hAnsi="Calibri" w:cs="Calibri"/>
          <w:color w:val="000000" w:themeColor="text1"/>
        </w:rPr>
        <w:t>Hukal</w:t>
      </w:r>
      <w:proofErr w:type="spellEnd"/>
      <w:r w:rsidRPr="00231CD6">
        <w:rPr>
          <w:rFonts w:ascii="Calibri" w:hAnsi="Calibri" w:cs="Calibri"/>
          <w:color w:val="000000" w:themeColor="text1"/>
        </w:rPr>
        <w:t xml:space="preserve">, P. and Márton, A. (2025). Algorithmic intensification of Platform work. </w:t>
      </w:r>
      <w:r w:rsidRPr="00231CD6">
        <w:rPr>
          <w:rFonts w:ascii="Calibri" w:hAnsi="Calibri" w:cs="Calibri"/>
          <w:i/>
          <w:iCs/>
          <w:color w:val="000000" w:themeColor="text1"/>
        </w:rPr>
        <w:t>Academy of Management proceedings</w:t>
      </w:r>
      <w:r w:rsidRPr="00231CD6">
        <w:rPr>
          <w:rFonts w:ascii="Calibri" w:hAnsi="Calibri" w:cs="Calibri"/>
          <w:color w:val="000000" w:themeColor="text1"/>
        </w:rPr>
        <w:t xml:space="preserve">, 2025(1). </w:t>
      </w:r>
      <w:proofErr w:type="gramStart"/>
      <w:r w:rsidRPr="00231CD6">
        <w:rPr>
          <w:rFonts w:ascii="Calibri" w:hAnsi="Calibri" w:cs="Calibri"/>
          <w:color w:val="000000" w:themeColor="text1"/>
        </w:rPr>
        <w:t>doi:10.5465/amproc.2025.21501poster</w:t>
      </w:r>
      <w:proofErr w:type="gramEnd"/>
      <w:r w:rsidRPr="00231CD6">
        <w:rPr>
          <w:rFonts w:ascii="Calibri" w:hAnsi="Calibri" w:cs="Calibri"/>
          <w:color w:val="000000" w:themeColor="text1"/>
        </w:rPr>
        <w:t>.</w:t>
      </w:r>
    </w:p>
    <w:p w14:paraId="466531D6"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proofErr w:type="spellStart"/>
      <w:r w:rsidRPr="00231CD6">
        <w:rPr>
          <w:rFonts w:ascii="Calibri" w:hAnsi="Calibri" w:cs="Calibri"/>
          <w:color w:val="000000" w:themeColor="text1"/>
        </w:rPr>
        <w:t>Farazmand</w:t>
      </w:r>
      <w:proofErr w:type="spellEnd"/>
      <w:r w:rsidRPr="00231CD6">
        <w:rPr>
          <w:rFonts w:ascii="Calibri" w:hAnsi="Calibri" w:cs="Calibri"/>
          <w:color w:val="000000" w:themeColor="text1"/>
        </w:rPr>
        <w:t xml:space="preserve">, A. (2003). Chaos and transformation theories: A theoretical analysis with implications for Organization theory and public management. </w:t>
      </w:r>
      <w:r w:rsidRPr="00231CD6">
        <w:rPr>
          <w:rFonts w:ascii="Calibri" w:hAnsi="Calibri" w:cs="Calibri"/>
          <w:i/>
          <w:iCs/>
          <w:color w:val="000000" w:themeColor="text1"/>
        </w:rPr>
        <w:t>Public organization review</w:t>
      </w:r>
      <w:r w:rsidRPr="00231CD6">
        <w:rPr>
          <w:rFonts w:ascii="Calibri" w:hAnsi="Calibri" w:cs="Calibri"/>
          <w:color w:val="000000" w:themeColor="text1"/>
        </w:rPr>
        <w:t>, 3(4), pp.339–372. doi:10.1023/</w:t>
      </w:r>
      <w:proofErr w:type="gramStart"/>
      <w:r w:rsidRPr="00231CD6">
        <w:rPr>
          <w:rFonts w:ascii="Calibri" w:hAnsi="Calibri" w:cs="Calibri"/>
          <w:color w:val="000000" w:themeColor="text1"/>
        </w:rPr>
        <w:t>b:porj</w:t>
      </w:r>
      <w:proofErr w:type="gramEnd"/>
      <w:r w:rsidRPr="00231CD6">
        <w:rPr>
          <w:rFonts w:ascii="Calibri" w:hAnsi="Calibri" w:cs="Calibri"/>
          <w:color w:val="000000" w:themeColor="text1"/>
        </w:rPr>
        <w:t>.</w:t>
      </w:r>
      <w:proofErr w:type="gramStart"/>
      <w:r w:rsidRPr="00231CD6">
        <w:rPr>
          <w:rFonts w:ascii="Calibri" w:hAnsi="Calibri" w:cs="Calibri"/>
          <w:color w:val="000000" w:themeColor="text1"/>
        </w:rPr>
        <w:t>0000004814.35884.a</w:t>
      </w:r>
      <w:proofErr w:type="gramEnd"/>
      <w:r w:rsidRPr="00231CD6">
        <w:rPr>
          <w:rFonts w:ascii="Calibri" w:hAnsi="Calibri" w:cs="Calibri"/>
          <w:color w:val="000000" w:themeColor="text1"/>
        </w:rPr>
        <w:t>3.</w:t>
      </w:r>
    </w:p>
    <w:p w14:paraId="3335BDC1"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Galbraith, J.R. and Internet Archive (1973). </w:t>
      </w:r>
      <w:r w:rsidRPr="00231CD6">
        <w:rPr>
          <w:rFonts w:ascii="Calibri" w:hAnsi="Calibri" w:cs="Calibri"/>
          <w:i/>
          <w:iCs/>
          <w:color w:val="000000" w:themeColor="text1"/>
        </w:rPr>
        <w:t>Designing complex organizations</w:t>
      </w:r>
      <w:r w:rsidRPr="00231CD6">
        <w:rPr>
          <w:rFonts w:ascii="Calibri" w:hAnsi="Calibri" w:cs="Calibri"/>
          <w:color w:val="000000" w:themeColor="text1"/>
        </w:rPr>
        <w:t xml:space="preserve">. [online] </w:t>
      </w:r>
      <w:r w:rsidRPr="00231CD6">
        <w:rPr>
          <w:rFonts w:ascii="Calibri" w:hAnsi="Calibri" w:cs="Calibri"/>
          <w:i/>
          <w:iCs/>
          <w:color w:val="000000" w:themeColor="text1"/>
        </w:rPr>
        <w:t>Internet Archive</w:t>
      </w:r>
      <w:r w:rsidRPr="00231CD6">
        <w:rPr>
          <w:rFonts w:ascii="Calibri" w:hAnsi="Calibri" w:cs="Calibri"/>
          <w:color w:val="000000" w:themeColor="text1"/>
        </w:rPr>
        <w:t>. Reading, Mass., Addison-Wesley Pub. Co. Available at: https://archive.org/details/designingcomplex00galb [Accessed 21 July 2026].</w:t>
      </w:r>
    </w:p>
    <w:p w14:paraId="2FBD54E1"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Gilli, K., Lettner, N. and </w:t>
      </w:r>
      <w:proofErr w:type="spellStart"/>
      <w:r w:rsidRPr="00231CD6">
        <w:rPr>
          <w:rFonts w:ascii="Calibri" w:hAnsi="Calibri" w:cs="Calibri"/>
          <w:color w:val="000000" w:themeColor="text1"/>
        </w:rPr>
        <w:t>Guettel</w:t>
      </w:r>
      <w:proofErr w:type="spellEnd"/>
      <w:r w:rsidRPr="00231CD6">
        <w:rPr>
          <w:rFonts w:ascii="Calibri" w:hAnsi="Calibri" w:cs="Calibri"/>
          <w:color w:val="000000" w:themeColor="text1"/>
        </w:rPr>
        <w:t xml:space="preserve">, W. (2023). The future of leadership: New digital skills or old </w:t>
      </w:r>
      <w:proofErr w:type="spellStart"/>
      <w:r w:rsidRPr="00231CD6">
        <w:rPr>
          <w:rFonts w:ascii="Calibri" w:hAnsi="Calibri" w:cs="Calibri"/>
          <w:color w:val="000000" w:themeColor="text1"/>
        </w:rPr>
        <w:t>analog</w:t>
      </w:r>
      <w:proofErr w:type="spellEnd"/>
      <w:r w:rsidRPr="00231CD6">
        <w:rPr>
          <w:rFonts w:ascii="Calibri" w:hAnsi="Calibri" w:cs="Calibri"/>
          <w:color w:val="000000" w:themeColor="text1"/>
        </w:rPr>
        <w:t xml:space="preserve"> virtues? </w:t>
      </w:r>
      <w:r w:rsidRPr="00231CD6">
        <w:rPr>
          <w:rFonts w:ascii="Calibri" w:hAnsi="Calibri" w:cs="Calibri"/>
          <w:i/>
          <w:iCs/>
          <w:color w:val="000000" w:themeColor="text1"/>
        </w:rPr>
        <w:t>Journal of Business strategy</w:t>
      </w:r>
      <w:r w:rsidRPr="00231CD6">
        <w:rPr>
          <w:rFonts w:ascii="Calibri" w:hAnsi="Calibri" w:cs="Calibri"/>
          <w:color w:val="000000" w:themeColor="text1"/>
        </w:rPr>
        <w:t>, [online] 45(1). doi:10.1108/jbs-06-2022-0093.</w:t>
      </w:r>
    </w:p>
    <w:p w14:paraId="0D6E0552"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Hamel, G. and Birkinshaw, J. (2023). Searching for significance: The case for Reimagining management research. </w:t>
      </w:r>
      <w:r w:rsidRPr="00231CD6">
        <w:rPr>
          <w:rFonts w:ascii="Calibri" w:hAnsi="Calibri" w:cs="Calibri"/>
          <w:i/>
          <w:iCs/>
          <w:color w:val="000000" w:themeColor="text1"/>
        </w:rPr>
        <w:t>Strategic management review</w:t>
      </w:r>
      <w:r w:rsidRPr="00231CD6">
        <w:rPr>
          <w:rFonts w:ascii="Calibri" w:hAnsi="Calibri" w:cs="Calibri"/>
          <w:color w:val="000000" w:themeColor="text1"/>
        </w:rPr>
        <w:t>, [online] 4(1), pp.107–126. doi:10.1561/111.00000054.</w:t>
      </w:r>
    </w:p>
    <w:p w14:paraId="50CEDC80"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Hamed </w:t>
      </w:r>
      <w:proofErr w:type="spellStart"/>
      <w:r w:rsidRPr="00231CD6">
        <w:rPr>
          <w:rFonts w:ascii="Calibri" w:hAnsi="Calibri" w:cs="Calibri"/>
          <w:color w:val="000000" w:themeColor="text1"/>
        </w:rPr>
        <w:t>Taherdoost</w:t>
      </w:r>
      <w:proofErr w:type="spellEnd"/>
      <w:r w:rsidRPr="00231CD6">
        <w:rPr>
          <w:rFonts w:ascii="Calibri" w:hAnsi="Calibri" w:cs="Calibri"/>
          <w:color w:val="000000" w:themeColor="text1"/>
        </w:rPr>
        <w:t xml:space="preserve"> (2023). Introduction to e-business. EAI/Springer Innovations in Communication and Computing, pp.1–24. doi:10.1007/978-3-031-39626-7_1.</w:t>
      </w:r>
    </w:p>
    <w:p w14:paraId="2AEDFFCE"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proofErr w:type="spellStart"/>
      <w:r w:rsidRPr="00231CD6">
        <w:rPr>
          <w:rFonts w:ascii="Calibri" w:hAnsi="Calibri" w:cs="Calibri"/>
          <w:color w:val="000000" w:themeColor="text1"/>
        </w:rPr>
        <w:t>Handoyo</w:t>
      </w:r>
      <w:proofErr w:type="spellEnd"/>
      <w:r w:rsidRPr="00231CD6">
        <w:rPr>
          <w:rFonts w:ascii="Calibri" w:hAnsi="Calibri" w:cs="Calibri"/>
          <w:color w:val="000000" w:themeColor="text1"/>
        </w:rPr>
        <w:t xml:space="preserve">, S. (2024). Purchasing in the digital age: A meta-analytical perspective on trust, risk, security, and e-WOM in e-commerce. </w:t>
      </w:r>
      <w:proofErr w:type="spellStart"/>
      <w:r w:rsidRPr="00231CD6">
        <w:rPr>
          <w:rFonts w:ascii="Calibri" w:hAnsi="Calibri" w:cs="Calibri"/>
          <w:i/>
          <w:iCs/>
          <w:color w:val="000000" w:themeColor="text1"/>
        </w:rPr>
        <w:t>Heliyon</w:t>
      </w:r>
      <w:proofErr w:type="spellEnd"/>
      <w:r w:rsidRPr="00231CD6">
        <w:rPr>
          <w:rFonts w:ascii="Calibri" w:hAnsi="Calibri" w:cs="Calibri"/>
          <w:color w:val="000000" w:themeColor="text1"/>
        </w:rPr>
        <w:t xml:space="preserve">, [online] 10(8), p.e29714. </w:t>
      </w:r>
      <w:proofErr w:type="gramStart"/>
      <w:r w:rsidRPr="00231CD6">
        <w:rPr>
          <w:rFonts w:ascii="Calibri" w:hAnsi="Calibri" w:cs="Calibri"/>
          <w:color w:val="000000" w:themeColor="text1"/>
        </w:rPr>
        <w:t>doi:10.1016/j.heliyon</w:t>
      </w:r>
      <w:proofErr w:type="gramEnd"/>
      <w:r w:rsidRPr="00231CD6">
        <w:rPr>
          <w:rFonts w:ascii="Calibri" w:hAnsi="Calibri" w:cs="Calibri"/>
          <w:color w:val="000000" w:themeColor="text1"/>
        </w:rPr>
        <w:t>.2024.e29714.</w:t>
      </w:r>
    </w:p>
    <w:p w14:paraId="077B4B7F"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lastRenderedPageBreak/>
        <w:t xml:space="preserve">Hanelt, A., Bohnsack, R., Marz, D. and Antunes, C. (2021). A systematic review of the literature on digital transformation: Insights and implications for Strategy and organizational change. </w:t>
      </w:r>
      <w:r w:rsidRPr="00231CD6">
        <w:rPr>
          <w:rFonts w:ascii="Calibri" w:hAnsi="Calibri" w:cs="Calibri"/>
          <w:i/>
          <w:iCs/>
          <w:color w:val="000000" w:themeColor="text1"/>
        </w:rPr>
        <w:t>Journal of Management studies</w:t>
      </w:r>
      <w:r w:rsidRPr="00231CD6">
        <w:rPr>
          <w:rFonts w:ascii="Calibri" w:hAnsi="Calibri" w:cs="Calibri"/>
          <w:color w:val="000000" w:themeColor="text1"/>
        </w:rPr>
        <w:t>, 58(5), pp.1159–1197. doi:10.1111/joms.12639.</w:t>
      </w:r>
    </w:p>
    <w:p w14:paraId="200BE975"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Ildar Begishev, Elizaveta Gromova, Maksim Zaloilo, </w:t>
      </w:r>
      <w:proofErr w:type="spellStart"/>
      <w:r w:rsidRPr="00231CD6">
        <w:rPr>
          <w:rFonts w:ascii="Calibri" w:hAnsi="Calibri" w:cs="Calibri"/>
          <w:color w:val="000000" w:themeColor="text1"/>
        </w:rPr>
        <w:t>Filipova</w:t>
      </w:r>
      <w:proofErr w:type="spellEnd"/>
      <w:r w:rsidRPr="00231CD6">
        <w:rPr>
          <w:rFonts w:ascii="Calibri" w:hAnsi="Calibri" w:cs="Calibri"/>
          <w:color w:val="000000" w:themeColor="text1"/>
        </w:rPr>
        <w:t xml:space="preserve">, I. and Gallese, C. (2024). </w:t>
      </w:r>
      <w:r w:rsidRPr="00231CD6">
        <w:rPr>
          <w:rFonts w:ascii="Calibri" w:hAnsi="Calibri" w:cs="Calibri"/>
          <w:i/>
          <w:iCs/>
          <w:color w:val="000000" w:themeColor="text1"/>
        </w:rPr>
        <w:t xml:space="preserve">The journal of Digital technologies and law is </w:t>
      </w:r>
      <w:proofErr w:type="gramStart"/>
      <w:r w:rsidRPr="00231CD6">
        <w:rPr>
          <w:rFonts w:ascii="Calibri" w:hAnsi="Calibri" w:cs="Calibri"/>
          <w:i/>
          <w:iCs/>
          <w:color w:val="000000" w:themeColor="text1"/>
        </w:rPr>
        <w:t>an</w:t>
      </w:r>
      <w:proofErr w:type="gramEnd"/>
      <w:r w:rsidRPr="00231CD6">
        <w:rPr>
          <w:rFonts w:ascii="Calibri" w:hAnsi="Calibri" w:cs="Calibri"/>
          <w:i/>
          <w:iCs/>
          <w:color w:val="000000" w:themeColor="text1"/>
        </w:rPr>
        <w:t xml:space="preserve"> peer-reviewed periodical scientific and practical journal devoted to the study of the synergy of digital technologies and law, as well as possible risks and threats posed by the combination of technological progress, digitalization and development of law.</w:t>
      </w:r>
      <w:r w:rsidRPr="00231CD6">
        <w:rPr>
          <w:rFonts w:ascii="Calibri" w:hAnsi="Calibri" w:cs="Calibri"/>
          <w:color w:val="000000" w:themeColor="text1"/>
        </w:rPr>
        <w:t xml:space="preserve"> [online] doi:10.21202/2949-2483.2024.3.</w:t>
      </w:r>
    </w:p>
    <w:p w14:paraId="0407E854"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Kalra, A. and </w:t>
      </w:r>
      <w:proofErr w:type="spellStart"/>
      <w:r w:rsidRPr="00231CD6">
        <w:rPr>
          <w:rFonts w:ascii="Calibri" w:hAnsi="Calibri" w:cs="Calibri"/>
          <w:color w:val="000000" w:themeColor="text1"/>
        </w:rPr>
        <w:t>Stecklow</w:t>
      </w:r>
      <w:proofErr w:type="spellEnd"/>
      <w:r w:rsidRPr="00231CD6">
        <w:rPr>
          <w:rFonts w:ascii="Calibri" w:hAnsi="Calibri" w:cs="Calibri"/>
          <w:color w:val="000000" w:themeColor="text1"/>
        </w:rPr>
        <w:t xml:space="preserve">, S. (2021). Amazon copied products and rigged search results to promote its own brands, documents show. </w:t>
      </w:r>
      <w:r w:rsidRPr="00231CD6">
        <w:rPr>
          <w:rFonts w:ascii="Calibri" w:hAnsi="Calibri" w:cs="Calibri"/>
          <w:i/>
          <w:iCs/>
          <w:color w:val="000000" w:themeColor="text1"/>
        </w:rPr>
        <w:t>Reuters</w:t>
      </w:r>
      <w:r w:rsidRPr="00231CD6">
        <w:rPr>
          <w:rFonts w:ascii="Calibri" w:hAnsi="Calibri" w:cs="Calibri"/>
          <w:color w:val="000000" w:themeColor="text1"/>
        </w:rPr>
        <w:t>. [online] 13 Oct. Available at: https://www.reuters.com/legal/litigation/amazon-copied-products-rigged-search-results-promote-its-own-brands-documents-2021-10-13/ [Accessed 21 July 2026].</w:t>
      </w:r>
    </w:p>
    <w:p w14:paraId="3E68822F"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Kaptein, M. (2024). </w:t>
      </w:r>
      <w:r w:rsidRPr="00231CD6">
        <w:rPr>
          <w:rFonts w:ascii="Calibri" w:hAnsi="Calibri" w:cs="Calibri"/>
          <w:i/>
          <w:iCs/>
          <w:color w:val="000000" w:themeColor="text1"/>
        </w:rPr>
        <w:t>Research handbook on organisational integrity</w:t>
      </w:r>
      <w:r w:rsidRPr="00231CD6">
        <w:rPr>
          <w:rFonts w:ascii="Calibri" w:hAnsi="Calibri" w:cs="Calibri"/>
          <w:color w:val="000000" w:themeColor="text1"/>
        </w:rPr>
        <w:t>. Edward Elgar Publishing.</w:t>
      </w:r>
    </w:p>
    <w:p w14:paraId="4A570A3C"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proofErr w:type="spellStart"/>
      <w:r w:rsidRPr="00231CD6">
        <w:rPr>
          <w:rFonts w:ascii="Calibri" w:hAnsi="Calibri" w:cs="Calibri"/>
          <w:color w:val="000000" w:themeColor="text1"/>
        </w:rPr>
        <w:t>Konjen</w:t>
      </w:r>
      <w:proofErr w:type="spellEnd"/>
      <w:r w:rsidRPr="00231CD6">
        <w:rPr>
          <w:rFonts w:ascii="Calibri" w:hAnsi="Calibri" w:cs="Calibri"/>
          <w:color w:val="000000" w:themeColor="text1"/>
        </w:rPr>
        <w:t xml:space="preserve">, H. (2025). </w:t>
      </w:r>
      <w:r w:rsidRPr="00231CD6">
        <w:rPr>
          <w:rFonts w:ascii="Calibri" w:hAnsi="Calibri" w:cs="Calibri"/>
          <w:i/>
          <w:iCs/>
          <w:color w:val="000000" w:themeColor="text1"/>
        </w:rPr>
        <w:t>Algorithmic management and the future of Human work: Implications for Autonomy, collaboration, and innovation</w:t>
      </w:r>
      <w:r w:rsidRPr="00231CD6">
        <w:rPr>
          <w:rFonts w:ascii="Calibri" w:hAnsi="Calibri" w:cs="Calibri"/>
          <w:color w:val="000000" w:themeColor="text1"/>
        </w:rPr>
        <w:t xml:space="preserve">. [online] </w:t>
      </w:r>
      <w:r w:rsidRPr="00231CD6">
        <w:rPr>
          <w:rFonts w:ascii="Calibri" w:hAnsi="Calibri" w:cs="Calibri"/>
          <w:i/>
          <w:iCs/>
          <w:color w:val="000000" w:themeColor="text1"/>
        </w:rPr>
        <w:t>arXiv.org</w:t>
      </w:r>
      <w:r w:rsidRPr="00231CD6">
        <w:rPr>
          <w:rFonts w:ascii="Calibri" w:hAnsi="Calibri" w:cs="Calibri"/>
          <w:color w:val="000000" w:themeColor="text1"/>
        </w:rPr>
        <w:t>. Available at: https://arxiv.org/abs/2511.14231 [Accessed 21 July 2026].</w:t>
      </w:r>
    </w:p>
    <w:p w14:paraId="08306C61"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M. BADIYANI, B. (2013). Service management: A management perspective. </w:t>
      </w:r>
      <w:r w:rsidRPr="00231CD6">
        <w:rPr>
          <w:rFonts w:ascii="Calibri" w:hAnsi="Calibri" w:cs="Calibri"/>
          <w:i/>
          <w:iCs/>
          <w:color w:val="000000" w:themeColor="text1"/>
        </w:rPr>
        <w:t>Tactful management research journal</w:t>
      </w:r>
      <w:r w:rsidRPr="00231CD6">
        <w:rPr>
          <w:rFonts w:ascii="Calibri" w:hAnsi="Calibri" w:cs="Calibri"/>
          <w:color w:val="000000" w:themeColor="text1"/>
        </w:rPr>
        <w:t>, I(VI), pp.1–8. doi:10.9780/2319-7943/162013/25.</w:t>
      </w:r>
    </w:p>
    <w:p w14:paraId="44BA6AC7"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Meziani </w:t>
      </w:r>
      <w:proofErr w:type="spellStart"/>
      <w:r w:rsidRPr="00231CD6">
        <w:rPr>
          <w:rFonts w:ascii="Calibri" w:hAnsi="Calibri" w:cs="Calibri"/>
          <w:color w:val="000000" w:themeColor="text1"/>
        </w:rPr>
        <w:t>Dihia</w:t>
      </w:r>
      <w:proofErr w:type="spellEnd"/>
      <w:r w:rsidRPr="00231CD6">
        <w:rPr>
          <w:rFonts w:ascii="Calibri" w:hAnsi="Calibri" w:cs="Calibri"/>
          <w:color w:val="000000" w:themeColor="text1"/>
        </w:rPr>
        <w:t xml:space="preserve"> and </w:t>
      </w:r>
      <w:proofErr w:type="spellStart"/>
      <w:r w:rsidRPr="00231CD6">
        <w:rPr>
          <w:rFonts w:ascii="Calibri" w:hAnsi="Calibri" w:cs="Calibri"/>
          <w:color w:val="000000" w:themeColor="text1"/>
        </w:rPr>
        <w:t>Mekkari</w:t>
      </w:r>
      <w:proofErr w:type="spellEnd"/>
      <w:r w:rsidRPr="00231CD6">
        <w:rPr>
          <w:rFonts w:ascii="Calibri" w:hAnsi="Calibri" w:cs="Calibri"/>
          <w:color w:val="000000" w:themeColor="text1"/>
        </w:rPr>
        <w:t xml:space="preserve"> Zakarya (2023). </w:t>
      </w:r>
      <w:r w:rsidRPr="00231CD6">
        <w:rPr>
          <w:rFonts w:ascii="Calibri" w:hAnsi="Calibri" w:cs="Calibri"/>
          <w:i/>
          <w:iCs/>
          <w:color w:val="000000" w:themeColor="text1"/>
        </w:rPr>
        <w:t xml:space="preserve">Strategies of translating e-commerce terms from </w:t>
      </w:r>
      <w:proofErr w:type="spellStart"/>
      <w:r w:rsidRPr="00231CD6">
        <w:rPr>
          <w:rFonts w:ascii="Calibri" w:hAnsi="Calibri" w:cs="Calibri"/>
          <w:i/>
          <w:iCs/>
          <w:color w:val="000000" w:themeColor="text1"/>
        </w:rPr>
        <w:t>english</w:t>
      </w:r>
      <w:proofErr w:type="spellEnd"/>
      <w:r w:rsidRPr="00231CD6">
        <w:rPr>
          <w:rFonts w:ascii="Calibri" w:hAnsi="Calibri" w:cs="Calibri"/>
          <w:i/>
          <w:iCs/>
          <w:color w:val="000000" w:themeColor="text1"/>
        </w:rPr>
        <w:t xml:space="preserve"> into </w:t>
      </w:r>
      <w:proofErr w:type="spellStart"/>
      <w:r w:rsidRPr="00231CD6">
        <w:rPr>
          <w:rFonts w:ascii="Calibri" w:hAnsi="Calibri" w:cs="Calibri"/>
          <w:i/>
          <w:iCs/>
          <w:color w:val="000000" w:themeColor="text1"/>
        </w:rPr>
        <w:t>arabic</w:t>
      </w:r>
      <w:proofErr w:type="spellEnd"/>
      <w:r w:rsidRPr="00231CD6">
        <w:rPr>
          <w:rFonts w:ascii="Calibri" w:hAnsi="Calibri" w:cs="Calibri"/>
          <w:i/>
          <w:iCs/>
          <w:color w:val="000000" w:themeColor="text1"/>
        </w:rPr>
        <w:t>, translating “</w:t>
      </w:r>
      <w:proofErr w:type="spellStart"/>
      <w:r w:rsidRPr="00231CD6">
        <w:rPr>
          <w:rFonts w:ascii="Calibri" w:hAnsi="Calibri" w:cs="Calibri"/>
          <w:i/>
          <w:iCs/>
          <w:color w:val="000000" w:themeColor="text1"/>
        </w:rPr>
        <w:t>csp</w:t>
      </w:r>
      <w:proofErr w:type="spellEnd"/>
      <w:r w:rsidRPr="00231CD6">
        <w:rPr>
          <w:rFonts w:ascii="Calibri" w:hAnsi="Calibri" w:cs="Calibri"/>
          <w:i/>
          <w:iCs/>
          <w:color w:val="000000" w:themeColor="text1"/>
        </w:rPr>
        <w:t>, e-commerce beginner guide” as case of study</w:t>
      </w:r>
      <w:r w:rsidRPr="00231CD6">
        <w:rPr>
          <w:rFonts w:ascii="Calibri" w:hAnsi="Calibri" w:cs="Calibri"/>
          <w:color w:val="000000" w:themeColor="text1"/>
        </w:rPr>
        <w:t xml:space="preserve">. [online] </w:t>
      </w:r>
      <w:r w:rsidRPr="00231CD6">
        <w:rPr>
          <w:rFonts w:ascii="Calibri" w:hAnsi="Calibri" w:cs="Calibri"/>
          <w:i/>
          <w:iCs/>
          <w:color w:val="000000" w:themeColor="text1"/>
        </w:rPr>
        <w:t>Ummto.dz</w:t>
      </w:r>
      <w:r w:rsidRPr="00231CD6">
        <w:rPr>
          <w:rFonts w:ascii="Calibri" w:hAnsi="Calibri" w:cs="Calibri"/>
          <w:color w:val="000000" w:themeColor="text1"/>
        </w:rPr>
        <w:t>. Available at: https://dspace.ummto.dz/items/dfca4eb8-37ed-4c76-abed-40bac441b6e9 [Accessed 21 July 2026].</w:t>
      </w:r>
    </w:p>
    <w:p w14:paraId="3E9F2E35"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Mintzberg, H. (1979). </w:t>
      </w:r>
      <w:r w:rsidRPr="00231CD6">
        <w:rPr>
          <w:rFonts w:ascii="Calibri" w:hAnsi="Calibri" w:cs="Calibri"/>
          <w:i/>
          <w:iCs/>
          <w:color w:val="000000" w:themeColor="text1"/>
        </w:rPr>
        <w:t>The structuring of Organizations</w:t>
      </w:r>
      <w:r w:rsidRPr="00231CD6">
        <w:rPr>
          <w:rFonts w:ascii="Calibri" w:hAnsi="Calibri" w:cs="Calibri"/>
          <w:color w:val="000000" w:themeColor="text1"/>
        </w:rPr>
        <w:t>. Prentice Hall.</w:t>
      </w:r>
    </w:p>
    <w:p w14:paraId="7BBC7FE4"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Nielsen, C., Osterwalder, A. and Yves Pigneur (2024). How do you enable business model innovation to thrive in your organisation? </w:t>
      </w:r>
      <w:r w:rsidRPr="00231CD6">
        <w:rPr>
          <w:rFonts w:ascii="Calibri" w:hAnsi="Calibri" w:cs="Calibri"/>
          <w:i/>
          <w:iCs/>
          <w:color w:val="000000" w:themeColor="text1"/>
        </w:rPr>
        <w:t>Journal of Business models</w:t>
      </w:r>
      <w:r w:rsidRPr="00231CD6">
        <w:rPr>
          <w:rFonts w:ascii="Calibri" w:hAnsi="Calibri" w:cs="Calibri"/>
          <w:color w:val="000000" w:themeColor="text1"/>
        </w:rPr>
        <w:t>, [online] 12(2). doi:10.54337/</w:t>
      </w:r>
      <w:proofErr w:type="gramStart"/>
      <w:r w:rsidRPr="00231CD6">
        <w:rPr>
          <w:rFonts w:ascii="Calibri" w:hAnsi="Calibri" w:cs="Calibri"/>
          <w:color w:val="000000" w:themeColor="text1"/>
        </w:rPr>
        <w:t>jbm.v</w:t>
      </w:r>
      <w:proofErr w:type="gramEnd"/>
      <w:r w:rsidRPr="00231CD6">
        <w:rPr>
          <w:rFonts w:ascii="Calibri" w:hAnsi="Calibri" w:cs="Calibri"/>
          <w:color w:val="000000" w:themeColor="text1"/>
        </w:rPr>
        <w:t>12i2.8844.</w:t>
      </w:r>
    </w:p>
    <w:p w14:paraId="09834977"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lastRenderedPageBreak/>
        <w:t xml:space="preserve">Odek, R. and Oluoch, J.O. (2023). An evaluation of contributions of Selected organizational and sociological theories to Managerial accounting research. </w:t>
      </w:r>
      <w:r w:rsidRPr="00231CD6">
        <w:rPr>
          <w:rFonts w:ascii="Calibri" w:hAnsi="Calibri" w:cs="Calibri"/>
          <w:i/>
          <w:iCs/>
          <w:color w:val="000000" w:themeColor="text1"/>
        </w:rPr>
        <w:t>Accounting and finance studies</w:t>
      </w:r>
      <w:r w:rsidRPr="00231CD6">
        <w:rPr>
          <w:rFonts w:ascii="Calibri" w:hAnsi="Calibri" w:cs="Calibri"/>
          <w:color w:val="000000" w:themeColor="text1"/>
        </w:rPr>
        <w:t>, 3(2), pp.97–116. doi:10.47153/afs32.6372023.</w:t>
      </w:r>
    </w:p>
    <w:p w14:paraId="0CA6029F"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Oke, T. (2025). Algorithmic narrativity as a new narrative mode. </w:t>
      </w:r>
      <w:r w:rsidRPr="00231CD6">
        <w:rPr>
          <w:rFonts w:ascii="Calibri" w:hAnsi="Calibri" w:cs="Calibri"/>
          <w:i/>
          <w:iCs/>
          <w:color w:val="000000" w:themeColor="text1"/>
        </w:rPr>
        <w:t>AI &amp; society</w:t>
      </w:r>
      <w:r w:rsidRPr="00231CD6">
        <w:rPr>
          <w:rFonts w:ascii="Calibri" w:hAnsi="Calibri" w:cs="Calibri"/>
          <w:color w:val="000000" w:themeColor="text1"/>
        </w:rPr>
        <w:t>, [online] 40(7), pp.5457–5468. doi:10.1007/s00146-025-02297-8.</w:t>
      </w:r>
    </w:p>
    <w:p w14:paraId="57BF3D91"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Panagiota Papadopoulou and </w:t>
      </w:r>
      <w:proofErr w:type="spellStart"/>
      <w:r w:rsidRPr="00231CD6">
        <w:rPr>
          <w:rFonts w:ascii="Calibri" w:hAnsi="Calibri" w:cs="Calibri"/>
          <w:color w:val="000000" w:themeColor="text1"/>
        </w:rPr>
        <w:t>Drakoulis</w:t>
      </w:r>
      <w:proofErr w:type="spellEnd"/>
      <w:r w:rsidRPr="00231CD6">
        <w:rPr>
          <w:rFonts w:ascii="Calibri" w:hAnsi="Calibri" w:cs="Calibri"/>
          <w:color w:val="000000" w:themeColor="text1"/>
        </w:rPr>
        <w:t xml:space="preserve"> </w:t>
      </w:r>
      <w:proofErr w:type="spellStart"/>
      <w:r w:rsidRPr="00231CD6">
        <w:rPr>
          <w:rFonts w:ascii="Calibri" w:hAnsi="Calibri" w:cs="Calibri"/>
          <w:color w:val="000000" w:themeColor="text1"/>
        </w:rPr>
        <w:t>Martakos</w:t>
      </w:r>
      <w:proofErr w:type="spellEnd"/>
      <w:r w:rsidRPr="00231CD6">
        <w:rPr>
          <w:rFonts w:ascii="Calibri" w:hAnsi="Calibri" w:cs="Calibri"/>
          <w:color w:val="000000" w:themeColor="text1"/>
        </w:rPr>
        <w:t xml:space="preserve"> (2008). </w:t>
      </w:r>
      <w:r w:rsidRPr="00231CD6">
        <w:rPr>
          <w:rFonts w:ascii="Calibri" w:hAnsi="Calibri" w:cs="Calibri"/>
          <w:i/>
          <w:iCs/>
          <w:color w:val="000000" w:themeColor="text1"/>
        </w:rPr>
        <w:t>Trust in e-commerce: Conceptualization and operationalization issues</w:t>
      </w:r>
      <w:r w:rsidRPr="00231CD6">
        <w:rPr>
          <w:rFonts w:ascii="Calibri" w:hAnsi="Calibri" w:cs="Calibri"/>
          <w:color w:val="000000" w:themeColor="text1"/>
        </w:rPr>
        <w:t>. [online] Available at: https://www.researchgate.net/publication/268255034_Trust_in_e-commerce_Conceptualization_and_operationalization_issues [Accessed 21 July 2026].</w:t>
      </w:r>
    </w:p>
    <w:p w14:paraId="5EA9B92B"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Pineda, R. (2020). </w:t>
      </w:r>
      <w:r w:rsidRPr="00231CD6">
        <w:rPr>
          <w:rFonts w:ascii="Calibri" w:hAnsi="Calibri" w:cs="Calibri"/>
          <w:i/>
          <w:iCs/>
          <w:color w:val="000000" w:themeColor="text1"/>
        </w:rPr>
        <w:t xml:space="preserve">Platform capitalism. 2017. Nick </w:t>
      </w:r>
      <w:proofErr w:type="spellStart"/>
      <w:r w:rsidRPr="00231CD6">
        <w:rPr>
          <w:rFonts w:ascii="Calibri" w:hAnsi="Calibri" w:cs="Calibri"/>
          <w:i/>
          <w:iCs/>
          <w:color w:val="000000" w:themeColor="text1"/>
        </w:rPr>
        <w:t>srnicek</w:t>
      </w:r>
      <w:proofErr w:type="spellEnd"/>
      <w:r w:rsidRPr="00231CD6">
        <w:rPr>
          <w:rFonts w:ascii="Calibri" w:hAnsi="Calibri" w:cs="Calibri"/>
          <w:color w:val="000000" w:themeColor="text1"/>
        </w:rPr>
        <w:t>. [online] SIEP. Available at: https://ecumenico.org/platform-capitalism-2017-nick-srnicek [Accessed 21 July 2026].</w:t>
      </w:r>
    </w:p>
    <w:p w14:paraId="30318A21"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Porter, M. (1980). </w:t>
      </w:r>
      <w:r w:rsidRPr="00231CD6">
        <w:rPr>
          <w:rFonts w:ascii="Calibri" w:hAnsi="Calibri" w:cs="Calibri"/>
          <w:i/>
          <w:iCs/>
          <w:color w:val="000000" w:themeColor="text1"/>
        </w:rPr>
        <w:t xml:space="preserve">Competitive strategy: Techniques for </w:t>
      </w:r>
      <w:proofErr w:type="spellStart"/>
      <w:r w:rsidRPr="00231CD6">
        <w:rPr>
          <w:rFonts w:ascii="Calibri" w:hAnsi="Calibri" w:cs="Calibri"/>
          <w:i/>
          <w:iCs/>
          <w:color w:val="000000" w:themeColor="text1"/>
        </w:rPr>
        <w:t>Analyzing</w:t>
      </w:r>
      <w:proofErr w:type="spellEnd"/>
      <w:r w:rsidRPr="00231CD6">
        <w:rPr>
          <w:rFonts w:ascii="Calibri" w:hAnsi="Calibri" w:cs="Calibri"/>
          <w:i/>
          <w:iCs/>
          <w:color w:val="000000" w:themeColor="text1"/>
        </w:rPr>
        <w:t xml:space="preserve"> industries and competitors</w:t>
      </w:r>
      <w:r w:rsidRPr="00231CD6">
        <w:rPr>
          <w:rFonts w:ascii="Calibri" w:hAnsi="Calibri" w:cs="Calibri"/>
          <w:color w:val="000000" w:themeColor="text1"/>
        </w:rPr>
        <w:t xml:space="preserve">. [online] </w:t>
      </w:r>
      <w:r w:rsidRPr="00231CD6">
        <w:rPr>
          <w:rFonts w:ascii="Calibri" w:hAnsi="Calibri" w:cs="Calibri"/>
          <w:i/>
          <w:iCs/>
          <w:color w:val="000000" w:themeColor="text1"/>
        </w:rPr>
        <w:t>Harvard Business School</w:t>
      </w:r>
      <w:r w:rsidRPr="00231CD6">
        <w:rPr>
          <w:rFonts w:ascii="Calibri" w:hAnsi="Calibri" w:cs="Calibri"/>
          <w:color w:val="000000" w:themeColor="text1"/>
        </w:rPr>
        <w:t>. New York: Free Press. Available at: https://www.hbs.edu/faculty/Pages/item.aspx?num=195 [Accessed 21 July 2026].</w:t>
      </w:r>
    </w:p>
    <w:p w14:paraId="778CCFDA"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Salman, S.K., Arabi, H. and Nazari, N. (2025). The role of e-commerce in economic transformation from a business management perspective. Journal of Cyberspace Studies, [online] 9(2), pp.415–428. doi:10.22059/jcss.2025.391509.1132.</w:t>
      </w:r>
    </w:p>
    <w:p w14:paraId="700EE36A"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proofErr w:type="spellStart"/>
      <w:r w:rsidRPr="00231CD6">
        <w:rPr>
          <w:rFonts w:ascii="Calibri" w:hAnsi="Calibri" w:cs="Calibri"/>
          <w:color w:val="000000" w:themeColor="text1"/>
        </w:rPr>
        <w:t>Schilirò</w:t>
      </w:r>
      <w:proofErr w:type="spellEnd"/>
      <w:r w:rsidRPr="00231CD6">
        <w:rPr>
          <w:rFonts w:ascii="Calibri" w:hAnsi="Calibri" w:cs="Calibri"/>
          <w:color w:val="000000" w:themeColor="text1"/>
        </w:rPr>
        <w:t xml:space="preserve">, D. (2024). Digital transformation and its impact on organizations. </w:t>
      </w:r>
      <w:r w:rsidRPr="00231CD6">
        <w:rPr>
          <w:rFonts w:ascii="Calibri" w:hAnsi="Calibri" w:cs="Calibri"/>
          <w:i/>
          <w:iCs/>
          <w:color w:val="000000" w:themeColor="text1"/>
        </w:rPr>
        <w:t>International journal of Business and management</w:t>
      </w:r>
      <w:r w:rsidRPr="00231CD6">
        <w:rPr>
          <w:rFonts w:ascii="Calibri" w:hAnsi="Calibri" w:cs="Calibri"/>
          <w:color w:val="000000" w:themeColor="text1"/>
        </w:rPr>
        <w:t>, [online] 19(6), p.71. doi:10.5539/</w:t>
      </w:r>
      <w:proofErr w:type="gramStart"/>
      <w:r w:rsidRPr="00231CD6">
        <w:rPr>
          <w:rFonts w:ascii="Calibri" w:hAnsi="Calibri" w:cs="Calibri"/>
          <w:color w:val="000000" w:themeColor="text1"/>
        </w:rPr>
        <w:t>ijbm.v</w:t>
      </w:r>
      <w:proofErr w:type="gramEnd"/>
      <w:r w:rsidRPr="00231CD6">
        <w:rPr>
          <w:rFonts w:ascii="Calibri" w:hAnsi="Calibri" w:cs="Calibri"/>
          <w:color w:val="000000" w:themeColor="text1"/>
        </w:rPr>
        <w:t>19n6p71.</w:t>
      </w:r>
    </w:p>
    <w:p w14:paraId="06375837"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Sharma, A.K., Goyal, A. and Sharma, A. (2024). Relevance of classical management concepts in the contemporary era – a case study of </w:t>
      </w:r>
      <w:proofErr w:type="spellStart"/>
      <w:r w:rsidRPr="00231CD6">
        <w:rPr>
          <w:rFonts w:ascii="Calibri" w:hAnsi="Calibri" w:cs="Calibri"/>
          <w:color w:val="000000" w:themeColor="text1"/>
        </w:rPr>
        <w:t>fayol’s</w:t>
      </w:r>
      <w:proofErr w:type="spellEnd"/>
      <w:r w:rsidRPr="00231CD6">
        <w:rPr>
          <w:rFonts w:ascii="Calibri" w:hAnsi="Calibri" w:cs="Calibri"/>
          <w:color w:val="000000" w:themeColor="text1"/>
        </w:rPr>
        <w:t xml:space="preserve"> principles. </w:t>
      </w:r>
      <w:r w:rsidRPr="00231CD6">
        <w:rPr>
          <w:rFonts w:ascii="Calibri" w:hAnsi="Calibri" w:cs="Calibri"/>
          <w:i/>
          <w:iCs/>
          <w:color w:val="000000" w:themeColor="text1"/>
        </w:rPr>
        <w:t>IIMT journal of management</w:t>
      </w:r>
      <w:r w:rsidRPr="00231CD6">
        <w:rPr>
          <w:rFonts w:ascii="Calibri" w:hAnsi="Calibri" w:cs="Calibri"/>
          <w:color w:val="000000" w:themeColor="text1"/>
        </w:rPr>
        <w:t>, 1(1). doi:10.1108/iimtjm-10-2023-0026.</w:t>
      </w:r>
    </w:p>
    <w:p w14:paraId="143FEF74"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Soleimani, M. (2021). Buyers” trust and mistrust in e-commerce platforms: A synthesizing literature review. </w:t>
      </w:r>
      <w:r w:rsidRPr="00231CD6">
        <w:rPr>
          <w:rFonts w:ascii="Calibri" w:hAnsi="Calibri" w:cs="Calibri"/>
          <w:i/>
          <w:iCs/>
          <w:color w:val="000000" w:themeColor="text1"/>
        </w:rPr>
        <w:t>Information systems and e-Business management</w:t>
      </w:r>
      <w:r w:rsidRPr="00231CD6">
        <w:rPr>
          <w:rFonts w:ascii="Calibri" w:hAnsi="Calibri" w:cs="Calibri"/>
          <w:color w:val="000000" w:themeColor="text1"/>
        </w:rPr>
        <w:t xml:space="preserve">, [online] 20(1), pp.57–78. doi:10.1007/s10257-021-00545-0. </w:t>
      </w:r>
    </w:p>
    <w:p w14:paraId="73D1F4D4"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Srnicek, N. (2017). The challenges of platform capitalism: Understanding the logic of a new business model. </w:t>
      </w:r>
      <w:r w:rsidRPr="00231CD6">
        <w:rPr>
          <w:rFonts w:ascii="Calibri" w:hAnsi="Calibri" w:cs="Calibri"/>
          <w:i/>
          <w:iCs/>
          <w:color w:val="000000" w:themeColor="text1"/>
        </w:rPr>
        <w:t>Juncture</w:t>
      </w:r>
      <w:r w:rsidRPr="00231CD6">
        <w:rPr>
          <w:rFonts w:ascii="Calibri" w:hAnsi="Calibri" w:cs="Calibri"/>
          <w:color w:val="000000" w:themeColor="text1"/>
        </w:rPr>
        <w:t>, [online] 23(4), pp.254–257. doi:10.1111/newe.12023.</w:t>
      </w:r>
    </w:p>
    <w:p w14:paraId="58AA51FD"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proofErr w:type="spellStart"/>
      <w:r w:rsidRPr="00231CD6">
        <w:rPr>
          <w:rFonts w:ascii="Calibri" w:hAnsi="Calibri" w:cs="Calibri"/>
          <w:color w:val="000000" w:themeColor="text1"/>
        </w:rPr>
        <w:lastRenderedPageBreak/>
        <w:t>Tortajada</w:t>
      </w:r>
      <w:proofErr w:type="spellEnd"/>
      <w:r w:rsidRPr="00231CD6">
        <w:rPr>
          <w:rFonts w:ascii="Calibri" w:hAnsi="Calibri" w:cs="Calibri"/>
          <w:color w:val="000000" w:themeColor="text1"/>
        </w:rPr>
        <w:t xml:space="preserve">, I. (2020). The age of Surveillance capitalism: The fight for a human future at the new frontier of Power, s. </w:t>
      </w:r>
      <w:proofErr w:type="spellStart"/>
      <w:r w:rsidRPr="00231CD6">
        <w:rPr>
          <w:rFonts w:ascii="Calibri" w:hAnsi="Calibri" w:cs="Calibri"/>
          <w:color w:val="000000" w:themeColor="text1"/>
        </w:rPr>
        <w:t>zuboff</w:t>
      </w:r>
      <w:proofErr w:type="spellEnd"/>
      <w:r w:rsidRPr="00231CD6">
        <w:rPr>
          <w:rFonts w:ascii="Calibri" w:hAnsi="Calibri" w:cs="Calibri"/>
          <w:color w:val="000000" w:themeColor="text1"/>
        </w:rPr>
        <w:t xml:space="preserve"> (2019). </w:t>
      </w:r>
      <w:r w:rsidRPr="00231CD6">
        <w:rPr>
          <w:rFonts w:ascii="Calibri" w:hAnsi="Calibri" w:cs="Calibri"/>
          <w:i/>
          <w:iCs/>
          <w:color w:val="000000" w:themeColor="text1"/>
        </w:rPr>
        <w:t>Catalan journal of Communication &amp; cultural studies</w:t>
      </w:r>
      <w:r w:rsidRPr="00231CD6">
        <w:rPr>
          <w:rFonts w:ascii="Calibri" w:hAnsi="Calibri" w:cs="Calibri"/>
          <w:color w:val="000000" w:themeColor="text1"/>
        </w:rPr>
        <w:t>, 12(1), pp.153–154. doi:10.1386/cjcs_00020_5.</w:t>
      </w:r>
    </w:p>
    <w:p w14:paraId="1918432F"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proofErr w:type="spellStart"/>
      <w:r w:rsidRPr="00231CD6">
        <w:rPr>
          <w:rFonts w:ascii="Calibri" w:hAnsi="Calibri" w:cs="Calibri"/>
          <w:color w:val="000000" w:themeColor="text1"/>
        </w:rPr>
        <w:t>Urzi</w:t>
      </w:r>
      <w:proofErr w:type="spellEnd"/>
      <w:r w:rsidRPr="00231CD6">
        <w:rPr>
          <w:rFonts w:ascii="Calibri" w:hAnsi="Calibri" w:cs="Calibri"/>
          <w:color w:val="000000" w:themeColor="text1"/>
        </w:rPr>
        <w:t xml:space="preserve"> Brancati, C. (2025). </w:t>
      </w:r>
      <w:r w:rsidRPr="00231CD6">
        <w:rPr>
          <w:rFonts w:ascii="Calibri" w:hAnsi="Calibri" w:cs="Calibri"/>
          <w:i/>
          <w:iCs/>
          <w:color w:val="000000" w:themeColor="text1"/>
        </w:rPr>
        <w:t>Platform work: Algorithmic management</w:t>
      </w:r>
      <w:r w:rsidRPr="00231CD6">
        <w:rPr>
          <w:rFonts w:ascii="Calibri" w:hAnsi="Calibri" w:cs="Calibri"/>
          <w:color w:val="000000" w:themeColor="text1"/>
        </w:rPr>
        <w:t>. [online] Europa.eu. Available at: https://www.eurofound.europa.eu/en/publications/all/platform-work-algorithmic-management [Accessed 21 July 2026].</w:t>
      </w:r>
    </w:p>
    <w:p w14:paraId="52D6279B"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Weber, M. (1947). The theory of Social and economic organization. </w:t>
      </w:r>
      <w:r w:rsidRPr="00231CD6">
        <w:rPr>
          <w:rFonts w:ascii="Calibri" w:hAnsi="Calibri" w:cs="Calibri"/>
          <w:i/>
          <w:iCs/>
          <w:color w:val="000000" w:themeColor="text1"/>
        </w:rPr>
        <w:t>The philosophical review</w:t>
      </w:r>
      <w:r w:rsidRPr="00231CD6">
        <w:rPr>
          <w:rFonts w:ascii="Calibri" w:hAnsi="Calibri" w:cs="Calibri"/>
          <w:color w:val="000000" w:themeColor="text1"/>
        </w:rPr>
        <w:t>, [online] 57(5). doi:10.2307/2181723.</w:t>
      </w:r>
    </w:p>
    <w:p w14:paraId="7CBA54B9" w14:textId="77777777" w:rsidR="0064582A" w:rsidRPr="00231CD6" w:rsidRDefault="0064582A" w:rsidP="000D29F8">
      <w:pPr>
        <w:pStyle w:val="NormalWeb"/>
        <w:spacing w:before="0" w:beforeAutospacing="0" w:after="240" w:afterAutospacing="0" w:line="360" w:lineRule="auto"/>
        <w:jc w:val="both"/>
        <w:rPr>
          <w:rFonts w:ascii="Calibri" w:hAnsi="Calibri" w:cs="Calibri"/>
          <w:color w:val="000000" w:themeColor="text1"/>
        </w:rPr>
      </w:pPr>
      <w:r w:rsidRPr="00231CD6">
        <w:rPr>
          <w:rFonts w:ascii="Calibri" w:hAnsi="Calibri" w:cs="Calibri"/>
          <w:color w:val="000000" w:themeColor="text1"/>
        </w:rPr>
        <w:t xml:space="preserve">Zhou, L., Lei, X., Cooke, F.L., Huang, X. and Zhang, J. (2025). The dual effects of Algorithmic management on platform workers: An attribution perspective. </w:t>
      </w:r>
      <w:r w:rsidRPr="00231CD6">
        <w:rPr>
          <w:rFonts w:ascii="Calibri" w:hAnsi="Calibri" w:cs="Calibri"/>
          <w:i/>
          <w:iCs/>
          <w:color w:val="000000" w:themeColor="text1"/>
        </w:rPr>
        <w:t>Human resource management</w:t>
      </w:r>
      <w:r w:rsidRPr="00231CD6">
        <w:rPr>
          <w:rFonts w:ascii="Calibri" w:hAnsi="Calibri" w:cs="Calibri"/>
          <w:color w:val="000000" w:themeColor="text1"/>
        </w:rPr>
        <w:t>, 64(6), pp.1687–1707. doi:10.1002/hrm.70009.</w:t>
      </w:r>
    </w:p>
    <w:p w14:paraId="58B1C3E0"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br w:type="page"/>
      </w:r>
    </w:p>
    <w:p w14:paraId="36B44EBA" w14:textId="77777777" w:rsidR="00746ACB" w:rsidRPr="00231CD6" w:rsidRDefault="00064733" w:rsidP="000D29F8">
      <w:pPr>
        <w:pStyle w:val="Heading1"/>
        <w:spacing w:before="400" w:after="200" w:line="360" w:lineRule="auto"/>
        <w:jc w:val="both"/>
        <w:rPr>
          <w:rFonts w:ascii="Calibri" w:hAnsi="Calibri" w:cs="Calibri"/>
          <w:color w:val="000000" w:themeColor="text1"/>
          <w:sz w:val="24"/>
          <w:szCs w:val="24"/>
        </w:rPr>
      </w:pPr>
      <w:bookmarkStart w:id="34" w:name="_Toc237694505"/>
      <w:r w:rsidRPr="00231CD6">
        <w:rPr>
          <w:rFonts w:ascii="Calibri" w:hAnsi="Calibri" w:cs="Calibri"/>
          <w:color w:val="000000" w:themeColor="text1"/>
          <w:sz w:val="24"/>
          <w:szCs w:val="24"/>
        </w:rPr>
        <w:lastRenderedPageBreak/>
        <w:t>Index of Abbreviations</w:t>
      </w:r>
      <w:bookmarkEnd w:id="34"/>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6500"/>
      </w:tblGrid>
      <w:tr w:rsidR="000D29F8" w:rsidRPr="00231CD6" w14:paraId="098AD08A" w14:textId="77777777">
        <w:tc>
          <w:tcPr>
            <w:tcW w:w="2500" w:type="dxa"/>
          </w:tcPr>
          <w:p w14:paraId="3E3D140E"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Abbreviation</w:t>
            </w:r>
          </w:p>
        </w:tc>
        <w:tc>
          <w:tcPr>
            <w:tcW w:w="6500" w:type="dxa"/>
          </w:tcPr>
          <w:p w14:paraId="483738CC"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Full Term / Description</w:t>
            </w:r>
          </w:p>
        </w:tc>
      </w:tr>
      <w:tr w:rsidR="000D29F8" w:rsidRPr="00231CD6" w14:paraId="7E568968" w14:textId="77777777">
        <w:tc>
          <w:tcPr>
            <w:tcW w:w="2500" w:type="dxa"/>
          </w:tcPr>
          <w:p w14:paraId="2D6EFD39"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AI</w:t>
            </w:r>
          </w:p>
        </w:tc>
        <w:tc>
          <w:tcPr>
            <w:tcW w:w="6500" w:type="dxa"/>
          </w:tcPr>
          <w:p w14:paraId="15F54B4D"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Artificial Intelligence</w:t>
            </w:r>
          </w:p>
        </w:tc>
      </w:tr>
      <w:tr w:rsidR="000D29F8" w:rsidRPr="00231CD6" w14:paraId="107594CC" w14:textId="77777777">
        <w:tc>
          <w:tcPr>
            <w:tcW w:w="2500" w:type="dxa"/>
          </w:tcPr>
          <w:p w14:paraId="58E26313"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API</w:t>
            </w:r>
          </w:p>
        </w:tc>
        <w:tc>
          <w:tcPr>
            <w:tcW w:w="6500" w:type="dxa"/>
          </w:tcPr>
          <w:p w14:paraId="7FFFB953"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Application Programming Interface</w:t>
            </w:r>
          </w:p>
        </w:tc>
      </w:tr>
      <w:tr w:rsidR="000D29F8" w:rsidRPr="00231CD6" w14:paraId="23552559" w14:textId="77777777">
        <w:tc>
          <w:tcPr>
            <w:tcW w:w="2500" w:type="dxa"/>
          </w:tcPr>
          <w:p w14:paraId="09DA2277"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AWS</w:t>
            </w:r>
          </w:p>
        </w:tc>
        <w:tc>
          <w:tcPr>
            <w:tcW w:w="6500" w:type="dxa"/>
          </w:tcPr>
          <w:p w14:paraId="1068E63B"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Amazon Web Services</w:t>
            </w:r>
          </w:p>
        </w:tc>
      </w:tr>
      <w:tr w:rsidR="000D29F8" w:rsidRPr="00231CD6" w14:paraId="19D3C1D0" w14:textId="77777777">
        <w:tc>
          <w:tcPr>
            <w:tcW w:w="2500" w:type="dxa"/>
          </w:tcPr>
          <w:p w14:paraId="14869EDA"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CATWOE</w:t>
            </w:r>
          </w:p>
        </w:tc>
        <w:tc>
          <w:tcPr>
            <w:tcW w:w="6500" w:type="dxa"/>
          </w:tcPr>
          <w:p w14:paraId="0B88CAAB"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Customers, Actors, Transformation Process, Weltanschauung, Owners, Environmental Constraints</w:t>
            </w:r>
          </w:p>
        </w:tc>
      </w:tr>
      <w:tr w:rsidR="000D29F8" w:rsidRPr="00231CD6" w14:paraId="2FE160A4" w14:textId="77777777">
        <w:tc>
          <w:tcPr>
            <w:tcW w:w="2500" w:type="dxa"/>
          </w:tcPr>
          <w:p w14:paraId="6BBF0B2C"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DMA</w:t>
            </w:r>
          </w:p>
        </w:tc>
        <w:tc>
          <w:tcPr>
            <w:tcW w:w="6500" w:type="dxa"/>
          </w:tcPr>
          <w:p w14:paraId="1B1C832F"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Digital Markets Act (European Union)</w:t>
            </w:r>
          </w:p>
        </w:tc>
      </w:tr>
      <w:tr w:rsidR="000D29F8" w:rsidRPr="00231CD6" w14:paraId="57BF6D70" w14:textId="77777777">
        <w:tc>
          <w:tcPr>
            <w:tcW w:w="2500" w:type="dxa"/>
          </w:tcPr>
          <w:p w14:paraId="744540C0"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DT</w:t>
            </w:r>
          </w:p>
        </w:tc>
        <w:tc>
          <w:tcPr>
            <w:tcW w:w="6500" w:type="dxa"/>
          </w:tcPr>
          <w:p w14:paraId="1FD20967"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Digital Transformation</w:t>
            </w:r>
          </w:p>
        </w:tc>
      </w:tr>
      <w:tr w:rsidR="000D29F8" w:rsidRPr="00231CD6" w14:paraId="67E35A13" w14:textId="77777777">
        <w:tc>
          <w:tcPr>
            <w:tcW w:w="2500" w:type="dxa"/>
          </w:tcPr>
          <w:p w14:paraId="65D6444B"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EU</w:t>
            </w:r>
          </w:p>
        </w:tc>
        <w:tc>
          <w:tcPr>
            <w:tcW w:w="6500" w:type="dxa"/>
          </w:tcPr>
          <w:p w14:paraId="6806CC95"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European Union</w:t>
            </w:r>
          </w:p>
        </w:tc>
      </w:tr>
      <w:tr w:rsidR="000D29F8" w:rsidRPr="00231CD6" w14:paraId="4BE6C90A" w14:textId="77777777">
        <w:tc>
          <w:tcPr>
            <w:tcW w:w="2500" w:type="dxa"/>
          </w:tcPr>
          <w:p w14:paraId="180384F7"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FAQ</w:t>
            </w:r>
          </w:p>
        </w:tc>
        <w:tc>
          <w:tcPr>
            <w:tcW w:w="6500" w:type="dxa"/>
          </w:tcPr>
          <w:p w14:paraId="5A10A715"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Frequently Asked Questions</w:t>
            </w:r>
          </w:p>
        </w:tc>
      </w:tr>
      <w:tr w:rsidR="000D29F8" w:rsidRPr="00231CD6" w14:paraId="696422BF" w14:textId="77777777">
        <w:tc>
          <w:tcPr>
            <w:tcW w:w="2500" w:type="dxa"/>
          </w:tcPr>
          <w:p w14:paraId="6FBB5A80"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GDPR</w:t>
            </w:r>
          </w:p>
        </w:tc>
        <w:tc>
          <w:tcPr>
            <w:tcW w:w="6500" w:type="dxa"/>
          </w:tcPr>
          <w:p w14:paraId="018BC07D"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General Data Protection Regulation</w:t>
            </w:r>
          </w:p>
        </w:tc>
      </w:tr>
      <w:tr w:rsidR="000D29F8" w:rsidRPr="00231CD6" w14:paraId="5E498966" w14:textId="77777777">
        <w:tc>
          <w:tcPr>
            <w:tcW w:w="2500" w:type="dxa"/>
          </w:tcPr>
          <w:p w14:paraId="4195E117"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OST</w:t>
            </w:r>
          </w:p>
        </w:tc>
        <w:tc>
          <w:tcPr>
            <w:tcW w:w="6500" w:type="dxa"/>
          </w:tcPr>
          <w:p w14:paraId="2DE8FD48"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Organisational Structure Theory</w:t>
            </w:r>
          </w:p>
        </w:tc>
      </w:tr>
      <w:tr w:rsidR="000D29F8" w:rsidRPr="00231CD6" w14:paraId="2FA22AD9" w14:textId="77777777">
        <w:tc>
          <w:tcPr>
            <w:tcW w:w="2500" w:type="dxa"/>
          </w:tcPr>
          <w:p w14:paraId="4628EA84"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PESTLE</w:t>
            </w:r>
          </w:p>
        </w:tc>
        <w:tc>
          <w:tcPr>
            <w:tcW w:w="6500" w:type="dxa"/>
          </w:tcPr>
          <w:p w14:paraId="2AB9A957"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Political, Economic, Social, Technological, Legal, Environmental Analysis</w:t>
            </w:r>
          </w:p>
        </w:tc>
      </w:tr>
      <w:tr w:rsidR="000D29F8" w:rsidRPr="00231CD6" w14:paraId="0427F5E3" w14:textId="77777777">
        <w:tc>
          <w:tcPr>
            <w:tcW w:w="2500" w:type="dxa"/>
          </w:tcPr>
          <w:p w14:paraId="7B52A22B"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S-Team</w:t>
            </w:r>
          </w:p>
        </w:tc>
        <w:tc>
          <w:tcPr>
            <w:tcW w:w="6500" w:type="dxa"/>
          </w:tcPr>
          <w:p w14:paraId="2C243592"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Senior Leadership Team (Amazon's core executive leadership group)</w:t>
            </w:r>
          </w:p>
        </w:tc>
      </w:tr>
      <w:tr w:rsidR="000D29F8" w:rsidRPr="00231CD6" w14:paraId="4656DEC6" w14:textId="77777777">
        <w:tc>
          <w:tcPr>
            <w:tcW w:w="2500" w:type="dxa"/>
          </w:tcPr>
          <w:p w14:paraId="0C10C2C2"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SSM</w:t>
            </w:r>
          </w:p>
        </w:tc>
        <w:tc>
          <w:tcPr>
            <w:tcW w:w="6500" w:type="dxa"/>
          </w:tcPr>
          <w:p w14:paraId="7A0C5647"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Soft Systems Methodology</w:t>
            </w:r>
          </w:p>
        </w:tc>
      </w:tr>
      <w:tr w:rsidR="000D29F8" w:rsidRPr="00231CD6" w14:paraId="41CA64DD" w14:textId="77777777">
        <w:tc>
          <w:tcPr>
            <w:tcW w:w="2500" w:type="dxa"/>
          </w:tcPr>
          <w:p w14:paraId="0DAD2ADF"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STO</w:t>
            </w:r>
          </w:p>
        </w:tc>
        <w:tc>
          <w:tcPr>
            <w:tcW w:w="6500" w:type="dxa"/>
          </w:tcPr>
          <w:p w14:paraId="475277CA"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Single-Threaded Owner</w:t>
            </w:r>
          </w:p>
        </w:tc>
      </w:tr>
      <w:tr w:rsidR="000D29F8" w:rsidRPr="00231CD6" w14:paraId="12ED0382" w14:textId="77777777">
        <w:tc>
          <w:tcPr>
            <w:tcW w:w="2500" w:type="dxa"/>
          </w:tcPr>
          <w:p w14:paraId="0C8C3C05"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SWOT</w:t>
            </w:r>
          </w:p>
        </w:tc>
        <w:tc>
          <w:tcPr>
            <w:tcW w:w="6500" w:type="dxa"/>
          </w:tcPr>
          <w:p w14:paraId="7AE73519"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Strengths, Weaknesses, Opportunities, Threats Analysis</w:t>
            </w:r>
          </w:p>
        </w:tc>
      </w:tr>
      <w:tr w:rsidR="000D29F8" w:rsidRPr="00231CD6" w14:paraId="6F909186" w14:textId="77777777">
        <w:tc>
          <w:tcPr>
            <w:tcW w:w="2500" w:type="dxa"/>
          </w:tcPr>
          <w:p w14:paraId="29AC5CC8"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UK</w:t>
            </w:r>
          </w:p>
        </w:tc>
        <w:tc>
          <w:tcPr>
            <w:tcW w:w="6500" w:type="dxa"/>
          </w:tcPr>
          <w:p w14:paraId="5470343B"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United Kingdom</w:t>
            </w:r>
          </w:p>
        </w:tc>
      </w:tr>
      <w:tr w:rsidR="000D29F8" w:rsidRPr="000D29F8" w14:paraId="24692BD5" w14:textId="77777777">
        <w:tc>
          <w:tcPr>
            <w:tcW w:w="2500" w:type="dxa"/>
          </w:tcPr>
          <w:p w14:paraId="182BB692" w14:textId="77777777" w:rsidR="00746ACB" w:rsidRPr="00231CD6"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b/>
                <w:bCs/>
                <w:color w:val="000000" w:themeColor="text1"/>
                <w:sz w:val="24"/>
                <w:szCs w:val="24"/>
              </w:rPr>
              <w:t>US / USA</w:t>
            </w:r>
          </w:p>
        </w:tc>
        <w:tc>
          <w:tcPr>
            <w:tcW w:w="6500" w:type="dxa"/>
          </w:tcPr>
          <w:p w14:paraId="6007C04D" w14:textId="77777777" w:rsidR="00746ACB" w:rsidRPr="000D29F8" w:rsidRDefault="00064733" w:rsidP="000D29F8">
            <w:pPr>
              <w:spacing w:line="360" w:lineRule="auto"/>
              <w:jc w:val="both"/>
              <w:rPr>
                <w:rFonts w:ascii="Calibri" w:hAnsi="Calibri" w:cs="Calibri"/>
                <w:color w:val="000000" w:themeColor="text1"/>
                <w:sz w:val="24"/>
                <w:szCs w:val="24"/>
              </w:rPr>
            </w:pPr>
            <w:r w:rsidRPr="00231CD6">
              <w:rPr>
                <w:rFonts w:ascii="Calibri" w:hAnsi="Calibri" w:cs="Calibri"/>
                <w:color w:val="000000" w:themeColor="text1"/>
                <w:sz w:val="24"/>
                <w:szCs w:val="24"/>
              </w:rPr>
              <w:t>United States of America</w:t>
            </w:r>
          </w:p>
        </w:tc>
      </w:tr>
    </w:tbl>
    <w:p w14:paraId="71C34665" w14:textId="77777777" w:rsidR="001D4BD0" w:rsidRPr="000D29F8" w:rsidRDefault="001D4BD0" w:rsidP="000D29F8">
      <w:pPr>
        <w:spacing w:line="360" w:lineRule="auto"/>
        <w:jc w:val="both"/>
        <w:rPr>
          <w:rFonts w:ascii="Calibri" w:hAnsi="Calibri" w:cs="Calibri"/>
          <w:color w:val="000000" w:themeColor="text1"/>
          <w:sz w:val="24"/>
          <w:szCs w:val="24"/>
        </w:rPr>
      </w:pPr>
    </w:p>
    <w:sectPr w:rsidR="001D4BD0" w:rsidRPr="000D29F8">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A76F5" w14:textId="77777777" w:rsidR="00B40D88" w:rsidRDefault="00B40D88">
      <w:r>
        <w:separator/>
      </w:r>
    </w:p>
  </w:endnote>
  <w:endnote w:type="continuationSeparator" w:id="0">
    <w:p w14:paraId="22E49B48" w14:textId="77777777" w:rsidR="00B40D88" w:rsidRDefault="00B40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E3AC1" w14:textId="02EB11C3" w:rsidR="00746ACB" w:rsidRDefault="00064733">
    <w:pPr>
      <w:jc w:val="center"/>
    </w:pPr>
    <w:r>
      <w:rPr>
        <w:sz w:val="18"/>
        <w:szCs w:val="18"/>
      </w:rPr>
      <w:fldChar w:fldCharType="begin"/>
    </w:r>
    <w:r>
      <w:rPr>
        <w:sz w:val="18"/>
        <w:szCs w:val="18"/>
      </w:rPr>
      <w:instrText>PAGE</w:instrText>
    </w:r>
    <w:r>
      <w:rPr>
        <w:sz w:val="18"/>
        <w:szCs w:val="18"/>
      </w:rPr>
      <w:fldChar w:fldCharType="separate"/>
    </w:r>
    <w:r w:rsidR="00B51B4C">
      <w:rPr>
        <w:noProof/>
        <w:sz w:val="18"/>
        <w:szCs w:val="18"/>
      </w:rPr>
      <w:t>4</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8D4CA" w14:textId="77777777" w:rsidR="00B40D88" w:rsidRDefault="00B40D88">
      <w:r>
        <w:separator/>
      </w:r>
    </w:p>
  </w:footnote>
  <w:footnote w:type="continuationSeparator" w:id="0">
    <w:p w14:paraId="676A114F" w14:textId="77777777" w:rsidR="00B40D88" w:rsidRDefault="00B40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3DA48" w14:textId="60B370BF" w:rsidR="00746ACB" w:rsidRDefault="00746ACB">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70608"/>
    <w:multiLevelType w:val="hybridMultilevel"/>
    <w:tmpl w:val="2D9C1D58"/>
    <w:lvl w:ilvl="0" w:tplc="2488DFA2">
      <w:start w:val="1"/>
      <w:numFmt w:val="bullet"/>
      <w:lvlText w:val="•"/>
      <w:lvlJc w:val="left"/>
      <w:pPr>
        <w:ind w:left="720" w:hanging="360"/>
      </w:pPr>
    </w:lvl>
    <w:lvl w:ilvl="1" w:tplc="D2BE7872">
      <w:numFmt w:val="decimal"/>
      <w:lvlText w:val=""/>
      <w:lvlJc w:val="left"/>
    </w:lvl>
    <w:lvl w:ilvl="2" w:tplc="1D28D262">
      <w:numFmt w:val="decimal"/>
      <w:lvlText w:val=""/>
      <w:lvlJc w:val="left"/>
    </w:lvl>
    <w:lvl w:ilvl="3" w:tplc="7306380A">
      <w:numFmt w:val="decimal"/>
      <w:lvlText w:val=""/>
      <w:lvlJc w:val="left"/>
    </w:lvl>
    <w:lvl w:ilvl="4" w:tplc="41DC20B8">
      <w:numFmt w:val="decimal"/>
      <w:lvlText w:val=""/>
      <w:lvlJc w:val="left"/>
    </w:lvl>
    <w:lvl w:ilvl="5" w:tplc="8CF2AB32">
      <w:numFmt w:val="decimal"/>
      <w:lvlText w:val=""/>
      <w:lvlJc w:val="left"/>
    </w:lvl>
    <w:lvl w:ilvl="6" w:tplc="07D6F1C6">
      <w:numFmt w:val="decimal"/>
      <w:lvlText w:val=""/>
      <w:lvlJc w:val="left"/>
    </w:lvl>
    <w:lvl w:ilvl="7" w:tplc="FA9CDC6A">
      <w:numFmt w:val="decimal"/>
      <w:lvlText w:val=""/>
      <w:lvlJc w:val="left"/>
    </w:lvl>
    <w:lvl w:ilvl="8" w:tplc="64D016CE">
      <w:numFmt w:val="decimal"/>
      <w:lvlText w:val=""/>
      <w:lvlJc w:val="left"/>
    </w:lvl>
  </w:abstractNum>
  <w:abstractNum w:abstractNumId="1" w15:restartNumberingAfterBreak="0">
    <w:nsid w:val="252C38B1"/>
    <w:multiLevelType w:val="hybridMultilevel"/>
    <w:tmpl w:val="CCB0344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9103E"/>
    <w:multiLevelType w:val="hybridMultilevel"/>
    <w:tmpl w:val="D534BD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312F7"/>
    <w:multiLevelType w:val="hybridMultilevel"/>
    <w:tmpl w:val="9A72A970"/>
    <w:lvl w:ilvl="0" w:tplc="A6E414E2">
      <w:start w:val="1"/>
      <w:numFmt w:val="bullet"/>
      <w:lvlText w:val="●"/>
      <w:lvlJc w:val="left"/>
      <w:pPr>
        <w:ind w:left="720" w:hanging="360"/>
      </w:pPr>
    </w:lvl>
    <w:lvl w:ilvl="1" w:tplc="A4922098">
      <w:start w:val="1"/>
      <w:numFmt w:val="bullet"/>
      <w:lvlText w:val="○"/>
      <w:lvlJc w:val="left"/>
      <w:pPr>
        <w:ind w:left="1440" w:hanging="360"/>
      </w:pPr>
    </w:lvl>
    <w:lvl w:ilvl="2" w:tplc="B96E3328">
      <w:start w:val="1"/>
      <w:numFmt w:val="bullet"/>
      <w:lvlText w:val="■"/>
      <w:lvlJc w:val="left"/>
      <w:pPr>
        <w:ind w:left="2160" w:hanging="360"/>
      </w:pPr>
    </w:lvl>
    <w:lvl w:ilvl="3" w:tplc="E384B9CE">
      <w:start w:val="1"/>
      <w:numFmt w:val="bullet"/>
      <w:lvlText w:val="●"/>
      <w:lvlJc w:val="left"/>
      <w:pPr>
        <w:ind w:left="2880" w:hanging="360"/>
      </w:pPr>
    </w:lvl>
    <w:lvl w:ilvl="4" w:tplc="B246DAC4">
      <w:start w:val="1"/>
      <w:numFmt w:val="bullet"/>
      <w:lvlText w:val="○"/>
      <w:lvlJc w:val="left"/>
      <w:pPr>
        <w:ind w:left="3600" w:hanging="360"/>
      </w:pPr>
    </w:lvl>
    <w:lvl w:ilvl="5" w:tplc="1DDA9740">
      <w:start w:val="1"/>
      <w:numFmt w:val="bullet"/>
      <w:lvlText w:val="■"/>
      <w:lvlJc w:val="left"/>
      <w:pPr>
        <w:ind w:left="4320" w:hanging="360"/>
      </w:pPr>
    </w:lvl>
    <w:lvl w:ilvl="6" w:tplc="E3DCFD04">
      <w:start w:val="1"/>
      <w:numFmt w:val="bullet"/>
      <w:lvlText w:val="●"/>
      <w:lvlJc w:val="left"/>
      <w:pPr>
        <w:ind w:left="5040" w:hanging="360"/>
      </w:pPr>
    </w:lvl>
    <w:lvl w:ilvl="7" w:tplc="33746922">
      <w:start w:val="1"/>
      <w:numFmt w:val="bullet"/>
      <w:lvlText w:val="●"/>
      <w:lvlJc w:val="left"/>
      <w:pPr>
        <w:ind w:left="5760" w:hanging="360"/>
      </w:pPr>
    </w:lvl>
    <w:lvl w:ilvl="8" w:tplc="B240AFD8">
      <w:start w:val="1"/>
      <w:numFmt w:val="bullet"/>
      <w:lvlText w:val="●"/>
      <w:lvlJc w:val="left"/>
      <w:pPr>
        <w:ind w:left="6480" w:hanging="360"/>
      </w:pPr>
    </w:lvl>
  </w:abstractNum>
  <w:abstractNum w:abstractNumId="4" w15:restartNumberingAfterBreak="0">
    <w:nsid w:val="3BE20F09"/>
    <w:multiLevelType w:val="hybridMultilevel"/>
    <w:tmpl w:val="8E909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3725D5"/>
    <w:multiLevelType w:val="hybridMultilevel"/>
    <w:tmpl w:val="00B68F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352BBE"/>
    <w:multiLevelType w:val="hybridMultilevel"/>
    <w:tmpl w:val="9790D44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A4AB4"/>
    <w:multiLevelType w:val="hybridMultilevel"/>
    <w:tmpl w:val="4464011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3B67EF"/>
    <w:multiLevelType w:val="hybridMultilevel"/>
    <w:tmpl w:val="245C3D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A734FB"/>
    <w:multiLevelType w:val="hybridMultilevel"/>
    <w:tmpl w:val="151C5B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0596480">
    <w:abstractNumId w:val="3"/>
    <w:lvlOverride w:ilvl="0">
      <w:startOverride w:val="1"/>
    </w:lvlOverride>
  </w:num>
  <w:num w:numId="2" w16cid:durableId="634481840">
    <w:abstractNumId w:val="0"/>
    <w:lvlOverride w:ilvl="0">
      <w:startOverride w:val="1"/>
    </w:lvlOverride>
  </w:num>
  <w:num w:numId="3" w16cid:durableId="1473329731">
    <w:abstractNumId w:val="8"/>
  </w:num>
  <w:num w:numId="4" w16cid:durableId="1173178276">
    <w:abstractNumId w:val="2"/>
  </w:num>
  <w:num w:numId="5" w16cid:durableId="255407062">
    <w:abstractNumId w:val="6"/>
  </w:num>
  <w:num w:numId="6" w16cid:durableId="1552156640">
    <w:abstractNumId w:val="5"/>
  </w:num>
  <w:num w:numId="7" w16cid:durableId="964509729">
    <w:abstractNumId w:val="9"/>
  </w:num>
  <w:num w:numId="8" w16cid:durableId="591016668">
    <w:abstractNumId w:val="7"/>
  </w:num>
  <w:num w:numId="9" w16cid:durableId="1991129315">
    <w:abstractNumId w:val="1"/>
  </w:num>
  <w:num w:numId="10" w16cid:durableId="1199662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ACB"/>
    <w:rsid w:val="00000049"/>
    <w:rsid w:val="000252FF"/>
    <w:rsid w:val="00036452"/>
    <w:rsid w:val="0004472C"/>
    <w:rsid w:val="00053FA8"/>
    <w:rsid w:val="0006457F"/>
    <w:rsid w:val="00064733"/>
    <w:rsid w:val="000B55E4"/>
    <w:rsid w:val="000B7FBC"/>
    <w:rsid w:val="000D29F8"/>
    <w:rsid w:val="000E69A5"/>
    <w:rsid w:val="000F0224"/>
    <w:rsid w:val="0012589D"/>
    <w:rsid w:val="00191C1B"/>
    <w:rsid w:val="001C66D9"/>
    <w:rsid w:val="001D4BD0"/>
    <w:rsid w:val="00225FB0"/>
    <w:rsid w:val="00231CD6"/>
    <w:rsid w:val="00246536"/>
    <w:rsid w:val="0027468C"/>
    <w:rsid w:val="002D4EB0"/>
    <w:rsid w:val="00315713"/>
    <w:rsid w:val="00361FCF"/>
    <w:rsid w:val="00362EB9"/>
    <w:rsid w:val="003D2E42"/>
    <w:rsid w:val="00401DF2"/>
    <w:rsid w:val="004275AA"/>
    <w:rsid w:val="00453B21"/>
    <w:rsid w:val="0048107F"/>
    <w:rsid w:val="004E735F"/>
    <w:rsid w:val="004F3AF8"/>
    <w:rsid w:val="00580B3D"/>
    <w:rsid w:val="0064582A"/>
    <w:rsid w:val="00650B24"/>
    <w:rsid w:val="00692A81"/>
    <w:rsid w:val="0069735C"/>
    <w:rsid w:val="006A70D0"/>
    <w:rsid w:val="006C2CE0"/>
    <w:rsid w:val="00723708"/>
    <w:rsid w:val="00733800"/>
    <w:rsid w:val="00746ACB"/>
    <w:rsid w:val="007A0EFD"/>
    <w:rsid w:val="008311CB"/>
    <w:rsid w:val="0084635D"/>
    <w:rsid w:val="00847361"/>
    <w:rsid w:val="008521D9"/>
    <w:rsid w:val="00891003"/>
    <w:rsid w:val="00897FBF"/>
    <w:rsid w:val="008A6CFC"/>
    <w:rsid w:val="009177CA"/>
    <w:rsid w:val="0096744C"/>
    <w:rsid w:val="00993B59"/>
    <w:rsid w:val="00996A1C"/>
    <w:rsid w:val="009A12AC"/>
    <w:rsid w:val="009B5C4C"/>
    <w:rsid w:val="009E3BA2"/>
    <w:rsid w:val="00AA32F7"/>
    <w:rsid w:val="00AB0C0B"/>
    <w:rsid w:val="00B17043"/>
    <w:rsid w:val="00B40D88"/>
    <w:rsid w:val="00B51B4C"/>
    <w:rsid w:val="00B667BC"/>
    <w:rsid w:val="00B80592"/>
    <w:rsid w:val="00B91C2B"/>
    <w:rsid w:val="00C022EC"/>
    <w:rsid w:val="00C10169"/>
    <w:rsid w:val="00C810A0"/>
    <w:rsid w:val="00CA563F"/>
    <w:rsid w:val="00D750C5"/>
    <w:rsid w:val="00DA2FFF"/>
    <w:rsid w:val="00DA721C"/>
    <w:rsid w:val="00E11A64"/>
    <w:rsid w:val="00E22415"/>
    <w:rsid w:val="00E915E8"/>
    <w:rsid w:val="00E945BD"/>
    <w:rsid w:val="00F234E3"/>
    <w:rsid w:val="00F67E44"/>
    <w:rsid w:val="00F9243E"/>
    <w:rsid w:val="00F97978"/>
    <w:rsid w:val="00FA69BF"/>
    <w:rsid w:val="00FB1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70CCE"/>
  <w15:docId w15:val="{BB4ADCB1-E78E-4E1B-A3E7-2D4B2F559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4275AA"/>
    <w:pPr>
      <w:spacing w:after="100"/>
    </w:pPr>
  </w:style>
  <w:style w:type="paragraph" w:styleId="TOC2">
    <w:name w:val="toc 2"/>
    <w:basedOn w:val="Normal"/>
    <w:next w:val="Normal"/>
    <w:autoRedefine/>
    <w:uiPriority w:val="39"/>
    <w:unhideWhenUsed/>
    <w:rsid w:val="004275AA"/>
    <w:pPr>
      <w:spacing w:after="100"/>
      <w:ind w:left="200"/>
    </w:pPr>
  </w:style>
  <w:style w:type="paragraph" w:styleId="TOC3">
    <w:name w:val="toc 3"/>
    <w:basedOn w:val="Normal"/>
    <w:next w:val="Normal"/>
    <w:autoRedefine/>
    <w:uiPriority w:val="39"/>
    <w:unhideWhenUsed/>
    <w:rsid w:val="004275AA"/>
    <w:pPr>
      <w:spacing w:after="100"/>
      <w:ind w:left="400"/>
    </w:pPr>
  </w:style>
  <w:style w:type="paragraph" w:styleId="Header">
    <w:name w:val="header"/>
    <w:basedOn w:val="Normal"/>
    <w:link w:val="HeaderChar"/>
    <w:uiPriority w:val="99"/>
    <w:unhideWhenUsed/>
    <w:rsid w:val="004275AA"/>
    <w:pPr>
      <w:tabs>
        <w:tab w:val="center" w:pos="4513"/>
        <w:tab w:val="right" w:pos="9026"/>
      </w:tabs>
    </w:pPr>
  </w:style>
  <w:style w:type="character" w:customStyle="1" w:styleId="HeaderChar">
    <w:name w:val="Header Char"/>
    <w:basedOn w:val="DefaultParagraphFont"/>
    <w:link w:val="Header"/>
    <w:uiPriority w:val="99"/>
    <w:rsid w:val="004275AA"/>
  </w:style>
  <w:style w:type="paragraph" w:styleId="Footer">
    <w:name w:val="footer"/>
    <w:basedOn w:val="Normal"/>
    <w:link w:val="FooterChar"/>
    <w:uiPriority w:val="99"/>
    <w:unhideWhenUsed/>
    <w:rsid w:val="004275AA"/>
    <w:pPr>
      <w:tabs>
        <w:tab w:val="center" w:pos="4513"/>
        <w:tab w:val="right" w:pos="9026"/>
      </w:tabs>
    </w:pPr>
  </w:style>
  <w:style w:type="character" w:customStyle="1" w:styleId="FooterChar">
    <w:name w:val="Footer Char"/>
    <w:basedOn w:val="DefaultParagraphFont"/>
    <w:link w:val="Footer"/>
    <w:uiPriority w:val="99"/>
    <w:rsid w:val="004275AA"/>
  </w:style>
  <w:style w:type="paragraph" w:styleId="NormalWeb">
    <w:name w:val="Normal (Web)"/>
    <w:basedOn w:val="Normal"/>
    <w:uiPriority w:val="99"/>
    <w:semiHidden/>
    <w:unhideWhenUsed/>
    <w:rsid w:val="0064582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33</Pages>
  <Words>9638</Words>
  <Characters>54939</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Rokeya Chowdhury</cp:lastModifiedBy>
  <cp:revision>60</cp:revision>
  <dcterms:created xsi:type="dcterms:W3CDTF">2026-08-15T08:49:00Z</dcterms:created>
  <dcterms:modified xsi:type="dcterms:W3CDTF">2026-08-20T15:41:00Z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a89c4be3-09f9-4d57-8402-7469398f74b7</vt:lpwstr>
  </property>
</Properties>
</file>