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customXml/itemProps5.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kern w:val="2"/>
          <w:sz w:val="24"/>
          <w:szCs w:val="24"/>
        </w:rPr>
        <w:id w:val="-327297616"/>
        <w:docPartObj>
          <w:docPartGallery w:val="Cover Pages"/>
          <w:docPartUnique/>
        </w:docPartObj>
      </w:sdtPr>
      <w:sdtContent>
        <w:p w:rsidR="00DA3DEB" w:rsidRDefault="00B33778">
          <w:pPr>
            <w:pStyle w:val="NoSpacing"/>
          </w:pPr>
          <w:r>
            <w:rPr>
              <w:noProof/>
            </w:rPr>
            <w:pict>
              <v:group id="Group 26" o:spid="_x0000_s2052"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2080"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79"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style="mso-next-textbox:#Pentagon 4" inset=",0,14.4pt,0">
                    <w:txbxContent>
                      <w:sdt>
                        <w:sdtPr>
                          <w:rPr>
                            <w:color w:val="FFFFFF" w:themeColor="background1"/>
                            <w:sz w:val="28"/>
                            <w:szCs w:val="28"/>
                          </w:rPr>
                          <w:alias w:val="Date"/>
                          <w:tag w:val=""/>
                          <w:id w:val="291782556"/>
                          <w:dataBinding w:prefixMappings="xmlns:ns0='http://schemas.microsoft.com/office/2006/coverPageProps' " w:xpath="/ns0:CoverPageProperties[1]/ns0:PublishDate[1]" w:storeItemID="{55AF091B-3C7A-41E3-B477-F2FDAA23CFDA}"/>
                          <w:date w:fullDate="2025-12-18T00:00:00Z">
                            <w:dateFormat w:val="dd/MM/yyyy"/>
                            <w:lid w:val="en-GB"/>
                            <w:storeMappedDataAs w:val="dateTime"/>
                            <w:calendar w:val="gregorian"/>
                          </w:date>
                        </w:sdtPr>
                        <w:sdtContent>
                          <w:p w:rsidR="00DD092C" w:rsidRDefault="00DD092C">
                            <w:pPr>
                              <w:pStyle w:val="NoSpacing"/>
                              <w:jc w:val="right"/>
                              <w:rPr>
                                <w:color w:val="FFFFFF" w:themeColor="background1"/>
                                <w:sz w:val="28"/>
                                <w:szCs w:val="28"/>
                              </w:rPr>
                            </w:pPr>
                            <w:r>
                              <w:rPr>
                                <w:color w:val="FFFFFF" w:themeColor="background1"/>
                                <w:sz w:val="28"/>
                                <w:szCs w:val="28"/>
                              </w:rPr>
                              <w:t>18/12/2025</w:t>
                            </w:r>
                          </w:p>
                        </w:sdtContent>
                      </w:sdt>
                    </w:txbxContent>
                  </v:textbox>
                </v:shape>
                <v:group id="Group 5" o:spid="_x0000_s2053"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6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2078"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2077"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2076"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207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207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2073"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2072"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2071"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207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206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2068"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2067"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205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206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206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2063"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2062"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2061"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206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205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2058"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2057"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2056"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2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rsidR="00DA3DEB" w:rsidRDefault="00B33778">
          <w:r>
            <w:rPr>
              <w:noProof/>
            </w:rPr>
            <w:pict>
              <v:shapetype id="_x0000_t202" coordsize="21600,21600" o:spt="202" path="m,l,21600r21600,l21600,xe">
                <v:stroke joinstyle="miter"/>
                <v:path gradientshapeok="t" o:connecttype="rect"/>
              </v:shapetype>
              <v:shape id="Text Box 30" o:spid="_x0000_s2050" type="#_x0000_t202" style="position:absolute;margin-left:235.55pt;margin-top:131.5pt;width:349.5pt;height:176.65pt;z-index:251660288;visibility:visible;mso-position-horizontal-relative:page;mso-position-vertical-relative:pag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next-textbox:#Text Box 30" inset="0,0,0,0">
                  <w:txbxContent>
                    <w:p w:rsidR="00DD092C" w:rsidRPr="00BB25CF" w:rsidRDefault="00DD092C">
                      <w:pPr>
                        <w:spacing w:before="120"/>
                        <w:rPr>
                          <w:b/>
                          <w:color w:val="404040" w:themeColor="text1" w:themeTint="BF"/>
                          <w:sz w:val="40"/>
                          <w:szCs w:val="40"/>
                        </w:rPr>
                      </w:pPr>
                      <w:sdt>
                        <w:sdtPr>
                          <w:rPr>
                            <w:rFonts w:asciiTheme="majorHAnsi" w:eastAsiaTheme="majorEastAsia" w:hAnsiTheme="majorHAnsi" w:cstheme="majorBidi"/>
                            <w:b/>
                            <w:color w:val="262626" w:themeColor="text1" w:themeTint="D9"/>
                            <w:kern w:val="0"/>
                            <w:sz w:val="40"/>
                            <w:szCs w:val="40"/>
                          </w:rPr>
                          <w:alias w:val="Subtitle"/>
                          <w:tag w:val=""/>
                          <w:id w:val="291782558"/>
                          <w:dataBinding w:prefixMappings="xmlns:ns0='http://purl.org/dc/elements/1.1/' xmlns:ns1='http://schemas.openxmlformats.org/package/2006/metadata/core-properties' " w:xpath="/ns1:coreProperties[1]/ns0:subject[1]" w:storeItemID="{6C3C8BC8-F283-45AE-878A-BAB7291924A1}"/>
                          <w:text/>
                        </w:sdtPr>
                        <w:sdtContent>
                          <w:r w:rsidRPr="00BB25CF">
                            <w:rPr>
                              <w:rFonts w:asciiTheme="majorHAnsi" w:eastAsiaTheme="majorEastAsia" w:hAnsiTheme="majorHAnsi" w:cstheme="majorBidi"/>
                              <w:b/>
                              <w:color w:val="262626" w:themeColor="text1" w:themeTint="D9"/>
                              <w:kern w:val="0"/>
                              <w:sz w:val="40"/>
                              <w:szCs w:val="40"/>
                            </w:rPr>
                            <w:t>Network &amp; Cybersecurity Essentials</w:t>
                          </w:r>
                        </w:sdtContent>
                      </w:sdt>
                    </w:p>
                    <w:p w:rsidR="00DD092C" w:rsidRPr="00011046" w:rsidRDefault="00DD092C" w:rsidP="001F17D3">
                      <w:pPr>
                        <w:spacing w:before="120"/>
                        <w:rPr>
                          <w:b/>
                          <w:sz w:val="40"/>
                          <w:szCs w:val="40"/>
                        </w:rPr>
                      </w:pPr>
                      <w:r w:rsidRPr="00011046">
                        <w:rPr>
                          <w:b/>
                          <w:sz w:val="40"/>
                          <w:szCs w:val="40"/>
                        </w:rPr>
                        <w:t xml:space="preserve">ACCA 4024 </w:t>
                      </w:r>
                    </w:p>
                    <w:p w:rsidR="00DD092C" w:rsidRDefault="00DD092C">
                      <w:pPr>
                        <w:spacing w:before="120"/>
                        <w:rPr>
                          <w:color w:val="404040" w:themeColor="text1" w:themeTint="BF"/>
                          <w:sz w:val="40"/>
                          <w:szCs w:val="40"/>
                        </w:rPr>
                      </w:pPr>
                      <w:r w:rsidRPr="00BB25CF">
                        <w:rPr>
                          <w:b/>
                          <w:sz w:val="40"/>
                          <w:szCs w:val="40"/>
                        </w:rPr>
                        <w:t>Assignment :</w:t>
                      </w:r>
                      <w:r>
                        <w:rPr>
                          <w:b/>
                          <w:color w:val="404040" w:themeColor="text1" w:themeTint="BF"/>
                          <w:sz w:val="40"/>
                          <w:szCs w:val="40"/>
                        </w:rPr>
                        <w:t xml:space="preserve"> </w:t>
                      </w:r>
                      <w:r w:rsidRPr="00011046">
                        <w:rPr>
                          <w:b/>
                          <w:sz w:val="40"/>
                          <w:szCs w:val="40"/>
                        </w:rPr>
                        <w:t>Group 2</w:t>
                      </w:r>
                    </w:p>
                    <w:p w:rsidR="00DD092C" w:rsidRDefault="00DD092C">
                      <w:pPr>
                        <w:spacing w:before="120"/>
                        <w:rPr>
                          <w:color w:val="404040" w:themeColor="text1" w:themeTint="BF"/>
                          <w:sz w:val="36"/>
                          <w:szCs w:val="36"/>
                        </w:rPr>
                      </w:pPr>
                      <w:sdt>
                        <w:sdtPr>
                          <w:rPr>
                            <w:b/>
                            <w:sz w:val="52"/>
                            <w:szCs w:val="52"/>
                          </w:rPr>
                          <w:alias w:val="Author"/>
                          <w:tag w:val=""/>
                          <w:id w:val="291782559"/>
                          <w:dataBinding w:prefixMappings="xmlns:ns0='http://purl.org/dc/elements/1.1/' xmlns:ns1='http://schemas.openxmlformats.org/package/2006/metadata/core-properties' " w:xpath="/ns1:coreProperties[1]/ns0:creator[1]" w:storeItemID="{6C3C8BC8-F283-45AE-878A-BAB7291924A1}"/>
                          <w:text/>
                        </w:sdtPr>
                        <w:sdtContent>
                          <w:r w:rsidRPr="00BB25CF">
                            <w:rPr>
                              <w:b/>
                              <w:sz w:val="52"/>
                              <w:szCs w:val="52"/>
                            </w:rPr>
                            <w:t xml:space="preserve">Lecturer: </w:t>
                          </w:r>
                          <w:r>
                            <w:rPr>
                              <w:b/>
                              <w:sz w:val="52"/>
                              <w:szCs w:val="52"/>
                            </w:rPr>
                            <w:t xml:space="preserve">Dr </w:t>
                          </w:r>
                          <w:r w:rsidRPr="00BB25CF">
                            <w:rPr>
                              <w:b/>
                              <w:sz w:val="52"/>
                              <w:szCs w:val="52"/>
                            </w:rPr>
                            <w:t>Amit Naik</w:t>
                          </w:r>
                        </w:sdtContent>
                      </w:sdt>
                    </w:p>
                  </w:txbxContent>
                </v:textbox>
                <w10:wrap anchorx="page" anchory="page"/>
              </v:shape>
            </w:pict>
          </w:r>
          <w:r>
            <w:rPr>
              <w:noProof/>
            </w:rPr>
            <w:pict>
              <v:shape id="Text Box 28" o:spid="_x0000_s2051" type="#_x0000_t202" style="position:absolute;margin-left:302.7pt;margin-top:693pt;width:266.05pt;height:60.75pt;z-index:251661312;visibility:visible;mso-position-horizontal-relative:page;mso-position-vertical-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next-textbox:#Text Box 28" inset="0,0,0,0">
                  <w:txbxContent>
                    <w:p w:rsidR="00DD092C" w:rsidRPr="00BB25CF" w:rsidRDefault="00DD092C">
                      <w:pPr>
                        <w:pStyle w:val="NoSpacing"/>
                        <w:rPr>
                          <w:b/>
                          <w:sz w:val="44"/>
                          <w:szCs w:val="44"/>
                        </w:rPr>
                      </w:pPr>
                      <w:r>
                        <w:rPr>
                          <w:b/>
                          <w:sz w:val="44"/>
                          <w:szCs w:val="44"/>
                        </w:rPr>
                        <w:t>Student</w:t>
                      </w:r>
                      <w:r w:rsidRPr="00BB25CF">
                        <w:rPr>
                          <w:b/>
                          <w:sz w:val="44"/>
                          <w:szCs w:val="44"/>
                        </w:rPr>
                        <w:t>:</w:t>
                      </w:r>
                      <w:r>
                        <w:rPr>
                          <w:b/>
                          <w:sz w:val="44"/>
                          <w:szCs w:val="44"/>
                        </w:rPr>
                        <w:t xml:space="preserve"> Vincent Placide</w:t>
                      </w:r>
                    </w:p>
                    <w:p w:rsidR="00DD092C" w:rsidRPr="00BB25CF" w:rsidRDefault="00DD092C">
                      <w:pPr>
                        <w:pStyle w:val="NoSpacing"/>
                        <w:rPr>
                          <w:b/>
                          <w:sz w:val="44"/>
                          <w:szCs w:val="44"/>
                        </w:rPr>
                      </w:pPr>
                      <w:r w:rsidRPr="00BB25CF">
                        <w:rPr>
                          <w:b/>
                          <w:sz w:val="44"/>
                          <w:szCs w:val="44"/>
                        </w:rPr>
                        <w:t>ID No</w:t>
                      </w:r>
                      <w:r>
                        <w:rPr>
                          <w:b/>
                          <w:sz w:val="44"/>
                          <w:szCs w:val="44"/>
                        </w:rPr>
                        <w:t>:</w:t>
                      </w:r>
                      <w:r>
                        <w:rPr>
                          <w:b/>
                          <w:sz w:val="44"/>
                          <w:szCs w:val="44"/>
                        </w:rPr>
                        <w:tab/>
                        <w:t xml:space="preserve">    </w:t>
                      </w:r>
                      <w:r w:rsidRPr="00BB25CF">
                        <w:rPr>
                          <w:b/>
                          <w:sz w:val="44"/>
                          <w:szCs w:val="44"/>
                        </w:rPr>
                        <w:t>2146886</w:t>
                      </w:r>
                    </w:p>
                    <w:p w:rsidR="00DD092C" w:rsidRDefault="00DD092C">
                      <w:pPr>
                        <w:pStyle w:val="NoSpacing"/>
                        <w:rPr>
                          <w:b/>
                          <w:sz w:val="36"/>
                          <w:szCs w:val="36"/>
                        </w:rPr>
                      </w:pPr>
                    </w:p>
                    <w:p w:rsidR="00DD092C" w:rsidRPr="00ED744C" w:rsidRDefault="00DD092C">
                      <w:pPr>
                        <w:pStyle w:val="NoSpacing"/>
                        <w:rPr>
                          <w:b/>
                          <w:sz w:val="36"/>
                          <w:szCs w:val="36"/>
                        </w:rPr>
                      </w:pPr>
                    </w:p>
                    <w:p w:rsidR="00DD092C" w:rsidRDefault="00DD092C">
                      <w:pPr>
                        <w:pStyle w:val="NoSpacing"/>
                        <w:rPr>
                          <w:color w:val="156082" w:themeColor="accent1"/>
                          <w:sz w:val="26"/>
                          <w:szCs w:val="26"/>
                        </w:rPr>
                      </w:pPr>
                    </w:p>
                    <w:p w:rsidR="00DD092C" w:rsidRDefault="00DD092C">
                      <w:pPr>
                        <w:pStyle w:val="NoSpacing"/>
                        <w:rPr>
                          <w:color w:val="156082" w:themeColor="accent1"/>
                          <w:sz w:val="26"/>
                          <w:szCs w:val="26"/>
                        </w:rPr>
                      </w:pPr>
                    </w:p>
                    <w:p w:rsidR="00DD092C" w:rsidRDefault="00DD092C">
                      <w:pPr>
                        <w:pStyle w:val="NoSpacing"/>
                        <w:rPr>
                          <w:color w:val="156082" w:themeColor="accent1"/>
                          <w:sz w:val="26"/>
                          <w:szCs w:val="26"/>
                        </w:rPr>
                      </w:pPr>
                    </w:p>
                    <w:p w:rsidR="00DD092C" w:rsidRDefault="00DD092C">
                      <w:pPr>
                        <w:pStyle w:val="NoSpacing"/>
                        <w:rPr>
                          <w:color w:val="156082" w:themeColor="accent1"/>
                          <w:sz w:val="26"/>
                          <w:szCs w:val="26"/>
                        </w:rPr>
                      </w:pPr>
                    </w:p>
                    <w:p w:rsidR="00DD092C" w:rsidRDefault="00DD092C">
                      <w:pPr>
                        <w:pStyle w:val="NoSpacing"/>
                        <w:rPr>
                          <w:color w:val="156082" w:themeColor="accent1"/>
                          <w:sz w:val="26"/>
                          <w:szCs w:val="26"/>
                        </w:rPr>
                      </w:pPr>
                    </w:p>
                    <w:p w:rsidR="00DD092C" w:rsidRDefault="00DD092C">
                      <w:pPr>
                        <w:pStyle w:val="NoSpacing"/>
                        <w:rPr>
                          <w:color w:val="156082" w:themeColor="accent1"/>
                          <w:sz w:val="26"/>
                          <w:szCs w:val="26"/>
                        </w:rPr>
                      </w:pPr>
                    </w:p>
                    <w:p w:rsidR="00DD092C" w:rsidRDefault="00DD092C">
                      <w:pPr>
                        <w:pStyle w:val="NoSpacing"/>
                        <w:rPr>
                          <w:color w:val="156082" w:themeColor="accent1"/>
                          <w:sz w:val="26"/>
                          <w:szCs w:val="26"/>
                        </w:rPr>
                      </w:pPr>
                    </w:p>
                    <w:p w:rsidR="00DD092C" w:rsidRDefault="00DD092C">
                      <w:pPr>
                        <w:pStyle w:val="NoSpacing"/>
                        <w:rPr>
                          <w:color w:val="595959" w:themeColor="text1" w:themeTint="A6"/>
                          <w:sz w:val="20"/>
                          <w:szCs w:val="20"/>
                        </w:rPr>
                      </w:pPr>
                    </w:p>
                  </w:txbxContent>
                </v:textbox>
                <w10:wrap anchorx="page" anchory="page"/>
              </v:shape>
            </w:pict>
          </w:r>
          <w:r w:rsidR="00DA3DEB">
            <w:br w:type="page"/>
          </w:r>
        </w:p>
      </w:sdtContent>
    </w:sdt>
    <w:sdt>
      <w:sdtPr>
        <w:rPr>
          <w:rFonts w:asciiTheme="minorHAnsi" w:eastAsiaTheme="minorEastAsia" w:hAnsiTheme="minorHAnsi" w:cstheme="minorBidi"/>
          <w:color w:val="auto"/>
          <w:kern w:val="2"/>
          <w:sz w:val="24"/>
          <w:szCs w:val="24"/>
        </w:rPr>
        <w:id w:val="284306483"/>
        <w:docPartObj>
          <w:docPartGallery w:val="Table of Contents"/>
          <w:docPartUnique/>
        </w:docPartObj>
      </w:sdtPr>
      <w:sdtEndPr>
        <w:rPr>
          <w:sz w:val="22"/>
          <w:szCs w:val="22"/>
        </w:rPr>
      </w:sdtEndPr>
      <w:sdtContent>
        <w:p w:rsidR="00F137CD" w:rsidRDefault="00F137CD">
          <w:pPr>
            <w:pStyle w:val="TOCHeading"/>
          </w:pPr>
          <w:r>
            <w:t>Table of Contents</w:t>
          </w:r>
        </w:p>
        <w:p w:rsidR="00156AE7" w:rsidRPr="00156AE7" w:rsidRDefault="00B33778" w:rsidP="00156AE7">
          <w:pPr>
            <w:pStyle w:val="TOC1"/>
            <w:rPr>
              <w:kern w:val="0"/>
              <w:sz w:val="22"/>
              <w:szCs w:val="22"/>
              <w:lang w:eastAsia="en-GB"/>
            </w:rPr>
          </w:pPr>
          <w:r w:rsidRPr="00156AE7">
            <w:rPr>
              <w:sz w:val="22"/>
              <w:szCs w:val="22"/>
            </w:rPr>
            <w:fldChar w:fldCharType="begin"/>
          </w:r>
          <w:r w:rsidR="00F137CD" w:rsidRPr="00156AE7">
            <w:rPr>
              <w:sz w:val="22"/>
              <w:szCs w:val="22"/>
            </w:rPr>
            <w:instrText xml:space="preserve"> TOC \o "1-3" \h \z \u </w:instrText>
          </w:r>
          <w:r w:rsidRPr="00156AE7">
            <w:rPr>
              <w:sz w:val="22"/>
              <w:szCs w:val="22"/>
            </w:rPr>
            <w:fldChar w:fldCharType="separate"/>
          </w:r>
          <w:hyperlink w:anchor="_Toc216919844" w:history="1">
            <w:r w:rsidR="00156AE7" w:rsidRPr="00156AE7">
              <w:rPr>
                <w:rStyle w:val="Hyperlink"/>
                <w:sz w:val="22"/>
                <w:szCs w:val="22"/>
              </w:rPr>
              <w:t>1. ABSTRACT</w:t>
            </w:r>
            <w:r w:rsidR="00156AE7" w:rsidRPr="00156AE7">
              <w:rPr>
                <w:webHidden/>
                <w:sz w:val="22"/>
                <w:szCs w:val="22"/>
              </w:rPr>
              <w:tab/>
            </w:r>
            <w:r w:rsidR="00156AE7" w:rsidRPr="00156AE7">
              <w:rPr>
                <w:webHidden/>
                <w:sz w:val="22"/>
                <w:szCs w:val="22"/>
              </w:rPr>
              <w:fldChar w:fldCharType="begin"/>
            </w:r>
            <w:r w:rsidR="00156AE7" w:rsidRPr="00156AE7">
              <w:rPr>
                <w:webHidden/>
                <w:sz w:val="22"/>
                <w:szCs w:val="22"/>
              </w:rPr>
              <w:instrText xml:space="preserve"> PAGEREF _Toc216919844 \h </w:instrText>
            </w:r>
            <w:r w:rsidR="00156AE7" w:rsidRPr="00156AE7">
              <w:rPr>
                <w:webHidden/>
                <w:sz w:val="22"/>
                <w:szCs w:val="22"/>
              </w:rPr>
            </w:r>
            <w:r w:rsidR="00156AE7" w:rsidRPr="00156AE7">
              <w:rPr>
                <w:webHidden/>
                <w:sz w:val="22"/>
                <w:szCs w:val="22"/>
              </w:rPr>
              <w:fldChar w:fldCharType="separate"/>
            </w:r>
            <w:r w:rsidR="00156AE7" w:rsidRPr="00156AE7">
              <w:rPr>
                <w:webHidden/>
                <w:sz w:val="22"/>
                <w:szCs w:val="22"/>
              </w:rPr>
              <w:t>2</w:t>
            </w:r>
            <w:r w:rsidR="00156AE7" w:rsidRPr="00156AE7">
              <w:rPr>
                <w:webHidden/>
                <w:sz w:val="22"/>
                <w:szCs w:val="22"/>
              </w:rPr>
              <w:fldChar w:fldCharType="end"/>
            </w:r>
          </w:hyperlink>
        </w:p>
        <w:p w:rsidR="00156AE7" w:rsidRPr="00156AE7" w:rsidRDefault="00156AE7" w:rsidP="00156AE7">
          <w:pPr>
            <w:pStyle w:val="TOC1"/>
            <w:rPr>
              <w:kern w:val="0"/>
              <w:sz w:val="22"/>
              <w:szCs w:val="22"/>
              <w:lang w:eastAsia="en-GB"/>
            </w:rPr>
          </w:pPr>
          <w:hyperlink w:anchor="_Toc216919845" w:history="1">
            <w:r w:rsidRPr="00156AE7">
              <w:rPr>
                <w:rStyle w:val="Hyperlink"/>
                <w:sz w:val="22"/>
                <w:szCs w:val="22"/>
              </w:rPr>
              <w:t>2. INTRODUCTION</w:t>
            </w:r>
            <w:r w:rsidRPr="00156AE7">
              <w:rPr>
                <w:webHidden/>
                <w:sz w:val="22"/>
                <w:szCs w:val="22"/>
              </w:rPr>
              <w:tab/>
            </w:r>
            <w:r w:rsidRPr="00156AE7">
              <w:rPr>
                <w:webHidden/>
                <w:sz w:val="22"/>
                <w:szCs w:val="22"/>
              </w:rPr>
              <w:fldChar w:fldCharType="begin"/>
            </w:r>
            <w:r w:rsidRPr="00156AE7">
              <w:rPr>
                <w:webHidden/>
                <w:sz w:val="22"/>
                <w:szCs w:val="22"/>
              </w:rPr>
              <w:instrText xml:space="preserve"> PAGEREF _Toc216919845 \h </w:instrText>
            </w:r>
            <w:r w:rsidRPr="00156AE7">
              <w:rPr>
                <w:webHidden/>
                <w:sz w:val="22"/>
                <w:szCs w:val="22"/>
              </w:rPr>
            </w:r>
            <w:r w:rsidRPr="00156AE7">
              <w:rPr>
                <w:webHidden/>
                <w:sz w:val="22"/>
                <w:szCs w:val="22"/>
              </w:rPr>
              <w:fldChar w:fldCharType="separate"/>
            </w:r>
            <w:r w:rsidRPr="00156AE7">
              <w:rPr>
                <w:webHidden/>
                <w:sz w:val="22"/>
                <w:szCs w:val="22"/>
              </w:rPr>
              <w:t>2</w:t>
            </w:r>
            <w:r w:rsidRPr="00156AE7">
              <w:rPr>
                <w:webHidden/>
                <w:sz w:val="22"/>
                <w:szCs w:val="22"/>
              </w:rPr>
              <w:fldChar w:fldCharType="end"/>
            </w:r>
          </w:hyperlink>
        </w:p>
        <w:p w:rsidR="00156AE7" w:rsidRPr="00156AE7" w:rsidRDefault="00156AE7" w:rsidP="00156AE7">
          <w:pPr>
            <w:pStyle w:val="TOC1"/>
            <w:rPr>
              <w:kern w:val="0"/>
              <w:sz w:val="22"/>
              <w:szCs w:val="22"/>
              <w:lang w:eastAsia="en-GB"/>
            </w:rPr>
          </w:pPr>
          <w:hyperlink w:anchor="_Toc216919846" w:history="1">
            <w:r w:rsidRPr="00156AE7">
              <w:rPr>
                <w:rStyle w:val="Hyperlink"/>
                <w:sz w:val="22"/>
                <w:szCs w:val="22"/>
              </w:rPr>
              <w:t>3. IDENTIFICATION OF MODERN THREATS</w:t>
            </w:r>
            <w:r w:rsidRPr="00156AE7">
              <w:rPr>
                <w:webHidden/>
                <w:sz w:val="22"/>
                <w:szCs w:val="22"/>
              </w:rPr>
              <w:tab/>
            </w:r>
            <w:r w:rsidRPr="00156AE7">
              <w:rPr>
                <w:webHidden/>
                <w:sz w:val="22"/>
                <w:szCs w:val="22"/>
              </w:rPr>
              <w:fldChar w:fldCharType="begin"/>
            </w:r>
            <w:r w:rsidRPr="00156AE7">
              <w:rPr>
                <w:webHidden/>
                <w:sz w:val="22"/>
                <w:szCs w:val="22"/>
              </w:rPr>
              <w:instrText xml:space="preserve"> PAGEREF _Toc216919846 \h </w:instrText>
            </w:r>
            <w:r w:rsidRPr="00156AE7">
              <w:rPr>
                <w:webHidden/>
                <w:sz w:val="22"/>
                <w:szCs w:val="22"/>
              </w:rPr>
            </w:r>
            <w:r w:rsidRPr="00156AE7">
              <w:rPr>
                <w:webHidden/>
                <w:sz w:val="22"/>
                <w:szCs w:val="22"/>
              </w:rPr>
              <w:fldChar w:fldCharType="separate"/>
            </w:r>
            <w:r w:rsidRPr="00156AE7">
              <w:rPr>
                <w:webHidden/>
                <w:sz w:val="22"/>
                <w:szCs w:val="22"/>
              </w:rPr>
              <w:t>3</w:t>
            </w:r>
            <w:r w:rsidRPr="00156AE7">
              <w:rPr>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47" w:history="1">
            <w:r w:rsidRPr="00156AE7">
              <w:rPr>
                <w:rStyle w:val="Hyperlink"/>
                <w:noProof/>
                <w:sz w:val="22"/>
                <w:szCs w:val="22"/>
              </w:rPr>
              <w:t>3.1 Ransomware-as-a-Service Threat</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_Toc216919847 \h </w:instrText>
            </w:r>
            <w:r w:rsidRPr="00156AE7">
              <w:rPr>
                <w:noProof/>
                <w:webHidden/>
                <w:sz w:val="22"/>
                <w:szCs w:val="22"/>
              </w:rPr>
            </w:r>
            <w:r w:rsidRPr="00156AE7">
              <w:rPr>
                <w:noProof/>
                <w:webHidden/>
                <w:sz w:val="22"/>
                <w:szCs w:val="22"/>
              </w:rPr>
              <w:fldChar w:fldCharType="separate"/>
            </w:r>
            <w:r w:rsidRPr="00156AE7">
              <w:rPr>
                <w:noProof/>
                <w:webHidden/>
                <w:sz w:val="22"/>
                <w:szCs w:val="22"/>
              </w:rPr>
              <w:t>3</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48" w:history="1">
            <w:r w:rsidRPr="00156AE7">
              <w:rPr>
                <w:rStyle w:val="Hyperlink"/>
                <w:noProof/>
                <w:sz w:val="22"/>
                <w:szCs w:val="22"/>
              </w:rPr>
              <w:t>3.2 AI Powered Social Engineering and Vishing</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_Toc216919848 \h </w:instrText>
            </w:r>
            <w:r w:rsidRPr="00156AE7">
              <w:rPr>
                <w:noProof/>
                <w:webHidden/>
                <w:sz w:val="22"/>
                <w:szCs w:val="22"/>
              </w:rPr>
            </w:r>
            <w:r w:rsidRPr="00156AE7">
              <w:rPr>
                <w:noProof/>
                <w:webHidden/>
                <w:sz w:val="22"/>
                <w:szCs w:val="22"/>
              </w:rPr>
              <w:fldChar w:fldCharType="separate"/>
            </w:r>
            <w:r w:rsidRPr="00156AE7">
              <w:rPr>
                <w:noProof/>
                <w:webHidden/>
                <w:sz w:val="22"/>
                <w:szCs w:val="22"/>
              </w:rPr>
              <w:t>3</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49" w:history="1">
            <w:r w:rsidRPr="00156AE7">
              <w:rPr>
                <w:rStyle w:val="Hyperlink"/>
                <w:noProof/>
                <w:sz w:val="22"/>
                <w:szCs w:val="22"/>
              </w:rPr>
              <w:t>3.3 Supply Chain Compromise Risks</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_Toc216919849 \h </w:instrText>
            </w:r>
            <w:r w:rsidRPr="00156AE7">
              <w:rPr>
                <w:noProof/>
                <w:webHidden/>
                <w:sz w:val="22"/>
                <w:szCs w:val="22"/>
              </w:rPr>
            </w:r>
            <w:r w:rsidRPr="00156AE7">
              <w:rPr>
                <w:noProof/>
                <w:webHidden/>
                <w:sz w:val="22"/>
                <w:szCs w:val="22"/>
              </w:rPr>
              <w:fldChar w:fldCharType="separate"/>
            </w:r>
            <w:r w:rsidRPr="00156AE7">
              <w:rPr>
                <w:noProof/>
                <w:webHidden/>
                <w:sz w:val="22"/>
                <w:szCs w:val="22"/>
              </w:rPr>
              <w:t>4</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50" w:history="1">
            <w:r w:rsidRPr="00156AE7">
              <w:rPr>
                <w:rStyle w:val="Hyperlink"/>
                <w:rFonts w:ascii="Calibri" w:hAnsi="Calibri" w:cs="Calibri"/>
                <w:noProof/>
                <w:sz w:val="22"/>
                <w:szCs w:val="22"/>
              </w:rPr>
              <w:t>3.4 Cloud Adoption and Hybrid Work Vulnerabilities</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_Toc216919850 \h </w:instrText>
            </w:r>
            <w:r w:rsidRPr="00156AE7">
              <w:rPr>
                <w:noProof/>
                <w:webHidden/>
                <w:sz w:val="22"/>
                <w:szCs w:val="22"/>
              </w:rPr>
            </w:r>
            <w:r w:rsidRPr="00156AE7">
              <w:rPr>
                <w:noProof/>
                <w:webHidden/>
                <w:sz w:val="22"/>
                <w:szCs w:val="22"/>
              </w:rPr>
              <w:fldChar w:fldCharType="separate"/>
            </w:r>
            <w:r w:rsidRPr="00156AE7">
              <w:rPr>
                <w:noProof/>
                <w:webHidden/>
                <w:sz w:val="22"/>
                <w:szCs w:val="22"/>
              </w:rPr>
              <w:t>4</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51" w:history="1">
            <w:r w:rsidRPr="00156AE7">
              <w:rPr>
                <w:rStyle w:val="Hyperlink"/>
                <w:noProof/>
                <w:sz w:val="22"/>
                <w:szCs w:val="22"/>
              </w:rPr>
              <w:t>3.5 Internal Threat Vectors</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_Toc216919851 \h </w:instrText>
            </w:r>
            <w:r w:rsidRPr="00156AE7">
              <w:rPr>
                <w:noProof/>
                <w:webHidden/>
                <w:sz w:val="22"/>
                <w:szCs w:val="22"/>
              </w:rPr>
            </w:r>
            <w:r w:rsidRPr="00156AE7">
              <w:rPr>
                <w:noProof/>
                <w:webHidden/>
                <w:sz w:val="22"/>
                <w:szCs w:val="22"/>
              </w:rPr>
              <w:fldChar w:fldCharType="separate"/>
            </w:r>
            <w:r w:rsidRPr="00156AE7">
              <w:rPr>
                <w:noProof/>
                <w:webHidden/>
                <w:sz w:val="22"/>
                <w:szCs w:val="22"/>
              </w:rPr>
              <w:t>4</w:t>
            </w:r>
            <w:r w:rsidRPr="00156AE7">
              <w:rPr>
                <w:noProof/>
                <w:webHidden/>
                <w:sz w:val="22"/>
                <w:szCs w:val="22"/>
              </w:rPr>
              <w:fldChar w:fldCharType="end"/>
            </w:r>
          </w:hyperlink>
        </w:p>
        <w:p w:rsidR="00156AE7" w:rsidRPr="00156AE7" w:rsidRDefault="00156AE7" w:rsidP="00156AE7">
          <w:pPr>
            <w:pStyle w:val="TOC1"/>
            <w:rPr>
              <w:kern w:val="0"/>
              <w:sz w:val="22"/>
              <w:szCs w:val="22"/>
              <w:lang w:eastAsia="en-GB"/>
            </w:rPr>
          </w:pPr>
          <w:hyperlink w:anchor="_Toc216919852" w:history="1">
            <w:r w:rsidRPr="00156AE7">
              <w:rPr>
                <w:rStyle w:val="Hyperlink"/>
                <w:sz w:val="22"/>
                <w:szCs w:val="22"/>
              </w:rPr>
              <w:t>4. MODERN SECURITY POLICIES</w:t>
            </w:r>
            <w:r w:rsidRPr="00156AE7">
              <w:rPr>
                <w:webHidden/>
                <w:sz w:val="22"/>
                <w:szCs w:val="22"/>
              </w:rPr>
              <w:tab/>
            </w:r>
            <w:r w:rsidRPr="00156AE7">
              <w:rPr>
                <w:webHidden/>
                <w:sz w:val="22"/>
                <w:szCs w:val="22"/>
              </w:rPr>
              <w:fldChar w:fldCharType="begin"/>
            </w:r>
            <w:r w:rsidRPr="00156AE7">
              <w:rPr>
                <w:webHidden/>
                <w:sz w:val="22"/>
                <w:szCs w:val="22"/>
              </w:rPr>
              <w:instrText xml:space="preserve"> PAGEREF _Toc216919852 \h </w:instrText>
            </w:r>
            <w:r w:rsidRPr="00156AE7">
              <w:rPr>
                <w:webHidden/>
                <w:sz w:val="22"/>
                <w:szCs w:val="22"/>
              </w:rPr>
            </w:r>
            <w:r w:rsidRPr="00156AE7">
              <w:rPr>
                <w:webHidden/>
                <w:sz w:val="22"/>
                <w:szCs w:val="22"/>
              </w:rPr>
              <w:fldChar w:fldCharType="separate"/>
            </w:r>
            <w:r w:rsidRPr="00156AE7">
              <w:rPr>
                <w:webHidden/>
                <w:sz w:val="22"/>
                <w:szCs w:val="22"/>
              </w:rPr>
              <w:t>4</w:t>
            </w:r>
            <w:r w:rsidRPr="00156AE7">
              <w:rPr>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53" w:history="1">
            <w:r w:rsidRPr="00156AE7">
              <w:rPr>
                <w:rStyle w:val="Hyperlink"/>
                <w:noProof/>
                <w:sz w:val="22"/>
                <w:szCs w:val="22"/>
              </w:rPr>
              <w:t>4.1 Zero Trust Architecture Principles</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_Toc216919853 \h </w:instrText>
            </w:r>
            <w:r w:rsidRPr="00156AE7">
              <w:rPr>
                <w:noProof/>
                <w:webHidden/>
                <w:sz w:val="22"/>
                <w:szCs w:val="22"/>
              </w:rPr>
            </w:r>
            <w:r w:rsidRPr="00156AE7">
              <w:rPr>
                <w:noProof/>
                <w:webHidden/>
                <w:sz w:val="22"/>
                <w:szCs w:val="22"/>
              </w:rPr>
              <w:fldChar w:fldCharType="separate"/>
            </w:r>
            <w:r w:rsidRPr="00156AE7">
              <w:rPr>
                <w:noProof/>
                <w:webHidden/>
                <w:sz w:val="22"/>
                <w:szCs w:val="22"/>
              </w:rPr>
              <w:t>4</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54" w:history="1">
            <w:r w:rsidRPr="00156AE7">
              <w:rPr>
                <w:rStyle w:val="Hyperlink"/>
                <w:noProof/>
                <w:sz w:val="22"/>
                <w:szCs w:val="22"/>
              </w:rPr>
              <w:t>4.2 Policy Framework Alignment with NIST CSF 2.0</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_Toc216919854 \h </w:instrText>
            </w:r>
            <w:r w:rsidRPr="00156AE7">
              <w:rPr>
                <w:noProof/>
                <w:webHidden/>
                <w:sz w:val="22"/>
                <w:szCs w:val="22"/>
              </w:rPr>
            </w:r>
            <w:r w:rsidRPr="00156AE7">
              <w:rPr>
                <w:noProof/>
                <w:webHidden/>
                <w:sz w:val="22"/>
                <w:szCs w:val="22"/>
              </w:rPr>
              <w:fldChar w:fldCharType="separate"/>
            </w:r>
            <w:r w:rsidRPr="00156AE7">
              <w:rPr>
                <w:noProof/>
                <w:webHidden/>
                <w:sz w:val="22"/>
                <w:szCs w:val="22"/>
              </w:rPr>
              <w:t>5</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55" w:history="1">
            <w:r w:rsidRPr="00156AE7">
              <w:rPr>
                <w:rStyle w:val="Hyperlink"/>
                <w:noProof/>
                <w:sz w:val="22"/>
                <w:szCs w:val="22"/>
              </w:rPr>
              <w:t>4.3 Data Protection and Encryption Policies</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_Toc216919855 \h </w:instrText>
            </w:r>
            <w:r w:rsidRPr="00156AE7">
              <w:rPr>
                <w:noProof/>
                <w:webHidden/>
                <w:sz w:val="22"/>
                <w:szCs w:val="22"/>
              </w:rPr>
            </w:r>
            <w:r w:rsidRPr="00156AE7">
              <w:rPr>
                <w:noProof/>
                <w:webHidden/>
                <w:sz w:val="22"/>
                <w:szCs w:val="22"/>
              </w:rPr>
              <w:fldChar w:fldCharType="separate"/>
            </w:r>
            <w:r w:rsidRPr="00156AE7">
              <w:rPr>
                <w:noProof/>
                <w:webHidden/>
                <w:sz w:val="22"/>
                <w:szCs w:val="22"/>
              </w:rPr>
              <w:t>6</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56" w:history="1">
            <w:r w:rsidRPr="00156AE7">
              <w:rPr>
                <w:rStyle w:val="Hyperlink"/>
                <w:noProof/>
                <w:sz w:val="22"/>
                <w:szCs w:val="22"/>
              </w:rPr>
              <w:t>4.4 Third-Party Vendor Management Policies</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_Toc216919856 \h </w:instrText>
            </w:r>
            <w:r w:rsidRPr="00156AE7">
              <w:rPr>
                <w:noProof/>
                <w:webHidden/>
                <w:sz w:val="22"/>
                <w:szCs w:val="22"/>
              </w:rPr>
            </w:r>
            <w:r w:rsidRPr="00156AE7">
              <w:rPr>
                <w:noProof/>
                <w:webHidden/>
                <w:sz w:val="22"/>
                <w:szCs w:val="22"/>
              </w:rPr>
              <w:fldChar w:fldCharType="separate"/>
            </w:r>
            <w:r w:rsidRPr="00156AE7">
              <w:rPr>
                <w:noProof/>
                <w:webHidden/>
                <w:sz w:val="22"/>
                <w:szCs w:val="22"/>
              </w:rPr>
              <w:t>6</w:t>
            </w:r>
            <w:r w:rsidRPr="00156AE7">
              <w:rPr>
                <w:noProof/>
                <w:webHidden/>
                <w:sz w:val="22"/>
                <w:szCs w:val="22"/>
              </w:rPr>
              <w:fldChar w:fldCharType="end"/>
            </w:r>
          </w:hyperlink>
        </w:p>
        <w:p w:rsidR="00156AE7" w:rsidRPr="00156AE7" w:rsidRDefault="00156AE7" w:rsidP="00156AE7">
          <w:pPr>
            <w:pStyle w:val="TOC1"/>
            <w:rPr>
              <w:kern w:val="0"/>
              <w:sz w:val="22"/>
              <w:szCs w:val="22"/>
              <w:lang w:eastAsia="en-GB"/>
            </w:rPr>
          </w:pPr>
          <w:hyperlink w:anchor="_Toc216919857" w:history="1">
            <w:r w:rsidRPr="00156AE7">
              <w:rPr>
                <w:rStyle w:val="Hyperlink"/>
                <w:sz w:val="22"/>
                <w:szCs w:val="22"/>
              </w:rPr>
              <w:t>5. TECHNICAL MITIGATION MEASURES</w:t>
            </w:r>
            <w:r w:rsidRPr="00156AE7">
              <w:rPr>
                <w:webHidden/>
                <w:sz w:val="22"/>
                <w:szCs w:val="22"/>
              </w:rPr>
              <w:tab/>
            </w:r>
            <w:r w:rsidRPr="00156AE7">
              <w:rPr>
                <w:webHidden/>
                <w:sz w:val="22"/>
                <w:szCs w:val="22"/>
              </w:rPr>
              <w:fldChar w:fldCharType="begin"/>
            </w:r>
            <w:r w:rsidRPr="00156AE7">
              <w:rPr>
                <w:webHidden/>
                <w:sz w:val="22"/>
                <w:szCs w:val="22"/>
              </w:rPr>
              <w:instrText xml:space="preserve"> PAGEREF _Toc216919857 \h </w:instrText>
            </w:r>
            <w:r w:rsidRPr="00156AE7">
              <w:rPr>
                <w:webHidden/>
                <w:sz w:val="22"/>
                <w:szCs w:val="22"/>
              </w:rPr>
            </w:r>
            <w:r w:rsidRPr="00156AE7">
              <w:rPr>
                <w:webHidden/>
                <w:sz w:val="22"/>
                <w:szCs w:val="22"/>
              </w:rPr>
              <w:fldChar w:fldCharType="separate"/>
            </w:r>
            <w:r w:rsidRPr="00156AE7">
              <w:rPr>
                <w:webHidden/>
                <w:sz w:val="22"/>
                <w:szCs w:val="22"/>
              </w:rPr>
              <w:t>6</w:t>
            </w:r>
            <w:r w:rsidRPr="00156AE7">
              <w:rPr>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58" w:history="1">
            <w:r w:rsidRPr="00156AE7">
              <w:rPr>
                <w:rStyle w:val="Hyperlink"/>
                <w:noProof/>
                <w:sz w:val="22"/>
                <w:szCs w:val="22"/>
              </w:rPr>
              <w:t>5.1 Multi-Factor Authentication (MFA) and Identity Management</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_Toc216919858 \h </w:instrText>
            </w:r>
            <w:r w:rsidRPr="00156AE7">
              <w:rPr>
                <w:noProof/>
                <w:webHidden/>
                <w:sz w:val="22"/>
                <w:szCs w:val="22"/>
              </w:rPr>
            </w:r>
            <w:r w:rsidRPr="00156AE7">
              <w:rPr>
                <w:noProof/>
                <w:webHidden/>
                <w:sz w:val="22"/>
                <w:szCs w:val="22"/>
              </w:rPr>
              <w:fldChar w:fldCharType="separate"/>
            </w:r>
            <w:r w:rsidRPr="00156AE7">
              <w:rPr>
                <w:noProof/>
                <w:webHidden/>
                <w:sz w:val="22"/>
                <w:szCs w:val="22"/>
              </w:rPr>
              <w:t>6</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59" w:history="1">
            <w:r w:rsidRPr="00156AE7">
              <w:rPr>
                <w:rStyle w:val="Hyperlink"/>
                <w:rFonts w:ascii="Calibri" w:hAnsi="Calibri" w:cs="Calibri"/>
                <w:iCs/>
                <w:noProof/>
                <w:sz w:val="22"/>
                <w:szCs w:val="22"/>
              </w:rPr>
              <w:t>5.2 SIEM and SOAR Integration Workflow</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_Toc216919859 \h </w:instrText>
            </w:r>
            <w:r w:rsidRPr="00156AE7">
              <w:rPr>
                <w:noProof/>
                <w:webHidden/>
                <w:sz w:val="22"/>
                <w:szCs w:val="22"/>
              </w:rPr>
            </w:r>
            <w:r w:rsidRPr="00156AE7">
              <w:rPr>
                <w:noProof/>
                <w:webHidden/>
                <w:sz w:val="22"/>
                <w:szCs w:val="22"/>
              </w:rPr>
              <w:fldChar w:fldCharType="separate"/>
            </w:r>
            <w:r w:rsidRPr="00156AE7">
              <w:rPr>
                <w:noProof/>
                <w:webHidden/>
                <w:sz w:val="22"/>
                <w:szCs w:val="22"/>
              </w:rPr>
              <w:t>6</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60" w:history="1">
            <w:r w:rsidRPr="00156AE7">
              <w:rPr>
                <w:rStyle w:val="Hyperlink"/>
                <w:noProof/>
                <w:sz w:val="22"/>
                <w:szCs w:val="22"/>
              </w:rPr>
              <w:t>5.3 Cloud Security Posture Management (CSPM) and Patch Management</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_Toc216919860 \h </w:instrText>
            </w:r>
            <w:r w:rsidRPr="00156AE7">
              <w:rPr>
                <w:noProof/>
                <w:webHidden/>
                <w:sz w:val="22"/>
                <w:szCs w:val="22"/>
              </w:rPr>
            </w:r>
            <w:r w:rsidRPr="00156AE7">
              <w:rPr>
                <w:noProof/>
                <w:webHidden/>
                <w:sz w:val="22"/>
                <w:szCs w:val="22"/>
              </w:rPr>
              <w:fldChar w:fldCharType="separate"/>
            </w:r>
            <w:r w:rsidRPr="00156AE7">
              <w:rPr>
                <w:noProof/>
                <w:webHidden/>
                <w:sz w:val="22"/>
                <w:szCs w:val="22"/>
              </w:rPr>
              <w:t>7</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61" w:history="1">
            <w:r w:rsidRPr="00156AE7">
              <w:rPr>
                <w:rStyle w:val="Hyperlink"/>
                <w:noProof/>
                <w:sz w:val="22"/>
                <w:szCs w:val="22"/>
              </w:rPr>
              <w:t>5.4 Endpoint Detection and Response (EDR) and Immutable Backups</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_Toc216919861 \h </w:instrText>
            </w:r>
            <w:r w:rsidRPr="00156AE7">
              <w:rPr>
                <w:noProof/>
                <w:webHidden/>
                <w:sz w:val="22"/>
                <w:szCs w:val="22"/>
              </w:rPr>
            </w:r>
            <w:r w:rsidRPr="00156AE7">
              <w:rPr>
                <w:noProof/>
                <w:webHidden/>
                <w:sz w:val="22"/>
                <w:szCs w:val="22"/>
              </w:rPr>
              <w:fldChar w:fldCharType="separate"/>
            </w:r>
            <w:r w:rsidRPr="00156AE7">
              <w:rPr>
                <w:noProof/>
                <w:webHidden/>
                <w:sz w:val="22"/>
                <w:szCs w:val="22"/>
              </w:rPr>
              <w:t>7</w:t>
            </w:r>
            <w:r w:rsidRPr="00156AE7">
              <w:rPr>
                <w:noProof/>
                <w:webHidden/>
                <w:sz w:val="22"/>
                <w:szCs w:val="22"/>
              </w:rPr>
              <w:fldChar w:fldCharType="end"/>
            </w:r>
          </w:hyperlink>
        </w:p>
        <w:p w:rsidR="00156AE7" w:rsidRPr="00156AE7" w:rsidRDefault="00156AE7" w:rsidP="00156AE7">
          <w:pPr>
            <w:pStyle w:val="TOC1"/>
            <w:rPr>
              <w:kern w:val="0"/>
              <w:sz w:val="22"/>
              <w:szCs w:val="22"/>
              <w:lang w:eastAsia="en-GB"/>
            </w:rPr>
          </w:pPr>
          <w:hyperlink w:anchor="_Toc216919862" w:history="1">
            <w:r w:rsidRPr="00156AE7">
              <w:rPr>
                <w:rStyle w:val="Hyperlink"/>
                <w:sz w:val="22"/>
                <w:szCs w:val="22"/>
              </w:rPr>
              <w:t>6. PROACTIVE MONITORING AND INCIDENT RESPONSE</w:t>
            </w:r>
            <w:r w:rsidRPr="00156AE7">
              <w:rPr>
                <w:webHidden/>
                <w:sz w:val="22"/>
                <w:szCs w:val="22"/>
              </w:rPr>
              <w:tab/>
            </w:r>
            <w:r w:rsidRPr="00156AE7">
              <w:rPr>
                <w:webHidden/>
                <w:sz w:val="22"/>
                <w:szCs w:val="22"/>
              </w:rPr>
              <w:fldChar w:fldCharType="begin"/>
            </w:r>
            <w:r w:rsidRPr="00156AE7">
              <w:rPr>
                <w:webHidden/>
                <w:sz w:val="22"/>
                <w:szCs w:val="22"/>
              </w:rPr>
              <w:instrText xml:space="preserve"> PAGEREF _Toc216919862 \h </w:instrText>
            </w:r>
            <w:r w:rsidRPr="00156AE7">
              <w:rPr>
                <w:webHidden/>
                <w:sz w:val="22"/>
                <w:szCs w:val="22"/>
              </w:rPr>
            </w:r>
            <w:r w:rsidRPr="00156AE7">
              <w:rPr>
                <w:webHidden/>
                <w:sz w:val="22"/>
                <w:szCs w:val="22"/>
              </w:rPr>
              <w:fldChar w:fldCharType="separate"/>
            </w:r>
            <w:r w:rsidRPr="00156AE7">
              <w:rPr>
                <w:webHidden/>
                <w:sz w:val="22"/>
                <w:szCs w:val="22"/>
              </w:rPr>
              <w:t>8</w:t>
            </w:r>
            <w:r w:rsidRPr="00156AE7">
              <w:rPr>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63" w:history="1">
            <w:r w:rsidRPr="00156AE7">
              <w:rPr>
                <w:rStyle w:val="Hyperlink"/>
                <w:noProof/>
                <w:sz w:val="22"/>
                <w:szCs w:val="22"/>
              </w:rPr>
              <w:t>6.1 A 24/7 Security Operations Centre (SOC)</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_Toc216919863 \h </w:instrText>
            </w:r>
            <w:r w:rsidRPr="00156AE7">
              <w:rPr>
                <w:noProof/>
                <w:webHidden/>
                <w:sz w:val="22"/>
                <w:szCs w:val="22"/>
              </w:rPr>
            </w:r>
            <w:r w:rsidRPr="00156AE7">
              <w:rPr>
                <w:noProof/>
                <w:webHidden/>
                <w:sz w:val="22"/>
                <w:szCs w:val="22"/>
              </w:rPr>
              <w:fldChar w:fldCharType="separate"/>
            </w:r>
            <w:r w:rsidRPr="00156AE7">
              <w:rPr>
                <w:noProof/>
                <w:webHidden/>
                <w:sz w:val="22"/>
                <w:szCs w:val="22"/>
              </w:rPr>
              <w:t>8</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64" w:history="1">
            <w:r w:rsidRPr="00156AE7">
              <w:rPr>
                <w:rStyle w:val="Hyperlink"/>
                <w:noProof/>
                <w:sz w:val="22"/>
                <w:szCs w:val="22"/>
              </w:rPr>
              <w:t>6.2 Incident Classification and Response Procedures</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_Toc216919864 \h </w:instrText>
            </w:r>
            <w:r w:rsidRPr="00156AE7">
              <w:rPr>
                <w:noProof/>
                <w:webHidden/>
                <w:sz w:val="22"/>
                <w:szCs w:val="22"/>
              </w:rPr>
            </w:r>
            <w:r w:rsidRPr="00156AE7">
              <w:rPr>
                <w:noProof/>
                <w:webHidden/>
                <w:sz w:val="22"/>
                <w:szCs w:val="22"/>
              </w:rPr>
              <w:fldChar w:fldCharType="separate"/>
            </w:r>
            <w:r w:rsidRPr="00156AE7">
              <w:rPr>
                <w:noProof/>
                <w:webHidden/>
                <w:sz w:val="22"/>
                <w:szCs w:val="22"/>
              </w:rPr>
              <w:t>8</w:t>
            </w:r>
            <w:r w:rsidRPr="00156AE7">
              <w:rPr>
                <w:noProof/>
                <w:webHidden/>
                <w:sz w:val="22"/>
                <w:szCs w:val="22"/>
              </w:rPr>
              <w:fldChar w:fldCharType="end"/>
            </w:r>
          </w:hyperlink>
        </w:p>
        <w:p w:rsidR="00156AE7" w:rsidRPr="00156AE7" w:rsidRDefault="00156AE7" w:rsidP="00156AE7">
          <w:pPr>
            <w:pStyle w:val="TOC1"/>
            <w:rPr>
              <w:kern w:val="0"/>
              <w:sz w:val="22"/>
              <w:szCs w:val="22"/>
              <w:lang w:eastAsia="en-GB"/>
            </w:rPr>
          </w:pPr>
          <w:hyperlink w:anchor="_Toc216919865" w:history="1">
            <w:r w:rsidRPr="00156AE7">
              <w:rPr>
                <w:rStyle w:val="Hyperlink"/>
                <w:sz w:val="22"/>
                <w:szCs w:val="22"/>
              </w:rPr>
              <w:t>7. CONTINUOUS TRAINING AND AWARENESS</w:t>
            </w:r>
            <w:r w:rsidRPr="00156AE7">
              <w:rPr>
                <w:webHidden/>
                <w:sz w:val="22"/>
                <w:szCs w:val="22"/>
              </w:rPr>
              <w:tab/>
            </w:r>
            <w:r w:rsidRPr="00156AE7">
              <w:rPr>
                <w:webHidden/>
                <w:sz w:val="22"/>
                <w:szCs w:val="22"/>
              </w:rPr>
              <w:fldChar w:fldCharType="begin"/>
            </w:r>
            <w:r w:rsidRPr="00156AE7">
              <w:rPr>
                <w:webHidden/>
                <w:sz w:val="22"/>
                <w:szCs w:val="22"/>
              </w:rPr>
              <w:instrText xml:space="preserve"> PAGEREF _Toc216919865 \h </w:instrText>
            </w:r>
            <w:r w:rsidRPr="00156AE7">
              <w:rPr>
                <w:webHidden/>
                <w:sz w:val="22"/>
                <w:szCs w:val="22"/>
              </w:rPr>
            </w:r>
            <w:r w:rsidRPr="00156AE7">
              <w:rPr>
                <w:webHidden/>
                <w:sz w:val="22"/>
                <w:szCs w:val="22"/>
              </w:rPr>
              <w:fldChar w:fldCharType="separate"/>
            </w:r>
            <w:r w:rsidRPr="00156AE7">
              <w:rPr>
                <w:webHidden/>
                <w:sz w:val="22"/>
                <w:szCs w:val="22"/>
              </w:rPr>
              <w:t>8</w:t>
            </w:r>
            <w:r w:rsidRPr="00156AE7">
              <w:rPr>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66" w:history="1">
            <w:r w:rsidRPr="00156AE7">
              <w:rPr>
                <w:rStyle w:val="Hyperlink"/>
                <w:noProof/>
                <w:sz w:val="22"/>
                <w:szCs w:val="22"/>
              </w:rPr>
              <w:t>7.1 Modern Attack Simulation Program</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_Toc216919866 \h </w:instrText>
            </w:r>
            <w:r w:rsidRPr="00156AE7">
              <w:rPr>
                <w:noProof/>
                <w:webHidden/>
                <w:sz w:val="22"/>
                <w:szCs w:val="22"/>
              </w:rPr>
            </w:r>
            <w:r w:rsidRPr="00156AE7">
              <w:rPr>
                <w:noProof/>
                <w:webHidden/>
                <w:sz w:val="22"/>
                <w:szCs w:val="22"/>
              </w:rPr>
              <w:fldChar w:fldCharType="separate"/>
            </w:r>
            <w:r w:rsidRPr="00156AE7">
              <w:rPr>
                <w:noProof/>
                <w:webHidden/>
                <w:sz w:val="22"/>
                <w:szCs w:val="22"/>
              </w:rPr>
              <w:t>8</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67" w:history="1">
            <w:r w:rsidRPr="00156AE7">
              <w:rPr>
                <w:rStyle w:val="Hyperlink"/>
                <w:noProof/>
                <w:sz w:val="22"/>
                <w:szCs w:val="22"/>
              </w:rPr>
              <w:t>7.2 Role-Specific Training</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_Toc216919867 \h </w:instrText>
            </w:r>
            <w:r w:rsidRPr="00156AE7">
              <w:rPr>
                <w:noProof/>
                <w:webHidden/>
                <w:sz w:val="22"/>
                <w:szCs w:val="22"/>
              </w:rPr>
            </w:r>
            <w:r w:rsidRPr="00156AE7">
              <w:rPr>
                <w:noProof/>
                <w:webHidden/>
                <w:sz w:val="22"/>
                <w:szCs w:val="22"/>
              </w:rPr>
              <w:fldChar w:fldCharType="separate"/>
            </w:r>
            <w:r w:rsidRPr="00156AE7">
              <w:rPr>
                <w:noProof/>
                <w:webHidden/>
                <w:sz w:val="22"/>
                <w:szCs w:val="22"/>
              </w:rPr>
              <w:t>9</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68" w:history="1">
            <w:r w:rsidRPr="00156AE7">
              <w:rPr>
                <w:rStyle w:val="Hyperlink"/>
                <w:noProof/>
                <w:sz w:val="22"/>
                <w:szCs w:val="22"/>
              </w:rPr>
              <w:t>7.3 Security Culture Development</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_Toc216919868 \h </w:instrText>
            </w:r>
            <w:r w:rsidRPr="00156AE7">
              <w:rPr>
                <w:noProof/>
                <w:webHidden/>
                <w:sz w:val="22"/>
                <w:szCs w:val="22"/>
              </w:rPr>
            </w:r>
            <w:r w:rsidRPr="00156AE7">
              <w:rPr>
                <w:noProof/>
                <w:webHidden/>
                <w:sz w:val="22"/>
                <w:szCs w:val="22"/>
              </w:rPr>
              <w:fldChar w:fldCharType="separate"/>
            </w:r>
            <w:r w:rsidRPr="00156AE7">
              <w:rPr>
                <w:noProof/>
                <w:webHidden/>
                <w:sz w:val="22"/>
                <w:szCs w:val="22"/>
              </w:rPr>
              <w:t>9</w:t>
            </w:r>
            <w:r w:rsidRPr="00156AE7">
              <w:rPr>
                <w:noProof/>
                <w:webHidden/>
                <w:sz w:val="22"/>
                <w:szCs w:val="22"/>
              </w:rPr>
              <w:fldChar w:fldCharType="end"/>
            </w:r>
          </w:hyperlink>
        </w:p>
        <w:p w:rsidR="00156AE7" w:rsidRPr="00156AE7" w:rsidRDefault="00156AE7" w:rsidP="00156AE7">
          <w:pPr>
            <w:pStyle w:val="TOC1"/>
            <w:rPr>
              <w:kern w:val="0"/>
              <w:sz w:val="22"/>
              <w:szCs w:val="22"/>
              <w:lang w:eastAsia="en-GB"/>
            </w:rPr>
          </w:pPr>
          <w:hyperlink w:anchor="_Toc216919869" w:history="1">
            <w:r w:rsidRPr="00156AE7">
              <w:rPr>
                <w:rStyle w:val="Hyperlink"/>
                <w:sz w:val="22"/>
                <w:szCs w:val="22"/>
              </w:rPr>
              <w:t>8. RECOMMENDATIONS</w:t>
            </w:r>
            <w:r w:rsidRPr="00156AE7">
              <w:rPr>
                <w:webHidden/>
                <w:sz w:val="22"/>
                <w:szCs w:val="22"/>
              </w:rPr>
              <w:tab/>
            </w:r>
            <w:r w:rsidRPr="00156AE7">
              <w:rPr>
                <w:webHidden/>
                <w:sz w:val="22"/>
                <w:szCs w:val="22"/>
              </w:rPr>
              <w:fldChar w:fldCharType="begin"/>
            </w:r>
            <w:r w:rsidRPr="00156AE7">
              <w:rPr>
                <w:webHidden/>
                <w:sz w:val="22"/>
                <w:szCs w:val="22"/>
              </w:rPr>
              <w:instrText xml:space="preserve"> PAGEREF _Toc216919869 \h </w:instrText>
            </w:r>
            <w:r w:rsidRPr="00156AE7">
              <w:rPr>
                <w:webHidden/>
                <w:sz w:val="22"/>
                <w:szCs w:val="22"/>
              </w:rPr>
            </w:r>
            <w:r w:rsidRPr="00156AE7">
              <w:rPr>
                <w:webHidden/>
                <w:sz w:val="22"/>
                <w:szCs w:val="22"/>
              </w:rPr>
              <w:fldChar w:fldCharType="separate"/>
            </w:r>
            <w:r w:rsidRPr="00156AE7">
              <w:rPr>
                <w:webHidden/>
                <w:sz w:val="22"/>
                <w:szCs w:val="22"/>
              </w:rPr>
              <w:t>9</w:t>
            </w:r>
            <w:r w:rsidRPr="00156AE7">
              <w:rPr>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70" w:history="1">
            <w:r w:rsidRPr="00156AE7">
              <w:rPr>
                <w:rStyle w:val="Hyperlink"/>
                <w:noProof/>
                <w:sz w:val="22"/>
                <w:szCs w:val="22"/>
              </w:rPr>
              <w:t>8.1 Zero Trust Maturity Implementation</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_Toc216919870 \h </w:instrText>
            </w:r>
            <w:r w:rsidRPr="00156AE7">
              <w:rPr>
                <w:noProof/>
                <w:webHidden/>
                <w:sz w:val="22"/>
                <w:szCs w:val="22"/>
              </w:rPr>
            </w:r>
            <w:r w:rsidRPr="00156AE7">
              <w:rPr>
                <w:noProof/>
                <w:webHidden/>
                <w:sz w:val="22"/>
                <w:szCs w:val="22"/>
              </w:rPr>
              <w:fldChar w:fldCharType="separate"/>
            </w:r>
            <w:r w:rsidRPr="00156AE7">
              <w:rPr>
                <w:noProof/>
                <w:webHidden/>
                <w:sz w:val="22"/>
                <w:szCs w:val="22"/>
              </w:rPr>
              <w:t>9</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71" w:history="1">
            <w:r w:rsidRPr="00156AE7">
              <w:rPr>
                <w:rStyle w:val="Hyperlink"/>
                <w:noProof/>
                <w:sz w:val="22"/>
                <w:szCs w:val="22"/>
              </w:rPr>
              <w:t>8.2 CISA Known Exploited Vulnerabilities (KEV) Alignment</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_Toc216919871 \h </w:instrText>
            </w:r>
            <w:r w:rsidRPr="00156AE7">
              <w:rPr>
                <w:noProof/>
                <w:webHidden/>
                <w:sz w:val="22"/>
                <w:szCs w:val="22"/>
              </w:rPr>
            </w:r>
            <w:r w:rsidRPr="00156AE7">
              <w:rPr>
                <w:noProof/>
                <w:webHidden/>
                <w:sz w:val="22"/>
                <w:szCs w:val="22"/>
              </w:rPr>
              <w:fldChar w:fldCharType="separate"/>
            </w:r>
            <w:r w:rsidRPr="00156AE7">
              <w:rPr>
                <w:noProof/>
                <w:webHidden/>
                <w:sz w:val="22"/>
                <w:szCs w:val="22"/>
              </w:rPr>
              <w:t>9</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72" w:history="1">
            <w:r w:rsidRPr="00156AE7">
              <w:rPr>
                <w:rStyle w:val="Hyperlink"/>
                <w:noProof/>
                <w:sz w:val="22"/>
                <w:szCs w:val="22"/>
              </w:rPr>
              <w:t>8.3 Third-Party Vendor Risk Management</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_Toc216919872 \h </w:instrText>
            </w:r>
            <w:r w:rsidRPr="00156AE7">
              <w:rPr>
                <w:noProof/>
                <w:webHidden/>
                <w:sz w:val="22"/>
                <w:szCs w:val="22"/>
              </w:rPr>
            </w:r>
            <w:r w:rsidRPr="00156AE7">
              <w:rPr>
                <w:noProof/>
                <w:webHidden/>
                <w:sz w:val="22"/>
                <w:szCs w:val="22"/>
              </w:rPr>
              <w:fldChar w:fldCharType="separate"/>
            </w:r>
            <w:r w:rsidRPr="00156AE7">
              <w:rPr>
                <w:noProof/>
                <w:webHidden/>
                <w:sz w:val="22"/>
                <w:szCs w:val="22"/>
              </w:rPr>
              <w:t>9</w:t>
            </w:r>
            <w:r w:rsidRPr="00156AE7">
              <w:rPr>
                <w:noProof/>
                <w:webHidden/>
                <w:sz w:val="22"/>
                <w:szCs w:val="22"/>
              </w:rPr>
              <w:fldChar w:fldCharType="end"/>
            </w:r>
          </w:hyperlink>
        </w:p>
        <w:p w:rsidR="00156AE7" w:rsidRPr="00156AE7" w:rsidRDefault="00156AE7">
          <w:pPr>
            <w:pStyle w:val="TOC2"/>
            <w:tabs>
              <w:tab w:val="right" w:leader="dot" w:pos="9016"/>
            </w:tabs>
            <w:rPr>
              <w:noProof/>
              <w:kern w:val="0"/>
              <w:sz w:val="22"/>
              <w:szCs w:val="22"/>
              <w:lang w:eastAsia="en-GB"/>
            </w:rPr>
          </w:pPr>
          <w:hyperlink w:anchor="_Toc216919873" w:history="1">
            <w:r w:rsidRPr="00156AE7">
              <w:rPr>
                <w:rStyle w:val="Hyperlink"/>
                <w:noProof/>
                <w:sz w:val="22"/>
                <w:szCs w:val="22"/>
              </w:rPr>
              <w:t>8.4 Investment Justification and Risk Mitigation</w:t>
            </w:r>
            <w:r w:rsidRPr="00156AE7">
              <w:rPr>
                <w:noProof/>
                <w:webHidden/>
                <w:sz w:val="22"/>
                <w:szCs w:val="22"/>
              </w:rPr>
              <w:tab/>
            </w:r>
            <w:r w:rsidRPr="00156AE7">
              <w:rPr>
                <w:noProof/>
                <w:webHidden/>
                <w:sz w:val="22"/>
                <w:szCs w:val="22"/>
              </w:rPr>
              <w:fldChar w:fldCharType="begin"/>
            </w:r>
            <w:r w:rsidRPr="00156AE7">
              <w:rPr>
                <w:noProof/>
                <w:webHidden/>
                <w:sz w:val="22"/>
                <w:szCs w:val="22"/>
              </w:rPr>
              <w:instrText xml:space="preserve"> PAGEREF _Toc216919873 \h </w:instrText>
            </w:r>
            <w:r w:rsidRPr="00156AE7">
              <w:rPr>
                <w:noProof/>
                <w:webHidden/>
                <w:sz w:val="22"/>
                <w:szCs w:val="22"/>
              </w:rPr>
            </w:r>
            <w:r w:rsidRPr="00156AE7">
              <w:rPr>
                <w:noProof/>
                <w:webHidden/>
                <w:sz w:val="22"/>
                <w:szCs w:val="22"/>
              </w:rPr>
              <w:fldChar w:fldCharType="separate"/>
            </w:r>
            <w:r w:rsidRPr="00156AE7">
              <w:rPr>
                <w:noProof/>
                <w:webHidden/>
                <w:sz w:val="22"/>
                <w:szCs w:val="22"/>
              </w:rPr>
              <w:t>10</w:t>
            </w:r>
            <w:r w:rsidRPr="00156AE7">
              <w:rPr>
                <w:noProof/>
                <w:webHidden/>
                <w:sz w:val="22"/>
                <w:szCs w:val="22"/>
              </w:rPr>
              <w:fldChar w:fldCharType="end"/>
            </w:r>
          </w:hyperlink>
        </w:p>
        <w:p w:rsidR="00156AE7" w:rsidRPr="00156AE7" w:rsidRDefault="00156AE7" w:rsidP="00156AE7">
          <w:pPr>
            <w:pStyle w:val="TOC1"/>
            <w:rPr>
              <w:kern w:val="0"/>
              <w:sz w:val="22"/>
              <w:szCs w:val="22"/>
              <w:lang w:eastAsia="en-GB"/>
            </w:rPr>
          </w:pPr>
          <w:hyperlink w:anchor="_Toc216919874" w:history="1">
            <w:r w:rsidRPr="00156AE7">
              <w:rPr>
                <w:rStyle w:val="Hyperlink"/>
                <w:sz w:val="22"/>
                <w:szCs w:val="22"/>
              </w:rPr>
              <w:t>9. CONCLUSION</w:t>
            </w:r>
            <w:r w:rsidRPr="00156AE7">
              <w:rPr>
                <w:webHidden/>
                <w:sz w:val="22"/>
                <w:szCs w:val="22"/>
              </w:rPr>
              <w:tab/>
            </w:r>
            <w:r w:rsidRPr="00156AE7">
              <w:rPr>
                <w:webHidden/>
                <w:sz w:val="22"/>
                <w:szCs w:val="22"/>
              </w:rPr>
              <w:fldChar w:fldCharType="begin"/>
            </w:r>
            <w:r w:rsidRPr="00156AE7">
              <w:rPr>
                <w:webHidden/>
                <w:sz w:val="22"/>
                <w:szCs w:val="22"/>
              </w:rPr>
              <w:instrText xml:space="preserve"> PAGEREF _Toc216919874 \h </w:instrText>
            </w:r>
            <w:r w:rsidRPr="00156AE7">
              <w:rPr>
                <w:webHidden/>
                <w:sz w:val="22"/>
                <w:szCs w:val="22"/>
              </w:rPr>
            </w:r>
            <w:r w:rsidRPr="00156AE7">
              <w:rPr>
                <w:webHidden/>
                <w:sz w:val="22"/>
                <w:szCs w:val="22"/>
              </w:rPr>
              <w:fldChar w:fldCharType="separate"/>
            </w:r>
            <w:r w:rsidRPr="00156AE7">
              <w:rPr>
                <w:webHidden/>
                <w:sz w:val="22"/>
                <w:szCs w:val="22"/>
              </w:rPr>
              <w:t>10</w:t>
            </w:r>
            <w:r w:rsidRPr="00156AE7">
              <w:rPr>
                <w:webHidden/>
                <w:sz w:val="22"/>
                <w:szCs w:val="22"/>
              </w:rPr>
              <w:fldChar w:fldCharType="end"/>
            </w:r>
          </w:hyperlink>
        </w:p>
        <w:p w:rsidR="00156AE7" w:rsidRPr="00156AE7" w:rsidRDefault="00156AE7" w:rsidP="00156AE7">
          <w:pPr>
            <w:pStyle w:val="TOC1"/>
            <w:rPr>
              <w:kern w:val="0"/>
              <w:sz w:val="22"/>
              <w:szCs w:val="22"/>
              <w:lang w:eastAsia="en-GB"/>
            </w:rPr>
          </w:pPr>
          <w:hyperlink w:anchor="_Toc216919875" w:history="1">
            <w:r w:rsidRPr="00156AE7">
              <w:rPr>
                <w:rStyle w:val="Hyperlink"/>
                <w:sz w:val="22"/>
                <w:szCs w:val="22"/>
              </w:rPr>
              <w:t>10. APENDICES</w:t>
            </w:r>
            <w:r w:rsidRPr="00156AE7">
              <w:rPr>
                <w:webHidden/>
                <w:sz w:val="22"/>
                <w:szCs w:val="22"/>
              </w:rPr>
              <w:tab/>
            </w:r>
            <w:r w:rsidRPr="00156AE7">
              <w:rPr>
                <w:webHidden/>
                <w:sz w:val="22"/>
                <w:szCs w:val="22"/>
              </w:rPr>
              <w:fldChar w:fldCharType="begin"/>
            </w:r>
            <w:r w:rsidRPr="00156AE7">
              <w:rPr>
                <w:webHidden/>
                <w:sz w:val="22"/>
                <w:szCs w:val="22"/>
              </w:rPr>
              <w:instrText xml:space="preserve"> PAGEREF _Toc216919875 \h </w:instrText>
            </w:r>
            <w:r w:rsidRPr="00156AE7">
              <w:rPr>
                <w:webHidden/>
                <w:sz w:val="22"/>
                <w:szCs w:val="22"/>
              </w:rPr>
            </w:r>
            <w:r w:rsidRPr="00156AE7">
              <w:rPr>
                <w:webHidden/>
                <w:sz w:val="22"/>
                <w:szCs w:val="22"/>
              </w:rPr>
              <w:fldChar w:fldCharType="separate"/>
            </w:r>
            <w:r w:rsidRPr="00156AE7">
              <w:rPr>
                <w:webHidden/>
                <w:sz w:val="22"/>
                <w:szCs w:val="22"/>
              </w:rPr>
              <w:t>11</w:t>
            </w:r>
            <w:r w:rsidRPr="00156AE7">
              <w:rPr>
                <w:webHidden/>
                <w:sz w:val="22"/>
                <w:szCs w:val="22"/>
              </w:rPr>
              <w:fldChar w:fldCharType="end"/>
            </w:r>
          </w:hyperlink>
        </w:p>
        <w:p w:rsidR="00156AE7" w:rsidRPr="00156AE7" w:rsidRDefault="00156AE7" w:rsidP="00156AE7">
          <w:pPr>
            <w:pStyle w:val="TOC1"/>
            <w:rPr>
              <w:kern w:val="0"/>
              <w:sz w:val="22"/>
              <w:szCs w:val="22"/>
              <w:lang w:eastAsia="en-GB"/>
            </w:rPr>
          </w:pPr>
          <w:hyperlink w:anchor="_Toc216919876" w:history="1">
            <w:r w:rsidRPr="00156AE7">
              <w:rPr>
                <w:rStyle w:val="Hyperlink"/>
                <w:sz w:val="22"/>
                <w:szCs w:val="22"/>
              </w:rPr>
              <w:t>11. REFERENCES</w:t>
            </w:r>
            <w:r w:rsidRPr="00156AE7">
              <w:rPr>
                <w:webHidden/>
                <w:sz w:val="22"/>
                <w:szCs w:val="22"/>
              </w:rPr>
              <w:tab/>
            </w:r>
            <w:r w:rsidRPr="00156AE7">
              <w:rPr>
                <w:webHidden/>
                <w:sz w:val="22"/>
                <w:szCs w:val="22"/>
              </w:rPr>
              <w:fldChar w:fldCharType="begin"/>
            </w:r>
            <w:r w:rsidRPr="00156AE7">
              <w:rPr>
                <w:webHidden/>
                <w:sz w:val="22"/>
                <w:szCs w:val="22"/>
              </w:rPr>
              <w:instrText xml:space="preserve"> PAGEREF _Toc216919876 \h </w:instrText>
            </w:r>
            <w:r w:rsidRPr="00156AE7">
              <w:rPr>
                <w:webHidden/>
                <w:sz w:val="22"/>
                <w:szCs w:val="22"/>
              </w:rPr>
            </w:r>
            <w:r w:rsidRPr="00156AE7">
              <w:rPr>
                <w:webHidden/>
                <w:sz w:val="22"/>
                <w:szCs w:val="22"/>
              </w:rPr>
              <w:fldChar w:fldCharType="separate"/>
            </w:r>
            <w:r w:rsidRPr="00156AE7">
              <w:rPr>
                <w:webHidden/>
                <w:sz w:val="22"/>
                <w:szCs w:val="22"/>
              </w:rPr>
              <w:t>14</w:t>
            </w:r>
            <w:r w:rsidRPr="00156AE7">
              <w:rPr>
                <w:webHidden/>
                <w:sz w:val="22"/>
                <w:szCs w:val="22"/>
              </w:rPr>
              <w:fldChar w:fldCharType="end"/>
            </w:r>
          </w:hyperlink>
        </w:p>
        <w:p w:rsidR="00F137CD" w:rsidRPr="00156AE7" w:rsidRDefault="00B33778">
          <w:pPr>
            <w:rPr>
              <w:sz w:val="22"/>
              <w:szCs w:val="22"/>
            </w:rPr>
          </w:pPr>
          <w:r w:rsidRPr="00156AE7">
            <w:rPr>
              <w:sz w:val="22"/>
              <w:szCs w:val="22"/>
            </w:rPr>
            <w:fldChar w:fldCharType="end"/>
          </w:r>
        </w:p>
      </w:sdtContent>
    </w:sdt>
    <w:p w:rsidR="00961D2B" w:rsidRPr="00D610E5" w:rsidRDefault="00F018BB" w:rsidP="00F018BB">
      <w:pPr>
        <w:pStyle w:val="Heading1"/>
        <w:rPr>
          <w:rFonts w:ascii="Calibri" w:hAnsi="Calibri" w:cs="Calibri"/>
          <w:b/>
          <w:color w:val="auto"/>
          <w:sz w:val="36"/>
          <w:szCs w:val="36"/>
        </w:rPr>
      </w:pPr>
      <w:bookmarkStart w:id="0" w:name="_Toc216919844"/>
      <w:r w:rsidRPr="00D610E5">
        <w:rPr>
          <w:rFonts w:ascii="Calibri" w:hAnsi="Calibri" w:cs="Calibri"/>
          <w:b/>
          <w:color w:val="auto"/>
          <w:sz w:val="36"/>
          <w:szCs w:val="36"/>
        </w:rPr>
        <w:lastRenderedPageBreak/>
        <w:t>1. ABSTRACT</w:t>
      </w:r>
      <w:bookmarkEnd w:id="0"/>
    </w:p>
    <w:p w:rsidR="00961D2B" w:rsidRPr="003F5C23" w:rsidRDefault="003F5C23" w:rsidP="000E07A2">
      <w:pPr>
        <w:spacing w:line="360" w:lineRule="auto"/>
        <w:jc w:val="both"/>
        <w:rPr>
          <w:rFonts w:ascii="Calibri" w:hAnsi="Calibri" w:cs="Calibri"/>
          <w:sz w:val="22"/>
          <w:szCs w:val="22"/>
        </w:rPr>
      </w:pPr>
      <w:r w:rsidRPr="003F5C23">
        <w:rPr>
          <w:rFonts w:ascii="Calibri" w:hAnsi="Calibri" w:cs="Calibri"/>
          <w:spacing w:val="1"/>
          <w:sz w:val="22"/>
          <w:szCs w:val="22"/>
        </w:rPr>
        <w:t>Cybersecu</w:t>
      </w:r>
      <w:r w:rsidR="000E07A2">
        <w:rPr>
          <w:rFonts w:ascii="Calibri" w:hAnsi="Calibri" w:cs="Calibri"/>
          <w:spacing w:val="1"/>
          <w:sz w:val="22"/>
          <w:szCs w:val="22"/>
        </w:rPr>
        <w:t>rity is a critical feature</w:t>
      </w:r>
      <w:r w:rsidRPr="003F5C23">
        <w:rPr>
          <w:rFonts w:ascii="Calibri" w:hAnsi="Calibri" w:cs="Calibri"/>
          <w:spacing w:val="1"/>
          <w:sz w:val="22"/>
          <w:szCs w:val="22"/>
        </w:rPr>
        <w:t xml:space="preserve"> for </w:t>
      </w:r>
      <w:r w:rsidR="000E07A2">
        <w:rPr>
          <w:rFonts w:ascii="Calibri" w:hAnsi="Calibri" w:cs="Calibri"/>
          <w:spacing w:val="1"/>
          <w:sz w:val="22"/>
          <w:szCs w:val="22"/>
        </w:rPr>
        <w:t xml:space="preserve">many industries including the </w:t>
      </w:r>
      <w:r w:rsidRPr="003F5C23">
        <w:rPr>
          <w:rFonts w:ascii="Calibri" w:hAnsi="Calibri" w:cs="Calibri"/>
          <w:spacing w:val="1"/>
          <w:sz w:val="22"/>
          <w:szCs w:val="22"/>
        </w:rPr>
        <w:t>financial services</w:t>
      </w:r>
      <w:r w:rsidR="000E07A2">
        <w:rPr>
          <w:rFonts w:ascii="Calibri" w:hAnsi="Calibri" w:cs="Calibri"/>
          <w:spacing w:val="1"/>
          <w:sz w:val="22"/>
          <w:szCs w:val="22"/>
        </w:rPr>
        <w:t>.</w:t>
      </w:r>
      <w:r w:rsidRPr="003F5C23">
        <w:rPr>
          <w:rFonts w:ascii="Calibri" w:hAnsi="Calibri" w:cs="Calibri"/>
          <w:spacing w:val="1"/>
          <w:sz w:val="22"/>
          <w:szCs w:val="22"/>
        </w:rPr>
        <w:t xml:space="preserve"> Vigilant Trust Asset Management (VTAM) </w:t>
      </w:r>
      <w:r w:rsidR="000E07A2">
        <w:rPr>
          <w:rFonts w:ascii="Calibri" w:hAnsi="Calibri" w:cs="Calibri"/>
          <w:spacing w:val="1"/>
          <w:sz w:val="22"/>
          <w:szCs w:val="22"/>
        </w:rPr>
        <w:t xml:space="preserve">is </w:t>
      </w:r>
      <w:r w:rsidRPr="003F5C23">
        <w:rPr>
          <w:rFonts w:ascii="Calibri" w:hAnsi="Calibri" w:cs="Calibri"/>
          <w:spacing w:val="1"/>
          <w:sz w:val="22"/>
          <w:szCs w:val="22"/>
        </w:rPr>
        <w:t>highly exposed due to sensitive client data and hybrid, cloud-enabled operations. This report assesses modern threats includ</w:t>
      </w:r>
      <w:r w:rsidR="00326C1A">
        <w:rPr>
          <w:rFonts w:ascii="Calibri" w:hAnsi="Calibri" w:cs="Calibri"/>
          <w:spacing w:val="1"/>
          <w:sz w:val="22"/>
          <w:szCs w:val="22"/>
        </w:rPr>
        <w:t>ing ransomware-as-a-service</w:t>
      </w:r>
      <w:r w:rsidR="009E1F21">
        <w:rPr>
          <w:rFonts w:ascii="Calibri" w:hAnsi="Calibri" w:cs="Calibri"/>
          <w:spacing w:val="1"/>
          <w:sz w:val="22"/>
          <w:szCs w:val="22"/>
        </w:rPr>
        <w:t xml:space="preserve"> (RaaS)</w:t>
      </w:r>
      <w:r w:rsidR="00326C1A">
        <w:rPr>
          <w:rFonts w:ascii="Calibri" w:hAnsi="Calibri" w:cs="Calibri"/>
          <w:spacing w:val="1"/>
          <w:sz w:val="22"/>
          <w:szCs w:val="22"/>
        </w:rPr>
        <w:t xml:space="preserve">, AI </w:t>
      </w:r>
      <w:r w:rsidRPr="003F5C23">
        <w:rPr>
          <w:rFonts w:ascii="Calibri" w:hAnsi="Calibri" w:cs="Calibri"/>
          <w:spacing w:val="1"/>
          <w:sz w:val="22"/>
          <w:szCs w:val="22"/>
        </w:rPr>
        <w:t>enabled social engineering, supply chain</w:t>
      </w:r>
      <w:r w:rsidR="00326C1A">
        <w:rPr>
          <w:rFonts w:ascii="Calibri" w:hAnsi="Calibri" w:cs="Calibri"/>
          <w:spacing w:val="1"/>
          <w:sz w:val="22"/>
          <w:szCs w:val="22"/>
        </w:rPr>
        <w:t xml:space="preserve"> compromise, and internal risks,</w:t>
      </w:r>
      <w:r w:rsidRPr="003F5C23">
        <w:rPr>
          <w:rFonts w:ascii="Calibri" w:hAnsi="Calibri" w:cs="Calibri"/>
          <w:spacing w:val="1"/>
          <w:sz w:val="22"/>
          <w:szCs w:val="22"/>
        </w:rPr>
        <w:t xml:space="preserve"> </w:t>
      </w:r>
      <w:r w:rsidR="00326C1A">
        <w:rPr>
          <w:rFonts w:ascii="Calibri" w:hAnsi="Calibri" w:cs="Calibri"/>
          <w:spacing w:val="1"/>
          <w:sz w:val="22"/>
          <w:szCs w:val="22"/>
        </w:rPr>
        <w:t>while proposing</w:t>
      </w:r>
      <w:r w:rsidRPr="003F5C23">
        <w:rPr>
          <w:rFonts w:ascii="Calibri" w:hAnsi="Calibri" w:cs="Calibri"/>
          <w:spacing w:val="1"/>
          <w:sz w:val="22"/>
          <w:szCs w:val="22"/>
        </w:rPr>
        <w:t xml:space="preserve"> a Zero Trust Architecture aligned with NIST CSF 2.0, ISO 27001, and CISA guidance. It outlines practical </w:t>
      </w:r>
      <w:r w:rsidR="009E1F21">
        <w:rPr>
          <w:rFonts w:ascii="Calibri" w:hAnsi="Calibri" w:cs="Calibri"/>
          <w:spacing w:val="1"/>
          <w:sz w:val="22"/>
          <w:szCs w:val="22"/>
        </w:rPr>
        <w:t>technical controls</w:t>
      </w:r>
      <w:r w:rsidRPr="003F5C23">
        <w:rPr>
          <w:rFonts w:ascii="Calibri" w:hAnsi="Calibri" w:cs="Calibri"/>
          <w:spacing w:val="1"/>
          <w:sz w:val="22"/>
          <w:szCs w:val="22"/>
        </w:rPr>
        <w:t>, continuous monitoring, and targeted tr</w:t>
      </w:r>
      <w:r w:rsidR="00326C1A">
        <w:rPr>
          <w:rFonts w:ascii="Calibri" w:hAnsi="Calibri" w:cs="Calibri"/>
          <w:spacing w:val="1"/>
          <w:sz w:val="22"/>
          <w:szCs w:val="22"/>
        </w:rPr>
        <w:t>aining to reduce attack surface.</w:t>
      </w:r>
      <w:r w:rsidR="00194F12">
        <w:rPr>
          <w:rFonts w:ascii="Calibri" w:hAnsi="Calibri" w:cs="Calibri"/>
          <w:spacing w:val="1"/>
          <w:sz w:val="22"/>
          <w:szCs w:val="22"/>
        </w:rPr>
        <w:t xml:space="preserve"> The report also seeks to</w:t>
      </w:r>
      <w:r w:rsidRPr="003F5C23">
        <w:rPr>
          <w:rFonts w:ascii="Calibri" w:hAnsi="Calibri" w:cs="Calibri"/>
          <w:spacing w:val="1"/>
          <w:sz w:val="22"/>
          <w:szCs w:val="22"/>
        </w:rPr>
        <w:t xml:space="preserve"> accelerate detection and response, and strengthen VTAM’s security culture and resilience.</w:t>
      </w:r>
    </w:p>
    <w:p w:rsidR="00961D2B" w:rsidRPr="00D610E5" w:rsidRDefault="00F018BB" w:rsidP="006C36CB">
      <w:pPr>
        <w:pStyle w:val="Heading1"/>
        <w:rPr>
          <w:rFonts w:ascii="Calibri" w:hAnsi="Calibri" w:cs="Calibri"/>
          <w:b/>
          <w:color w:val="auto"/>
          <w:sz w:val="36"/>
          <w:szCs w:val="36"/>
        </w:rPr>
      </w:pPr>
      <w:bookmarkStart w:id="1" w:name="_Toc215998615"/>
      <w:bookmarkStart w:id="2" w:name="_Toc216919845"/>
      <w:r w:rsidRPr="00D610E5">
        <w:rPr>
          <w:rFonts w:ascii="Calibri" w:hAnsi="Calibri" w:cs="Calibri"/>
          <w:b/>
          <w:color w:val="auto"/>
          <w:sz w:val="36"/>
          <w:szCs w:val="36"/>
        </w:rPr>
        <w:t>2</w:t>
      </w:r>
      <w:r w:rsidR="00961D2B" w:rsidRPr="00D610E5">
        <w:rPr>
          <w:rFonts w:ascii="Calibri" w:hAnsi="Calibri" w:cs="Calibri"/>
          <w:b/>
          <w:color w:val="auto"/>
          <w:sz w:val="36"/>
          <w:szCs w:val="36"/>
        </w:rPr>
        <w:t>. INTRODUCTION</w:t>
      </w:r>
      <w:bookmarkEnd w:id="1"/>
      <w:bookmarkEnd w:id="2"/>
    </w:p>
    <w:p w:rsidR="00326C1A" w:rsidRDefault="006D38E7" w:rsidP="00D77792">
      <w:pPr>
        <w:spacing w:line="360" w:lineRule="auto"/>
        <w:jc w:val="both"/>
        <w:rPr>
          <w:rFonts w:ascii="Calibri" w:eastAsia="Times New Roman" w:hAnsi="Calibri" w:cs="Calibri"/>
          <w:sz w:val="22"/>
          <w:szCs w:val="22"/>
          <w:lang w:eastAsia="en-GB"/>
        </w:rPr>
      </w:pPr>
      <w:r w:rsidRPr="007B18F0">
        <w:rPr>
          <w:rFonts w:ascii="Calibri" w:eastAsia="Times New Roman" w:hAnsi="Calibri" w:cs="Calibri"/>
          <w:sz w:val="22"/>
          <w:szCs w:val="22"/>
          <w:lang w:eastAsia="en-GB"/>
        </w:rPr>
        <w:t xml:space="preserve">Cybersecurity </w:t>
      </w:r>
      <w:r w:rsidRPr="00D77792">
        <w:rPr>
          <w:rFonts w:ascii="Calibri" w:eastAsia="Times New Roman" w:hAnsi="Calibri" w:cs="Calibri"/>
          <w:sz w:val="22"/>
          <w:szCs w:val="22"/>
          <w:lang w:eastAsia="en-GB"/>
        </w:rPr>
        <w:t>attack is</w:t>
      </w:r>
      <w:r w:rsidRPr="007B18F0">
        <w:rPr>
          <w:rFonts w:ascii="Calibri" w:eastAsia="Times New Roman" w:hAnsi="Calibri" w:cs="Calibri"/>
          <w:sz w:val="22"/>
          <w:szCs w:val="22"/>
          <w:lang w:eastAsia="en-GB"/>
        </w:rPr>
        <w:t xml:space="preserve"> now a major risk for </w:t>
      </w:r>
      <w:r w:rsidRPr="00D77792">
        <w:rPr>
          <w:rFonts w:ascii="Calibri" w:eastAsia="Times New Roman" w:hAnsi="Calibri" w:cs="Calibri"/>
          <w:sz w:val="22"/>
          <w:szCs w:val="22"/>
          <w:lang w:eastAsia="en-GB"/>
        </w:rPr>
        <w:t xml:space="preserve">companies everywhere, including </w:t>
      </w:r>
      <w:r w:rsidRPr="007B18F0">
        <w:rPr>
          <w:rFonts w:ascii="Calibri" w:eastAsia="Times New Roman" w:hAnsi="Calibri" w:cs="Calibri"/>
          <w:sz w:val="22"/>
          <w:szCs w:val="22"/>
          <w:lang w:eastAsia="en-GB"/>
        </w:rPr>
        <w:t xml:space="preserve">financial services firms in the UK. Without strong cyber security </w:t>
      </w:r>
      <w:r w:rsidRPr="00D77792">
        <w:rPr>
          <w:rFonts w:ascii="Calibri" w:eastAsia="Times New Roman" w:hAnsi="Calibri" w:cs="Calibri"/>
          <w:sz w:val="22"/>
          <w:szCs w:val="22"/>
          <w:lang w:eastAsia="en-GB"/>
        </w:rPr>
        <w:t>measure</w:t>
      </w:r>
      <w:r w:rsidRPr="007B18F0">
        <w:rPr>
          <w:rFonts w:ascii="Calibri" w:eastAsia="Times New Roman" w:hAnsi="Calibri" w:cs="Calibri"/>
          <w:sz w:val="22"/>
          <w:szCs w:val="22"/>
          <w:lang w:eastAsia="en-GB"/>
        </w:rPr>
        <w:t>s, organisati</w:t>
      </w:r>
      <w:r w:rsidR="00D77792">
        <w:rPr>
          <w:rFonts w:ascii="Calibri" w:eastAsia="Times New Roman" w:hAnsi="Calibri" w:cs="Calibri"/>
          <w:sz w:val="22"/>
          <w:szCs w:val="22"/>
          <w:lang w:eastAsia="en-GB"/>
        </w:rPr>
        <w:t>ons are open</w:t>
      </w:r>
      <w:r w:rsidRPr="007B18F0">
        <w:rPr>
          <w:rFonts w:ascii="Calibri" w:eastAsia="Times New Roman" w:hAnsi="Calibri" w:cs="Calibri"/>
          <w:sz w:val="22"/>
          <w:szCs w:val="22"/>
          <w:lang w:eastAsia="en-GB"/>
        </w:rPr>
        <w:t xml:space="preserve"> </w:t>
      </w:r>
      <w:r w:rsidR="00F83499">
        <w:rPr>
          <w:rFonts w:ascii="Calibri" w:eastAsia="Times New Roman" w:hAnsi="Calibri" w:cs="Calibri"/>
          <w:sz w:val="22"/>
          <w:szCs w:val="22"/>
          <w:lang w:eastAsia="en-GB"/>
        </w:rPr>
        <w:t xml:space="preserve">to </w:t>
      </w:r>
      <w:r w:rsidRPr="007B18F0">
        <w:rPr>
          <w:rFonts w:ascii="Calibri" w:eastAsia="Times New Roman" w:hAnsi="Calibri" w:cs="Calibri"/>
          <w:sz w:val="22"/>
          <w:szCs w:val="22"/>
          <w:lang w:eastAsia="en-GB"/>
        </w:rPr>
        <w:t xml:space="preserve">cyber incidents, which puts heavy pressure on senior leaders and </w:t>
      </w:r>
      <w:r w:rsidR="00F83499">
        <w:rPr>
          <w:rFonts w:ascii="Calibri" w:eastAsia="Times New Roman" w:hAnsi="Calibri" w:cs="Calibri"/>
          <w:sz w:val="22"/>
          <w:szCs w:val="22"/>
          <w:lang w:eastAsia="en-GB"/>
        </w:rPr>
        <w:t>board of management</w:t>
      </w:r>
      <w:r w:rsidRPr="007B18F0">
        <w:rPr>
          <w:rFonts w:ascii="Calibri" w:eastAsia="Times New Roman" w:hAnsi="Calibri" w:cs="Calibri"/>
          <w:sz w:val="22"/>
          <w:szCs w:val="22"/>
          <w:lang w:eastAsia="en-GB"/>
        </w:rPr>
        <w:t>. The UK National Cyber Security Centre (NCSC) and the Bank of England have both warned that cyber attacks are one of the main threats to the stability of the UK financial system. Recent reports estimate global losses from cyber crime in the hundreds o</w:t>
      </w:r>
      <w:r w:rsidR="00D77792">
        <w:rPr>
          <w:rFonts w:ascii="Calibri" w:eastAsia="Times New Roman" w:hAnsi="Calibri" w:cs="Calibri"/>
          <w:sz w:val="22"/>
          <w:szCs w:val="22"/>
          <w:lang w:eastAsia="en-GB"/>
        </w:rPr>
        <w:t>f billions of pounds each year</w:t>
      </w:r>
      <w:r w:rsidR="00326C1A">
        <w:rPr>
          <w:rFonts w:ascii="Calibri" w:eastAsia="Times New Roman" w:hAnsi="Calibri" w:cs="Calibri"/>
          <w:sz w:val="22"/>
          <w:szCs w:val="22"/>
          <w:lang w:eastAsia="en-GB"/>
        </w:rPr>
        <w:t xml:space="preserve"> </w:t>
      </w:r>
      <w:r w:rsidRPr="00352196">
        <w:rPr>
          <w:rFonts w:ascii="Calibri" w:eastAsia="Times New Roman" w:hAnsi="Calibri" w:cs="Calibri"/>
          <w:b/>
          <w:lang w:eastAsia="en-GB"/>
        </w:rPr>
        <w:t>[1]</w:t>
      </w:r>
      <w:r w:rsidR="00D77792">
        <w:rPr>
          <w:rFonts w:ascii="Calibri" w:eastAsia="Times New Roman" w:hAnsi="Calibri" w:cs="Calibri"/>
          <w:sz w:val="22"/>
          <w:szCs w:val="22"/>
          <w:lang w:eastAsia="en-GB"/>
        </w:rPr>
        <w:t xml:space="preserve">. </w:t>
      </w:r>
      <w:r w:rsidRPr="007B18F0">
        <w:rPr>
          <w:rFonts w:ascii="Calibri" w:eastAsia="Times New Roman" w:hAnsi="Calibri" w:cs="Calibri"/>
          <w:sz w:val="22"/>
          <w:szCs w:val="22"/>
          <w:lang w:eastAsia="en-GB"/>
        </w:rPr>
        <w:t>VTAM, which manages sensitive client assets and co</w:t>
      </w:r>
      <w:r w:rsidR="00326C1A">
        <w:rPr>
          <w:rFonts w:ascii="Calibri" w:eastAsia="Times New Roman" w:hAnsi="Calibri" w:cs="Calibri"/>
          <w:sz w:val="22"/>
          <w:szCs w:val="22"/>
          <w:lang w:eastAsia="en-GB"/>
        </w:rPr>
        <w:t>nfidential financial data, face</w:t>
      </w:r>
      <w:r w:rsidRPr="007B18F0">
        <w:rPr>
          <w:rFonts w:ascii="Calibri" w:eastAsia="Times New Roman" w:hAnsi="Calibri" w:cs="Calibri"/>
          <w:sz w:val="22"/>
          <w:szCs w:val="22"/>
          <w:lang w:eastAsia="en-GB"/>
        </w:rPr>
        <w:t xml:space="preserve"> a high level of exposure. </w:t>
      </w:r>
    </w:p>
    <w:p w:rsidR="0054423D" w:rsidRDefault="006D38E7" w:rsidP="00992982">
      <w:pPr>
        <w:spacing w:line="360" w:lineRule="auto"/>
        <w:jc w:val="both"/>
        <w:rPr>
          <w:rFonts w:ascii="Calibri" w:eastAsia="Times New Roman" w:hAnsi="Calibri" w:cs="Calibri"/>
          <w:sz w:val="22"/>
          <w:szCs w:val="22"/>
          <w:lang w:eastAsia="en-GB"/>
        </w:rPr>
      </w:pPr>
      <w:r w:rsidRPr="007B18F0">
        <w:rPr>
          <w:rFonts w:ascii="Calibri" w:eastAsia="Times New Roman" w:hAnsi="Calibri" w:cs="Calibri"/>
          <w:sz w:val="22"/>
          <w:szCs w:val="22"/>
          <w:lang w:eastAsia="en-GB"/>
        </w:rPr>
        <w:t>Mode</w:t>
      </w:r>
      <w:r w:rsidR="009E1F21">
        <w:rPr>
          <w:rFonts w:ascii="Calibri" w:eastAsia="Times New Roman" w:hAnsi="Calibri" w:cs="Calibri"/>
          <w:sz w:val="22"/>
          <w:szCs w:val="22"/>
          <w:lang w:eastAsia="en-GB"/>
        </w:rPr>
        <w:t>rn threat actors use</w:t>
      </w:r>
      <w:r w:rsidR="00F83499">
        <w:rPr>
          <w:rFonts w:ascii="Calibri" w:eastAsia="Times New Roman" w:hAnsi="Calibri" w:cs="Calibri"/>
          <w:sz w:val="22"/>
          <w:szCs w:val="22"/>
          <w:lang w:eastAsia="en-GB"/>
        </w:rPr>
        <w:t xml:space="preserve"> RaaS, artificial intelligence </w:t>
      </w:r>
      <w:r w:rsidRPr="007B18F0">
        <w:rPr>
          <w:rFonts w:ascii="Calibri" w:eastAsia="Times New Roman" w:hAnsi="Calibri" w:cs="Calibri"/>
          <w:sz w:val="22"/>
          <w:szCs w:val="22"/>
          <w:lang w:eastAsia="en-GB"/>
        </w:rPr>
        <w:t>powered social engineering, sup</w:t>
      </w:r>
      <w:r w:rsidR="009E1F21">
        <w:rPr>
          <w:rFonts w:ascii="Calibri" w:eastAsia="Times New Roman" w:hAnsi="Calibri" w:cs="Calibri"/>
          <w:sz w:val="22"/>
          <w:szCs w:val="22"/>
          <w:lang w:eastAsia="en-GB"/>
        </w:rPr>
        <w:t>ply chain compromises</w:t>
      </w:r>
      <w:r w:rsidR="00F83499">
        <w:rPr>
          <w:rFonts w:ascii="Calibri" w:eastAsia="Times New Roman" w:hAnsi="Calibri" w:cs="Calibri"/>
          <w:sz w:val="22"/>
          <w:szCs w:val="22"/>
          <w:lang w:eastAsia="en-GB"/>
        </w:rPr>
        <w:t xml:space="preserve"> and zero </w:t>
      </w:r>
      <w:r w:rsidRPr="007B18F0">
        <w:rPr>
          <w:rFonts w:ascii="Calibri" w:eastAsia="Times New Roman" w:hAnsi="Calibri" w:cs="Calibri"/>
          <w:sz w:val="22"/>
          <w:szCs w:val="22"/>
          <w:lang w:eastAsia="en-GB"/>
        </w:rPr>
        <w:t>day ex</w:t>
      </w:r>
      <w:r w:rsidR="00194F12">
        <w:rPr>
          <w:rFonts w:ascii="Calibri" w:eastAsia="Times New Roman" w:hAnsi="Calibri" w:cs="Calibri"/>
          <w:sz w:val="22"/>
          <w:szCs w:val="22"/>
          <w:lang w:eastAsia="en-GB"/>
        </w:rPr>
        <w:t>ploits. As William Stallings have</w:t>
      </w:r>
      <w:r w:rsidRPr="007B18F0">
        <w:rPr>
          <w:rFonts w:ascii="Calibri" w:eastAsia="Times New Roman" w:hAnsi="Calibri" w:cs="Calibri"/>
          <w:sz w:val="22"/>
          <w:szCs w:val="22"/>
          <w:lang w:eastAsia="en-GB"/>
        </w:rPr>
        <w:t xml:space="preserve"> noted, the old model of relying on a secure</w:t>
      </w:r>
      <w:r w:rsidR="00194F12">
        <w:rPr>
          <w:rFonts w:ascii="Calibri" w:eastAsia="Times New Roman" w:hAnsi="Calibri" w:cs="Calibri"/>
          <w:sz w:val="22"/>
          <w:szCs w:val="22"/>
          <w:lang w:eastAsia="en-GB"/>
        </w:rPr>
        <w:t xml:space="preserve"> network boundary is no longer </w:t>
      </w:r>
      <w:r w:rsidRPr="007B18F0">
        <w:rPr>
          <w:rFonts w:ascii="Calibri" w:eastAsia="Times New Roman" w:hAnsi="Calibri" w:cs="Calibri"/>
          <w:sz w:val="22"/>
          <w:szCs w:val="22"/>
          <w:lang w:eastAsia="en-GB"/>
        </w:rPr>
        <w:t>s</w:t>
      </w:r>
      <w:r w:rsidR="00194F12">
        <w:rPr>
          <w:rFonts w:ascii="Calibri" w:eastAsia="Times New Roman" w:hAnsi="Calibri" w:cs="Calibri"/>
          <w:sz w:val="22"/>
          <w:szCs w:val="22"/>
          <w:lang w:eastAsia="en-GB"/>
        </w:rPr>
        <w:t>afe</w:t>
      </w:r>
      <w:r w:rsidRPr="007B18F0">
        <w:rPr>
          <w:rFonts w:ascii="Calibri" w:eastAsia="Times New Roman" w:hAnsi="Calibri" w:cs="Calibri"/>
          <w:sz w:val="22"/>
          <w:szCs w:val="22"/>
          <w:lang w:eastAsia="en-GB"/>
        </w:rPr>
        <w:t xml:space="preserve"> in a world of cloud services, remo</w:t>
      </w:r>
      <w:r w:rsidR="00F83499">
        <w:rPr>
          <w:rFonts w:ascii="Calibri" w:eastAsia="Times New Roman" w:hAnsi="Calibri" w:cs="Calibri"/>
          <w:sz w:val="22"/>
          <w:szCs w:val="22"/>
          <w:lang w:eastAsia="en-GB"/>
        </w:rPr>
        <w:t>te working, and mobile devices</w:t>
      </w:r>
      <w:r w:rsidR="00326C1A">
        <w:rPr>
          <w:rFonts w:ascii="Calibri" w:eastAsia="Times New Roman" w:hAnsi="Calibri" w:cs="Calibri"/>
          <w:sz w:val="22"/>
          <w:szCs w:val="22"/>
          <w:lang w:eastAsia="en-GB"/>
        </w:rPr>
        <w:t xml:space="preserve"> </w:t>
      </w:r>
      <w:r w:rsidRPr="00352196">
        <w:rPr>
          <w:rFonts w:ascii="Calibri" w:eastAsia="Times New Roman" w:hAnsi="Calibri" w:cs="Calibri"/>
          <w:b/>
          <w:lang w:eastAsia="en-GB"/>
        </w:rPr>
        <w:t>[2]</w:t>
      </w:r>
      <w:r w:rsidR="00F83499">
        <w:rPr>
          <w:rFonts w:ascii="Calibri" w:eastAsia="Times New Roman" w:hAnsi="Calibri" w:cs="Calibri"/>
          <w:sz w:val="22"/>
          <w:szCs w:val="22"/>
          <w:lang w:eastAsia="en-GB"/>
        </w:rPr>
        <w:t>.</w:t>
      </w:r>
      <w:r w:rsidRPr="007B18F0">
        <w:rPr>
          <w:rFonts w:ascii="Calibri" w:eastAsia="Times New Roman" w:hAnsi="Calibri" w:cs="Calibri"/>
          <w:sz w:val="22"/>
          <w:szCs w:val="22"/>
          <w:lang w:eastAsia="en-GB"/>
        </w:rPr>
        <w:t xml:space="preserve"> VTAM’s recent experience with a sophisticated phishing campaign and attempted rans</w:t>
      </w:r>
      <w:r w:rsidRPr="00D77792">
        <w:rPr>
          <w:rFonts w:ascii="Calibri" w:eastAsia="Times New Roman" w:hAnsi="Calibri" w:cs="Calibri"/>
          <w:sz w:val="22"/>
          <w:szCs w:val="22"/>
          <w:lang w:eastAsia="en-GB"/>
        </w:rPr>
        <w:t>omware attack reflects this g</w:t>
      </w:r>
      <w:r w:rsidRPr="007B18F0">
        <w:rPr>
          <w:rFonts w:ascii="Calibri" w:eastAsia="Times New Roman" w:hAnsi="Calibri" w:cs="Calibri"/>
          <w:sz w:val="22"/>
          <w:szCs w:val="22"/>
          <w:lang w:eastAsia="en-GB"/>
        </w:rPr>
        <w:t>r</w:t>
      </w:r>
      <w:r w:rsidRPr="00D77792">
        <w:rPr>
          <w:rFonts w:ascii="Calibri" w:eastAsia="Times New Roman" w:hAnsi="Calibri" w:cs="Calibri"/>
          <w:sz w:val="22"/>
          <w:szCs w:val="22"/>
          <w:lang w:eastAsia="en-GB"/>
        </w:rPr>
        <w:t>owing</w:t>
      </w:r>
      <w:r w:rsidRPr="007B18F0">
        <w:rPr>
          <w:rFonts w:ascii="Calibri" w:eastAsia="Times New Roman" w:hAnsi="Calibri" w:cs="Calibri"/>
          <w:sz w:val="22"/>
          <w:szCs w:val="22"/>
          <w:lang w:eastAsia="en-GB"/>
        </w:rPr>
        <w:t xml:space="preserve"> trend.</w:t>
      </w:r>
      <w:r w:rsidR="000A5961" w:rsidRPr="00D77792">
        <w:rPr>
          <w:rFonts w:ascii="Calibri" w:hAnsi="Calibri" w:cs="Calibri"/>
          <w:sz w:val="22"/>
          <w:szCs w:val="22"/>
        </w:rPr>
        <w:t xml:space="preserve"> </w:t>
      </w:r>
      <w:r w:rsidR="000A5961" w:rsidRPr="007B18F0">
        <w:rPr>
          <w:rFonts w:ascii="Calibri" w:eastAsia="Times New Roman" w:hAnsi="Calibri" w:cs="Calibri"/>
          <w:sz w:val="22"/>
          <w:szCs w:val="22"/>
          <w:lang w:eastAsia="en-GB"/>
        </w:rPr>
        <w:t xml:space="preserve">Hybrid and remote work models, together with increased use of cloud </w:t>
      </w:r>
      <w:r w:rsidR="00194F12">
        <w:rPr>
          <w:rFonts w:ascii="Calibri" w:eastAsia="Times New Roman" w:hAnsi="Calibri" w:cs="Calibri"/>
          <w:sz w:val="22"/>
          <w:szCs w:val="22"/>
          <w:lang w:eastAsia="en-GB"/>
        </w:rPr>
        <w:t>services and mobile access, has</w:t>
      </w:r>
      <w:r w:rsidR="000A5961" w:rsidRPr="007B18F0">
        <w:rPr>
          <w:rFonts w:ascii="Calibri" w:eastAsia="Times New Roman" w:hAnsi="Calibri" w:cs="Calibri"/>
          <w:sz w:val="22"/>
          <w:szCs w:val="22"/>
          <w:lang w:eastAsia="en-GB"/>
        </w:rPr>
        <w:t xml:space="preserve"> </w:t>
      </w:r>
      <w:r w:rsidR="00194F12">
        <w:rPr>
          <w:rFonts w:ascii="Calibri" w:eastAsia="Times New Roman" w:hAnsi="Calibri" w:cs="Calibri"/>
          <w:sz w:val="22"/>
          <w:szCs w:val="22"/>
          <w:lang w:eastAsia="en-GB"/>
        </w:rPr>
        <w:t xml:space="preserve">left </w:t>
      </w:r>
      <w:r w:rsidR="00011046">
        <w:rPr>
          <w:rFonts w:ascii="Calibri" w:eastAsia="Times New Roman" w:hAnsi="Calibri" w:cs="Calibri"/>
          <w:sz w:val="22"/>
          <w:szCs w:val="22"/>
          <w:lang w:eastAsia="en-GB"/>
        </w:rPr>
        <w:t>VTAM</w:t>
      </w:r>
      <w:r w:rsidR="00194F12" w:rsidRPr="007B18F0">
        <w:rPr>
          <w:rFonts w:ascii="Calibri" w:eastAsia="Times New Roman" w:hAnsi="Calibri" w:cs="Calibri"/>
          <w:sz w:val="22"/>
          <w:szCs w:val="22"/>
          <w:lang w:eastAsia="en-GB"/>
        </w:rPr>
        <w:t xml:space="preserve"> </w:t>
      </w:r>
      <w:r w:rsidR="00194F12">
        <w:rPr>
          <w:rFonts w:ascii="Calibri" w:eastAsia="Times New Roman" w:hAnsi="Calibri" w:cs="Calibri"/>
          <w:sz w:val="22"/>
          <w:szCs w:val="22"/>
          <w:lang w:eastAsia="en-GB"/>
        </w:rPr>
        <w:t>expos</w:t>
      </w:r>
      <w:r w:rsidR="000A5961" w:rsidRPr="007B18F0">
        <w:rPr>
          <w:rFonts w:ascii="Calibri" w:eastAsia="Times New Roman" w:hAnsi="Calibri" w:cs="Calibri"/>
          <w:sz w:val="22"/>
          <w:szCs w:val="22"/>
          <w:lang w:eastAsia="en-GB"/>
        </w:rPr>
        <w:t xml:space="preserve">ed </w:t>
      </w:r>
      <w:r w:rsidR="00194F12">
        <w:rPr>
          <w:rFonts w:ascii="Calibri" w:eastAsia="Times New Roman" w:hAnsi="Calibri" w:cs="Calibri"/>
          <w:sz w:val="22"/>
          <w:szCs w:val="22"/>
          <w:lang w:eastAsia="en-GB"/>
        </w:rPr>
        <w:t xml:space="preserve">to cyber </w:t>
      </w:r>
      <w:r w:rsidR="000A5961" w:rsidRPr="007B18F0">
        <w:rPr>
          <w:rFonts w:ascii="Calibri" w:eastAsia="Times New Roman" w:hAnsi="Calibri" w:cs="Calibri"/>
          <w:sz w:val="22"/>
          <w:szCs w:val="22"/>
          <w:lang w:eastAsia="en-GB"/>
        </w:rPr>
        <w:t>attack. Staff c</w:t>
      </w:r>
      <w:r w:rsidR="00AD393C">
        <w:rPr>
          <w:rFonts w:ascii="Calibri" w:eastAsia="Times New Roman" w:hAnsi="Calibri" w:cs="Calibri"/>
          <w:sz w:val="22"/>
          <w:szCs w:val="22"/>
          <w:lang w:eastAsia="en-GB"/>
        </w:rPr>
        <w:t>an c</w:t>
      </w:r>
      <w:r w:rsidR="000A5961" w:rsidRPr="007B18F0">
        <w:rPr>
          <w:rFonts w:ascii="Calibri" w:eastAsia="Times New Roman" w:hAnsi="Calibri" w:cs="Calibri"/>
          <w:sz w:val="22"/>
          <w:szCs w:val="22"/>
          <w:lang w:eastAsia="en-GB"/>
        </w:rPr>
        <w:t xml:space="preserve">onnect from different locations and networks, often using multiple devices. </w:t>
      </w:r>
    </w:p>
    <w:p w:rsidR="00992982" w:rsidRDefault="000A5961" w:rsidP="00992982">
      <w:pPr>
        <w:spacing w:line="360" w:lineRule="auto"/>
        <w:jc w:val="both"/>
        <w:rPr>
          <w:rFonts w:ascii="Calibri" w:eastAsia="Times New Roman" w:hAnsi="Calibri" w:cs="Calibri"/>
          <w:sz w:val="22"/>
          <w:szCs w:val="22"/>
          <w:lang w:eastAsia="en-GB"/>
        </w:rPr>
      </w:pPr>
      <w:r w:rsidRPr="007B18F0">
        <w:rPr>
          <w:rFonts w:ascii="Calibri" w:eastAsia="Times New Roman" w:hAnsi="Calibri" w:cs="Calibri"/>
          <w:sz w:val="22"/>
          <w:szCs w:val="22"/>
          <w:lang w:eastAsia="en-GB"/>
        </w:rPr>
        <w:t>While this improves flexibility and productivity, it also creates more opportunities for attackers to gain access. Th</w:t>
      </w:r>
      <w:r w:rsidR="00011046">
        <w:rPr>
          <w:rFonts w:ascii="Calibri" w:eastAsia="Times New Roman" w:hAnsi="Calibri" w:cs="Calibri"/>
          <w:sz w:val="22"/>
          <w:szCs w:val="22"/>
          <w:lang w:eastAsia="en-GB"/>
        </w:rPr>
        <w:t>e NCSC</w:t>
      </w:r>
      <w:r w:rsidRPr="007B18F0">
        <w:rPr>
          <w:rFonts w:ascii="Calibri" w:eastAsia="Times New Roman" w:hAnsi="Calibri" w:cs="Calibri"/>
          <w:sz w:val="22"/>
          <w:szCs w:val="22"/>
          <w:lang w:eastAsia="en-GB"/>
        </w:rPr>
        <w:t xml:space="preserve"> advises that organisations should not assume that any part of their network is automatically trusted and should instead apply strong verification </w:t>
      </w:r>
      <w:r w:rsidRPr="00D77792">
        <w:rPr>
          <w:rFonts w:ascii="Calibri" w:eastAsia="Times New Roman" w:hAnsi="Calibri" w:cs="Calibri"/>
          <w:sz w:val="22"/>
          <w:szCs w:val="22"/>
          <w:lang w:eastAsia="en-GB"/>
        </w:rPr>
        <w:t>and segregation</w:t>
      </w:r>
      <w:r w:rsidR="00194F12">
        <w:rPr>
          <w:rFonts w:ascii="Calibri" w:eastAsia="Times New Roman" w:hAnsi="Calibri" w:cs="Calibri"/>
          <w:sz w:val="22"/>
          <w:szCs w:val="22"/>
          <w:lang w:eastAsia="en-GB"/>
        </w:rPr>
        <w:t xml:space="preserve"> </w:t>
      </w:r>
      <w:r w:rsidRPr="00D77792">
        <w:rPr>
          <w:rFonts w:ascii="Calibri" w:eastAsia="Times New Roman" w:hAnsi="Calibri" w:cs="Calibri"/>
          <w:sz w:val="22"/>
          <w:szCs w:val="22"/>
          <w:lang w:eastAsia="en-GB"/>
        </w:rPr>
        <w:t>across</w:t>
      </w:r>
      <w:r w:rsidR="00194F12">
        <w:rPr>
          <w:rFonts w:ascii="Calibri" w:eastAsia="Times New Roman" w:hAnsi="Calibri" w:cs="Calibri"/>
          <w:sz w:val="22"/>
          <w:szCs w:val="22"/>
          <w:lang w:eastAsia="en-GB"/>
        </w:rPr>
        <w:t xml:space="preserve"> </w:t>
      </w:r>
      <w:r w:rsidRPr="00D77792">
        <w:rPr>
          <w:rFonts w:ascii="Calibri" w:eastAsia="Times New Roman" w:hAnsi="Calibri" w:cs="Calibri"/>
          <w:sz w:val="22"/>
          <w:szCs w:val="22"/>
          <w:lang w:eastAsia="en-GB"/>
        </w:rPr>
        <w:t>systems</w:t>
      </w:r>
      <w:r w:rsidR="00992982">
        <w:rPr>
          <w:rFonts w:ascii="Calibri" w:eastAsia="Times New Roman" w:hAnsi="Calibri" w:cs="Calibri"/>
          <w:sz w:val="22"/>
          <w:szCs w:val="22"/>
          <w:lang w:eastAsia="en-GB"/>
        </w:rPr>
        <w:t xml:space="preserve"> </w:t>
      </w:r>
      <w:r w:rsidRPr="00352196">
        <w:rPr>
          <w:rFonts w:ascii="Calibri" w:eastAsia="Times New Roman" w:hAnsi="Calibri" w:cs="Calibri"/>
          <w:b/>
          <w:lang w:eastAsia="en-GB"/>
        </w:rPr>
        <w:t>[3].</w:t>
      </w:r>
      <w:r w:rsidR="0054423D">
        <w:rPr>
          <w:rFonts w:ascii="Calibri" w:eastAsia="Times New Roman" w:hAnsi="Calibri" w:cs="Calibri"/>
          <w:sz w:val="22"/>
          <w:szCs w:val="22"/>
          <w:lang w:eastAsia="en-GB"/>
        </w:rPr>
        <w:t xml:space="preserve"> </w:t>
      </w:r>
      <w:r w:rsidR="00011046">
        <w:rPr>
          <w:rFonts w:ascii="Calibri" w:eastAsia="Times New Roman" w:hAnsi="Calibri" w:cs="Calibri"/>
          <w:sz w:val="22"/>
          <w:szCs w:val="22"/>
          <w:lang w:eastAsia="en-GB"/>
        </w:rPr>
        <w:t>Cybersecurity criminal</w:t>
      </w:r>
      <w:r w:rsidRPr="007B18F0">
        <w:rPr>
          <w:rFonts w:ascii="Calibri" w:eastAsia="Times New Roman" w:hAnsi="Calibri" w:cs="Calibri"/>
          <w:sz w:val="22"/>
          <w:szCs w:val="22"/>
          <w:lang w:eastAsia="en-GB"/>
        </w:rPr>
        <w:t>s use socia</w:t>
      </w:r>
      <w:r w:rsidR="00194F12">
        <w:rPr>
          <w:rFonts w:ascii="Calibri" w:eastAsia="Times New Roman" w:hAnsi="Calibri" w:cs="Calibri"/>
          <w:sz w:val="22"/>
          <w:szCs w:val="22"/>
          <w:lang w:eastAsia="en-GB"/>
        </w:rPr>
        <w:t>l engineering, credential theft and other</w:t>
      </w:r>
      <w:r w:rsidRPr="007B18F0">
        <w:rPr>
          <w:rFonts w:ascii="Calibri" w:eastAsia="Times New Roman" w:hAnsi="Calibri" w:cs="Calibri"/>
          <w:sz w:val="22"/>
          <w:szCs w:val="22"/>
          <w:lang w:eastAsia="en-GB"/>
        </w:rPr>
        <w:t xml:space="preserve"> met</w:t>
      </w:r>
      <w:r w:rsidR="00194F12">
        <w:rPr>
          <w:rFonts w:ascii="Calibri" w:eastAsia="Times New Roman" w:hAnsi="Calibri" w:cs="Calibri"/>
          <w:sz w:val="22"/>
          <w:szCs w:val="22"/>
          <w:lang w:eastAsia="en-GB"/>
        </w:rPr>
        <w:t>hods</w:t>
      </w:r>
      <w:r w:rsidRPr="007B18F0">
        <w:rPr>
          <w:rFonts w:ascii="Calibri" w:eastAsia="Times New Roman" w:hAnsi="Calibri" w:cs="Calibri"/>
          <w:sz w:val="22"/>
          <w:szCs w:val="22"/>
          <w:lang w:eastAsia="en-GB"/>
        </w:rPr>
        <w:t xml:space="preserve"> to gain and expand access. The rise of RaaS platforms has made it easier for less technical criminals to launch serious attacks by “renting” ranso</w:t>
      </w:r>
      <w:r w:rsidRPr="00D77792">
        <w:rPr>
          <w:rFonts w:ascii="Calibri" w:eastAsia="Times New Roman" w:hAnsi="Calibri" w:cs="Calibri"/>
          <w:sz w:val="22"/>
          <w:szCs w:val="22"/>
          <w:lang w:eastAsia="en-GB"/>
        </w:rPr>
        <w:t>mware tools and infrastructure</w:t>
      </w:r>
      <w:r w:rsidR="00194F12">
        <w:rPr>
          <w:rFonts w:ascii="Calibri" w:eastAsia="Times New Roman" w:hAnsi="Calibri" w:cs="Calibri"/>
          <w:sz w:val="22"/>
          <w:szCs w:val="22"/>
          <w:lang w:eastAsia="en-GB"/>
        </w:rPr>
        <w:t xml:space="preserve"> </w:t>
      </w:r>
      <w:r w:rsidRPr="00352196">
        <w:rPr>
          <w:rFonts w:ascii="Calibri" w:eastAsia="Times New Roman" w:hAnsi="Calibri" w:cs="Calibri"/>
          <w:b/>
          <w:lang w:eastAsia="en-GB"/>
        </w:rPr>
        <w:t>[4].</w:t>
      </w:r>
      <w:r w:rsidRPr="007B18F0">
        <w:rPr>
          <w:rFonts w:ascii="Calibri" w:eastAsia="Times New Roman" w:hAnsi="Calibri" w:cs="Calibri"/>
          <w:sz w:val="22"/>
          <w:szCs w:val="22"/>
          <w:lang w:eastAsia="en-GB"/>
        </w:rPr>
        <w:t xml:space="preserve"> </w:t>
      </w:r>
    </w:p>
    <w:p w:rsidR="000A5961" w:rsidRPr="007B18F0" w:rsidRDefault="000A5961" w:rsidP="00992982">
      <w:pPr>
        <w:spacing w:line="360" w:lineRule="auto"/>
        <w:jc w:val="both"/>
        <w:rPr>
          <w:rFonts w:ascii="Calibri" w:eastAsia="Times New Roman" w:hAnsi="Calibri" w:cs="Calibri"/>
          <w:sz w:val="22"/>
          <w:szCs w:val="22"/>
          <w:lang w:eastAsia="en-GB"/>
        </w:rPr>
      </w:pPr>
      <w:r w:rsidRPr="007B18F0">
        <w:rPr>
          <w:rFonts w:ascii="Calibri" w:eastAsia="Times New Roman" w:hAnsi="Calibri" w:cs="Calibri"/>
          <w:sz w:val="22"/>
          <w:szCs w:val="22"/>
          <w:lang w:eastAsia="en-GB"/>
        </w:rPr>
        <w:lastRenderedPageBreak/>
        <w:t xml:space="preserve">This means </w:t>
      </w:r>
      <w:r w:rsidR="00194F12">
        <w:rPr>
          <w:rFonts w:ascii="Calibri" w:eastAsia="Times New Roman" w:hAnsi="Calibri" w:cs="Calibri"/>
          <w:sz w:val="22"/>
          <w:szCs w:val="22"/>
          <w:lang w:eastAsia="en-GB"/>
        </w:rPr>
        <w:t xml:space="preserve">that </w:t>
      </w:r>
      <w:r w:rsidRPr="007B18F0">
        <w:rPr>
          <w:rFonts w:ascii="Calibri" w:eastAsia="Times New Roman" w:hAnsi="Calibri" w:cs="Calibri"/>
          <w:sz w:val="22"/>
          <w:szCs w:val="22"/>
          <w:lang w:eastAsia="en-GB"/>
        </w:rPr>
        <w:t>VTAM must assume it is a like</w:t>
      </w:r>
      <w:r w:rsidR="00992982">
        <w:rPr>
          <w:rFonts w:ascii="Calibri" w:eastAsia="Times New Roman" w:hAnsi="Calibri" w:cs="Calibri"/>
          <w:sz w:val="22"/>
          <w:szCs w:val="22"/>
          <w:lang w:eastAsia="en-GB"/>
        </w:rPr>
        <w:t xml:space="preserve">ly target and plan accordingly. </w:t>
      </w:r>
      <w:r w:rsidR="00194F12">
        <w:rPr>
          <w:rFonts w:ascii="Calibri" w:eastAsia="Times New Roman" w:hAnsi="Calibri" w:cs="Calibri"/>
          <w:sz w:val="22"/>
          <w:szCs w:val="22"/>
          <w:lang w:eastAsia="en-GB"/>
        </w:rPr>
        <w:t>This report sets out a robust</w:t>
      </w:r>
      <w:r w:rsidRPr="007B18F0">
        <w:rPr>
          <w:rFonts w:ascii="Calibri" w:eastAsia="Times New Roman" w:hAnsi="Calibri" w:cs="Calibri"/>
          <w:sz w:val="22"/>
          <w:szCs w:val="22"/>
          <w:lang w:eastAsia="en-GB"/>
        </w:rPr>
        <w:t xml:space="preserve"> security framework for VTAM</w:t>
      </w:r>
      <w:r w:rsidR="00194F12">
        <w:rPr>
          <w:rFonts w:ascii="Calibri" w:eastAsia="Times New Roman" w:hAnsi="Calibri" w:cs="Calibri"/>
          <w:sz w:val="22"/>
          <w:szCs w:val="22"/>
          <w:lang w:eastAsia="en-GB"/>
        </w:rPr>
        <w:t>,</w:t>
      </w:r>
      <w:r w:rsidRPr="007B18F0">
        <w:rPr>
          <w:rFonts w:ascii="Calibri" w:eastAsia="Times New Roman" w:hAnsi="Calibri" w:cs="Calibri"/>
          <w:sz w:val="22"/>
          <w:szCs w:val="22"/>
          <w:lang w:eastAsia="en-GB"/>
        </w:rPr>
        <w:t xml:space="preserve"> based</w:t>
      </w:r>
      <w:r w:rsidRPr="00D77792">
        <w:rPr>
          <w:rFonts w:ascii="Calibri" w:eastAsia="Times New Roman" w:hAnsi="Calibri" w:cs="Calibri"/>
          <w:sz w:val="22"/>
          <w:szCs w:val="22"/>
          <w:lang w:eastAsia="en-GB"/>
        </w:rPr>
        <w:t xml:space="preserve"> on Zero Trust Architecture. It </w:t>
      </w:r>
      <w:r w:rsidRPr="007B18F0">
        <w:rPr>
          <w:rFonts w:ascii="Calibri" w:eastAsia="Times New Roman" w:hAnsi="Calibri" w:cs="Calibri"/>
          <w:sz w:val="22"/>
          <w:szCs w:val="22"/>
          <w:lang w:eastAsia="en-GB"/>
        </w:rPr>
        <w:t>aligns with the NCSC’</w:t>
      </w:r>
      <w:r w:rsidR="003D17E9">
        <w:rPr>
          <w:rFonts w:ascii="Calibri" w:eastAsia="Times New Roman" w:hAnsi="Calibri" w:cs="Calibri"/>
          <w:sz w:val="22"/>
          <w:szCs w:val="22"/>
          <w:lang w:eastAsia="en-GB"/>
        </w:rPr>
        <w:t>s guidance for UK organisations and</w:t>
      </w:r>
      <w:r w:rsidRPr="007B18F0">
        <w:rPr>
          <w:rFonts w:ascii="Calibri" w:eastAsia="Times New Roman" w:hAnsi="Calibri" w:cs="Calibri"/>
          <w:sz w:val="22"/>
          <w:szCs w:val="22"/>
          <w:lang w:eastAsia="en-GB"/>
        </w:rPr>
        <w:t xml:space="preserve"> the NIST Cybersecurity Framework (CSF) 2.0, and ISO 27001. It recommends practical controls such as multi</w:t>
      </w:r>
      <w:r w:rsidRPr="007B18F0">
        <w:rPr>
          <w:rFonts w:ascii="Calibri" w:eastAsia="Times New Roman" w:hAnsi="Calibri" w:cs="Calibri"/>
          <w:sz w:val="22"/>
          <w:szCs w:val="22"/>
          <w:lang w:eastAsia="en-GB"/>
        </w:rPr>
        <w:noBreakHyphen/>
        <w:t>factor authentication (MFA), SIEM and SOAR, cloud security posture management (CSPM), endpoint detection and response (EDR), immutable backups, continuous monitoring, and foc</w:t>
      </w:r>
      <w:r w:rsidR="00E027E8">
        <w:rPr>
          <w:rFonts w:ascii="Calibri" w:eastAsia="Times New Roman" w:hAnsi="Calibri" w:cs="Calibri"/>
          <w:sz w:val="22"/>
          <w:szCs w:val="22"/>
          <w:lang w:eastAsia="en-GB"/>
        </w:rPr>
        <w:t>used staff training. T</w:t>
      </w:r>
      <w:r w:rsidRPr="007B18F0">
        <w:rPr>
          <w:rFonts w:ascii="Calibri" w:eastAsia="Times New Roman" w:hAnsi="Calibri" w:cs="Calibri"/>
          <w:sz w:val="22"/>
          <w:szCs w:val="22"/>
          <w:lang w:eastAsia="en-GB"/>
        </w:rPr>
        <w:t>h</w:t>
      </w:r>
      <w:r w:rsidR="00E027E8">
        <w:rPr>
          <w:rFonts w:ascii="Calibri" w:eastAsia="Times New Roman" w:hAnsi="Calibri" w:cs="Calibri"/>
          <w:sz w:val="22"/>
          <w:szCs w:val="22"/>
          <w:lang w:eastAsia="en-GB"/>
        </w:rPr>
        <w:t>e</w:t>
      </w:r>
      <w:r w:rsidRPr="007B18F0">
        <w:rPr>
          <w:rFonts w:ascii="Calibri" w:eastAsia="Times New Roman" w:hAnsi="Calibri" w:cs="Calibri"/>
          <w:sz w:val="22"/>
          <w:szCs w:val="22"/>
          <w:lang w:eastAsia="en-GB"/>
        </w:rPr>
        <w:t xml:space="preserve"> aim</w:t>
      </w:r>
      <w:r w:rsidR="00E027E8">
        <w:rPr>
          <w:rFonts w:ascii="Calibri" w:eastAsia="Times New Roman" w:hAnsi="Calibri" w:cs="Calibri"/>
          <w:sz w:val="22"/>
          <w:szCs w:val="22"/>
          <w:lang w:eastAsia="en-GB"/>
        </w:rPr>
        <w:t xml:space="preserve"> is</w:t>
      </w:r>
      <w:r w:rsidRPr="007B18F0">
        <w:rPr>
          <w:rFonts w:ascii="Calibri" w:eastAsia="Times New Roman" w:hAnsi="Calibri" w:cs="Calibri"/>
          <w:sz w:val="22"/>
          <w:szCs w:val="22"/>
          <w:lang w:eastAsia="en-GB"/>
        </w:rPr>
        <w:t xml:space="preserve"> </w:t>
      </w:r>
      <w:r w:rsidR="00E027E8">
        <w:rPr>
          <w:rFonts w:ascii="Calibri" w:eastAsia="Times New Roman" w:hAnsi="Calibri" w:cs="Calibri"/>
          <w:sz w:val="22"/>
          <w:szCs w:val="22"/>
          <w:lang w:eastAsia="en-GB"/>
        </w:rPr>
        <w:t>to reduce VTAM’s attack surface;</w:t>
      </w:r>
      <w:r w:rsidRPr="007B18F0">
        <w:rPr>
          <w:rFonts w:ascii="Calibri" w:eastAsia="Times New Roman" w:hAnsi="Calibri" w:cs="Calibri"/>
          <w:sz w:val="22"/>
          <w:szCs w:val="22"/>
          <w:lang w:eastAsia="en-GB"/>
        </w:rPr>
        <w:t xml:space="preserve"> improve detection and </w:t>
      </w:r>
      <w:r w:rsidR="00E027E8">
        <w:rPr>
          <w:rFonts w:ascii="Calibri" w:eastAsia="Times New Roman" w:hAnsi="Calibri" w:cs="Calibri"/>
          <w:sz w:val="22"/>
          <w:szCs w:val="22"/>
          <w:lang w:eastAsia="en-GB"/>
        </w:rPr>
        <w:t>response</w:t>
      </w:r>
      <w:r w:rsidRPr="007B18F0">
        <w:rPr>
          <w:rFonts w:ascii="Calibri" w:eastAsia="Times New Roman" w:hAnsi="Calibri" w:cs="Calibri"/>
          <w:sz w:val="22"/>
          <w:szCs w:val="22"/>
          <w:lang w:eastAsia="en-GB"/>
        </w:rPr>
        <w:t xml:space="preserve"> and build a strong security culture across the firm.</w:t>
      </w:r>
    </w:p>
    <w:p w:rsidR="00F137CD" w:rsidRDefault="00F137CD" w:rsidP="00155202">
      <w:pPr>
        <w:pStyle w:val="Subtitle"/>
      </w:pPr>
    </w:p>
    <w:p w:rsidR="00961D2B" w:rsidRPr="0055448A" w:rsidRDefault="00F018BB" w:rsidP="00156AE7">
      <w:pPr>
        <w:pStyle w:val="Heading1"/>
      </w:pPr>
      <w:bookmarkStart w:id="3" w:name="_Toc216919846"/>
      <w:r w:rsidRPr="0055448A">
        <w:t>3</w:t>
      </w:r>
      <w:r w:rsidR="00961D2B" w:rsidRPr="0055448A">
        <w:t>. IDENTIFICATION OF MODERN THREATS</w:t>
      </w:r>
      <w:bookmarkEnd w:id="3"/>
    </w:p>
    <w:p w:rsidR="00961D2B" w:rsidRPr="0054423D" w:rsidRDefault="00F018BB" w:rsidP="00F137CD">
      <w:pPr>
        <w:pStyle w:val="Heading2"/>
        <w:rPr>
          <w:b/>
          <w:color w:val="auto"/>
          <w:sz w:val="28"/>
          <w:szCs w:val="28"/>
        </w:rPr>
      </w:pPr>
      <w:bookmarkStart w:id="4" w:name="_Toc216919847"/>
      <w:r w:rsidRPr="0054423D">
        <w:rPr>
          <w:b/>
          <w:color w:val="auto"/>
          <w:sz w:val="28"/>
          <w:szCs w:val="28"/>
        </w:rPr>
        <w:t>3</w:t>
      </w:r>
      <w:r w:rsidR="00961D2B" w:rsidRPr="0054423D">
        <w:rPr>
          <w:b/>
          <w:color w:val="auto"/>
          <w:sz w:val="28"/>
          <w:szCs w:val="28"/>
        </w:rPr>
        <w:t>.</w:t>
      </w:r>
      <w:r w:rsidR="00E027E8" w:rsidRPr="0054423D">
        <w:rPr>
          <w:b/>
          <w:color w:val="auto"/>
          <w:sz w:val="28"/>
          <w:szCs w:val="28"/>
        </w:rPr>
        <w:t>1 Ransomware-as-a-Service</w:t>
      </w:r>
      <w:r w:rsidR="00961D2B" w:rsidRPr="0054423D">
        <w:rPr>
          <w:b/>
          <w:color w:val="auto"/>
          <w:sz w:val="28"/>
          <w:szCs w:val="28"/>
        </w:rPr>
        <w:t xml:space="preserve"> Threat</w:t>
      </w:r>
      <w:bookmarkEnd w:id="4"/>
    </w:p>
    <w:p w:rsidR="00961D2B" w:rsidRPr="0070309C" w:rsidRDefault="00961D2B" w:rsidP="00961D2B">
      <w:pPr>
        <w:pStyle w:val="PlainText"/>
        <w:spacing w:beforeAutospacing="0" w:afterAutospacing="0" w:line="360" w:lineRule="auto"/>
        <w:jc w:val="both"/>
        <w:rPr>
          <w:rFonts w:ascii="Calibri" w:hAnsi="Calibri" w:cs="Calibri"/>
          <w:sz w:val="22"/>
          <w:szCs w:val="22"/>
        </w:rPr>
      </w:pPr>
      <w:r w:rsidRPr="0070309C">
        <w:rPr>
          <w:rFonts w:ascii="Calibri" w:hAnsi="Calibri" w:cs="Calibri"/>
          <w:sz w:val="22"/>
          <w:szCs w:val="22"/>
        </w:rPr>
        <w:t xml:space="preserve">Ransomware represents the most significant organized cybercrime threat. Ransom demands </w:t>
      </w:r>
      <w:r w:rsidR="00F37F83">
        <w:rPr>
          <w:rFonts w:ascii="Calibri" w:hAnsi="Calibri" w:cs="Calibri"/>
          <w:sz w:val="22"/>
          <w:szCs w:val="22"/>
        </w:rPr>
        <w:t>increased 500% year-on</w:t>
      </w:r>
      <w:r w:rsidRPr="0070309C">
        <w:rPr>
          <w:rFonts w:ascii="Calibri" w:hAnsi="Calibri" w:cs="Calibri"/>
          <w:sz w:val="22"/>
          <w:szCs w:val="22"/>
        </w:rPr>
        <w:t>-year, wit</w:t>
      </w:r>
      <w:r w:rsidR="00F37F83">
        <w:rPr>
          <w:rFonts w:ascii="Calibri" w:hAnsi="Calibri" w:cs="Calibri"/>
          <w:sz w:val="22"/>
          <w:szCs w:val="22"/>
        </w:rPr>
        <w:t>h the illicit market exceeding £7</w:t>
      </w:r>
      <w:r w:rsidRPr="0070309C">
        <w:rPr>
          <w:rFonts w:ascii="Calibri" w:hAnsi="Calibri" w:cs="Calibri"/>
          <w:sz w:val="22"/>
          <w:szCs w:val="22"/>
        </w:rPr>
        <w:t xml:space="preserve">00 million in 2024 </w:t>
      </w:r>
      <w:r w:rsidRPr="00352196">
        <w:rPr>
          <w:rFonts w:ascii="Calibri" w:hAnsi="Calibri" w:cs="Calibri"/>
          <w:b/>
          <w:sz w:val="24"/>
          <w:szCs w:val="24"/>
        </w:rPr>
        <w:t>[5].</w:t>
      </w:r>
      <w:r w:rsidRPr="0070309C">
        <w:rPr>
          <w:rFonts w:ascii="Calibri" w:hAnsi="Calibri" w:cs="Calibri"/>
          <w:sz w:val="22"/>
          <w:szCs w:val="22"/>
        </w:rPr>
        <w:t xml:space="preserve"> RaaS has transformed the threat landscape by enabling non-technical individuals to deploy sophisticat</w:t>
      </w:r>
      <w:r w:rsidR="00F37F83">
        <w:rPr>
          <w:rFonts w:ascii="Calibri" w:hAnsi="Calibri" w:cs="Calibri"/>
          <w:sz w:val="22"/>
          <w:szCs w:val="22"/>
        </w:rPr>
        <w:t xml:space="preserve">ed attacks through subscription </w:t>
      </w:r>
      <w:r w:rsidRPr="0070309C">
        <w:rPr>
          <w:rFonts w:ascii="Calibri" w:hAnsi="Calibri" w:cs="Calibri"/>
          <w:sz w:val="22"/>
          <w:szCs w:val="22"/>
        </w:rPr>
        <w:t>based models.</w:t>
      </w:r>
    </w:p>
    <w:p w:rsidR="0054423D" w:rsidRDefault="0054423D" w:rsidP="00961D2B">
      <w:pPr>
        <w:pStyle w:val="PlainText"/>
        <w:spacing w:beforeAutospacing="0" w:afterAutospacing="0" w:line="360" w:lineRule="auto"/>
        <w:jc w:val="both"/>
        <w:rPr>
          <w:rFonts w:ascii="Calibri" w:hAnsi="Calibri" w:cs="Calibri"/>
          <w:sz w:val="22"/>
          <w:szCs w:val="22"/>
        </w:rPr>
      </w:pPr>
    </w:p>
    <w:p w:rsidR="00961D2B" w:rsidRPr="0070309C" w:rsidRDefault="00961D2B" w:rsidP="00961D2B">
      <w:pPr>
        <w:pStyle w:val="PlainText"/>
        <w:spacing w:beforeAutospacing="0" w:afterAutospacing="0" w:line="360" w:lineRule="auto"/>
        <w:jc w:val="both"/>
        <w:rPr>
          <w:rFonts w:ascii="Calibri" w:hAnsi="Calibri" w:cs="Calibri"/>
          <w:sz w:val="22"/>
          <w:szCs w:val="22"/>
        </w:rPr>
      </w:pPr>
      <w:r w:rsidRPr="0070309C">
        <w:rPr>
          <w:rFonts w:ascii="Calibri" w:hAnsi="Calibri" w:cs="Calibri"/>
          <w:sz w:val="22"/>
          <w:szCs w:val="22"/>
        </w:rPr>
        <w:t xml:space="preserve">Groups such as LockBit, Black Basta, and 8Base operate professionally managed criminal enterprises. LockBit alone was responsible for over 24% of global ransomware attacks in 2023 </w:t>
      </w:r>
      <w:r w:rsidRPr="00352196">
        <w:rPr>
          <w:rFonts w:ascii="Calibri" w:hAnsi="Calibri" w:cs="Calibri"/>
          <w:b/>
          <w:sz w:val="24"/>
          <w:szCs w:val="24"/>
        </w:rPr>
        <w:t>[6]</w:t>
      </w:r>
      <w:r w:rsidRPr="0070309C">
        <w:rPr>
          <w:rFonts w:ascii="Calibri" w:hAnsi="Calibri" w:cs="Calibri"/>
          <w:sz w:val="22"/>
          <w:szCs w:val="22"/>
        </w:rPr>
        <w:t>. T</w:t>
      </w:r>
      <w:r w:rsidR="00D77792">
        <w:rPr>
          <w:rFonts w:ascii="Calibri" w:hAnsi="Calibri" w:cs="Calibri"/>
          <w:sz w:val="22"/>
          <w:szCs w:val="22"/>
        </w:rPr>
        <w:t>he RaaS model operates similar</w:t>
      </w:r>
      <w:r w:rsidRPr="0070309C">
        <w:rPr>
          <w:rFonts w:ascii="Calibri" w:hAnsi="Calibri" w:cs="Calibri"/>
          <w:sz w:val="22"/>
          <w:szCs w:val="22"/>
        </w:rPr>
        <w:t xml:space="preserve"> t</w:t>
      </w:r>
      <w:r w:rsidR="00D77792">
        <w:rPr>
          <w:rFonts w:ascii="Calibri" w:hAnsi="Calibri" w:cs="Calibri"/>
          <w:sz w:val="22"/>
          <w:szCs w:val="22"/>
        </w:rPr>
        <w:t>o legitimate software platforms;</w:t>
      </w:r>
      <w:r w:rsidRPr="0070309C">
        <w:rPr>
          <w:rFonts w:ascii="Calibri" w:hAnsi="Calibri" w:cs="Calibri"/>
          <w:sz w:val="22"/>
          <w:szCs w:val="22"/>
        </w:rPr>
        <w:t xml:space="preserve"> developers maintain malware while "affiliates" pay subscription fees and receive ransom percentages. For financial services, RaaS attacks pose dual threats: data encryption combined with exfiltration and public disclosure threats. VTAM's insurance policies, operational stability, and reputation are all at risk.</w:t>
      </w:r>
    </w:p>
    <w:p w:rsidR="00961D2B" w:rsidRDefault="00961D2B" w:rsidP="00961D2B">
      <w:pPr>
        <w:pStyle w:val="PlainText"/>
        <w:spacing w:beforeAutospacing="0" w:afterAutospacing="0" w:line="360" w:lineRule="auto"/>
        <w:jc w:val="both"/>
        <w:rPr>
          <w:rFonts w:ascii="Calibri" w:hAnsi="Calibri" w:cs="Calibri"/>
          <w:sz w:val="22"/>
          <w:szCs w:val="22"/>
        </w:rPr>
      </w:pPr>
    </w:p>
    <w:p w:rsidR="00961D2B" w:rsidRPr="0054423D" w:rsidRDefault="00F018BB" w:rsidP="00F137CD">
      <w:pPr>
        <w:pStyle w:val="Heading2"/>
        <w:rPr>
          <w:b/>
          <w:color w:val="auto"/>
          <w:sz w:val="28"/>
          <w:szCs w:val="28"/>
        </w:rPr>
      </w:pPr>
      <w:bookmarkStart w:id="5" w:name="_Toc216919848"/>
      <w:r w:rsidRPr="0054423D">
        <w:rPr>
          <w:b/>
          <w:color w:val="auto"/>
          <w:sz w:val="28"/>
          <w:szCs w:val="28"/>
        </w:rPr>
        <w:t>3</w:t>
      </w:r>
      <w:r w:rsidR="003D17E9" w:rsidRPr="0054423D">
        <w:rPr>
          <w:b/>
          <w:color w:val="auto"/>
          <w:sz w:val="28"/>
          <w:szCs w:val="28"/>
        </w:rPr>
        <w:t xml:space="preserve">.2 AI </w:t>
      </w:r>
      <w:r w:rsidR="00961D2B" w:rsidRPr="0054423D">
        <w:rPr>
          <w:b/>
          <w:color w:val="auto"/>
          <w:sz w:val="28"/>
          <w:szCs w:val="28"/>
        </w:rPr>
        <w:t>Powered Social Engineering and Vishing</w:t>
      </w:r>
      <w:bookmarkEnd w:id="5"/>
    </w:p>
    <w:p w:rsidR="00961D2B" w:rsidRPr="0070309C" w:rsidRDefault="00961D2B" w:rsidP="00961D2B">
      <w:pPr>
        <w:pStyle w:val="PlainText"/>
        <w:spacing w:beforeAutospacing="0" w:afterAutospacing="0" w:line="360" w:lineRule="auto"/>
        <w:jc w:val="both"/>
        <w:rPr>
          <w:rFonts w:ascii="Calibri" w:hAnsi="Calibri" w:cs="Calibri"/>
          <w:sz w:val="22"/>
          <w:szCs w:val="22"/>
        </w:rPr>
      </w:pPr>
      <w:r w:rsidRPr="0070309C">
        <w:rPr>
          <w:rFonts w:ascii="Calibri" w:hAnsi="Calibri" w:cs="Calibri"/>
          <w:sz w:val="22"/>
          <w:szCs w:val="22"/>
        </w:rPr>
        <w:t>Artificial intelligence has transformed social engineering capabil</w:t>
      </w:r>
      <w:r w:rsidR="003D17E9">
        <w:rPr>
          <w:rFonts w:ascii="Calibri" w:hAnsi="Calibri" w:cs="Calibri"/>
          <w:sz w:val="22"/>
          <w:szCs w:val="22"/>
        </w:rPr>
        <w:t xml:space="preserve">ities. Vishing </w:t>
      </w:r>
      <w:r w:rsidRPr="0070309C">
        <w:rPr>
          <w:rFonts w:ascii="Calibri" w:hAnsi="Calibri" w:cs="Calibri"/>
          <w:sz w:val="22"/>
          <w:szCs w:val="22"/>
        </w:rPr>
        <w:t>attacks increased 442% b</w:t>
      </w:r>
      <w:r w:rsidR="003D17E9">
        <w:rPr>
          <w:rFonts w:ascii="Calibri" w:hAnsi="Calibri" w:cs="Calibri"/>
          <w:sz w:val="22"/>
          <w:szCs w:val="22"/>
        </w:rPr>
        <w:t xml:space="preserve">etween H1 and H2 2024 due to AI </w:t>
      </w:r>
      <w:r w:rsidRPr="0070309C">
        <w:rPr>
          <w:rFonts w:ascii="Calibri" w:hAnsi="Calibri" w:cs="Calibri"/>
          <w:sz w:val="22"/>
          <w:szCs w:val="22"/>
        </w:rPr>
        <w:t xml:space="preserve">enabled voice cloning </w:t>
      </w:r>
      <w:r w:rsidRPr="00352196">
        <w:rPr>
          <w:rFonts w:ascii="Calibri" w:hAnsi="Calibri" w:cs="Calibri"/>
          <w:b/>
          <w:sz w:val="24"/>
          <w:szCs w:val="24"/>
        </w:rPr>
        <w:t>[7].</w:t>
      </w:r>
      <w:r w:rsidRPr="0070309C">
        <w:rPr>
          <w:rFonts w:ascii="Calibri" w:hAnsi="Calibri" w:cs="Calibri"/>
          <w:sz w:val="22"/>
          <w:szCs w:val="22"/>
        </w:rPr>
        <w:t xml:space="preserve"> Voices can now be cloned using as little as 15 seconds of audio, enabling attackers to impersonate executives with accuracy. A 2024 incident involving</w:t>
      </w:r>
      <w:r w:rsidR="00C4141C">
        <w:rPr>
          <w:rFonts w:ascii="Calibri" w:hAnsi="Calibri" w:cs="Calibri"/>
          <w:sz w:val="22"/>
          <w:szCs w:val="22"/>
        </w:rPr>
        <w:t xml:space="preserve"> a deepfake CFO video led to an </w:t>
      </w:r>
      <w:r w:rsidR="00C4141C" w:rsidRPr="0070309C">
        <w:rPr>
          <w:rFonts w:ascii="Calibri" w:hAnsi="Calibri" w:cs="Calibri"/>
          <w:sz w:val="22"/>
          <w:szCs w:val="22"/>
        </w:rPr>
        <w:t>unauthorized payment</w:t>
      </w:r>
      <w:r w:rsidR="00C4141C">
        <w:rPr>
          <w:rFonts w:ascii="Calibri" w:hAnsi="Calibri" w:cs="Calibri"/>
          <w:sz w:val="22"/>
          <w:szCs w:val="22"/>
        </w:rPr>
        <w:t xml:space="preserve"> of over £20</w:t>
      </w:r>
      <w:r w:rsidRPr="0070309C">
        <w:rPr>
          <w:rFonts w:ascii="Calibri" w:hAnsi="Calibri" w:cs="Calibri"/>
          <w:sz w:val="22"/>
          <w:szCs w:val="22"/>
        </w:rPr>
        <w:t xml:space="preserve"> million.</w:t>
      </w:r>
    </w:p>
    <w:p w:rsidR="00961D2B" w:rsidRPr="0070309C" w:rsidRDefault="003D17E9" w:rsidP="00961D2B">
      <w:pPr>
        <w:pStyle w:val="PlainText"/>
        <w:spacing w:beforeAutospacing="0" w:afterAutospacing="0" w:line="360" w:lineRule="auto"/>
        <w:jc w:val="both"/>
        <w:rPr>
          <w:rFonts w:ascii="Calibri" w:hAnsi="Calibri" w:cs="Calibri"/>
          <w:sz w:val="22"/>
          <w:szCs w:val="22"/>
        </w:rPr>
      </w:pPr>
      <w:r>
        <w:rPr>
          <w:rFonts w:ascii="Calibri" w:hAnsi="Calibri" w:cs="Calibri"/>
          <w:sz w:val="22"/>
          <w:szCs w:val="22"/>
        </w:rPr>
        <w:t xml:space="preserve">AI </w:t>
      </w:r>
      <w:r w:rsidR="00961D2B" w:rsidRPr="0070309C">
        <w:rPr>
          <w:rFonts w:ascii="Calibri" w:hAnsi="Calibri" w:cs="Calibri"/>
          <w:sz w:val="22"/>
          <w:szCs w:val="22"/>
        </w:rPr>
        <w:t xml:space="preserve">generated phishing emails demonstrate sophistication, mimicking internal communication styles with personalized, plausible scenarios. Generative AI tools enable attackers to create personalized campaigns at scale, adjusting language dynamically </w:t>
      </w:r>
      <w:r w:rsidR="00961D2B" w:rsidRPr="00352196">
        <w:rPr>
          <w:rFonts w:ascii="Calibri" w:hAnsi="Calibri" w:cs="Calibri"/>
          <w:b/>
          <w:sz w:val="24"/>
          <w:szCs w:val="24"/>
        </w:rPr>
        <w:t>[8].</w:t>
      </w:r>
      <w:r w:rsidR="00961D2B" w:rsidRPr="0070309C">
        <w:rPr>
          <w:rFonts w:ascii="Calibri" w:hAnsi="Calibri" w:cs="Calibri"/>
          <w:sz w:val="22"/>
          <w:szCs w:val="22"/>
        </w:rPr>
        <w:t xml:space="preserve"> Financial services employees in finance and </w:t>
      </w:r>
      <w:r w:rsidR="00BB41E5">
        <w:rPr>
          <w:rFonts w:ascii="Calibri" w:hAnsi="Calibri" w:cs="Calibri"/>
          <w:sz w:val="22"/>
          <w:szCs w:val="22"/>
        </w:rPr>
        <w:t xml:space="preserve">compliance roles represent high </w:t>
      </w:r>
      <w:r w:rsidR="00961D2B" w:rsidRPr="0070309C">
        <w:rPr>
          <w:rFonts w:ascii="Calibri" w:hAnsi="Calibri" w:cs="Calibri"/>
          <w:sz w:val="22"/>
          <w:szCs w:val="22"/>
        </w:rPr>
        <w:t>value targets due to transaction system access.</w:t>
      </w:r>
    </w:p>
    <w:p w:rsidR="00961D2B" w:rsidRPr="0054423D" w:rsidRDefault="00F018BB" w:rsidP="00F137CD">
      <w:pPr>
        <w:pStyle w:val="Heading2"/>
        <w:rPr>
          <w:b/>
          <w:color w:val="auto"/>
          <w:sz w:val="28"/>
          <w:szCs w:val="28"/>
        </w:rPr>
      </w:pPr>
      <w:bookmarkStart w:id="6" w:name="_Toc216919849"/>
      <w:r w:rsidRPr="0054423D">
        <w:rPr>
          <w:b/>
          <w:color w:val="auto"/>
          <w:sz w:val="28"/>
          <w:szCs w:val="28"/>
        </w:rPr>
        <w:lastRenderedPageBreak/>
        <w:t>3</w:t>
      </w:r>
      <w:r w:rsidR="00961D2B" w:rsidRPr="0054423D">
        <w:rPr>
          <w:b/>
          <w:color w:val="auto"/>
          <w:sz w:val="28"/>
          <w:szCs w:val="28"/>
        </w:rPr>
        <w:t>.3 Supply Chain Compromise Risks</w:t>
      </w:r>
      <w:bookmarkEnd w:id="6"/>
    </w:p>
    <w:p w:rsidR="00961D2B" w:rsidRPr="0070309C" w:rsidRDefault="00961D2B" w:rsidP="00961D2B">
      <w:pPr>
        <w:pStyle w:val="PlainText"/>
        <w:spacing w:beforeAutospacing="0" w:afterAutospacing="0" w:line="360" w:lineRule="auto"/>
        <w:jc w:val="both"/>
        <w:rPr>
          <w:rFonts w:ascii="Calibri" w:hAnsi="Calibri" w:cs="Calibri"/>
          <w:sz w:val="22"/>
          <w:szCs w:val="22"/>
        </w:rPr>
      </w:pPr>
      <w:r w:rsidRPr="0070309C">
        <w:rPr>
          <w:rFonts w:ascii="Calibri" w:hAnsi="Calibri" w:cs="Calibri"/>
          <w:sz w:val="22"/>
          <w:szCs w:val="22"/>
        </w:rPr>
        <w:t>Supply chain attacks represent systemic vulnerabilities affecting entire organizational ecosystems. The Solar</w:t>
      </w:r>
      <w:r w:rsidR="00A46673">
        <w:rPr>
          <w:rFonts w:ascii="Calibri" w:hAnsi="Calibri" w:cs="Calibri"/>
          <w:sz w:val="22"/>
          <w:szCs w:val="22"/>
        </w:rPr>
        <w:t xml:space="preserve"> </w:t>
      </w:r>
      <w:r w:rsidRPr="0070309C">
        <w:rPr>
          <w:rFonts w:ascii="Calibri" w:hAnsi="Calibri" w:cs="Calibri"/>
          <w:sz w:val="22"/>
          <w:szCs w:val="22"/>
        </w:rPr>
        <w:t xml:space="preserve">Winds Orion compromise remains the most devastating example: attackers injected malicious code into legitimate software updates, distributed to over 18,000 organizations including government agencies and Fortune 500 companies </w:t>
      </w:r>
      <w:r w:rsidRPr="00352196">
        <w:rPr>
          <w:rFonts w:ascii="Calibri" w:hAnsi="Calibri" w:cs="Calibri"/>
          <w:b/>
          <w:sz w:val="24"/>
          <w:szCs w:val="24"/>
        </w:rPr>
        <w:t>[9].</w:t>
      </w:r>
      <w:r w:rsidR="00487128">
        <w:rPr>
          <w:rFonts w:ascii="Calibri" w:hAnsi="Calibri" w:cs="Calibri"/>
          <w:sz w:val="22"/>
          <w:szCs w:val="22"/>
        </w:rPr>
        <w:t xml:space="preserve"> </w:t>
      </w:r>
      <w:r w:rsidRPr="0070309C">
        <w:rPr>
          <w:rFonts w:ascii="Calibri" w:hAnsi="Calibri" w:cs="Calibri"/>
          <w:sz w:val="22"/>
          <w:szCs w:val="22"/>
        </w:rPr>
        <w:t xml:space="preserve">VTAM's supply chain risks extend across software vendors, service providers, and business partners. A single compromised vendor can undermine ostensibly secure environments. NIST Cybersecurity Framework emphasizes supply chain risk management as critical for organizational resilience </w:t>
      </w:r>
      <w:r w:rsidRPr="00352196">
        <w:rPr>
          <w:rFonts w:ascii="Calibri" w:hAnsi="Calibri" w:cs="Calibri"/>
          <w:b/>
          <w:sz w:val="24"/>
          <w:szCs w:val="24"/>
        </w:rPr>
        <w:t>[10].</w:t>
      </w:r>
    </w:p>
    <w:p w:rsidR="00961D2B" w:rsidRDefault="00961D2B" w:rsidP="00961D2B">
      <w:pPr>
        <w:pStyle w:val="PlainText"/>
        <w:spacing w:beforeAutospacing="0" w:afterAutospacing="0" w:line="360" w:lineRule="auto"/>
        <w:jc w:val="both"/>
        <w:rPr>
          <w:rFonts w:ascii="Calibri" w:hAnsi="Calibri" w:cs="Calibri"/>
          <w:b/>
          <w:sz w:val="28"/>
          <w:szCs w:val="28"/>
        </w:rPr>
      </w:pPr>
      <w:r w:rsidRPr="00EF47FF">
        <w:rPr>
          <w:rFonts w:ascii="Calibri" w:hAnsi="Calibri" w:cs="Calibri"/>
          <w:b/>
          <w:sz w:val="28"/>
          <w:szCs w:val="28"/>
        </w:rPr>
        <w:t xml:space="preserve"> </w:t>
      </w:r>
    </w:p>
    <w:p w:rsidR="00961D2B" w:rsidRPr="0054423D" w:rsidRDefault="00F018BB" w:rsidP="00F137CD">
      <w:pPr>
        <w:pStyle w:val="Heading2"/>
        <w:rPr>
          <w:rFonts w:ascii="Calibri" w:hAnsi="Calibri" w:cs="Calibri"/>
          <w:b/>
          <w:color w:val="auto"/>
          <w:sz w:val="28"/>
          <w:szCs w:val="28"/>
        </w:rPr>
      </w:pPr>
      <w:bookmarkStart w:id="7" w:name="_Toc216919850"/>
      <w:r w:rsidRPr="0054423D">
        <w:rPr>
          <w:rFonts w:ascii="Calibri" w:hAnsi="Calibri" w:cs="Calibri"/>
          <w:b/>
          <w:color w:val="auto"/>
          <w:sz w:val="28"/>
          <w:szCs w:val="28"/>
        </w:rPr>
        <w:t>3</w:t>
      </w:r>
      <w:r w:rsidR="00961D2B" w:rsidRPr="0054423D">
        <w:rPr>
          <w:rFonts w:ascii="Calibri" w:hAnsi="Calibri" w:cs="Calibri"/>
          <w:b/>
          <w:color w:val="auto"/>
          <w:sz w:val="28"/>
          <w:szCs w:val="28"/>
        </w:rPr>
        <w:t>.4 Cloud Adoption and Hybrid Work Vulnerabilities</w:t>
      </w:r>
      <w:bookmarkEnd w:id="7"/>
    </w:p>
    <w:p w:rsidR="00961D2B" w:rsidRPr="0070309C" w:rsidRDefault="00961D2B" w:rsidP="00961D2B">
      <w:pPr>
        <w:pStyle w:val="PlainText"/>
        <w:spacing w:beforeAutospacing="0" w:afterAutospacing="0" w:line="360" w:lineRule="auto"/>
        <w:jc w:val="both"/>
        <w:rPr>
          <w:rFonts w:ascii="Calibri" w:hAnsi="Calibri" w:cs="Calibri"/>
          <w:sz w:val="22"/>
          <w:szCs w:val="22"/>
        </w:rPr>
      </w:pPr>
      <w:r w:rsidRPr="0070309C">
        <w:rPr>
          <w:rFonts w:ascii="Calibri" w:hAnsi="Calibri" w:cs="Calibri"/>
          <w:sz w:val="22"/>
          <w:szCs w:val="22"/>
        </w:rPr>
        <w:t>Cloud adoption and hybrid work models introduce significant security challenges. Traditional perimeter-based security fails</w:t>
      </w:r>
      <w:r w:rsidR="002442E6">
        <w:rPr>
          <w:rFonts w:ascii="Calibri" w:hAnsi="Calibri" w:cs="Calibri"/>
          <w:sz w:val="22"/>
          <w:szCs w:val="22"/>
        </w:rPr>
        <w:t>,</w:t>
      </w:r>
      <w:r w:rsidRPr="0070309C">
        <w:rPr>
          <w:rFonts w:ascii="Calibri" w:hAnsi="Calibri" w:cs="Calibri"/>
          <w:sz w:val="22"/>
          <w:szCs w:val="22"/>
        </w:rPr>
        <w:t xml:space="preserve"> in distributed environments. NIST SP 800-207 emphasizes that organizations must assume "the entire enterprise private network is not considered an implicit trust zone" and implement security "as if an attacker is present on the enterprise network" </w:t>
      </w:r>
      <w:r w:rsidRPr="00352196">
        <w:rPr>
          <w:rFonts w:ascii="Calibri" w:hAnsi="Calibri" w:cs="Calibri"/>
          <w:b/>
          <w:sz w:val="24"/>
          <w:szCs w:val="24"/>
        </w:rPr>
        <w:t>[11].</w:t>
      </w:r>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Hybrid work elim</w:t>
      </w:r>
      <w:r w:rsidR="002442E6">
        <w:rPr>
          <w:rFonts w:ascii="Calibri" w:hAnsi="Calibri" w:cs="Calibri"/>
          <w:sz w:val="22"/>
          <w:szCs w:val="22"/>
        </w:rPr>
        <w:t xml:space="preserve">inates assumptions that network </w:t>
      </w:r>
      <w:r w:rsidRPr="00BB25CF">
        <w:rPr>
          <w:rFonts w:ascii="Calibri" w:hAnsi="Calibri" w:cs="Calibri"/>
          <w:sz w:val="22"/>
          <w:szCs w:val="22"/>
        </w:rPr>
        <w:t>adjacent devices and users are trusted. Mobile devices accessing company resources from uncontrolled netw</w:t>
      </w:r>
      <w:r w:rsidR="002442E6">
        <w:rPr>
          <w:rFonts w:ascii="Calibri" w:hAnsi="Calibri" w:cs="Calibri"/>
          <w:sz w:val="22"/>
          <w:szCs w:val="22"/>
        </w:rPr>
        <w:t>orks introduce vulnerabilities.</w:t>
      </w:r>
    </w:p>
    <w:p w:rsidR="00961D2B" w:rsidRPr="00BB25CF" w:rsidRDefault="00961D2B" w:rsidP="00961D2B">
      <w:pPr>
        <w:pStyle w:val="PlainText"/>
        <w:spacing w:beforeAutospacing="0" w:afterAutospacing="0" w:line="360" w:lineRule="auto"/>
        <w:jc w:val="both"/>
        <w:rPr>
          <w:rFonts w:ascii="Calibri" w:hAnsi="Calibri" w:cs="Calibri"/>
          <w:b/>
          <w:sz w:val="28"/>
          <w:szCs w:val="28"/>
        </w:rPr>
      </w:pPr>
    </w:p>
    <w:p w:rsidR="00961D2B" w:rsidRPr="0054423D" w:rsidRDefault="00F018BB" w:rsidP="00F137CD">
      <w:pPr>
        <w:pStyle w:val="Heading2"/>
        <w:rPr>
          <w:b/>
          <w:color w:val="auto"/>
          <w:sz w:val="28"/>
          <w:szCs w:val="28"/>
        </w:rPr>
      </w:pPr>
      <w:bookmarkStart w:id="8" w:name="_Toc216919851"/>
      <w:r w:rsidRPr="0054423D">
        <w:rPr>
          <w:b/>
          <w:color w:val="auto"/>
          <w:sz w:val="28"/>
          <w:szCs w:val="28"/>
        </w:rPr>
        <w:t>3</w:t>
      </w:r>
      <w:r w:rsidR="00961D2B" w:rsidRPr="0054423D">
        <w:rPr>
          <w:b/>
          <w:color w:val="auto"/>
          <w:sz w:val="28"/>
          <w:szCs w:val="28"/>
        </w:rPr>
        <w:t>.5 Internal Threat Vectors</w:t>
      </w:r>
      <w:bookmarkEnd w:id="8"/>
    </w:p>
    <w:p w:rsidR="005B2540"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 xml:space="preserve">While external threats receive significant attention, internal risks remain substantial. Approximately 60% of insider incidents are caused by negligent employees rather than malicious actors </w:t>
      </w:r>
      <w:r w:rsidRPr="00352196">
        <w:rPr>
          <w:rFonts w:ascii="Calibri" w:hAnsi="Calibri" w:cs="Calibri"/>
          <w:b/>
          <w:sz w:val="24"/>
          <w:szCs w:val="24"/>
        </w:rPr>
        <w:t>[12].</w:t>
      </w:r>
      <w:r w:rsidRPr="00BB25CF">
        <w:rPr>
          <w:rFonts w:ascii="Calibri" w:hAnsi="Calibri" w:cs="Calibri"/>
          <w:sz w:val="22"/>
          <w:szCs w:val="22"/>
        </w:rPr>
        <w:t xml:space="preserve"> However, negligence combined with opportunity creates significant loss conditions. VTAM's recent phishing compromise likely created persistent access conditions enabling lateral movement.</w:t>
      </w:r>
    </w:p>
    <w:p w:rsidR="00961D2B" w:rsidRPr="0055448A" w:rsidRDefault="00F018BB" w:rsidP="005B2540">
      <w:pPr>
        <w:pStyle w:val="Heading1"/>
        <w:rPr>
          <w:b/>
          <w:color w:val="auto"/>
          <w:sz w:val="36"/>
          <w:szCs w:val="36"/>
        </w:rPr>
      </w:pPr>
      <w:bookmarkStart w:id="9" w:name="_Toc216919852"/>
      <w:r w:rsidRPr="0055448A">
        <w:rPr>
          <w:b/>
          <w:color w:val="auto"/>
          <w:sz w:val="36"/>
          <w:szCs w:val="36"/>
        </w:rPr>
        <w:t>4</w:t>
      </w:r>
      <w:r w:rsidR="00961D2B" w:rsidRPr="0055448A">
        <w:rPr>
          <w:b/>
          <w:color w:val="auto"/>
          <w:sz w:val="36"/>
          <w:szCs w:val="36"/>
        </w:rPr>
        <w:t>. MODERN SECURITY POLICIES</w:t>
      </w:r>
      <w:bookmarkEnd w:id="9"/>
    </w:p>
    <w:p w:rsidR="00961D2B" w:rsidRPr="0054423D" w:rsidRDefault="00F018BB" w:rsidP="00F137CD">
      <w:pPr>
        <w:pStyle w:val="Heading2"/>
        <w:rPr>
          <w:b/>
          <w:color w:val="auto"/>
          <w:sz w:val="28"/>
          <w:szCs w:val="28"/>
        </w:rPr>
      </w:pPr>
      <w:bookmarkStart w:id="10" w:name="_Toc216919853"/>
      <w:r w:rsidRPr="0054423D">
        <w:rPr>
          <w:b/>
          <w:color w:val="auto"/>
          <w:sz w:val="28"/>
          <w:szCs w:val="28"/>
        </w:rPr>
        <w:t>4</w:t>
      </w:r>
      <w:r w:rsidR="00961D2B" w:rsidRPr="0054423D">
        <w:rPr>
          <w:b/>
          <w:color w:val="auto"/>
          <w:sz w:val="28"/>
          <w:szCs w:val="28"/>
        </w:rPr>
        <w:t>.1 Zero Trust Architecture Principles</w:t>
      </w:r>
      <w:bookmarkEnd w:id="10"/>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Zero Trust Architecture rejects implicit trust models. Rather than assuming organizational network entities are trustworthy, Zero Trust requires continuous identity, device, and behavio</w:t>
      </w:r>
      <w:r w:rsidR="002442E6">
        <w:rPr>
          <w:rFonts w:ascii="Calibri" w:hAnsi="Calibri" w:cs="Calibri"/>
          <w:sz w:val="22"/>
          <w:szCs w:val="22"/>
        </w:rPr>
        <w:t>u</w:t>
      </w:r>
      <w:r w:rsidRPr="00BB25CF">
        <w:rPr>
          <w:rFonts w:ascii="Calibri" w:hAnsi="Calibri" w:cs="Calibri"/>
          <w:sz w:val="22"/>
          <w:szCs w:val="22"/>
        </w:rPr>
        <w:t xml:space="preserve">ral context verification </w:t>
      </w:r>
      <w:r w:rsidR="00352196" w:rsidRPr="00352196">
        <w:rPr>
          <w:rFonts w:ascii="Calibri" w:hAnsi="Calibri" w:cs="Calibri"/>
          <w:b/>
          <w:sz w:val="24"/>
          <w:szCs w:val="24"/>
        </w:rPr>
        <w:t>[13</w:t>
      </w:r>
      <w:r w:rsidRPr="00352196">
        <w:rPr>
          <w:rFonts w:ascii="Calibri" w:hAnsi="Calibri" w:cs="Calibri"/>
          <w:b/>
          <w:sz w:val="24"/>
          <w:szCs w:val="24"/>
        </w:rPr>
        <w:t xml:space="preserve">]. </w:t>
      </w:r>
      <w:r w:rsidRPr="00BB25CF">
        <w:rPr>
          <w:rFonts w:ascii="Calibri" w:hAnsi="Calibri" w:cs="Calibri"/>
          <w:sz w:val="22"/>
          <w:szCs w:val="22"/>
        </w:rPr>
        <w:t>The framewo</w:t>
      </w:r>
      <w:r w:rsidR="002442E6">
        <w:rPr>
          <w:rFonts w:ascii="Calibri" w:hAnsi="Calibri" w:cs="Calibri"/>
          <w:sz w:val="22"/>
          <w:szCs w:val="22"/>
        </w:rPr>
        <w:t>rk is built on five foundation</w:t>
      </w:r>
      <w:r w:rsidRPr="00BB25CF">
        <w:rPr>
          <w:rFonts w:ascii="Calibri" w:hAnsi="Calibri" w:cs="Calibri"/>
          <w:sz w:val="22"/>
          <w:szCs w:val="22"/>
        </w:rPr>
        <w:t>s aligned with CISA's</w:t>
      </w:r>
      <w:r w:rsidR="0055448A">
        <w:rPr>
          <w:rFonts w:ascii="Calibri" w:hAnsi="Calibri" w:cs="Calibri"/>
          <w:sz w:val="22"/>
          <w:szCs w:val="22"/>
        </w:rPr>
        <w:t xml:space="preserve"> Zero Trust Maturity Model v2.0.</w:t>
      </w:r>
    </w:p>
    <w:p w:rsidR="0055448A" w:rsidRDefault="00961D2B" w:rsidP="00961D2B">
      <w:pPr>
        <w:pStyle w:val="PlainText"/>
        <w:numPr>
          <w:ilvl w:val="0"/>
          <w:numId w:val="16"/>
        </w:numPr>
        <w:spacing w:beforeAutospacing="0" w:afterAutospacing="0" w:line="360" w:lineRule="auto"/>
        <w:jc w:val="both"/>
        <w:rPr>
          <w:rFonts w:ascii="Calibri" w:hAnsi="Calibri" w:cs="Calibri"/>
          <w:sz w:val="22"/>
          <w:szCs w:val="22"/>
        </w:rPr>
      </w:pPr>
      <w:r w:rsidRPr="0055448A">
        <w:rPr>
          <w:rFonts w:ascii="Calibri" w:hAnsi="Calibri" w:cs="Calibri"/>
          <w:b/>
          <w:sz w:val="22"/>
          <w:szCs w:val="22"/>
        </w:rPr>
        <w:t>Identity Verification:</w:t>
      </w:r>
      <w:r w:rsidRPr="00BB25CF">
        <w:rPr>
          <w:rFonts w:ascii="Calibri" w:hAnsi="Calibri" w:cs="Calibri"/>
          <w:sz w:val="22"/>
          <w:szCs w:val="22"/>
        </w:rPr>
        <w:t xml:space="preserve"> All access requests require multi-factor authentication (MFA), behavio</w:t>
      </w:r>
      <w:r w:rsidR="002442E6">
        <w:rPr>
          <w:rFonts w:ascii="Calibri" w:hAnsi="Calibri" w:cs="Calibri"/>
          <w:sz w:val="22"/>
          <w:szCs w:val="22"/>
        </w:rPr>
        <w:t>u</w:t>
      </w:r>
      <w:r w:rsidRPr="00BB25CF">
        <w:rPr>
          <w:rFonts w:ascii="Calibri" w:hAnsi="Calibri" w:cs="Calibri"/>
          <w:sz w:val="22"/>
          <w:szCs w:val="22"/>
        </w:rPr>
        <w:t>ral analytics, and continuous identity risk assessment. MFA combines multiple f</w:t>
      </w:r>
      <w:r w:rsidR="00C4141C">
        <w:rPr>
          <w:rFonts w:ascii="Calibri" w:hAnsi="Calibri" w:cs="Calibri"/>
          <w:sz w:val="22"/>
          <w:szCs w:val="22"/>
        </w:rPr>
        <w:t>actors: what you know</w:t>
      </w:r>
      <w:r w:rsidRPr="00BB25CF">
        <w:rPr>
          <w:rFonts w:ascii="Calibri" w:hAnsi="Calibri" w:cs="Calibri"/>
          <w:sz w:val="22"/>
          <w:szCs w:val="22"/>
        </w:rPr>
        <w:t>, what you h</w:t>
      </w:r>
      <w:r w:rsidR="00C4141C">
        <w:rPr>
          <w:rFonts w:ascii="Calibri" w:hAnsi="Calibri" w:cs="Calibri"/>
          <w:sz w:val="22"/>
          <w:szCs w:val="22"/>
        </w:rPr>
        <w:t>ave and who you are</w:t>
      </w:r>
      <w:r w:rsidRPr="00BB25CF">
        <w:rPr>
          <w:rFonts w:ascii="Calibri" w:hAnsi="Calibri" w:cs="Calibri"/>
          <w:sz w:val="22"/>
          <w:szCs w:val="22"/>
        </w:rPr>
        <w:t>.</w:t>
      </w:r>
    </w:p>
    <w:p w:rsidR="0055448A" w:rsidRDefault="00961D2B" w:rsidP="00961D2B">
      <w:pPr>
        <w:pStyle w:val="PlainText"/>
        <w:numPr>
          <w:ilvl w:val="0"/>
          <w:numId w:val="16"/>
        </w:numPr>
        <w:spacing w:beforeAutospacing="0" w:afterAutospacing="0" w:line="360" w:lineRule="auto"/>
        <w:jc w:val="both"/>
        <w:rPr>
          <w:rFonts w:ascii="Calibri" w:hAnsi="Calibri" w:cs="Calibri"/>
          <w:sz w:val="22"/>
          <w:szCs w:val="22"/>
        </w:rPr>
      </w:pPr>
      <w:r w:rsidRPr="0055448A">
        <w:rPr>
          <w:rFonts w:ascii="Calibri" w:hAnsi="Calibri" w:cs="Calibri"/>
          <w:b/>
          <w:sz w:val="22"/>
          <w:szCs w:val="22"/>
        </w:rPr>
        <w:lastRenderedPageBreak/>
        <w:t>Device Security Posture:</w:t>
      </w:r>
      <w:r w:rsidRPr="0055448A">
        <w:rPr>
          <w:rFonts w:ascii="Calibri" w:hAnsi="Calibri" w:cs="Calibri"/>
          <w:sz w:val="22"/>
          <w:szCs w:val="22"/>
        </w:rPr>
        <w:t xml:space="preserve"> Access decisions incorporate device health status. Devices must mee</w:t>
      </w:r>
      <w:r w:rsidR="002442E6">
        <w:rPr>
          <w:rFonts w:ascii="Calibri" w:hAnsi="Calibri" w:cs="Calibri"/>
          <w:sz w:val="22"/>
          <w:szCs w:val="22"/>
        </w:rPr>
        <w:t>t minimum security requirements i.e.</w:t>
      </w:r>
      <w:r w:rsidRPr="0055448A">
        <w:rPr>
          <w:rFonts w:ascii="Calibri" w:hAnsi="Calibri" w:cs="Calibri"/>
          <w:sz w:val="22"/>
          <w:szCs w:val="22"/>
        </w:rPr>
        <w:t xml:space="preserve"> current patches, endpoint detection and response (EDR), encryption, and policy compliance. </w:t>
      </w:r>
    </w:p>
    <w:p w:rsidR="0055448A" w:rsidRDefault="00961D2B" w:rsidP="00961D2B">
      <w:pPr>
        <w:pStyle w:val="PlainText"/>
        <w:numPr>
          <w:ilvl w:val="0"/>
          <w:numId w:val="16"/>
        </w:numPr>
        <w:spacing w:beforeAutospacing="0" w:afterAutospacing="0" w:line="360" w:lineRule="auto"/>
        <w:jc w:val="both"/>
        <w:rPr>
          <w:rFonts w:ascii="Calibri" w:hAnsi="Calibri" w:cs="Calibri"/>
          <w:sz w:val="22"/>
          <w:szCs w:val="22"/>
        </w:rPr>
      </w:pPr>
      <w:r w:rsidRPr="0055448A">
        <w:rPr>
          <w:rFonts w:ascii="Calibri" w:hAnsi="Calibri" w:cs="Calibri"/>
          <w:b/>
          <w:sz w:val="22"/>
          <w:szCs w:val="22"/>
        </w:rPr>
        <w:t>Least Privilege Access:</w:t>
      </w:r>
      <w:r w:rsidRPr="0055448A">
        <w:rPr>
          <w:rFonts w:ascii="Calibri" w:hAnsi="Calibri" w:cs="Calibri"/>
          <w:sz w:val="22"/>
          <w:szCs w:val="22"/>
        </w:rPr>
        <w:t xml:space="preserve"> Users receive access to minimum resources necessary for specific roles. Administrative privileges remain temporary and</w:t>
      </w:r>
      <w:r w:rsidR="00BB4B8B">
        <w:rPr>
          <w:rFonts w:ascii="Calibri" w:hAnsi="Calibri" w:cs="Calibri"/>
          <w:sz w:val="22"/>
          <w:szCs w:val="22"/>
        </w:rPr>
        <w:t xml:space="preserve"> require explicit justification</w:t>
      </w:r>
      <w:r w:rsidRPr="0055448A">
        <w:rPr>
          <w:rFonts w:ascii="Calibri" w:hAnsi="Calibri" w:cs="Calibri"/>
          <w:sz w:val="22"/>
          <w:szCs w:val="22"/>
        </w:rPr>
        <w:t>.</w:t>
      </w:r>
    </w:p>
    <w:p w:rsidR="0055448A" w:rsidRDefault="00961D2B" w:rsidP="00961D2B">
      <w:pPr>
        <w:pStyle w:val="PlainText"/>
        <w:numPr>
          <w:ilvl w:val="0"/>
          <w:numId w:val="16"/>
        </w:numPr>
        <w:spacing w:beforeAutospacing="0" w:afterAutospacing="0" w:line="360" w:lineRule="auto"/>
        <w:jc w:val="both"/>
        <w:rPr>
          <w:rFonts w:ascii="Calibri" w:hAnsi="Calibri" w:cs="Calibri"/>
          <w:sz w:val="22"/>
          <w:szCs w:val="22"/>
        </w:rPr>
      </w:pPr>
      <w:r w:rsidRPr="0055448A">
        <w:rPr>
          <w:rFonts w:ascii="Calibri" w:hAnsi="Calibri" w:cs="Calibri"/>
          <w:b/>
          <w:sz w:val="22"/>
          <w:szCs w:val="22"/>
        </w:rPr>
        <w:t>Network Micro</w:t>
      </w:r>
      <w:r w:rsidR="002442E6">
        <w:rPr>
          <w:rFonts w:ascii="Calibri" w:hAnsi="Calibri" w:cs="Calibri"/>
          <w:b/>
          <w:sz w:val="22"/>
          <w:szCs w:val="22"/>
        </w:rPr>
        <w:t>-</w:t>
      </w:r>
      <w:r w:rsidRPr="0055448A">
        <w:rPr>
          <w:rFonts w:ascii="Calibri" w:hAnsi="Calibri" w:cs="Calibri"/>
          <w:b/>
          <w:sz w:val="22"/>
          <w:szCs w:val="22"/>
        </w:rPr>
        <w:t>segmentation:</w:t>
      </w:r>
      <w:r w:rsidRPr="0055448A">
        <w:rPr>
          <w:rFonts w:ascii="Calibri" w:hAnsi="Calibri" w:cs="Calibri"/>
          <w:sz w:val="22"/>
          <w:szCs w:val="22"/>
        </w:rPr>
        <w:t xml:space="preserve"> Networks are divided into isolated zones. Micro</w:t>
      </w:r>
      <w:r w:rsidR="002442E6">
        <w:rPr>
          <w:rFonts w:ascii="Calibri" w:hAnsi="Calibri" w:cs="Calibri"/>
          <w:sz w:val="22"/>
          <w:szCs w:val="22"/>
        </w:rPr>
        <w:t>-</w:t>
      </w:r>
      <w:r w:rsidRPr="0055448A">
        <w:rPr>
          <w:rFonts w:ascii="Calibri" w:hAnsi="Calibri" w:cs="Calibri"/>
          <w:sz w:val="22"/>
          <w:szCs w:val="22"/>
        </w:rPr>
        <w:t>segmentation prevents lateral movement ev</w:t>
      </w:r>
      <w:r w:rsidR="00BB4B8B">
        <w:rPr>
          <w:rFonts w:ascii="Calibri" w:hAnsi="Calibri" w:cs="Calibri"/>
          <w:sz w:val="22"/>
          <w:szCs w:val="22"/>
        </w:rPr>
        <w:t>en if attackers breach one zone</w:t>
      </w:r>
      <w:r w:rsidRPr="0055448A">
        <w:rPr>
          <w:rFonts w:ascii="Calibri" w:hAnsi="Calibri" w:cs="Calibri"/>
          <w:sz w:val="22"/>
          <w:szCs w:val="22"/>
        </w:rPr>
        <w:t>.</w:t>
      </w:r>
    </w:p>
    <w:p w:rsidR="00961D2B" w:rsidRDefault="00961D2B" w:rsidP="00961D2B">
      <w:pPr>
        <w:pStyle w:val="PlainText"/>
        <w:numPr>
          <w:ilvl w:val="0"/>
          <w:numId w:val="16"/>
        </w:numPr>
        <w:spacing w:beforeAutospacing="0" w:afterAutospacing="0" w:line="360" w:lineRule="auto"/>
        <w:jc w:val="both"/>
        <w:rPr>
          <w:rFonts w:ascii="Calibri" w:hAnsi="Calibri" w:cs="Calibri"/>
          <w:sz w:val="22"/>
          <w:szCs w:val="22"/>
        </w:rPr>
      </w:pPr>
      <w:r w:rsidRPr="0055448A">
        <w:rPr>
          <w:rFonts w:ascii="Calibri" w:hAnsi="Calibri" w:cs="Calibri"/>
          <w:b/>
          <w:sz w:val="22"/>
          <w:szCs w:val="22"/>
        </w:rPr>
        <w:t>Continuous Monitoring:</w:t>
      </w:r>
      <w:r w:rsidR="002442E6">
        <w:rPr>
          <w:rFonts w:ascii="Calibri" w:hAnsi="Calibri" w:cs="Calibri"/>
          <w:sz w:val="22"/>
          <w:szCs w:val="22"/>
        </w:rPr>
        <w:t xml:space="preserve"> All user device &amp;</w:t>
      </w:r>
      <w:r w:rsidRPr="0055448A">
        <w:rPr>
          <w:rFonts w:ascii="Calibri" w:hAnsi="Calibri" w:cs="Calibri"/>
          <w:sz w:val="22"/>
          <w:szCs w:val="22"/>
        </w:rPr>
        <w:t xml:space="preserve"> application behavio</w:t>
      </w:r>
      <w:r w:rsidR="002442E6">
        <w:rPr>
          <w:rFonts w:ascii="Calibri" w:hAnsi="Calibri" w:cs="Calibri"/>
          <w:sz w:val="22"/>
          <w:szCs w:val="22"/>
        </w:rPr>
        <w:t>ur undergo</w:t>
      </w:r>
      <w:r w:rsidRPr="0055448A">
        <w:rPr>
          <w:rFonts w:ascii="Calibri" w:hAnsi="Calibri" w:cs="Calibri"/>
          <w:sz w:val="22"/>
          <w:szCs w:val="22"/>
        </w:rPr>
        <w:t xml:space="preserve"> continuous analysis. User and Entity Behavio</w:t>
      </w:r>
      <w:r w:rsidR="002442E6">
        <w:rPr>
          <w:rFonts w:ascii="Calibri" w:hAnsi="Calibri" w:cs="Calibri"/>
          <w:sz w:val="22"/>
          <w:szCs w:val="22"/>
        </w:rPr>
        <w:t>u</w:t>
      </w:r>
      <w:r w:rsidRPr="0055448A">
        <w:rPr>
          <w:rFonts w:ascii="Calibri" w:hAnsi="Calibri" w:cs="Calibri"/>
          <w:sz w:val="22"/>
          <w:szCs w:val="22"/>
        </w:rPr>
        <w:t>r Analytics (UEBA) establish baselines for normal activity and detect deviations indicating compromise.</w:t>
      </w:r>
    </w:p>
    <w:p w:rsidR="008C51A8" w:rsidRDefault="008C51A8" w:rsidP="008C51A8">
      <w:pPr>
        <w:pStyle w:val="PlainText"/>
        <w:spacing w:beforeAutospacing="0" w:afterAutospacing="0" w:line="360" w:lineRule="auto"/>
        <w:jc w:val="both"/>
        <w:rPr>
          <w:rFonts w:ascii="Calibri" w:hAnsi="Calibri" w:cs="Calibri"/>
          <w:b/>
          <w:sz w:val="22"/>
          <w:szCs w:val="22"/>
        </w:rPr>
      </w:pPr>
    </w:p>
    <w:p w:rsidR="005E220F" w:rsidRDefault="005E220F" w:rsidP="008C51A8">
      <w:pPr>
        <w:pStyle w:val="PlainText"/>
        <w:spacing w:beforeAutospacing="0" w:afterAutospacing="0" w:line="360" w:lineRule="auto"/>
        <w:jc w:val="both"/>
        <w:rPr>
          <w:rFonts w:ascii="Calibri" w:hAnsi="Calibri" w:cs="Calibri"/>
          <w:b/>
          <w:sz w:val="22"/>
          <w:szCs w:val="22"/>
        </w:rPr>
      </w:pPr>
      <w:r w:rsidRPr="005E220F">
        <w:rPr>
          <w:rFonts w:ascii="Calibri" w:hAnsi="Calibri" w:cs="Calibri"/>
          <w:b/>
          <w:sz w:val="28"/>
          <w:szCs w:val="28"/>
        </w:rPr>
        <w:t>Zero Trust Architecture Diagram</w:t>
      </w:r>
      <w:r>
        <w:rPr>
          <w:rFonts w:ascii="Calibri" w:hAnsi="Calibri" w:cs="Calibri"/>
          <w:b/>
          <w:sz w:val="28"/>
          <w:szCs w:val="28"/>
        </w:rPr>
        <w:t>n</w:t>
      </w:r>
      <w:r>
        <w:rPr>
          <w:rFonts w:ascii="Calibri" w:hAnsi="Calibri" w:cs="Calibri"/>
          <w:b/>
          <w:sz w:val="22"/>
          <w:szCs w:val="22"/>
        </w:rPr>
        <w:t xml:space="preserve"> </w:t>
      </w:r>
      <w:r w:rsidR="00352196">
        <w:rPr>
          <w:rFonts w:ascii="Calibri" w:hAnsi="Calibri" w:cs="Calibri"/>
          <w:b/>
          <w:sz w:val="24"/>
          <w:szCs w:val="24"/>
        </w:rPr>
        <w:t>[14</w:t>
      </w:r>
      <w:r w:rsidRPr="00352196">
        <w:rPr>
          <w:rFonts w:ascii="Calibri" w:hAnsi="Calibri" w:cs="Calibri"/>
          <w:b/>
          <w:sz w:val="24"/>
          <w:szCs w:val="24"/>
        </w:rPr>
        <w:t>]</w:t>
      </w:r>
    </w:p>
    <w:p w:rsidR="008C51A8" w:rsidRPr="0055448A" w:rsidRDefault="008C51A8" w:rsidP="008C51A8">
      <w:pPr>
        <w:pStyle w:val="PlainText"/>
        <w:spacing w:beforeAutospacing="0" w:afterAutospacing="0" w:line="360" w:lineRule="auto"/>
        <w:jc w:val="both"/>
        <w:rPr>
          <w:rFonts w:ascii="Calibri" w:hAnsi="Calibri" w:cs="Calibri"/>
          <w:sz w:val="22"/>
          <w:szCs w:val="22"/>
        </w:rPr>
      </w:pPr>
      <w:r>
        <w:rPr>
          <w:rFonts w:ascii="Calibri" w:hAnsi="Calibri" w:cs="Calibri"/>
          <w:noProof/>
          <w:sz w:val="22"/>
          <w:szCs w:val="22"/>
          <w:lang w:eastAsia="en-GB"/>
        </w:rPr>
        <w:drawing>
          <wp:inline distT="0" distB="0" distL="0" distR="0">
            <wp:extent cx="4068536" cy="2231572"/>
            <wp:effectExtent l="19050" t="0" r="8164"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4069231" cy="2231953"/>
                    </a:xfrm>
                    <a:prstGeom prst="rect">
                      <a:avLst/>
                    </a:prstGeom>
                    <a:noFill/>
                    <a:ln w="9525">
                      <a:noFill/>
                      <a:miter lim="800000"/>
                      <a:headEnd/>
                      <a:tailEnd/>
                    </a:ln>
                  </pic:spPr>
                </pic:pic>
              </a:graphicData>
            </a:graphic>
          </wp:inline>
        </w:drawing>
      </w:r>
    </w:p>
    <w:p w:rsidR="00961D2B" w:rsidRPr="00BB25CF" w:rsidRDefault="00961D2B" w:rsidP="00961D2B">
      <w:pPr>
        <w:pStyle w:val="PlainText"/>
        <w:spacing w:beforeAutospacing="0" w:afterAutospacing="0" w:line="360" w:lineRule="auto"/>
        <w:jc w:val="both"/>
        <w:rPr>
          <w:rFonts w:ascii="Calibri" w:hAnsi="Calibri" w:cs="Calibri"/>
          <w:sz w:val="22"/>
          <w:szCs w:val="22"/>
        </w:rPr>
      </w:pPr>
    </w:p>
    <w:p w:rsidR="00961D2B" w:rsidRPr="0054423D" w:rsidRDefault="00F018BB" w:rsidP="00F137CD">
      <w:pPr>
        <w:pStyle w:val="Heading2"/>
        <w:rPr>
          <w:b/>
          <w:color w:val="auto"/>
          <w:sz w:val="28"/>
          <w:szCs w:val="28"/>
        </w:rPr>
      </w:pPr>
      <w:bookmarkStart w:id="11" w:name="_Toc216919854"/>
      <w:r w:rsidRPr="0054423D">
        <w:rPr>
          <w:b/>
          <w:color w:val="auto"/>
          <w:sz w:val="28"/>
          <w:szCs w:val="28"/>
        </w:rPr>
        <w:t>4</w:t>
      </w:r>
      <w:r w:rsidR="00961D2B" w:rsidRPr="0054423D">
        <w:rPr>
          <w:b/>
          <w:color w:val="auto"/>
          <w:sz w:val="28"/>
          <w:szCs w:val="28"/>
        </w:rPr>
        <w:t>.2 Policy Framework Alignment with NIST CSF 2.0</w:t>
      </w:r>
      <w:bookmarkEnd w:id="11"/>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 xml:space="preserve">VTAM's security policies align with NIST Cybersecurity Framework 2.0's </w:t>
      </w:r>
      <w:r w:rsidR="00352196">
        <w:rPr>
          <w:rFonts w:ascii="Calibri" w:hAnsi="Calibri" w:cs="Calibri"/>
          <w:b/>
          <w:sz w:val="24"/>
          <w:szCs w:val="24"/>
        </w:rPr>
        <w:t>[15</w:t>
      </w:r>
      <w:r w:rsidR="00BB4B8B" w:rsidRPr="00352196">
        <w:rPr>
          <w:rFonts w:ascii="Calibri" w:hAnsi="Calibri" w:cs="Calibri"/>
          <w:b/>
          <w:sz w:val="24"/>
          <w:szCs w:val="24"/>
        </w:rPr>
        <w:t>]</w:t>
      </w:r>
      <w:r w:rsidR="00BB4B8B">
        <w:rPr>
          <w:rFonts w:ascii="Calibri" w:hAnsi="Calibri" w:cs="Calibri"/>
          <w:sz w:val="22"/>
          <w:szCs w:val="22"/>
        </w:rPr>
        <w:t xml:space="preserve"> </w:t>
      </w:r>
      <w:r w:rsidRPr="00BB25CF">
        <w:rPr>
          <w:rFonts w:ascii="Calibri" w:hAnsi="Calibri" w:cs="Calibri"/>
          <w:sz w:val="22"/>
          <w:szCs w:val="22"/>
        </w:rPr>
        <w:t>five functions</w:t>
      </w:r>
      <w:r w:rsidR="00BB4B8B">
        <w:rPr>
          <w:rFonts w:ascii="Calibri" w:hAnsi="Calibri" w:cs="Calibri"/>
          <w:sz w:val="22"/>
          <w:szCs w:val="22"/>
        </w:rPr>
        <w:t xml:space="preserve"> below</w:t>
      </w:r>
      <w:r w:rsidRPr="00BB25CF">
        <w:rPr>
          <w:rFonts w:ascii="Calibri" w:hAnsi="Calibri" w:cs="Calibri"/>
          <w:sz w:val="22"/>
          <w:szCs w:val="22"/>
        </w:rPr>
        <w:t xml:space="preserve">: </w:t>
      </w:r>
    </w:p>
    <w:p w:rsidR="00BB4B8B" w:rsidRDefault="00961D2B" w:rsidP="00BB4B8B">
      <w:pPr>
        <w:pStyle w:val="PlainText"/>
        <w:numPr>
          <w:ilvl w:val="0"/>
          <w:numId w:val="17"/>
        </w:numPr>
        <w:spacing w:beforeAutospacing="0" w:afterAutospacing="0" w:line="360" w:lineRule="auto"/>
        <w:jc w:val="both"/>
        <w:rPr>
          <w:rFonts w:ascii="Calibri" w:hAnsi="Calibri" w:cs="Calibri"/>
          <w:sz w:val="22"/>
          <w:szCs w:val="22"/>
        </w:rPr>
      </w:pPr>
      <w:r w:rsidRPr="00BB4B8B">
        <w:rPr>
          <w:rFonts w:ascii="Calibri" w:hAnsi="Calibri" w:cs="Calibri"/>
          <w:b/>
          <w:sz w:val="22"/>
          <w:szCs w:val="22"/>
        </w:rPr>
        <w:t>Identify:</w:t>
      </w:r>
      <w:r w:rsidRPr="00BB25CF">
        <w:rPr>
          <w:rFonts w:ascii="Calibri" w:hAnsi="Calibri" w:cs="Calibri"/>
          <w:sz w:val="22"/>
          <w:szCs w:val="22"/>
        </w:rPr>
        <w:t xml:space="preserve"> Establish comprehensive asset inventories, classify data by sensitivity, and map critical business functions. </w:t>
      </w:r>
    </w:p>
    <w:p w:rsidR="00BB4B8B" w:rsidRDefault="00961D2B" w:rsidP="00BB4B8B">
      <w:pPr>
        <w:pStyle w:val="PlainText"/>
        <w:numPr>
          <w:ilvl w:val="0"/>
          <w:numId w:val="17"/>
        </w:numPr>
        <w:spacing w:beforeAutospacing="0" w:afterAutospacing="0" w:line="360" w:lineRule="auto"/>
        <w:jc w:val="both"/>
        <w:rPr>
          <w:rFonts w:ascii="Calibri" w:hAnsi="Calibri" w:cs="Calibri"/>
          <w:sz w:val="22"/>
          <w:szCs w:val="22"/>
        </w:rPr>
      </w:pPr>
      <w:r w:rsidRPr="00BB4B8B">
        <w:rPr>
          <w:rFonts w:ascii="Calibri" w:hAnsi="Calibri" w:cs="Calibri"/>
          <w:b/>
          <w:sz w:val="22"/>
          <w:szCs w:val="22"/>
        </w:rPr>
        <w:t>Protect:</w:t>
      </w:r>
      <w:r w:rsidRPr="00BB25CF">
        <w:rPr>
          <w:rFonts w:ascii="Calibri" w:hAnsi="Calibri" w:cs="Calibri"/>
          <w:sz w:val="22"/>
          <w:szCs w:val="22"/>
        </w:rPr>
        <w:t xml:space="preserve"> Implement access management, encryption, backup systems, and patch management aligned with CISA Known Exploited Vulnerabilities (KEV) catalogue. </w:t>
      </w:r>
    </w:p>
    <w:p w:rsidR="00BB4B8B" w:rsidRDefault="00961D2B" w:rsidP="00BB4B8B">
      <w:pPr>
        <w:pStyle w:val="PlainText"/>
        <w:numPr>
          <w:ilvl w:val="0"/>
          <w:numId w:val="17"/>
        </w:numPr>
        <w:spacing w:beforeAutospacing="0" w:afterAutospacing="0" w:line="360" w:lineRule="auto"/>
        <w:jc w:val="both"/>
        <w:rPr>
          <w:rFonts w:ascii="Calibri" w:hAnsi="Calibri" w:cs="Calibri"/>
          <w:sz w:val="22"/>
          <w:szCs w:val="22"/>
        </w:rPr>
      </w:pPr>
      <w:r w:rsidRPr="00BB4B8B">
        <w:rPr>
          <w:rFonts w:ascii="Calibri" w:hAnsi="Calibri" w:cs="Calibri"/>
          <w:b/>
          <w:sz w:val="22"/>
          <w:szCs w:val="22"/>
        </w:rPr>
        <w:t>Detect:</w:t>
      </w:r>
      <w:r w:rsidRPr="00BB25CF">
        <w:rPr>
          <w:rFonts w:ascii="Calibri" w:hAnsi="Calibri" w:cs="Calibri"/>
          <w:sz w:val="22"/>
          <w:szCs w:val="22"/>
        </w:rPr>
        <w:t xml:space="preserve"> Deploy SIEM systems to centralize security event data for analysis. </w:t>
      </w:r>
    </w:p>
    <w:p w:rsidR="00BB4B8B" w:rsidRDefault="00961D2B" w:rsidP="00961D2B">
      <w:pPr>
        <w:pStyle w:val="PlainText"/>
        <w:numPr>
          <w:ilvl w:val="0"/>
          <w:numId w:val="17"/>
        </w:numPr>
        <w:spacing w:beforeAutospacing="0" w:afterAutospacing="0" w:line="360" w:lineRule="auto"/>
        <w:jc w:val="both"/>
        <w:rPr>
          <w:rFonts w:ascii="Calibri" w:hAnsi="Calibri" w:cs="Calibri"/>
          <w:sz w:val="22"/>
          <w:szCs w:val="22"/>
        </w:rPr>
      </w:pPr>
      <w:r w:rsidRPr="00BB4B8B">
        <w:rPr>
          <w:rFonts w:ascii="Calibri" w:hAnsi="Calibri" w:cs="Calibri"/>
          <w:b/>
          <w:sz w:val="22"/>
          <w:szCs w:val="22"/>
        </w:rPr>
        <w:t>Respond:</w:t>
      </w:r>
      <w:r w:rsidRPr="00BB25CF">
        <w:rPr>
          <w:rFonts w:ascii="Calibri" w:hAnsi="Calibri" w:cs="Calibri"/>
          <w:sz w:val="22"/>
          <w:szCs w:val="22"/>
        </w:rPr>
        <w:t xml:space="preserve"> Establish incident response procedures defining roles, communication protocols, and forensic preservation. </w:t>
      </w:r>
    </w:p>
    <w:p w:rsidR="00961D2B" w:rsidRPr="00BB4B8B" w:rsidRDefault="00961D2B" w:rsidP="00961D2B">
      <w:pPr>
        <w:pStyle w:val="PlainText"/>
        <w:numPr>
          <w:ilvl w:val="0"/>
          <w:numId w:val="17"/>
        </w:numPr>
        <w:spacing w:beforeAutospacing="0" w:afterAutospacing="0" w:line="360" w:lineRule="auto"/>
        <w:jc w:val="both"/>
        <w:rPr>
          <w:rFonts w:ascii="Calibri" w:hAnsi="Calibri" w:cs="Calibri"/>
          <w:sz w:val="22"/>
          <w:szCs w:val="22"/>
        </w:rPr>
      </w:pPr>
      <w:r w:rsidRPr="00BB4B8B">
        <w:rPr>
          <w:rFonts w:ascii="Calibri" w:hAnsi="Calibri" w:cs="Calibri"/>
          <w:b/>
          <w:sz w:val="22"/>
          <w:szCs w:val="22"/>
        </w:rPr>
        <w:t>Recover:</w:t>
      </w:r>
      <w:r w:rsidRPr="00BB4B8B">
        <w:rPr>
          <w:rFonts w:ascii="Calibri" w:hAnsi="Calibri" w:cs="Calibri"/>
          <w:sz w:val="22"/>
          <w:szCs w:val="22"/>
        </w:rPr>
        <w:t xml:space="preserve"> Maintain backup systems separate from production infrastructure with regular restoration testing.</w:t>
      </w:r>
    </w:p>
    <w:p w:rsidR="00961D2B" w:rsidRPr="0054423D" w:rsidRDefault="00F018BB" w:rsidP="00F137CD">
      <w:pPr>
        <w:pStyle w:val="Heading2"/>
        <w:rPr>
          <w:b/>
          <w:color w:val="auto"/>
          <w:sz w:val="28"/>
          <w:szCs w:val="28"/>
        </w:rPr>
      </w:pPr>
      <w:bookmarkStart w:id="12" w:name="_Toc216919855"/>
      <w:r w:rsidRPr="0054423D">
        <w:rPr>
          <w:b/>
          <w:color w:val="auto"/>
          <w:sz w:val="28"/>
          <w:szCs w:val="28"/>
        </w:rPr>
        <w:lastRenderedPageBreak/>
        <w:t>4</w:t>
      </w:r>
      <w:r w:rsidR="00961D2B" w:rsidRPr="0054423D">
        <w:rPr>
          <w:b/>
          <w:color w:val="auto"/>
          <w:sz w:val="28"/>
          <w:szCs w:val="28"/>
        </w:rPr>
        <w:t>.3 Data Protection and Encryption Policies</w:t>
      </w:r>
      <w:bookmarkEnd w:id="12"/>
    </w:p>
    <w:p w:rsidR="00961D2B" w:rsidRPr="00BB25CF" w:rsidRDefault="00961D2B" w:rsidP="00961D2B">
      <w:pPr>
        <w:pStyle w:val="PlainText"/>
        <w:spacing w:beforeAutospacing="0" w:afterAutospacing="0" w:line="360" w:lineRule="auto"/>
        <w:jc w:val="both"/>
        <w:rPr>
          <w:rFonts w:ascii="Calibri" w:hAnsi="Calibri" w:cs="Calibri"/>
          <w:b/>
          <w:sz w:val="28"/>
          <w:szCs w:val="28"/>
        </w:rPr>
      </w:pPr>
      <w:r w:rsidRPr="00BB25CF">
        <w:rPr>
          <w:rFonts w:ascii="Calibri" w:hAnsi="Calibri" w:cs="Calibri"/>
          <w:sz w:val="22"/>
          <w:szCs w:val="22"/>
        </w:rPr>
        <w:t>Data protection policies establish encryption as f</w:t>
      </w:r>
      <w:r w:rsidR="001077BE">
        <w:rPr>
          <w:rFonts w:ascii="Calibri" w:hAnsi="Calibri" w:cs="Calibri"/>
          <w:sz w:val="22"/>
          <w:szCs w:val="22"/>
        </w:rPr>
        <w:t xml:space="preserve">oundational control. Encryption in </w:t>
      </w:r>
      <w:r w:rsidRPr="00BB25CF">
        <w:rPr>
          <w:rFonts w:ascii="Calibri" w:hAnsi="Calibri" w:cs="Calibri"/>
          <w:sz w:val="22"/>
          <w:szCs w:val="22"/>
        </w:rPr>
        <w:t>transit (TLS 1.2+) protects d</w:t>
      </w:r>
      <w:r w:rsidR="001077BE">
        <w:rPr>
          <w:rFonts w:ascii="Calibri" w:hAnsi="Calibri" w:cs="Calibri"/>
          <w:sz w:val="22"/>
          <w:szCs w:val="22"/>
        </w:rPr>
        <w:t xml:space="preserve">ata between systems. Encryption at </w:t>
      </w:r>
      <w:r w:rsidRPr="00BB25CF">
        <w:rPr>
          <w:rFonts w:ascii="Calibri" w:hAnsi="Calibri" w:cs="Calibri"/>
          <w:sz w:val="22"/>
          <w:szCs w:val="22"/>
        </w:rPr>
        <w:t>rest protects data in databases, file systems, and backup systems. Encryption key management policies ensure cryptographic keys are generated, stored, and rotated securely using hardware security modules (HSMs) where feasible. Sensitive data cannot be transferred to unencrypted media.</w:t>
      </w:r>
    </w:p>
    <w:p w:rsidR="00961D2B" w:rsidRPr="0054423D" w:rsidRDefault="00F018BB" w:rsidP="00F137CD">
      <w:pPr>
        <w:pStyle w:val="Heading2"/>
        <w:rPr>
          <w:b/>
          <w:color w:val="auto"/>
          <w:sz w:val="28"/>
          <w:szCs w:val="28"/>
        </w:rPr>
      </w:pPr>
      <w:bookmarkStart w:id="13" w:name="_Toc216919856"/>
      <w:r w:rsidRPr="0054423D">
        <w:rPr>
          <w:b/>
          <w:color w:val="auto"/>
          <w:sz w:val="28"/>
          <w:szCs w:val="28"/>
        </w:rPr>
        <w:t>4</w:t>
      </w:r>
      <w:r w:rsidR="00961D2B" w:rsidRPr="0054423D">
        <w:rPr>
          <w:b/>
          <w:color w:val="auto"/>
          <w:sz w:val="28"/>
          <w:szCs w:val="28"/>
        </w:rPr>
        <w:t>.4 Third-Party Vendor Management Policies</w:t>
      </w:r>
      <w:bookmarkEnd w:id="13"/>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 xml:space="preserve">Vendor management policies establish rigorous vetting procedures. New vendors undergo security assessments evaluating cybersecurity practices, compliance certifications, and incident history. Periodic re-assessment (semi-annually for critical vendors) ensures ongoing compliance. Critical vendors </w:t>
      </w:r>
      <w:r w:rsidR="00BB4B8B">
        <w:rPr>
          <w:rFonts w:ascii="Calibri" w:hAnsi="Calibri" w:cs="Calibri"/>
          <w:sz w:val="22"/>
          <w:szCs w:val="22"/>
        </w:rPr>
        <w:t xml:space="preserve">will </w:t>
      </w:r>
      <w:r w:rsidRPr="00BB25CF">
        <w:rPr>
          <w:rFonts w:ascii="Calibri" w:hAnsi="Calibri" w:cs="Calibri"/>
          <w:sz w:val="22"/>
          <w:szCs w:val="22"/>
        </w:rPr>
        <w:t>receive enhanced monitoring through service-level agreements (SLAs) def</w:t>
      </w:r>
      <w:r w:rsidR="00BB4B8B">
        <w:rPr>
          <w:rFonts w:ascii="Calibri" w:hAnsi="Calibri" w:cs="Calibri"/>
          <w:sz w:val="22"/>
          <w:szCs w:val="22"/>
        </w:rPr>
        <w:t>ining availability requirements</w:t>
      </w:r>
      <w:r w:rsidRPr="00BB25CF">
        <w:rPr>
          <w:rFonts w:ascii="Calibri" w:hAnsi="Calibri" w:cs="Calibri"/>
          <w:sz w:val="22"/>
          <w:szCs w:val="22"/>
        </w:rPr>
        <w:t>.</w:t>
      </w:r>
    </w:p>
    <w:p w:rsidR="00961D2B" w:rsidRPr="00DA0B4D" w:rsidRDefault="00F018BB" w:rsidP="005B2540">
      <w:pPr>
        <w:pStyle w:val="Heading1"/>
        <w:rPr>
          <w:b/>
          <w:color w:val="auto"/>
          <w:sz w:val="36"/>
          <w:szCs w:val="36"/>
        </w:rPr>
      </w:pPr>
      <w:bookmarkStart w:id="14" w:name="_Toc216919857"/>
      <w:r w:rsidRPr="00DA0B4D">
        <w:rPr>
          <w:b/>
          <w:color w:val="auto"/>
          <w:sz w:val="36"/>
          <w:szCs w:val="36"/>
        </w:rPr>
        <w:t>5</w:t>
      </w:r>
      <w:r w:rsidR="00961D2B" w:rsidRPr="00DA0B4D">
        <w:rPr>
          <w:b/>
          <w:color w:val="auto"/>
          <w:sz w:val="36"/>
          <w:szCs w:val="36"/>
        </w:rPr>
        <w:t>. TECHNICAL MITIGATION MEASURES</w:t>
      </w:r>
      <w:bookmarkEnd w:id="14"/>
    </w:p>
    <w:p w:rsidR="00961D2B" w:rsidRPr="0054423D" w:rsidRDefault="00F018BB" w:rsidP="00F137CD">
      <w:pPr>
        <w:pStyle w:val="Heading2"/>
        <w:rPr>
          <w:b/>
          <w:color w:val="auto"/>
          <w:sz w:val="28"/>
          <w:szCs w:val="28"/>
        </w:rPr>
      </w:pPr>
      <w:bookmarkStart w:id="15" w:name="_Toc216919858"/>
      <w:r w:rsidRPr="0054423D">
        <w:rPr>
          <w:b/>
          <w:color w:val="auto"/>
          <w:sz w:val="28"/>
          <w:szCs w:val="28"/>
        </w:rPr>
        <w:t>5</w:t>
      </w:r>
      <w:r w:rsidR="00961D2B" w:rsidRPr="0054423D">
        <w:rPr>
          <w:b/>
          <w:color w:val="auto"/>
          <w:sz w:val="28"/>
          <w:szCs w:val="28"/>
        </w:rPr>
        <w:t>.1 Multi-Factor Authentication (MFA) and Identity Management</w:t>
      </w:r>
      <w:bookmarkEnd w:id="15"/>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MFA eliminates the primary failure mode: compromised passwords. Phishing and credential theft remain leading attack vectors because single-factor authentication proves insufficient. MFA requires attackers to compromise multiple authentication factors, creating significantly higher barriers.</w:t>
      </w:r>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 xml:space="preserve">Implementation phases: Phase 1 (Months 1-2): MFA for administrative accounts and email systems. Phase 2 (Months 3-4): MFA for all financial system users. Phase 3 (Months 5-6): MFA for all remaining user accounts. MFA methods include </w:t>
      </w:r>
      <w:r w:rsidR="001077BE">
        <w:rPr>
          <w:rFonts w:ascii="Calibri" w:hAnsi="Calibri" w:cs="Calibri"/>
          <w:sz w:val="22"/>
          <w:szCs w:val="22"/>
        </w:rPr>
        <w:t>time based one</w:t>
      </w:r>
      <w:r w:rsidRPr="00BB25CF">
        <w:rPr>
          <w:rFonts w:ascii="Calibri" w:hAnsi="Calibri" w:cs="Calibri"/>
          <w:sz w:val="22"/>
          <w:szCs w:val="22"/>
        </w:rPr>
        <w:t>time passwords (TOTP) via authenticator applications,</w:t>
      </w:r>
      <w:r w:rsidR="001077BE">
        <w:rPr>
          <w:rFonts w:ascii="Calibri" w:hAnsi="Calibri" w:cs="Calibri"/>
          <w:sz w:val="22"/>
          <w:szCs w:val="22"/>
        </w:rPr>
        <w:t xml:space="preserve"> hardware security keys (FIDO2)</w:t>
      </w:r>
      <w:r w:rsidRPr="00BB25CF">
        <w:rPr>
          <w:rFonts w:ascii="Calibri" w:hAnsi="Calibri" w:cs="Calibri"/>
          <w:sz w:val="22"/>
          <w:szCs w:val="22"/>
        </w:rPr>
        <w:t xml:space="preserve"> and push notifications to registered devices. Hardware security keys provide strongest prot</w:t>
      </w:r>
      <w:r w:rsidR="001077BE">
        <w:rPr>
          <w:rFonts w:ascii="Calibri" w:hAnsi="Calibri" w:cs="Calibri"/>
          <w:sz w:val="22"/>
          <w:szCs w:val="22"/>
        </w:rPr>
        <w:t xml:space="preserve">ection against phishing and man in the </w:t>
      </w:r>
      <w:r w:rsidRPr="00BB25CF">
        <w:rPr>
          <w:rFonts w:ascii="Calibri" w:hAnsi="Calibri" w:cs="Calibri"/>
          <w:sz w:val="22"/>
          <w:szCs w:val="22"/>
        </w:rPr>
        <w:t>middle attacks.</w:t>
      </w:r>
    </w:p>
    <w:p w:rsidR="001D5DAE" w:rsidRPr="009D21E1" w:rsidRDefault="001D5DAE" w:rsidP="001D5DAE">
      <w:pPr>
        <w:pStyle w:val="Heading2"/>
        <w:rPr>
          <w:rStyle w:val="SubtleEmphasis"/>
          <w:rFonts w:ascii="Calibri" w:hAnsi="Calibri" w:cs="Calibri"/>
          <w:i w:val="0"/>
          <w:color w:val="auto"/>
          <w:sz w:val="22"/>
          <w:szCs w:val="22"/>
        </w:rPr>
      </w:pPr>
      <w:bookmarkStart w:id="16" w:name="_Toc216834352"/>
      <w:bookmarkStart w:id="17" w:name="_Toc216919859"/>
      <w:r>
        <w:rPr>
          <w:rStyle w:val="SubtleEmphasis"/>
          <w:rFonts w:ascii="Calibri" w:hAnsi="Calibri" w:cs="Calibri"/>
          <w:b/>
          <w:i w:val="0"/>
          <w:color w:val="auto"/>
          <w:sz w:val="28"/>
          <w:szCs w:val="28"/>
        </w:rPr>
        <w:t>5</w:t>
      </w:r>
      <w:r w:rsidRPr="00DA0B4D">
        <w:rPr>
          <w:rStyle w:val="SubtleEmphasis"/>
          <w:rFonts w:ascii="Calibri" w:hAnsi="Calibri" w:cs="Calibri"/>
          <w:b/>
          <w:i w:val="0"/>
          <w:color w:val="auto"/>
          <w:sz w:val="28"/>
          <w:szCs w:val="28"/>
        </w:rPr>
        <w:t>.</w:t>
      </w:r>
      <w:r w:rsidR="009D21E1">
        <w:rPr>
          <w:rStyle w:val="SubtleEmphasis"/>
          <w:rFonts w:ascii="Calibri" w:hAnsi="Calibri" w:cs="Calibri"/>
          <w:b/>
          <w:i w:val="0"/>
          <w:color w:val="auto"/>
          <w:sz w:val="28"/>
          <w:szCs w:val="28"/>
        </w:rPr>
        <w:t>2</w:t>
      </w:r>
      <w:r w:rsidRPr="00DA0B4D">
        <w:rPr>
          <w:rStyle w:val="SubtleEmphasis"/>
          <w:rFonts w:ascii="Calibri" w:hAnsi="Calibri" w:cs="Calibri"/>
          <w:b/>
          <w:i w:val="0"/>
          <w:color w:val="auto"/>
          <w:sz w:val="28"/>
          <w:szCs w:val="28"/>
        </w:rPr>
        <w:t xml:space="preserve"> </w:t>
      </w:r>
      <w:r w:rsidRPr="0054423D">
        <w:rPr>
          <w:rStyle w:val="SubtleEmphasis"/>
          <w:rFonts w:ascii="Calibri" w:hAnsi="Calibri" w:cs="Calibri"/>
          <w:b/>
          <w:i w:val="0"/>
          <w:color w:val="auto"/>
          <w:sz w:val="28"/>
          <w:szCs w:val="28"/>
        </w:rPr>
        <w:t>SIEM and SOAR Integration Workflow</w:t>
      </w:r>
      <w:bookmarkEnd w:id="16"/>
      <w:bookmarkEnd w:id="17"/>
    </w:p>
    <w:p w:rsidR="001D5DAE" w:rsidRDefault="009A1A2F" w:rsidP="001D5DAE">
      <w:pPr>
        <w:pStyle w:val="PlainText"/>
        <w:spacing w:beforeAutospacing="0" w:afterAutospacing="0" w:line="360" w:lineRule="auto"/>
        <w:jc w:val="both"/>
        <w:rPr>
          <w:rFonts w:ascii="Calibri" w:hAnsi="Calibri" w:cs="Calibri"/>
          <w:sz w:val="22"/>
          <w:szCs w:val="22"/>
        </w:rPr>
      </w:pPr>
      <w:r w:rsidRPr="00C94953">
        <w:rPr>
          <w:rFonts w:ascii="Calibri" w:hAnsi="Calibri" w:cs="Calibri"/>
          <w:sz w:val="22"/>
          <w:szCs w:val="22"/>
        </w:rPr>
        <w:t>Security Information and Event Management (SIEM)</w:t>
      </w:r>
      <w:r w:rsidR="001D5DAE" w:rsidRPr="00361315">
        <w:rPr>
          <w:rFonts w:ascii="Calibri" w:hAnsi="Calibri" w:cs="Calibri"/>
          <w:sz w:val="22"/>
          <w:szCs w:val="22"/>
        </w:rPr>
        <w:t xml:space="preserve"> and </w:t>
      </w:r>
      <w:r w:rsidRPr="00BB25CF">
        <w:rPr>
          <w:rFonts w:ascii="Calibri" w:hAnsi="Calibri" w:cs="Calibri"/>
          <w:sz w:val="22"/>
          <w:szCs w:val="22"/>
        </w:rPr>
        <w:t>Security Orchestration, Automatio</w:t>
      </w:r>
      <w:r>
        <w:rPr>
          <w:rFonts w:ascii="Calibri" w:hAnsi="Calibri" w:cs="Calibri"/>
          <w:sz w:val="22"/>
          <w:szCs w:val="22"/>
        </w:rPr>
        <w:t>n and Response (SOAR) integration enable</w:t>
      </w:r>
      <w:r w:rsidR="001D5DAE" w:rsidRPr="00361315">
        <w:rPr>
          <w:rFonts w:ascii="Calibri" w:hAnsi="Calibri" w:cs="Calibri"/>
          <w:sz w:val="22"/>
          <w:szCs w:val="22"/>
        </w:rPr>
        <w:t xml:space="preserve"> fast, efficient threat response through a connected process. </w:t>
      </w:r>
      <w:r w:rsidRPr="00BB25CF">
        <w:rPr>
          <w:rFonts w:ascii="Calibri" w:hAnsi="Calibri" w:cs="Calibri"/>
          <w:sz w:val="22"/>
          <w:szCs w:val="22"/>
        </w:rPr>
        <w:t>Automated</w:t>
      </w:r>
      <w:r>
        <w:rPr>
          <w:rFonts w:ascii="Calibri" w:hAnsi="Calibri" w:cs="Calibri"/>
          <w:sz w:val="22"/>
          <w:szCs w:val="22"/>
        </w:rPr>
        <w:t xml:space="preserve"> response integrates SIEM with SOAR platforms; information is retained</w:t>
      </w:r>
      <w:r w:rsidRPr="00C4141C">
        <w:rPr>
          <w:rFonts w:ascii="Calibri" w:hAnsi="Calibri" w:cs="Calibri"/>
          <w:sz w:val="22"/>
          <w:szCs w:val="22"/>
        </w:rPr>
        <w:t xml:space="preserve"> </w:t>
      </w:r>
      <w:r w:rsidRPr="00BB25CF">
        <w:rPr>
          <w:rFonts w:ascii="Calibri" w:hAnsi="Calibri" w:cs="Calibri"/>
          <w:sz w:val="22"/>
          <w:szCs w:val="22"/>
        </w:rPr>
        <w:t>for forensic analysis</w:t>
      </w:r>
      <w:r>
        <w:rPr>
          <w:rFonts w:ascii="Calibri" w:hAnsi="Calibri" w:cs="Calibri"/>
          <w:sz w:val="22"/>
          <w:szCs w:val="22"/>
        </w:rPr>
        <w:t xml:space="preserve"> </w:t>
      </w:r>
      <w:r w:rsidR="0054423D">
        <w:rPr>
          <w:rFonts w:ascii="Calibri" w:hAnsi="Calibri" w:cs="Calibri"/>
          <w:b/>
          <w:sz w:val="24"/>
          <w:szCs w:val="24"/>
        </w:rPr>
        <w:t>[15</w:t>
      </w:r>
      <w:r w:rsidRPr="00352196">
        <w:rPr>
          <w:rFonts w:ascii="Calibri" w:hAnsi="Calibri" w:cs="Calibri"/>
          <w:b/>
          <w:sz w:val="24"/>
          <w:szCs w:val="24"/>
        </w:rPr>
        <w:t>].</w:t>
      </w:r>
      <w:r>
        <w:rPr>
          <w:rFonts w:ascii="Calibri" w:hAnsi="Calibri" w:cs="Calibri"/>
          <w:b/>
          <w:sz w:val="24"/>
          <w:szCs w:val="24"/>
        </w:rPr>
        <w:t xml:space="preserve"> </w:t>
      </w:r>
      <w:r w:rsidR="001D5DAE" w:rsidRPr="00361315">
        <w:rPr>
          <w:rFonts w:ascii="Calibri" w:hAnsi="Calibri" w:cs="Calibri"/>
          <w:sz w:val="22"/>
          <w:szCs w:val="22"/>
        </w:rPr>
        <w:t>Security event</w:t>
      </w:r>
      <w:r w:rsidR="001D5DAE">
        <w:rPr>
          <w:rFonts w:ascii="Calibri" w:hAnsi="Calibri" w:cs="Calibri"/>
          <w:sz w:val="22"/>
          <w:szCs w:val="22"/>
        </w:rPr>
        <w:t>s from network devices, servers</w:t>
      </w:r>
      <w:r w:rsidR="001D5DAE" w:rsidRPr="00361315">
        <w:rPr>
          <w:rFonts w:ascii="Calibri" w:hAnsi="Calibri" w:cs="Calibri"/>
          <w:sz w:val="22"/>
          <w:szCs w:val="22"/>
        </w:rPr>
        <w:t xml:space="preserve"> and applications are collected and sent to SIEM sys</w:t>
      </w:r>
      <w:r w:rsidR="001D5DAE">
        <w:rPr>
          <w:rFonts w:ascii="Calibri" w:hAnsi="Calibri" w:cs="Calibri"/>
          <w:sz w:val="22"/>
          <w:szCs w:val="22"/>
        </w:rPr>
        <w:t>tems, which gather, standardize</w:t>
      </w:r>
      <w:r w:rsidR="001D5DAE" w:rsidRPr="00361315">
        <w:rPr>
          <w:rFonts w:ascii="Calibri" w:hAnsi="Calibri" w:cs="Calibri"/>
          <w:sz w:val="22"/>
          <w:szCs w:val="22"/>
        </w:rPr>
        <w:t xml:space="preserve"> a</w:t>
      </w:r>
      <w:r w:rsidR="001D5DAE">
        <w:rPr>
          <w:rFonts w:ascii="Calibri" w:hAnsi="Calibri" w:cs="Calibri"/>
          <w:sz w:val="22"/>
          <w:szCs w:val="22"/>
        </w:rPr>
        <w:t>nd store the data. SIEM</w:t>
      </w:r>
      <w:r w:rsidR="001D5DAE" w:rsidRPr="00361315">
        <w:rPr>
          <w:rFonts w:ascii="Calibri" w:hAnsi="Calibri" w:cs="Calibri"/>
          <w:sz w:val="22"/>
          <w:szCs w:val="22"/>
        </w:rPr>
        <w:t xml:space="preserve"> analyzes this information using detection rules and machine learning to i</w:t>
      </w:r>
      <w:r w:rsidR="001D5DAE">
        <w:rPr>
          <w:rFonts w:ascii="Calibri" w:hAnsi="Calibri" w:cs="Calibri"/>
          <w:sz w:val="22"/>
          <w:szCs w:val="22"/>
        </w:rPr>
        <w:t>dentify unusual patterns. A</w:t>
      </w:r>
      <w:r w:rsidR="001D5DAE" w:rsidRPr="00361315">
        <w:rPr>
          <w:rFonts w:ascii="Calibri" w:hAnsi="Calibri" w:cs="Calibri"/>
          <w:sz w:val="22"/>
          <w:szCs w:val="22"/>
        </w:rPr>
        <w:t xml:space="preserve">lerts are created </w:t>
      </w:r>
      <w:r w:rsidR="001D5DAE">
        <w:rPr>
          <w:rFonts w:ascii="Calibri" w:hAnsi="Calibri" w:cs="Calibri"/>
          <w:sz w:val="22"/>
          <w:szCs w:val="22"/>
        </w:rPr>
        <w:t>for suspicious activity found</w:t>
      </w:r>
      <w:r w:rsidR="001D5DAE" w:rsidRPr="00361315">
        <w:rPr>
          <w:rFonts w:ascii="Calibri" w:hAnsi="Calibri" w:cs="Calibri"/>
          <w:sz w:val="22"/>
          <w:szCs w:val="22"/>
        </w:rPr>
        <w:t xml:space="preserve"> </w:t>
      </w:r>
      <w:r w:rsidR="001D5DAE">
        <w:rPr>
          <w:rFonts w:ascii="Calibri" w:hAnsi="Calibri" w:cs="Calibri"/>
          <w:sz w:val="22"/>
          <w:szCs w:val="22"/>
        </w:rPr>
        <w:t xml:space="preserve">&amp; </w:t>
      </w:r>
      <w:r w:rsidR="001D5DAE" w:rsidRPr="00361315">
        <w:rPr>
          <w:rFonts w:ascii="Calibri" w:hAnsi="Calibri" w:cs="Calibri"/>
          <w:sz w:val="22"/>
          <w:szCs w:val="22"/>
        </w:rPr>
        <w:t>sent to SOAR platforms,</w:t>
      </w:r>
      <w:r w:rsidR="001D5DAE">
        <w:rPr>
          <w:rFonts w:ascii="Calibri" w:hAnsi="Calibri" w:cs="Calibri"/>
          <w:sz w:val="22"/>
          <w:szCs w:val="22"/>
        </w:rPr>
        <w:t xml:space="preserve"> </w:t>
      </w:r>
      <w:r w:rsidR="001D5DAE" w:rsidRPr="00361315">
        <w:rPr>
          <w:rFonts w:ascii="Calibri" w:hAnsi="Calibri" w:cs="Calibri"/>
          <w:sz w:val="22"/>
          <w:szCs w:val="22"/>
        </w:rPr>
        <w:t>using threat intelligence</w:t>
      </w:r>
      <w:r w:rsidR="001D5DAE">
        <w:rPr>
          <w:rFonts w:ascii="Calibri" w:hAnsi="Calibri" w:cs="Calibri"/>
          <w:sz w:val="22"/>
          <w:szCs w:val="22"/>
        </w:rPr>
        <w:t xml:space="preserve"> </w:t>
      </w:r>
      <w:r w:rsidR="001D5DAE" w:rsidRPr="00352196">
        <w:rPr>
          <w:rFonts w:ascii="Calibri" w:hAnsi="Calibri" w:cs="Calibri"/>
          <w:b/>
          <w:sz w:val="24"/>
          <w:szCs w:val="24"/>
        </w:rPr>
        <w:t>[15]</w:t>
      </w:r>
      <w:r w:rsidR="001D5DAE" w:rsidRPr="00352196">
        <w:rPr>
          <w:rFonts w:ascii="Calibri" w:hAnsi="Calibri" w:cs="Calibri"/>
          <w:sz w:val="24"/>
          <w:szCs w:val="24"/>
        </w:rPr>
        <w:t>.</w:t>
      </w:r>
      <w:r w:rsidR="001D5DAE" w:rsidRPr="00361315">
        <w:rPr>
          <w:rFonts w:ascii="Calibri" w:hAnsi="Calibri" w:cs="Calibri"/>
          <w:sz w:val="22"/>
          <w:szCs w:val="22"/>
        </w:rPr>
        <w:t xml:space="preserve"> SOAR automatically resp</w:t>
      </w:r>
      <w:r w:rsidR="001D5DAE">
        <w:rPr>
          <w:rFonts w:ascii="Calibri" w:hAnsi="Calibri" w:cs="Calibri"/>
          <w:sz w:val="22"/>
          <w:szCs w:val="22"/>
        </w:rPr>
        <w:t xml:space="preserve">onds </w:t>
      </w:r>
      <w:r w:rsidR="001D5DAE">
        <w:rPr>
          <w:rFonts w:ascii="Calibri" w:hAnsi="Calibri" w:cs="Calibri"/>
          <w:sz w:val="22"/>
          <w:szCs w:val="22"/>
        </w:rPr>
        <w:lastRenderedPageBreak/>
        <w:t xml:space="preserve">using predefined playbooks by </w:t>
      </w:r>
      <w:r w:rsidR="001D5DAE" w:rsidRPr="00361315">
        <w:rPr>
          <w:rFonts w:ascii="Calibri" w:hAnsi="Calibri" w:cs="Calibri"/>
          <w:sz w:val="22"/>
          <w:szCs w:val="22"/>
        </w:rPr>
        <w:t xml:space="preserve">isolating affected systems, </w:t>
      </w:r>
      <w:r w:rsidR="001D5DAE">
        <w:rPr>
          <w:rFonts w:ascii="Calibri" w:hAnsi="Calibri" w:cs="Calibri"/>
          <w:sz w:val="22"/>
          <w:szCs w:val="22"/>
        </w:rPr>
        <w:t>blocking malicious IP addresses</w:t>
      </w:r>
      <w:r w:rsidR="001D5DAE" w:rsidRPr="00361315">
        <w:rPr>
          <w:rFonts w:ascii="Calibri" w:hAnsi="Calibri" w:cs="Calibri"/>
          <w:sz w:val="22"/>
          <w:szCs w:val="22"/>
        </w:rPr>
        <w:t xml:space="preserve"> </w:t>
      </w:r>
      <w:r w:rsidR="001D5DAE">
        <w:rPr>
          <w:rFonts w:ascii="Calibri" w:hAnsi="Calibri" w:cs="Calibri"/>
          <w:sz w:val="22"/>
          <w:szCs w:val="22"/>
        </w:rPr>
        <w:t>etc.</w:t>
      </w:r>
      <w:r w:rsidR="001D5DAE" w:rsidRPr="00361315">
        <w:rPr>
          <w:rFonts w:ascii="Calibri" w:hAnsi="Calibri" w:cs="Calibri"/>
          <w:sz w:val="22"/>
          <w:szCs w:val="22"/>
        </w:rPr>
        <w:t xml:space="preserve"> and preserving forensic evidence. Complex incidents are escalated to </w:t>
      </w:r>
      <w:r w:rsidR="001D5DAE">
        <w:rPr>
          <w:rFonts w:ascii="Calibri" w:hAnsi="Calibri" w:cs="Calibri"/>
          <w:sz w:val="22"/>
          <w:szCs w:val="22"/>
        </w:rPr>
        <w:t xml:space="preserve">the </w:t>
      </w:r>
      <w:r w:rsidR="001D5DAE" w:rsidRPr="00361315">
        <w:rPr>
          <w:rFonts w:ascii="Calibri" w:hAnsi="Calibri" w:cs="Calibri"/>
          <w:sz w:val="22"/>
          <w:szCs w:val="22"/>
        </w:rPr>
        <w:t>security analysts for</w:t>
      </w:r>
      <w:r w:rsidR="001D5DAE">
        <w:rPr>
          <w:rFonts w:ascii="Calibri" w:hAnsi="Calibri" w:cs="Calibri"/>
          <w:sz w:val="22"/>
          <w:szCs w:val="22"/>
        </w:rPr>
        <w:t xml:space="preserve"> deeper investigation and </w:t>
      </w:r>
      <w:r w:rsidR="001D5DAE" w:rsidRPr="00361315">
        <w:rPr>
          <w:rFonts w:ascii="Calibri" w:hAnsi="Calibri" w:cs="Calibri"/>
          <w:sz w:val="22"/>
          <w:szCs w:val="22"/>
        </w:rPr>
        <w:t>actions logged for forensic records. Finally, systems are restored using clean backup</w:t>
      </w:r>
      <w:r w:rsidR="001D5DAE">
        <w:rPr>
          <w:rFonts w:ascii="Calibri" w:hAnsi="Calibri" w:cs="Calibri"/>
          <w:sz w:val="22"/>
          <w:szCs w:val="22"/>
        </w:rPr>
        <w:t>s, which cuts</w:t>
      </w:r>
      <w:r w:rsidR="001D5DAE" w:rsidRPr="00361315">
        <w:rPr>
          <w:rFonts w:ascii="Calibri" w:hAnsi="Calibri" w:cs="Calibri"/>
          <w:sz w:val="22"/>
          <w:szCs w:val="22"/>
        </w:rPr>
        <w:t xml:space="preserve"> </w:t>
      </w:r>
      <w:r w:rsidR="001D5DAE">
        <w:rPr>
          <w:rFonts w:ascii="Calibri" w:hAnsi="Calibri" w:cs="Calibri"/>
          <w:sz w:val="22"/>
          <w:szCs w:val="22"/>
        </w:rPr>
        <w:t xml:space="preserve">response </w:t>
      </w:r>
      <w:r w:rsidR="001D5DAE" w:rsidRPr="00361315">
        <w:rPr>
          <w:rFonts w:ascii="Calibri" w:hAnsi="Calibri" w:cs="Calibri"/>
          <w:sz w:val="22"/>
          <w:szCs w:val="22"/>
        </w:rPr>
        <w:t>times from hours to seconds, allowing organizations to stop threats much faster than manual processes would allow.</w:t>
      </w:r>
    </w:p>
    <w:p w:rsidR="00961D2B" w:rsidRPr="0054423D" w:rsidRDefault="00F018BB" w:rsidP="00F137CD">
      <w:pPr>
        <w:pStyle w:val="Heading2"/>
        <w:rPr>
          <w:b/>
          <w:color w:val="auto"/>
          <w:sz w:val="28"/>
          <w:szCs w:val="28"/>
        </w:rPr>
      </w:pPr>
      <w:bookmarkStart w:id="18" w:name="_Toc216919860"/>
      <w:r w:rsidRPr="0054423D">
        <w:rPr>
          <w:b/>
          <w:color w:val="auto"/>
          <w:sz w:val="28"/>
          <w:szCs w:val="28"/>
        </w:rPr>
        <w:t>5</w:t>
      </w:r>
      <w:r w:rsidR="00961D2B" w:rsidRPr="0054423D">
        <w:rPr>
          <w:b/>
          <w:color w:val="auto"/>
          <w:sz w:val="28"/>
          <w:szCs w:val="28"/>
        </w:rPr>
        <w:t>.3 Cloud Security Posture Management (CSPM) and Patch Management</w:t>
      </w:r>
      <w:bookmarkEnd w:id="18"/>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CSPM solutions monitor cloud configurations (AWS, Azure, Google Cloud) for security misconfigurations, unencrypted storage, open security groups, and policy violations. Patch management prioritizes vulnerabilities by CISA Known Exploited Vulnerabilities (KEV) status. CISA's continuously updated catalogue identifies actively exploited vulnerabilities requiring priority remediation (24-48 ho</w:t>
      </w:r>
      <w:r w:rsidR="00382704">
        <w:rPr>
          <w:rFonts w:ascii="Calibri" w:hAnsi="Calibri" w:cs="Calibri"/>
          <w:sz w:val="22"/>
          <w:szCs w:val="22"/>
        </w:rPr>
        <w:t>urs from patch availability)</w:t>
      </w:r>
      <w:r w:rsidR="00382704" w:rsidRPr="00352196">
        <w:rPr>
          <w:rFonts w:ascii="Calibri" w:hAnsi="Calibri" w:cs="Calibri"/>
          <w:b/>
          <w:sz w:val="24"/>
          <w:szCs w:val="24"/>
        </w:rPr>
        <w:t>[16</w:t>
      </w:r>
      <w:r w:rsidRPr="00352196">
        <w:rPr>
          <w:rFonts w:ascii="Calibri" w:hAnsi="Calibri" w:cs="Calibri"/>
          <w:b/>
          <w:sz w:val="24"/>
          <w:szCs w:val="24"/>
        </w:rPr>
        <w:t>].</w:t>
      </w:r>
      <w:r w:rsidRPr="00BB25CF">
        <w:rPr>
          <w:rFonts w:ascii="Calibri" w:hAnsi="Calibri" w:cs="Calibri"/>
          <w:sz w:val="22"/>
          <w:szCs w:val="22"/>
        </w:rPr>
        <w:t xml:space="preserve"> Automated patching tools reduce exploitation windows. Non-critical patches are scheduled for regular maintenance windows; critical security patches deploy immediately upon testing.</w:t>
      </w:r>
    </w:p>
    <w:p w:rsidR="00961D2B" w:rsidRPr="00AA5C66" w:rsidRDefault="00F018BB" w:rsidP="00F137CD">
      <w:pPr>
        <w:pStyle w:val="Heading2"/>
        <w:rPr>
          <w:b/>
          <w:color w:val="auto"/>
          <w:sz w:val="28"/>
          <w:szCs w:val="28"/>
        </w:rPr>
      </w:pPr>
      <w:bookmarkStart w:id="19" w:name="_Toc216919861"/>
      <w:r w:rsidRPr="00AA5C66">
        <w:rPr>
          <w:b/>
          <w:color w:val="auto"/>
          <w:sz w:val="28"/>
          <w:szCs w:val="28"/>
        </w:rPr>
        <w:t>5</w:t>
      </w:r>
      <w:r w:rsidR="00961D2B" w:rsidRPr="00AA5C66">
        <w:rPr>
          <w:b/>
          <w:color w:val="auto"/>
          <w:sz w:val="28"/>
          <w:szCs w:val="28"/>
        </w:rPr>
        <w:t>.4 Endpoint Detection and Response (EDR) and Immutable Backups</w:t>
      </w:r>
      <w:bookmarkEnd w:id="19"/>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EDR solutions monitor endpoint devices (laptops, desktops, servers) for suspicious activity: process execution, network connections, and file modifications. EDR tools provide forensic capabilities enabling security teams to reconstruct attack timelines. Immutable backups represent the most effective ransomware mitigation. Unlike standard backups attackers can corrupt or delete, immutable backups cannot be modified or deleted by administrators. Implementation approaches include: separate backup infrastructure (isolated systems with restricted administrative access), geographic redundancy (geographically separate locations preventing total loss), retention policies (multiple backup snapshots spanning weeks/months enabling recovery from delayed-detection attacks), and regular testing (periodic restoration testing validates backup integrity and recovery time objectives).</w:t>
      </w:r>
    </w:p>
    <w:p w:rsidR="00961D2B" w:rsidRPr="00DA0B4D" w:rsidRDefault="00F018BB" w:rsidP="005B2540">
      <w:pPr>
        <w:pStyle w:val="Heading1"/>
        <w:rPr>
          <w:b/>
          <w:color w:val="auto"/>
          <w:sz w:val="36"/>
          <w:szCs w:val="36"/>
        </w:rPr>
      </w:pPr>
      <w:bookmarkStart w:id="20" w:name="_Toc216919862"/>
      <w:r w:rsidRPr="00DA0B4D">
        <w:rPr>
          <w:b/>
          <w:color w:val="auto"/>
          <w:sz w:val="36"/>
          <w:szCs w:val="36"/>
        </w:rPr>
        <w:t>6</w:t>
      </w:r>
      <w:r w:rsidR="00961D2B" w:rsidRPr="00DA0B4D">
        <w:rPr>
          <w:b/>
          <w:color w:val="auto"/>
          <w:sz w:val="36"/>
          <w:szCs w:val="36"/>
        </w:rPr>
        <w:t>. PROACTIVE MONITORING AND INCIDENT RESPONSE</w:t>
      </w:r>
      <w:bookmarkEnd w:id="20"/>
    </w:p>
    <w:p w:rsidR="00961D2B" w:rsidRPr="00AA5C66" w:rsidRDefault="00F018BB" w:rsidP="00F137CD">
      <w:pPr>
        <w:pStyle w:val="Heading2"/>
        <w:rPr>
          <w:b/>
          <w:color w:val="auto"/>
          <w:sz w:val="28"/>
          <w:szCs w:val="28"/>
        </w:rPr>
      </w:pPr>
      <w:bookmarkStart w:id="21" w:name="_Toc216919863"/>
      <w:r w:rsidRPr="00AA5C66">
        <w:rPr>
          <w:b/>
          <w:color w:val="auto"/>
          <w:sz w:val="28"/>
          <w:szCs w:val="28"/>
        </w:rPr>
        <w:t>6</w:t>
      </w:r>
      <w:r w:rsidR="00961D2B" w:rsidRPr="00AA5C66">
        <w:rPr>
          <w:b/>
          <w:color w:val="auto"/>
          <w:sz w:val="28"/>
          <w:szCs w:val="28"/>
        </w:rPr>
        <w:t xml:space="preserve">.1 </w:t>
      </w:r>
      <w:r w:rsidR="00DA0B4D" w:rsidRPr="00AA5C66">
        <w:rPr>
          <w:b/>
          <w:color w:val="auto"/>
          <w:sz w:val="28"/>
          <w:szCs w:val="28"/>
        </w:rPr>
        <w:t xml:space="preserve">A </w:t>
      </w:r>
      <w:r w:rsidR="00961D2B" w:rsidRPr="00AA5C66">
        <w:rPr>
          <w:b/>
          <w:color w:val="auto"/>
          <w:sz w:val="28"/>
          <w:szCs w:val="28"/>
        </w:rPr>
        <w:t xml:space="preserve">24/7 Security Operations </w:t>
      </w:r>
      <w:r w:rsidR="001D5DAE" w:rsidRPr="00AA5C66">
        <w:rPr>
          <w:b/>
          <w:color w:val="auto"/>
          <w:sz w:val="28"/>
          <w:szCs w:val="28"/>
        </w:rPr>
        <w:t>Centre</w:t>
      </w:r>
      <w:r w:rsidR="00961D2B" w:rsidRPr="00AA5C66">
        <w:rPr>
          <w:b/>
          <w:color w:val="auto"/>
          <w:sz w:val="28"/>
          <w:szCs w:val="28"/>
        </w:rPr>
        <w:t xml:space="preserve"> (SOC)</w:t>
      </w:r>
      <w:bookmarkEnd w:id="21"/>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 xml:space="preserve">Continuous monitoring requires staffing a Security Operations </w:t>
      </w:r>
      <w:r w:rsidR="001D5DAE" w:rsidRPr="00BB25CF">
        <w:rPr>
          <w:rFonts w:ascii="Calibri" w:hAnsi="Calibri" w:cs="Calibri"/>
          <w:sz w:val="22"/>
          <w:szCs w:val="22"/>
        </w:rPr>
        <w:t>Centre</w:t>
      </w:r>
      <w:r w:rsidRPr="00BB25CF">
        <w:rPr>
          <w:rFonts w:ascii="Calibri" w:hAnsi="Calibri" w:cs="Calibri"/>
          <w:sz w:val="22"/>
          <w:szCs w:val="22"/>
        </w:rPr>
        <w:t xml:space="preserve"> with security professionals monitoring alerts, investigating suspicious activities, and initiating response procedures. SOC staffing covers business hours with on-call personnel for critical incidents outside normal hours. SOC </w:t>
      </w:r>
      <w:r w:rsidRPr="00BB25CF">
        <w:rPr>
          <w:rFonts w:ascii="Calibri" w:hAnsi="Calibri" w:cs="Calibri"/>
          <w:sz w:val="22"/>
          <w:szCs w:val="22"/>
        </w:rPr>
        <w:lastRenderedPageBreak/>
        <w:t>responsibilities include alert triage, threat investigation, incident escalation, and business unit coordination. Key performance indicators include mean time to detect (MTTD) and mean time to respond (MTTR).</w:t>
      </w:r>
    </w:p>
    <w:p w:rsidR="00961D2B" w:rsidRPr="00AA5C66" w:rsidRDefault="00F018BB" w:rsidP="00F137CD">
      <w:pPr>
        <w:pStyle w:val="Heading2"/>
        <w:rPr>
          <w:b/>
          <w:color w:val="auto"/>
          <w:sz w:val="28"/>
          <w:szCs w:val="28"/>
        </w:rPr>
      </w:pPr>
      <w:bookmarkStart w:id="22" w:name="_Toc216919864"/>
      <w:r w:rsidRPr="00AA5C66">
        <w:rPr>
          <w:b/>
          <w:color w:val="auto"/>
          <w:sz w:val="28"/>
          <w:szCs w:val="28"/>
        </w:rPr>
        <w:t>6</w:t>
      </w:r>
      <w:r w:rsidR="00961D2B" w:rsidRPr="00AA5C66">
        <w:rPr>
          <w:b/>
          <w:color w:val="auto"/>
          <w:sz w:val="28"/>
          <w:szCs w:val="28"/>
        </w:rPr>
        <w:t>.2 Incident Classification and Response Procedures</w:t>
      </w:r>
      <w:bookmarkEnd w:id="22"/>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Incidents are cl</w:t>
      </w:r>
      <w:r w:rsidR="00487128">
        <w:rPr>
          <w:rFonts w:ascii="Calibri" w:hAnsi="Calibri" w:cs="Calibri"/>
          <w:sz w:val="22"/>
          <w:szCs w:val="22"/>
        </w:rPr>
        <w:t xml:space="preserve">assified by severity i.e. (i) </w:t>
      </w:r>
      <w:r w:rsidR="00487128" w:rsidRPr="00487128">
        <w:rPr>
          <w:rFonts w:ascii="Calibri" w:hAnsi="Calibri" w:cs="Calibri"/>
          <w:b/>
          <w:sz w:val="22"/>
          <w:szCs w:val="22"/>
        </w:rPr>
        <w:t>Critical:</w:t>
      </w:r>
      <w:r w:rsidR="00487128">
        <w:rPr>
          <w:rFonts w:ascii="Calibri" w:hAnsi="Calibri" w:cs="Calibri"/>
          <w:sz w:val="22"/>
          <w:szCs w:val="22"/>
        </w:rPr>
        <w:t xml:space="preserve"> </w:t>
      </w:r>
      <w:r w:rsidRPr="00BB25CF">
        <w:rPr>
          <w:rFonts w:ascii="Calibri" w:hAnsi="Calibri" w:cs="Calibri"/>
          <w:sz w:val="22"/>
          <w:szCs w:val="22"/>
        </w:rPr>
        <w:t xml:space="preserve">active data exfiltration, ransomware deployment, unauthorized financial </w:t>
      </w:r>
      <w:r w:rsidR="00487128">
        <w:rPr>
          <w:rFonts w:ascii="Calibri" w:hAnsi="Calibri" w:cs="Calibri"/>
          <w:sz w:val="22"/>
          <w:szCs w:val="22"/>
        </w:rPr>
        <w:t xml:space="preserve">system access, </w:t>
      </w:r>
      <w:r w:rsidRPr="00BB25CF">
        <w:rPr>
          <w:rFonts w:ascii="Calibri" w:hAnsi="Calibri" w:cs="Calibri"/>
          <w:sz w:val="22"/>
          <w:szCs w:val="22"/>
        </w:rPr>
        <w:t xml:space="preserve">response initiates immediately; </w:t>
      </w:r>
      <w:r w:rsidR="00487128">
        <w:rPr>
          <w:rFonts w:ascii="Calibri" w:hAnsi="Calibri" w:cs="Calibri"/>
          <w:sz w:val="22"/>
          <w:szCs w:val="22"/>
        </w:rPr>
        <w:t xml:space="preserve">(ii) </w:t>
      </w:r>
      <w:r w:rsidRPr="00487128">
        <w:rPr>
          <w:rFonts w:ascii="Calibri" w:hAnsi="Calibri" w:cs="Calibri"/>
          <w:b/>
          <w:sz w:val="22"/>
          <w:szCs w:val="22"/>
        </w:rPr>
        <w:t>High</w:t>
      </w:r>
      <w:r w:rsidR="00487128" w:rsidRPr="00487128">
        <w:rPr>
          <w:rFonts w:ascii="Calibri" w:hAnsi="Calibri" w:cs="Calibri"/>
          <w:b/>
          <w:sz w:val="22"/>
          <w:szCs w:val="22"/>
        </w:rPr>
        <w:t>:</w:t>
      </w:r>
      <w:r w:rsidR="00487128">
        <w:rPr>
          <w:rFonts w:ascii="Calibri" w:hAnsi="Calibri" w:cs="Calibri"/>
          <w:sz w:val="22"/>
          <w:szCs w:val="22"/>
        </w:rPr>
        <w:t xml:space="preserve"> </w:t>
      </w:r>
      <w:r w:rsidRPr="00BB25CF">
        <w:rPr>
          <w:rFonts w:ascii="Calibri" w:hAnsi="Calibri" w:cs="Calibri"/>
          <w:sz w:val="22"/>
          <w:szCs w:val="22"/>
        </w:rPr>
        <w:t>credential compromise,</w:t>
      </w:r>
      <w:r w:rsidR="00487128">
        <w:rPr>
          <w:rFonts w:ascii="Calibri" w:hAnsi="Calibri" w:cs="Calibri"/>
          <w:sz w:val="22"/>
          <w:szCs w:val="22"/>
        </w:rPr>
        <w:t xml:space="preserve"> suspicious lateral movement, </w:t>
      </w:r>
      <w:r w:rsidR="00DA6E03">
        <w:rPr>
          <w:rFonts w:ascii="Calibri" w:hAnsi="Calibri" w:cs="Calibri"/>
          <w:sz w:val="22"/>
          <w:szCs w:val="22"/>
        </w:rPr>
        <w:t>investigated</w:t>
      </w:r>
      <w:r w:rsidRPr="00BB25CF">
        <w:rPr>
          <w:rFonts w:ascii="Calibri" w:hAnsi="Calibri" w:cs="Calibri"/>
          <w:sz w:val="22"/>
          <w:szCs w:val="22"/>
        </w:rPr>
        <w:t xml:space="preserve"> within one hour; </w:t>
      </w:r>
      <w:r w:rsidR="00487128">
        <w:rPr>
          <w:rFonts w:ascii="Calibri" w:hAnsi="Calibri" w:cs="Calibri"/>
          <w:sz w:val="22"/>
          <w:szCs w:val="22"/>
        </w:rPr>
        <w:t xml:space="preserve">(iii) </w:t>
      </w:r>
      <w:r w:rsidRPr="00487128">
        <w:rPr>
          <w:rFonts w:ascii="Calibri" w:hAnsi="Calibri" w:cs="Calibri"/>
          <w:b/>
          <w:sz w:val="22"/>
          <w:szCs w:val="22"/>
        </w:rPr>
        <w:t>Medium</w:t>
      </w:r>
      <w:r w:rsidR="00487128" w:rsidRPr="00487128">
        <w:rPr>
          <w:rFonts w:ascii="Calibri" w:hAnsi="Calibri" w:cs="Calibri"/>
          <w:b/>
          <w:sz w:val="22"/>
          <w:szCs w:val="22"/>
        </w:rPr>
        <w:t>:</w:t>
      </w:r>
      <w:r w:rsidR="00487128">
        <w:rPr>
          <w:rFonts w:ascii="Calibri" w:hAnsi="Calibri" w:cs="Calibri"/>
          <w:sz w:val="22"/>
          <w:szCs w:val="22"/>
        </w:rPr>
        <w:t xml:space="preserve"> </w:t>
      </w:r>
      <w:r w:rsidRPr="00BB25CF">
        <w:rPr>
          <w:rFonts w:ascii="Calibri" w:hAnsi="Calibri" w:cs="Calibri"/>
          <w:sz w:val="22"/>
          <w:szCs w:val="22"/>
        </w:rPr>
        <w:t>isolated suspicious even</w:t>
      </w:r>
      <w:r w:rsidR="00487128">
        <w:rPr>
          <w:rFonts w:ascii="Calibri" w:hAnsi="Calibri" w:cs="Calibri"/>
          <w:sz w:val="22"/>
          <w:szCs w:val="22"/>
        </w:rPr>
        <w:t>ts, minimal immediate impact, investigate</w:t>
      </w:r>
      <w:r w:rsidRPr="00BB25CF">
        <w:rPr>
          <w:rFonts w:ascii="Calibri" w:hAnsi="Calibri" w:cs="Calibri"/>
          <w:sz w:val="22"/>
          <w:szCs w:val="22"/>
        </w:rPr>
        <w:t xml:space="preserve"> within 24 hours; </w:t>
      </w:r>
      <w:r w:rsidR="00487128">
        <w:rPr>
          <w:rFonts w:ascii="Calibri" w:hAnsi="Calibri" w:cs="Calibri"/>
          <w:sz w:val="22"/>
          <w:szCs w:val="22"/>
        </w:rPr>
        <w:t xml:space="preserve">(iv) </w:t>
      </w:r>
      <w:r w:rsidRPr="00487128">
        <w:rPr>
          <w:rFonts w:ascii="Calibri" w:hAnsi="Calibri" w:cs="Calibri"/>
          <w:b/>
          <w:sz w:val="22"/>
          <w:szCs w:val="22"/>
        </w:rPr>
        <w:t>Low</w:t>
      </w:r>
      <w:r w:rsidR="00487128" w:rsidRPr="00487128">
        <w:rPr>
          <w:rFonts w:ascii="Calibri" w:hAnsi="Calibri" w:cs="Calibri"/>
          <w:b/>
          <w:sz w:val="22"/>
          <w:szCs w:val="22"/>
        </w:rPr>
        <w:t>:</w:t>
      </w:r>
      <w:r w:rsidRPr="00BB25CF">
        <w:rPr>
          <w:rFonts w:ascii="Calibri" w:hAnsi="Calibri" w:cs="Calibri"/>
          <w:sz w:val="22"/>
          <w:szCs w:val="22"/>
        </w:rPr>
        <w:t xml:space="preserve"> potential attacks, mini</w:t>
      </w:r>
      <w:r w:rsidR="00F3301C">
        <w:rPr>
          <w:rFonts w:ascii="Calibri" w:hAnsi="Calibri" w:cs="Calibri"/>
          <w:sz w:val="22"/>
          <w:szCs w:val="22"/>
        </w:rPr>
        <w:t>mal exploitation probability,</w:t>
      </w:r>
      <w:r w:rsidR="00487128">
        <w:rPr>
          <w:rFonts w:ascii="Calibri" w:hAnsi="Calibri" w:cs="Calibri"/>
          <w:sz w:val="22"/>
          <w:szCs w:val="22"/>
        </w:rPr>
        <w:t xml:space="preserve"> investigated</w:t>
      </w:r>
      <w:r w:rsidRPr="00BB25CF">
        <w:rPr>
          <w:rFonts w:ascii="Calibri" w:hAnsi="Calibri" w:cs="Calibri"/>
          <w:sz w:val="22"/>
          <w:szCs w:val="22"/>
        </w:rPr>
        <w:t xml:space="preserve"> within 72 hours.</w:t>
      </w:r>
    </w:p>
    <w:p w:rsidR="00AA5C66" w:rsidRDefault="00AA5C66" w:rsidP="00961D2B">
      <w:pPr>
        <w:pStyle w:val="PlainText"/>
        <w:spacing w:beforeAutospacing="0" w:afterAutospacing="0" w:line="360" w:lineRule="auto"/>
        <w:jc w:val="both"/>
        <w:rPr>
          <w:rFonts w:ascii="Calibri" w:hAnsi="Calibri" w:cs="Calibri"/>
          <w:b/>
          <w:sz w:val="22"/>
          <w:szCs w:val="22"/>
        </w:rPr>
      </w:pPr>
    </w:p>
    <w:p w:rsidR="00382704" w:rsidRPr="00382704" w:rsidRDefault="00382704" w:rsidP="00961D2B">
      <w:pPr>
        <w:pStyle w:val="PlainText"/>
        <w:spacing w:beforeAutospacing="0" w:afterAutospacing="0" w:line="360" w:lineRule="auto"/>
        <w:jc w:val="both"/>
        <w:rPr>
          <w:rFonts w:ascii="Calibri" w:hAnsi="Calibri" w:cs="Calibri"/>
          <w:b/>
          <w:sz w:val="22"/>
          <w:szCs w:val="22"/>
        </w:rPr>
      </w:pPr>
      <w:r w:rsidRPr="00382704">
        <w:rPr>
          <w:rFonts w:ascii="Calibri" w:hAnsi="Calibri" w:cs="Calibri"/>
          <w:b/>
          <w:sz w:val="22"/>
          <w:szCs w:val="22"/>
        </w:rPr>
        <w:t>SIEM/SOAR Workflow</w:t>
      </w:r>
      <w:r>
        <w:rPr>
          <w:rFonts w:ascii="Calibri" w:hAnsi="Calibri" w:cs="Calibri"/>
          <w:b/>
          <w:sz w:val="22"/>
          <w:szCs w:val="22"/>
        </w:rPr>
        <w:t xml:space="preserve"> Diagram </w:t>
      </w:r>
      <w:r w:rsidRPr="007C548A">
        <w:rPr>
          <w:rFonts w:ascii="Calibri" w:hAnsi="Calibri" w:cs="Calibri"/>
          <w:b/>
          <w:sz w:val="24"/>
          <w:szCs w:val="24"/>
        </w:rPr>
        <w:t>[17]</w:t>
      </w:r>
    </w:p>
    <w:p w:rsidR="00382704" w:rsidRPr="00361315" w:rsidRDefault="00382704" w:rsidP="00961D2B">
      <w:pPr>
        <w:pStyle w:val="PlainText"/>
        <w:spacing w:beforeAutospacing="0" w:afterAutospacing="0" w:line="360" w:lineRule="auto"/>
        <w:jc w:val="both"/>
        <w:rPr>
          <w:rFonts w:ascii="Calibri" w:hAnsi="Calibri" w:cs="Calibri"/>
          <w:sz w:val="22"/>
          <w:szCs w:val="22"/>
        </w:rPr>
      </w:pPr>
      <w:r>
        <w:rPr>
          <w:rFonts w:ascii="Calibri" w:hAnsi="Calibri" w:cs="Calibri"/>
          <w:noProof/>
          <w:sz w:val="22"/>
          <w:szCs w:val="22"/>
          <w:lang w:eastAsia="en-GB"/>
        </w:rPr>
        <w:drawing>
          <wp:inline distT="0" distB="0" distL="0" distR="0">
            <wp:extent cx="5731510" cy="1595732"/>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5731510" cy="1595732"/>
                    </a:xfrm>
                    <a:prstGeom prst="rect">
                      <a:avLst/>
                    </a:prstGeom>
                    <a:noFill/>
                    <a:ln w="9525">
                      <a:noFill/>
                      <a:miter lim="800000"/>
                      <a:headEnd/>
                      <a:tailEnd/>
                    </a:ln>
                  </pic:spPr>
                </pic:pic>
              </a:graphicData>
            </a:graphic>
          </wp:inline>
        </w:drawing>
      </w:r>
    </w:p>
    <w:p w:rsidR="00961D2B" w:rsidRPr="00AA5C66" w:rsidRDefault="00F018BB" w:rsidP="005B2540">
      <w:pPr>
        <w:pStyle w:val="Heading1"/>
        <w:rPr>
          <w:b/>
          <w:color w:val="auto"/>
          <w:sz w:val="36"/>
          <w:szCs w:val="36"/>
        </w:rPr>
      </w:pPr>
      <w:bookmarkStart w:id="23" w:name="_Toc216919865"/>
      <w:r w:rsidRPr="00AA5C66">
        <w:rPr>
          <w:b/>
          <w:color w:val="auto"/>
          <w:sz w:val="36"/>
          <w:szCs w:val="36"/>
        </w:rPr>
        <w:t>7</w:t>
      </w:r>
      <w:r w:rsidR="00961D2B" w:rsidRPr="00AA5C66">
        <w:rPr>
          <w:b/>
          <w:color w:val="auto"/>
          <w:sz w:val="36"/>
          <w:szCs w:val="36"/>
        </w:rPr>
        <w:t>. CONTINUOUS TRAINING AND AWARENESS</w:t>
      </w:r>
      <w:bookmarkEnd w:id="23"/>
    </w:p>
    <w:p w:rsidR="00961D2B" w:rsidRPr="00AA5C66" w:rsidRDefault="00F018BB" w:rsidP="00F137CD">
      <w:pPr>
        <w:pStyle w:val="Heading2"/>
        <w:rPr>
          <w:b/>
          <w:color w:val="auto"/>
          <w:sz w:val="28"/>
          <w:szCs w:val="28"/>
        </w:rPr>
      </w:pPr>
      <w:bookmarkStart w:id="24" w:name="_Toc216919866"/>
      <w:r w:rsidRPr="00AA5C66">
        <w:rPr>
          <w:b/>
          <w:color w:val="auto"/>
          <w:sz w:val="28"/>
          <w:szCs w:val="28"/>
        </w:rPr>
        <w:t>7</w:t>
      </w:r>
      <w:r w:rsidR="00961D2B" w:rsidRPr="00AA5C66">
        <w:rPr>
          <w:b/>
          <w:color w:val="auto"/>
          <w:sz w:val="28"/>
          <w:szCs w:val="28"/>
        </w:rPr>
        <w:t>.1 Modern Attack Simulation Program</w:t>
      </w:r>
      <w:bookmarkEnd w:id="24"/>
    </w:p>
    <w:p w:rsidR="00961D2B" w:rsidRPr="00BB25CF" w:rsidRDefault="00961D2B" w:rsidP="00961D2B">
      <w:pPr>
        <w:pStyle w:val="PlainText"/>
        <w:spacing w:beforeAutospacing="0" w:afterAutospacing="0" w:line="360" w:lineRule="auto"/>
        <w:jc w:val="both"/>
        <w:rPr>
          <w:rFonts w:ascii="Calibri" w:hAnsi="Calibri" w:cs="Calibri"/>
          <w:b/>
          <w:sz w:val="28"/>
          <w:szCs w:val="28"/>
        </w:rPr>
      </w:pPr>
      <w:r w:rsidRPr="00BB25CF">
        <w:rPr>
          <w:rFonts w:ascii="Calibri" w:hAnsi="Calibri" w:cs="Calibri"/>
          <w:sz w:val="22"/>
          <w:szCs w:val="22"/>
        </w:rPr>
        <w:t>Effective training moves beyond annual co</w:t>
      </w:r>
      <w:r w:rsidR="0058416E">
        <w:rPr>
          <w:rFonts w:ascii="Calibri" w:hAnsi="Calibri" w:cs="Calibri"/>
          <w:sz w:val="22"/>
          <w:szCs w:val="22"/>
        </w:rPr>
        <w:t>mpliance videos. VTAM can implement continuous attack simulation.</w:t>
      </w:r>
      <w:r w:rsidRPr="00BB25CF">
        <w:rPr>
          <w:rFonts w:ascii="Calibri" w:hAnsi="Calibri" w:cs="Calibri"/>
          <w:sz w:val="22"/>
          <w:szCs w:val="22"/>
        </w:rPr>
        <w:t xml:space="preserve"> </w:t>
      </w:r>
      <w:r w:rsidR="0058416E">
        <w:rPr>
          <w:rFonts w:ascii="Calibri" w:hAnsi="Calibri" w:cs="Calibri"/>
          <w:sz w:val="22"/>
          <w:szCs w:val="22"/>
        </w:rPr>
        <w:t>This can include m</w:t>
      </w:r>
      <w:r w:rsidRPr="00BB25CF">
        <w:rPr>
          <w:rFonts w:ascii="Calibri" w:hAnsi="Calibri" w:cs="Calibri"/>
          <w:sz w:val="22"/>
          <w:szCs w:val="22"/>
        </w:rPr>
        <w:t xml:space="preserve">onthly phishing simulations with legitimate-appearing messages &amp; </w:t>
      </w:r>
      <w:r w:rsidR="0058416E">
        <w:rPr>
          <w:rFonts w:ascii="Calibri" w:hAnsi="Calibri" w:cs="Calibri"/>
          <w:sz w:val="22"/>
          <w:szCs w:val="22"/>
        </w:rPr>
        <w:t>q</w:t>
      </w:r>
      <w:r w:rsidR="0058416E" w:rsidRPr="00BB25CF">
        <w:rPr>
          <w:rFonts w:ascii="Calibri" w:hAnsi="Calibri" w:cs="Calibri"/>
          <w:sz w:val="22"/>
          <w:szCs w:val="22"/>
        </w:rPr>
        <w:t>uarterly vishing drills simulating phone calls from attackers impersonating IT</w:t>
      </w:r>
      <w:r w:rsidR="0058416E">
        <w:rPr>
          <w:rFonts w:ascii="Calibri" w:hAnsi="Calibri" w:cs="Calibri"/>
          <w:sz w:val="22"/>
          <w:szCs w:val="22"/>
        </w:rPr>
        <w:t>.</w:t>
      </w:r>
      <w:r w:rsidR="0058416E" w:rsidRPr="00BB25CF">
        <w:rPr>
          <w:rFonts w:ascii="Calibri" w:hAnsi="Calibri" w:cs="Calibri"/>
          <w:sz w:val="22"/>
          <w:szCs w:val="22"/>
        </w:rPr>
        <w:t xml:space="preserve"> </w:t>
      </w:r>
      <w:r w:rsidRPr="00BB25CF">
        <w:rPr>
          <w:rFonts w:ascii="Calibri" w:hAnsi="Calibri" w:cs="Calibri"/>
          <w:sz w:val="22"/>
          <w:szCs w:val="22"/>
        </w:rPr>
        <w:t xml:space="preserve">Real-world scenario training </w:t>
      </w:r>
      <w:r w:rsidR="0058416E">
        <w:rPr>
          <w:rFonts w:ascii="Calibri" w:hAnsi="Calibri" w:cs="Calibri"/>
          <w:sz w:val="22"/>
          <w:szCs w:val="22"/>
        </w:rPr>
        <w:t>can also be arranged quarterly to address</w:t>
      </w:r>
      <w:r w:rsidRPr="00BB25CF">
        <w:rPr>
          <w:rFonts w:ascii="Calibri" w:hAnsi="Calibri" w:cs="Calibri"/>
          <w:sz w:val="22"/>
          <w:szCs w:val="22"/>
        </w:rPr>
        <w:t xml:space="preserve"> sophisticated attacks</w:t>
      </w:r>
      <w:r w:rsidR="0058416E">
        <w:rPr>
          <w:rFonts w:ascii="Calibri" w:hAnsi="Calibri" w:cs="Calibri"/>
          <w:sz w:val="22"/>
          <w:szCs w:val="22"/>
        </w:rPr>
        <w:t>, seen with the TFL data breach.</w:t>
      </w:r>
    </w:p>
    <w:p w:rsidR="00961D2B" w:rsidRPr="00AA5C66" w:rsidRDefault="00F018BB" w:rsidP="00F137CD">
      <w:pPr>
        <w:pStyle w:val="Heading2"/>
        <w:rPr>
          <w:b/>
          <w:color w:val="auto"/>
          <w:sz w:val="28"/>
          <w:szCs w:val="28"/>
        </w:rPr>
      </w:pPr>
      <w:bookmarkStart w:id="25" w:name="_Toc216919867"/>
      <w:r w:rsidRPr="00AA5C66">
        <w:rPr>
          <w:b/>
          <w:color w:val="auto"/>
          <w:sz w:val="28"/>
          <w:szCs w:val="28"/>
        </w:rPr>
        <w:t>7</w:t>
      </w:r>
      <w:r w:rsidR="00961D2B" w:rsidRPr="00AA5C66">
        <w:rPr>
          <w:b/>
          <w:color w:val="auto"/>
          <w:sz w:val="28"/>
          <w:szCs w:val="28"/>
        </w:rPr>
        <w:t>.2 Role-Specific Training</w:t>
      </w:r>
      <w:bookmarkEnd w:id="25"/>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Different roles require tailored training: Executive/Finance Team focuses on social engineering, executive impersonation, and unusual transaction requests, emphasizing multi-approval and verification proced</w:t>
      </w:r>
      <w:r w:rsidR="00DA6E03">
        <w:rPr>
          <w:rFonts w:ascii="Calibri" w:hAnsi="Calibri" w:cs="Calibri"/>
          <w:sz w:val="22"/>
          <w:szCs w:val="22"/>
        </w:rPr>
        <w:t>ures. IT/Security Staff receive</w:t>
      </w:r>
      <w:r w:rsidRPr="00BB25CF">
        <w:rPr>
          <w:rFonts w:ascii="Calibri" w:hAnsi="Calibri" w:cs="Calibri"/>
          <w:sz w:val="22"/>
          <w:szCs w:val="22"/>
        </w:rPr>
        <w:t xml:space="preserve"> advanced threat analysis, incident response procedures, and evidence preservation training. All Staff recei</w:t>
      </w:r>
      <w:r w:rsidR="00DA6E03">
        <w:rPr>
          <w:rFonts w:ascii="Calibri" w:hAnsi="Calibri" w:cs="Calibri"/>
          <w:sz w:val="22"/>
          <w:szCs w:val="22"/>
        </w:rPr>
        <w:t>ve</w:t>
      </w:r>
      <w:r w:rsidRPr="00BB25CF">
        <w:rPr>
          <w:rFonts w:ascii="Calibri" w:hAnsi="Calibri" w:cs="Calibri"/>
          <w:sz w:val="22"/>
          <w:szCs w:val="22"/>
        </w:rPr>
        <w:t xml:space="preserve"> general security awareness covering password management, device security, phishing recognition, and incident reporting.</w:t>
      </w:r>
    </w:p>
    <w:p w:rsidR="00961D2B" w:rsidRPr="00AA5C66" w:rsidRDefault="00F018BB" w:rsidP="00F137CD">
      <w:pPr>
        <w:pStyle w:val="Heading2"/>
        <w:rPr>
          <w:b/>
          <w:color w:val="auto"/>
          <w:sz w:val="28"/>
          <w:szCs w:val="28"/>
        </w:rPr>
      </w:pPr>
      <w:bookmarkStart w:id="26" w:name="_Toc216919868"/>
      <w:r w:rsidRPr="00AA5C66">
        <w:rPr>
          <w:b/>
          <w:color w:val="auto"/>
          <w:sz w:val="28"/>
          <w:szCs w:val="28"/>
        </w:rPr>
        <w:lastRenderedPageBreak/>
        <w:t>7</w:t>
      </w:r>
      <w:r w:rsidR="00961D2B" w:rsidRPr="00AA5C66">
        <w:rPr>
          <w:b/>
          <w:color w:val="auto"/>
          <w:sz w:val="28"/>
          <w:szCs w:val="28"/>
        </w:rPr>
        <w:t>.3 Security Culture Development</w:t>
      </w:r>
      <w:bookmarkEnd w:id="26"/>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Culture change requires consistent messaging and visible leadership commitment. Security should be viewed as business enabler, not compliance burden. Recognition programs reward employees reporting suspicious activities and practicing security hygiene. Psychological research indicates effective security training transitions through stages: awareness (recognizing threats), understanding (comprehending implications), and behaviour change (modifying security practices). Continuous reinforcement through simulations and refresher training accelerates this transition.</w:t>
      </w:r>
    </w:p>
    <w:p w:rsidR="00961D2B" w:rsidRPr="00AA5C66" w:rsidRDefault="00F018BB" w:rsidP="005B2540">
      <w:pPr>
        <w:pStyle w:val="Heading1"/>
        <w:rPr>
          <w:b/>
          <w:color w:val="auto"/>
          <w:sz w:val="36"/>
          <w:szCs w:val="36"/>
        </w:rPr>
      </w:pPr>
      <w:bookmarkStart w:id="27" w:name="_Toc216919869"/>
      <w:r w:rsidRPr="00AA5C66">
        <w:rPr>
          <w:b/>
          <w:color w:val="auto"/>
          <w:sz w:val="36"/>
          <w:szCs w:val="36"/>
        </w:rPr>
        <w:t>8</w:t>
      </w:r>
      <w:r w:rsidR="00961D2B" w:rsidRPr="00AA5C66">
        <w:rPr>
          <w:b/>
          <w:color w:val="auto"/>
          <w:sz w:val="36"/>
          <w:szCs w:val="36"/>
        </w:rPr>
        <w:t>. RECOMMENDATIONS</w:t>
      </w:r>
      <w:bookmarkEnd w:id="27"/>
    </w:p>
    <w:p w:rsidR="00961D2B" w:rsidRPr="00AA5C66" w:rsidRDefault="00F018BB" w:rsidP="00F137CD">
      <w:pPr>
        <w:pStyle w:val="Heading2"/>
        <w:rPr>
          <w:b/>
          <w:color w:val="auto"/>
          <w:sz w:val="28"/>
          <w:szCs w:val="28"/>
        </w:rPr>
      </w:pPr>
      <w:bookmarkStart w:id="28" w:name="_Toc216919870"/>
      <w:r w:rsidRPr="00AA5C66">
        <w:rPr>
          <w:b/>
          <w:color w:val="auto"/>
          <w:sz w:val="28"/>
          <w:szCs w:val="28"/>
        </w:rPr>
        <w:t>8</w:t>
      </w:r>
      <w:r w:rsidR="00961D2B" w:rsidRPr="00AA5C66">
        <w:rPr>
          <w:b/>
          <w:color w:val="auto"/>
          <w:sz w:val="28"/>
          <w:szCs w:val="28"/>
        </w:rPr>
        <w:t>.1 Zero Trust Maturity Implementation</w:t>
      </w:r>
      <w:bookmarkEnd w:id="28"/>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 xml:space="preserve">VTAM should implement Zero Trust Architecture incrementally, aligning with CISA Zero Trust Maturity Model v2.0 </w:t>
      </w:r>
      <w:r w:rsidR="007C548A">
        <w:rPr>
          <w:rFonts w:ascii="Calibri" w:hAnsi="Calibri" w:cs="Calibri"/>
          <w:b/>
          <w:sz w:val="24"/>
          <w:szCs w:val="24"/>
        </w:rPr>
        <w:t>[18</w:t>
      </w:r>
      <w:r w:rsidRPr="007C548A">
        <w:rPr>
          <w:rFonts w:ascii="Calibri" w:hAnsi="Calibri" w:cs="Calibri"/>
          <w:b/>
          <w:sz w:val="24"/>
          <w:szCs w:val="24"/>
        </w:rPr>
        <w:t>].</w:t>
      </w:r>
      <w:r w:rsidRPr="00BB25CF">
        <w:rPr>
          <w:rFonts w:ascii="Calibri" w:hAnsi="Calibri" w:cs="Calibri"/>
          <w:sz w:val="22"/>
          <w:szCs w:val="22"/>
        </w:rPr>
        <w:t xml:space="preserve"> Immediate (Months 1-3): Deploy MFA for administrative accounts and email systems; implement initial microsegmentation separating financial systems from general office networks. Near-term (Months 4-9): Expand MFA to financial system users; deploy SIEM and initial EDR; implement CSPM for cloud infrastructure. Medium-term (Months 10-18): Achieve advanced Zero Trust maturity through comprehensive microsegmentation, continuous identity verification, and behavio</w:t>
      </w:r>
      <w:r w:rsidR="0058416E">
        <w:rPr>
          <w:rFonts w:ascii="Calibri" w:hAnsi="Calibri" w:cs="Calibri"/>
          <w:sz w:val="22"/>
          <w:szCs w:val="22"/>
        </w:rPr>
        <w:t>u</w:t>
      </w:r>
      <w:r w:rsidRPr="00BB25CF">
        <w:rPr>
          <w:rFonts w:ascii="Calibri" w:hAnsi="Calibri" w:cs="Calibri"/>
          <w:sz w:val="22"/>
          <w:szCs w:val="22"/>
        </w:rPr>
        <w:t>ral analytics.</w:t>
      </w:r>
    </w:p>
    <w:p w:rsidR="00961D2B" w:rsidRPr="00AA5C66" w:rsidRDefault="00F018BB" w:rsidP="00F137CD">
      <w:pPr>
        <w:pStyle w:val="Heading2"/>
        <w:rPr>
          <w:b/>
          <w:color w:val="auto"/>
          <w:sz w:val="28"/>
          <w:szCs w:val="28"/>
        </w:rPr>
      </w:pPr>
      <w:bookmarkStart w:id="29" w:name="_Toc216919871"/>
      <w:r w:rsidRPr="00AA5C66">
        <w:rPr>
          <w:b/>
          <w:color w:val="auto"/>
          <w:sz w:val="28"/>
          <w:szCs w:val="28"/>
        </w:rPr>
        <w:t>8</w:t>
      </w:r>
      <w:r w:rsidR="00961D2B" w:rsidRPr="00AA5C66">
        <w:rPr>
          <w:b/>
          <w:color w:val="auto"/>
          <w:sz w:val="28"/>
          <w:szCs w:val="28"/>
        </w:rPr>
        <w:t>.2 CISA Known Exploited Vulnerabilities (KEV) Alignment</w:t>
      </w:r>
      <w:bookmarkEnd w:id="29"/>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VTAM must align patch management with CISA's continuously updated KEV catalogue. KEV vulnerabilities are actively exploited by threat actors representing highest remediation priority (24-48 ho</w:t>
      </w:r>
      <w:r w:rsidR="007C548A">
        <w:rPr>
          <w:rFonts w:ascii="Calibri" w:hAnsi="Calibri" w:cs="Calibri"/>
          <w:sz w:val="22"/>
          <w:szCs w:val="22"/>
        </w:rPr>
        <w:t xml:space="preserve">urs from patch availability) </w:t>
      </w:r>
      <w:r w:rsidR="007C548A" w:rsidRPr="007C548A">
        <w:rPr>
          <w:rFonts w:ascii="Calibri" w:hAnsi="Calibri" w:cs="Calibri"/>
          <w:b/>
          <w:sz w:val="24"/>
          <w:szCs w:val="24"/>
        </w:rPr>
        <w:t>[19</w:t>
      </w:r>
      <w:r w:rsidRPr="007C548A">
        <w:rPr>
          <w:rFonts w:ascii="Calibri" w:hAnsi="Calibri" w:cs="Calibri"/>
          <w:b/>
          <w:sz w:val="24"/>
          <w:szCs w:val="24"/>
        </w:rPr>
        <w:t>].</w:t>
      </w:r>
      <w:r w:rsidRPr="00BB25CF">
        <w:rPr>
          <w:rFonts w:ascii="Calibri" w:hAnsi="Calibri" w:cs="Calibri"/>
          <w:sz w:val="22"/>
          <w:szCs w:val="22"/>
        </w:rPr>
        <w:t xml:space="preserve"> Implement automated scanning tools to identify systems containing KEV vulnerabilities. Conduct monthly security reviews verifying patch compliance and identifying gaps.</w:t>
      </w:r>
    </w:p>
    <w:p w:rsidR="00961D2B" w:rsidRPr="00AA5C66" w:rsidRDefault="00F018BB" w:rsidP="00F137CD">
      <w:pPr>
        <w:pStyle w:val="Heading2"/>
        <w:rPr>
          <w:b/>
          <w:color w:val="auto"/>
          <w:sz w:val="28"/>
          <w:szCs w:val="28"/>
        </w:rPr>
      </w:pPr>
      <w:bookmarkStart w:id="30" w:name="_Toc216919872"/>
      <w:r w:rsidRPr="00AA5C66">
        <w:rPr>
          <w:b/>
          <w:color w:val="auto"/>
          <w:sz w:val="28"/>
          <w:szCs w:val="28"/>
        </w:rPr>
        <w:t>8</w:t>
      </w:r>
      <w:r w:rsidR="00961D2B" w:rsidRPr="00AA5C66">
        <w:rPr>
          <w:b/>
          <w:color w:val="auto"/>
          <w:sz w:val="28"/>
          <w:szCs w:val="28"/>
        </w:rPr>
        <w:t>.3 Third-Party Vendor Risk Management</w:t>
      </w:r>
      <w:bookmarkEnd w:id="30"/>
    </w:p>
    <w:p w:rsidR="00961D2B" w:rsidRPr="00BB25CF" w:rsidRDefault="00F117D9" w:rsidP="00961D2B">
      <w:pPr>
        <w:pStyle w:val="PlainText"/>
        <w:spacing w:beforeAutospacing="0" w:afterAutospacing="0" w:line="360" w:lineRule="auto"/>
        <w:jc w:val="both"/>
        <w:rPr>
          <w:rFonts w:ascii="Calibri" w:hAnsi="Calibri" w:cs="Calibri"/>
          <w:sz w:val="22"/>
          <w:szCs w:val="22"/>
        </w:rPr>
      </w:pPr>
      <w:r>
        <w:rPr>
          <w:rFonts w:ascii="Calibri" w:hAnsi="Calibri" w:cs="Calibri"/>
          <w:sz w:val="22"/>
          <w:szCs w:val="22"/>
        </w:rPr>
        <w:t>Vendor risk management is s</w:t>
      </w:r>
      <w:r w:rsidRPr="00BB25CF">
        <w:rPr>
          <w:rFonts w:ascii="Calibri" w:hAnsi="Calibri" w:cs="Calibri"/>
          <w:sz w:val="22"/>
          <w:szCs w:val="22"/>
        </w:rPr>
        <w:t>trengthen</w:t>
      </w:r>
      <w:r>
        <w:rPr>
          <w:rFonts w:ascii="Calibri" w:hAnsi="Calibri" w:cs="Calibri"/>
          <w:sz w:val="22"/>
          <w:szCs w:val="22"/>
        </w:rPr>
        <w:t>ed</w:t>
      </w:r>
      <w:r w:rsidRPr="00BB25CF">
        <w:rPr>
          <w:rFonts w:ascii="Calibri" w:hAnsi="Calibri" w:cs="Calibri"/>
          <w:sz w:val="22"/>
          <w:szCs w:val="22"/>
        </w:rPr>
        <w:t xml:space="preserve"> </w:t>
      </w:r>
      <w:r>
        <w:rPr>
          <w:rFonts w:ascii="Calibri" w:hAnsi="Calibri" w:cs="Calibri"/>
          <w:sz w:val="22"/>
          <w:szCs w:val="22"/>
        </w:rPr>
        <w:t>through</w:t>
      </w:r>
      <w:r w:rsidR="00961D2B" w:rsidRPr="00BB25CF">
        <w:rPr>
          <w:rFonts w:ascii="Calibri" w:hAnsi="Calibri" w:cs="Calibri"/>
          <w:sz w:val="22"/>
          <w:szCs w:val="22"/>
        </w:rPr>
        <w:t xml:space="preserve"> annual vendor security assessments </w:t>
      </w:r>
      <w:r>
        <w:rPr>
          <w:rFonts w:ascii="Calibri" w:hAnsi="Calibri" w:cs="Calibri"/>
          <w:sz w:val="22"/>
          <w:szCs w:val="22"/>
        </w:rPr>
        <w:t xml:space="preserve">&amp; </w:t>
      </w:r>
      <w:r w:rsidR="00961D2B" w:rsidRPr="00BB25CF">
        <w:rPr>
          <w:rFonts w:ascii="Calibri" w:hAnsi="Calibri" w:cs="Calibri"/>
          <w:sz w:val="22"/>
          <w:szCs w:val="22"/>
        </w:rPr>
        <w:t>ev</w:t>
      </w:r>
      <w:r>
        <w:rPr>
          <w:rFonts w:ascii="Calibri" w:hAnsi="Calibri" w:cs="Calibri"/>
          <w:sz w:val="22"/>
          <w:szCs w:val="22"/>
        </w:rPr>
        <w:t>aluating cybersecurity controls. Other</w:t>
      </w:r>
      <w:r w:rsidR="00961D2B" w:rsidRPr="00BB25CF">
        <w:rPr>
          <w:rFonts w:ascii="Calibri" w:hAnsi="Calibri" w:cs="Calibri"/>
          <w:sz w:val="22"/>
          <w:szCs w:val="22"/>
        </w:rPr>
        <w:t xml:space="preserve"> </w:t>
      </w:r>
      <w:r>
        <w:rPr>
          <w:rFonts w:ascii="Calibri" w:hAnsi="Calibri" w:cs="Calibri"/>
          <w:sz w:val="22"/>
          <w:szCs w:val="22"/>
        </w:rPr>
        <w:t xml:space="preserve">vendor risk management include </w:t>
      </w:r>
      <w:r w:rsidR="00961D2B" w:rsidRPr="00BB25CF">
        <w:rPr>
          <w:rFonts w:ascii="Calibri" w:hAnsi="Calibri" w:cs="Calibri"/>
          <w:sz w:val="22"/>
          <w:szCs w:val="22"/>
        </w:rPr>
        <w:t xml:space="preserve">contractual requirements mandating vendor incident notification within 24 hours; periodic vendor re-assessment </w:t>
      </w:r>
      <w:r w:rsidR="003E44B2">
        <w:rPr>
          <w:rFonts w:ascii="Calibri" w:hAnsi="Calibri" w:cs="Calibri"/>
          <w:sz w:val="22"/>
          <w:szCs w:val="22"/>
        </w:rPr>
        <w:t xml:space="preserve">and </w:t>
      </w:r>
      <w:r w:rsidR="00961D2B" w:rsidRPr="00BB25CF">
        <w:rPr>
          <w:rFonts w:ascii="Calibri" w:hAnsi="Calibri" w:cs="Calibri"/>
          <w:sz w:val="22"/>
          <w:szCs w:val="22"/>
        </w:rPr>
        <w:t>software supp</w:t>
      </w:r>
      <w:r w:rsidR="003E44B2">
        <w:rPr>
          <w:rFonts w:ascii="Calibri" w:hAnsi="Calibri" w:cs="Calibri"/>
          <w:sz w:val="22"/>
          <w:szCs w:val="22"/>
        </w:rPr>
        <w:t>ly chain security verification i.e. digital signatures &amp; patch procedures</w:t>
      </w:r>
      <w:r w:rsidR="00961D2B" w:rsidRPr="00BB25CF">
        <w:rPr>
          <w:rFonts w:ascii="Calibri" w:hAnsi="Calibri" w:cs="Calibri"/>
          <w:sz w:val="22"/>
          <w:szCs w:val="22"/>
        </w:rPr>
        <w:t>.</w:t>
      </w:r>
    </w:p>
    <w:p w:rsidR="00961D2B" w:rsidRPr="00AA5C66" w:rsidRDefault="00F018BB" w:rsidP="00F137CD">
      <w:pPr>
        <w:pStyle w:val="Heading2"/>
        <w:rPr>
          <w:b/>
          <w:color w:val="auto"/>
          <w:sz w:val="28"/>
          <w:szCs w:val="28"/>
        </w:rPr>
      </w:pPr>
      <w:bookmarkStart w:id="31" w:name="_Toc216919873"/>
      <w:r w:rsidRPr="00AA5C66">
        <w:rPr>
          <w:b/>
          <w:color w:val="auto"/>
          <w:sz w:val="28"/>
          <w:szCs w:val="28"/>
        </w:rPr>
        <w:t>8</w:t>
      </w:r>
      <w:r w:rsidR="00961D2B" w:rsidRPr="00AA5C66">
        <w:rPr>
          <w:b/>
          <w:color w:val="auto"/>
          <w:sz w:val="28"/>
          <w:szCs w:val="28"/>
        </w:rPr>
        <w:t>.4 Investment Justification and Risk Mitigation</w:t>
      </w:r>
      <w:bookmarkEnd w:id="31"/>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 xml:space="preserve">Security investments represent risk mitigation and business resilience enhancement. A single ransomware incident could cost VTAM millions in ransom demands, business interruption, regulatory fines, and reputational damage. Compared to potential losses, security investments </w:t>
      </w:r>
      <w:r w:rsidRPr="00BB25CF">
        <w:rPr>
          <w:rFonts w:ascii="Calibri" w:hAnsi="Calibri" w:cs="Calibri"/>
          <w:sz w:val="22"/>
          <w:szCs w:val="22"/>
        </w:rPr>
        <w:lastRenderedPageBreak/>
        <w:t>represent prudent risk management. Security spending typically represents 5-10% of IT budgets for financial services organizations, protecting against threats causing losses orders of magnitude larger</w:t>
      </w:r>
      <w:r w:rsidR="007C548A">
        <w:rPr>
          <w:rFonts w:ascii="Calibri" w:hAnsi="Calibri" w:cs="Calibri"/>
          <w:b/>
          <w:sz w:val="24"/>
          <w:szCs w:val="24"/>
        </w:rPr>
        <w:t>[20</w:t>
      </w:r>
      <w:r w:rsidRPr="007C548A">
        <w:rPr>
          <w:rFonts w:ascii="Calibri" w:hAnsi="Calibri" w:cs="Calibri"/>
          <w:b/>
          <w:sz w:val="24"/>
          <w:szCs w:val="24"/>
        </w:rPr>
        <w:t>].</w:t>
      </w:r>
    </w:p>
    <w:p w:rsidR="00961D2B" w:rsidRPr="00BE3663" w:rsidRDefault="00F018BB" w:rsidP="005B2540">
      <w:pPr>
        <w:pStyle w:val="Heading1"/>
        <w:rPr>
          <w:b/>
          <w:color w:val="auto"/>
          <w:sz w:val="36"/>
          <w:szCs w:val="36"/>
        </w:rPr>
      </w:pPr>
      <w:bookmarkStart w:id="32" w:name="_Toc216919874"/>
      <w:r w:rsidRPr="00BE3663">
        <w:rPr>
          <w:b/>
          <w:color w:val="auto"/>
          <w:sz w:val="36"/>
          <w:szCs w:val="36"/>
        </w:rPr>
        <w:t>9</w:t>
      </w:r>
      <w:r w:rsidR="00961D2B" w:rsidRPr="00BE3663">
        <w:rPr>
          <w:b/>
          <w:color w:val="auto"/>
          <w:sz w:val="36"/>
          <w:szCs w:val="36"/>
        </w:rPr>
        <w:t>. CONCLUSION</w:t>
      </w:r>
      <w:bookmarkEnd w:id="32"/>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Vigilant Trust &amp; Asset Management faces a sophisticated threat landscape characterized by professional cybercriminals operating RaaS platforms, AI-powered social engineering, and supply chain compromise vectors. Recent phishing and ransomware incidents necessitate comprehensive security modernization.</w:t>
      </w:r>
    </w:p>
    <w:p w:rsidR="00AA5C66" w:rsidRDefault="00AA5C66" w:rsidP="00961D2B">
      <w:pPr>
        <w:pStyle w:val="PlainText"/>
        <w:spacing w:beforeAutospacing="0" w:afterAutospacing="0" w:line="360" w:lineRule="auto"/>
        <w:jc w:val="both"/>
        <w:rPr>
          <w:rFonts w:ascii="Calibri" w:hAnsi="Calibri" w:cs="Calibri"/>
          <w:sz w:val="22"/>
          <w:szCs w:val="22"/>
        </w:rPr>
      </w:pPr>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 xml:space="preserve">This report presents a </w:t>
      </w:r>
      <w:r w:rsidRPr="00BB25CF">
        <w:rPr>
          <w:rFonts w:ascii="Calibri" w:hAnsi="Calibri" w:cs="Calibri"/>
          <w:b/>
          <w:sz w:val="22"/>
          <w:szCs w:val="22"/>
        </w:rPr>
        <w:t>Zero Trust Architecture framework</w:t>
      </w:r>
      <w:r w:rsidRPr="00BB25CF">
        <w:rPr>
          <w:rFonts w:ascii="Calibri" w:hAnsi="Calibri" w:cs="Calibri"/>
          <w:sz w:val="22"/>
          <w:szCs w:val="22"/>
        </w:rPr>
        <w:t xml:space="preserve"> aligned with </w:t>
      </w:r>
      <w:r w:rsidRPr="00BB25CF">
        <w:rPr>
          <w:rFonts w:ascii="Calibri" w:hAnsi="Calibri" w:cs="Calibri"/>
          <w:b/>
          <w:sz w:val="22"/>
          <w:szCs w:val="22"/>
        </w:rPr>
        <w:t>NIST Cybersecurity Framework</w:t>
      </w:r>
      <w:r w:rsidRPr="00BB25CF">
        <w:rPr>
          <w:rFonts w:ascii="Calibri" w:hAnsi="Calibri" w:cs="Calibri"/>
          <w:sz w:val="22"/>
          <w:szCs w:val="22"/>
        </w:rPr>
        <w:t xml:space="preserve"> </w:t>
      </w:r>
      <w:r w:rsidRPr="00BB25CF">
        <w:rPr>
          <w:rFonts w:ascii="Calibri" w:hAnsi="Calibri" w:cs="Calibri"/>
          <w:b/>
          <w:sz w:val="22"/>
          <w:szCs w:val="22"/>
        </w:rPr>
        <w:t>2.0, ISO 27001, and CISA</w:t>
      </w:r>
      <w:r w:rsidRPr="00BB25CF">
        <w:rPr>
          <w:rFonts w:ascii="Calibri" w:hAnsi="Calibri" w:cs="Calibri"/>
          <w:sz w:val="22"/>
          <w:szCs w:val="22"/>
        </w:rPr>
        <w:t xml:space="preserve"> guidance addressing eight critical components: threat identification, security policies, technical implementation, continuous monitori</w:t>
      </w:r>
      <w:r w:rsidR="00AA5C66">
        <w:rPr>
          <w:rFonts w:ascii="Calibri" w:hAnsi="Calibri" w:cs="Calibri"/>
          <w:sz w:val="22"/>
          <w:szCs w:val="22"/>
        </w:rPr>
        <w:t>ng, employee training, evidence based recommendations</w:t>
      </w:r>
      <w:r w:rsidRPr="00BB25CF">
        <w:rPr>
          <w:rFonts w:ascii="Calibri" w:hAnsi="Calibri" w:cs="Calibri"/>
          <w:sz w:val="22"/>
          <w:szCs w:val="22"/>
        </w:rPr>
        <w:t xml:space="preserve"> and strategic conclusion.</w:t>
      </w:r>
      <w:r w:rsidR="00156AE7">
        <w:rPr>
          <w:rFonts w:ascii="Calibri" w:hAnsi="Calibri" w:cs="Calibri"/>
          <w:sz w:val="22"/>
          <w:szCs w:val="22"/>
        </w:rPr>
        <w:t xml:space="preserve"> </w:t>
      </w:r>
      <w:r w:rsidRPr="00BB25CF">
        <w:rPr>
          <w:rFonts w:ascii="Calibri" w:hAnsi="Calibri" w:cs="Calibri"/>
          <w:sz w:val="22"/>
          <w:szCs w:val="22"/>
        </w:rPr>
        <w:t>Key implementation priorities include multi-factor authentication, SIEM, SOAR, endpoint detection, and immutable backups addressing current threat vectors while maintaining operational efficiency. Equally important is organizational culture change transitioning security awareness from annual compliance to continuous engagement through simulated attacks and role-specific education.</w:t>
      </w:r>
    </w:p>
    <w:p w:rsidR="00961D2B" w:rsidRPr="00BB25CF" w:rsidRDefault="00961D2B" w:rsidP="00961D2B">
      <w:pPr>
        <w:pStyle w:val="PlainText"/>
        <w:spacing w:beforeAutospacing="0" w:afterAutospacing="0" w:line="360" w:lineRule="auto"/>
        <w:jc w:val="both"/>
        <w:rPr>
          <w:rFonts w:ascii="Calibri" w:hAnsi="Calibri" w:cs="Calibri"/>
          <w:sz w:val="22"/>
          <w:szCs w:val="22"/>
        </w:rPr>
      </w:pPr>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Financial services firms must assume sophisticated attackers actively target their systems. This foundational Zero Trust assumption should drive comprehensive security investment. Prevention costs are trivial compared to successful attack financial, operational, and reputational consequences.</w:t>
      </w:r>
    </w:p>
    <w:p w:rsidR="00961D2B" w:rsidRPr="00BB25CF" w:rsidRDefault="00961D2B" w:rsidP="00961D2B">
      <w:pPr>
        <w:pStyle w:val="PlainText"/>
        <w:spacing w:beforeAutospacing="0" w:afterAutospacing="0" w:line="360" w:lineRule="auto"/>
        <w:jc w:val="both"/>
        <w:rPr>
          <w:rFonts w:ascii="Calibri" w:hAnsi="Calibri" w:cs="Calibri"/>
          <w:sz w:val="22"/>
          <w:szCs w:val="22"/>
        </w:rPr>
      </w:pPr>
      <w:r w:rsidRPr="00BB25CF">
        <w:rPr>
          <w:rFonts w:ascii="Calibri" w:hAnsi="Calibri" w:cs="Calibri"/>
          <w:sz w:val="22"/>
          <w:szCs w:val="22"/>
        </w:rPr>
        <w:t>VTAM's board should view this security framework as strategic investment in organizational resilience, enabling confident client relationships in an increasingly hostile environment. Implementation across the outlined roadmap positions VTAM as a security leader within financial services while protecting shareholder value and client assets.</w:t>
      </w:r>
    </w:p>
    <w:p w:rsidR="00961D2B" w:rsidRPr="00BB25CF" w:rsidRDefault="00961D2B" w:rsidP="00961D2B">
      <w:pPr>
        <w:pStyle w:val="PlainText"/>
        <w:spacing w:beforeAutospacing="0" w:afterAutospacing="0" w:line="360" w:lineRule="auto"/>
        <w:jc w:val="both"/>
        <w:rPr>
          <w:rFonts w:ascii="Calibri" w:hAnsi="Calibri" w:cs="Calibri"/>
          <w:sz w:val="22"/>
          <w:szCs w:val="22"/>
        </w:rPr>
      </w:pPr>
    </w:p>
    <w:p w:rsidR="007C548A" w:rsidRDefault="007C548A" w:rsidP="00F018BB">
      <w:pPr>
        <w:pStyle w:val="Heading1"/>
        <w:rPr>
          <w:b/>
          <w:color w:val="auto"/>
        </w:rPr>
      </w:pPr>
    </w:p>
    <w:p w:rsidR="007C548A" w:rsidRDefault="007C548A" w:rsidP="007C548A"/>
    <w:p w:rsidR="007C548A" w:rsidRPr="007C548A" w:rsidRDefault="007C548A" w:rsidP="007C548A"/>
    <w:p w:rsidR="00F018BB" w:rsidRPr="00AA5C66" w:rsidRDefault="00F018BB" w:rsidP="00F018BB">
      <w:pPr>
        <w:pStyle w:val="Heading1"/>
        <w:rPr>
          <w:b/>
          <w:color w:val="auto"/>
          <w:sz w:val="36"/>
          <w:szCs w:val="36"/>
        </w:rPr>
      </w:pPr>
      <w:bookmarkStart w:id="33" w:name="_Toc216919875"/>
      <w:r w:rsidRPr="00AA5C66">
        <w:rPr>
          <w:b/>
          <w:color w:val="auto"/>
          <w:sz w:val="36"/>
          <w:szCs w:val="36"/>
        </w:rPr>
        <w:lastRenderedPageBreak/>
        <w:t>10. APENDICES</w:t>
      </w:r>
      <w:bookmarkEnd w:id="33"/>
    </w:p>
    <w:p w:rsidR="003B357B" w:rsidRPr="0093467F" w:rsidRDefault="003B357B" w:rsidP="003B357B">
      <w:pPr>
        <w:rPr>
          <w:rFonts w:ascii="Calibri" w:hAnsi="Calibri" w:cs="Calibri"/>
          <w:b/>
          <w:sz w:val="32"/>
          <w:szCs w:val="32"/>
        </w:rPr>
      </w:pPr>
      <w:r w:rsidRPr="0093467F">
        <w:rPr>
          <w:rFonts w:ascii="Calibri" w:hAnsi="Calibri" w:cs="Calibri"/>
          <w:b/>
          <w:sz w:val="32"/>
          <w:szCs w:val="32"/>
        </w:rPr>
        <w:t xml:space="preserve">i. Certificate </w:t>
      </w:r>
      <w:r w:rsidR="0093467F" w:rsidRPr="0093467F">
        <w:rPr>
          <w:rFonts w:ascii="Calibri" w:hAnsi="Calibri" w:cs="Calibri"/>
          <w:b/>
          <w:sz w:val="32"/>
          <w:szCs w:val="32"/>
        </w:rPr>
        <w:t>o</w:t>
      </w:r>
      <w:r w:rsidRPr="0093467F">
        <w:rPr>
          <w:rFonts w:ascii="Calibri" w:hAnsi="Calibri" w:cs="Calibri"/>
          <w:b/>
          <w:sz w:val="32"/>
          <w:szCs w:val="32"/>
        </w:rPr>
        <w:t>f Completion</w:t>
      </w:r>
    </w:p>
    <w:p w:rsidR="00961D2B" w:rsidRPr="00BB25CF" w:rsidRDefault="002442E6" w:rsidP="00961D2B">
      <w:pPr>
        <w:pStyle w:val="PlainText"/>
        <w:spacing w:beforeAutospacing="0" w:afterAutospacing="0" w:line="360" w:lineRule="auto"/>
        <w:jc w:val="both"/>
        <w:rPr>
          <w:rFonts w:ascii="Calibri" w:hAnsi="Calibri" w:cs="Calibri"/>
          <w:b/>
          <w:sz w:val="32"/>
          <w:szCs w:val="32"/>
        </w:rPr>
      </w:pPr>
      <w:r>
        <w:rPr>
          <w:rFonts w:ascii="Calibri" w:hAnsi="Calibri" w:cs="Calibri"/>
          <w:b/>
          <w:noProof/>
          <w:sz w:val="32"/>
          <w:szCs w:val="32"/>
          <w:lang w:eastAsia="en-GB"/>
        </w:rPr>
        <w:drawing>
          <wp:inline distT="0" distB="0" distL="0" distR="0">
            <wp:extent cx="5178880" cy="2830286"/>
            <wp:effectExtent l="19050" t="0" r="27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185463" cy="2833884"/>
                    </a:xfrm>
                    <a:prstGeom prst="rect">
                      <a:avLst/>
                    </a:prstGeom>
                    <a:noFill/>
                    <a:ln w="9525">
                      <a:noFill/>
                      <a:miter lim="800000"/>
                      <a:headEnd/>
                      <a:tailEnd/>
                    </a:ln>
                  </pic:spPr>
                </pic:pic>
              </a:graphicData>
            </a:graphic>
          </wp:inline>
        </w:drawing>
      </w:r>
    </w:p>
    <w:p w:rsidR="00795CC4" w:rsidRDefault="003B357B" w:rsidP="00795CC4">
      <w:pPr>
        <w:pStyle w:val="PlainText"/>
        <w:spacing w:beforeAutospacing="0" w:afterAutospacing="0"/>
        <w:jc w:val="both"/>
        <w:rPr>
          <w:rFonts w:ascii="Calibri" w:hAnsi="Calibri" w:cs="Calibri"/>
          <w:b/>
          <w:sz w:val="28"/>
          <w:szCs w:val="28"/>
        </w:rPr>
      </w:pPr>
      <w:r w:rsidRPr="00AA5C66">
        <w:rPr>
          <w:rFonts w:ascii="Calibri" w:hAnsi="Calibri" w:cs="Calibri"/>
          <w:b/>
          <w:sz w:val="28"/>
          <w:szCs w:val="28"/>
        </w:rPr>
        <w:t>ii. MS PowerPoint Presentation</w:t>
      </w:r>
    </w:p>
    <w:p w:rsidR="00500174" w:rsidRPr="00795CC4" w:rsidRDefault="00500174" w:rsidP="00795CC4">
      <w:pPr>
        <w:pStyle w:val="PlainText"/>
        <w:spacing w:beforeAutospacing="0" w:afterAutospacing="0"/>
        <w:jc w:val="both"/>
        <w:rPr>
          <w:rFonts w:ascii="Calibri" w:hAnsi="Calibri" w:cs="Calibri"/>
          <w:b/>
          <w:sz w:val="24"/>
          <w:szCs w:val="24"/>
        </w:rPr>
      </w:pPr>
      <w:r w:rsidRPr="00AA5C66">
        <w:rPr>
          <w:rFonts w:ascii="Calibri" w:hAnsi="Calibri" w:cs="Calibri"/>
          <w:b/>
          <w:sz w:val="28"/>
          <w:szCs w:val="28"/>
        </w:rPr>
        <w:t xml:space="preserve"> </w:t>
      </w:r>
      <w:r w:rsidR="00795CC4" w:rsidRPr="00795CC4">
        <w:rPr>
          <w:rFonts w:ascii="Calibri" w:hAnsi="Calibri" w:cs="Calibri"/>
          <w:b/>
          <w:sz w:val="24"/>
          <w:szCs w:val="24"/>
        </w:rPr>
        <w:t>1</w:t>
      </w:r>
      <w:r w:rsidR="008B0B90">
        <w:rPr>
          <w:rFonts w:ascii="Calibri" w:hAnsi="Calibri" w:cs="Calibri"/>
          <w:b/>
          <w:sz w:val="24"/>
          <w:szCs w:val="24"/>
        </w:rPr>
        <w:t>.</w:t>
      </w:r>
      <w:r w:rsidRPr="00795CC4">
        <w:rPr>
          <w:rFonts w:ascii="Calibri" w:hAnsi="Calibri" w:cs="Calibri"/>
          <w:b/>
          <w:sz w:val="24"/>
          <w:szCs w:val="24"/>
        </w:rPr>
        <w:t xml:space="preserve">                                                                              </w:t>
      </w:r>
    </w:p>
    <w:p w:rsidR="00795CC4" w:rsidRDefault="00500174" w:rsidP="00795CC4">
      <w:pPr>
        <w:pStyle w:val="PlainText"/>
        <w:spacing w:beforeAutospacing="0" w:afterAutospacing="0"/>
        <w:jc w:val="both"/>
        <w:rPr>
          <w:rFonts w:ascii="Calibri" w:hAnsi="Calibri" w:cs="Calibri"/>
          <w:b/>
          <w:sz w:val="28"/>
          <w:szCs w:val="28"/>
        </w:rPr>
      </w:pPr>
      <w:r>
        <w:rPr>
          <w:rFonts w:ascii="Calibri" w:hAnsi="Calibri" w:cs="Calibri"/>
          <w:b/>
          <w:noProof/>
          <w:sz w:val="28"/>
          <w:szCs w:val="28"/>
          <w:lang w:eastAsia="en-GB"/>
        </w:rPr>
        <w:drawing>
          <wp:inline distT="0" distB="0" distL="0" distR="0">
            <wp:extent cx="2773136" cy="1388797"/>
            <wp:effectExtent l="19050" t="0" r="8164"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srcRect/>
                    <a:stretch>
                      <a:fillRect/>
                    </a:stretch>
                  </pic:blipFill>
                  <pic:spPr bwMode="auto">
                    <a:xfrm>
                      <a:off x="0" y="0"/>
                      <a:ext cx="2777049" cy="1390757"/>
                    </a:xfrm>
                    <a:prstGeom prst="rect">
                      <a:avLst/>
                    </a:prstGeom>
                    <a:noFill/>
                    <a:ln w="9525">
                      <a:noFill/>
                      <a:miter lim="800000"/>
                      <a:headEnd/>
                      <a:tailEnd/>
                    </a:ln>
                  </pic:spPr>
                </pic:pic>
              </a:graphicData>
            </a:graphic>
          </wp:inline>
        </w:drawing>
      </w:r>
      <w:r>
        <w:rPr>
          <w:rFonts w:ascii="Calibri" w:hAnsi="Calibri" w:cs="Calibri"/>
          <w:b/>
          <w:sz w:val="28"/>
          <w:szCs w:val="28"/>
        </w:rPr>
        <w:t xml:space="preserve"> </w:t>
      </w:r>
    </w:p>
    <w:p w:rsidR="00500174" w:rsidRPr="00795CC4" w:rsidRDefault="00500174" w:rsidP="00795CC4">
      <w:pPr>
        <w:pStyle w:val="PlainText"/>
        <w:spacing w:beforeAutospacing="0" w:afterAutospacing="0"/>
        <w:jc w:val="both"/>
        <w:rPr>
          <w:rFonts w:ascii="Calibri" w:hAnsi="Calibri" w:cs="Calibri"/>
          <w:b/>
          <w:sz w:val="24"/>
          <w:szCs w:val="24"/>
        </w:rPr>
      </w:pPr>
      <w:r>
        <w:rPr>
          <w:rFonts w:ascii="Calibri" w:hAnsi="Calibri" w:cs="Calibri"/>
          <w:b/>
          <w:sz w:val="28"/>
          <w:szCs w:val="28"/>
        </w:rPr>
        <w:t xml:space="preserve"> </w:t>
      </w:r>
      <w:r w:rsidR="00795CC4" w:rsidRPr="00795CC4">
        <w:rPr>
          <w:rFonts w:ascii="Calibri" w:hAnsi="Calibri" w:cs="Calibri"/>
          <w:b/>
          <w:sz w:val="24"/>
          <w:szCs w:val="24"/>
        </w:rPr>
        <w:t>2</w:t>
      </w:r>
      <w:r w:rsidR="008B0B90">
        <w:rPr>
          <w:rFonts w:ascii="Calibri" w:hAnsi="Calibri" w:cs="Calibri"/>
          <w:b/>
          <w:sz w:val="24"/>
          <w:szCs w:val="24"/>
        </w:rPr>
        <w:t>.</w:t>
      </w:r>
      <w:r w:rsidRPr="00795CC4">
        <w:rPr>
          <w:rFonts w:ascii="Calibri" w:hAnsi="Calibri" w:cs="Calibri"/>
          <w:b/>
          <w:sz w:val="24"/>
          <w:szCs w:val="24"/>
        </w:rPr>
        <w:t xml:space="preserve">    </w:t>
      </w:r>
    </w:p>
    <w:p w:rsidR="003B357B" w:rsidRDefault="00500174" w:rsidP="00795CC4">
      <w:pPr>
        <w:pStyle w:val="PlainText"/>
        <w:spacing w:beforeAutospacing="0" w:afterAutospacing="0"/>
        <w:jc w:val="both"/>
        <w:rPr>
          <w:rFonts w:ascii="Calibri" w:hAnsi="Calibri" w:cs="Calibri"/>
          <w:b/>
          <w:sz w:val="28"/>
          <w:szCs w:val="28"/>
        </w:rPr>
      </w:pPr>
      <w:r>
        <w:rPr>
          <w:rFonts w:ascii="Calibri" w:hAnsi="Calibri" w:cs="Calibri"/>
          <w:b/>
          <w:noProof/>
          <w:sz w:val="28"/>
          <w:szCs w:val="28"/>
          <w:lang w:eastAsia="en-GB"/>
        </w:rPr>
        <w:drawing>
          <wp:inline distT="0" distB="0" distL="0" distR="0">
            <wp:extent cx="2776401" cy="1139036"/>
            <wp:effectExtent l="19050" t="0" r="4899"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srcRect/>
                    <a:stretch>
                      <a:fillRect/>
                    </a:stretch>
                  </pic:blipFill>
                  <pic:spPr bwMode="auto">
                    <a:xfrm>
                      <a:off x="0" y="0"/>
                      <a:ext cx="2779788" cy="1140426"/>
                    </a:xfrm>
                    <a:prstGeom prst="rect">
                      <a:avLst/>
                    </a:prstGeom>
                    <a:noFill/>
                    <a:ln w="9525">
                      <a:noFill/>
                      <a:miter lim="800000"/>
                      <a:headEnd/>
                      <a:tailEnd/>
                    </a:ln>
                  </pic:spPr>
                </pic:pic>
              </a:graphicData>
            </a:graphic>
          </wp:inline>
        </w:drawing>
      </w:r>
      <w:r>
        <w:rPr>
          <w:rFonts w:ascii="Calibri" w:hAnsi="Calibri" w:cs="Calibri"/>
          <w:b/>
          <w:sz w:val="28"/>
          <w:szCs w:val="28"/>
        </w:rPr>
        <w:t xml:space="preserve">  </w:t>
      </w:r>
    </w:p>
    <w:p w:rsidR="00795CC4" w:rsidRPr="00795CC4" w:rsidRDefault="00795CC4" w:rsidP="00795CC4">
      <w:pPr>
        <w:pStyle w:val="PlainText"/>
        <w:spacing w:beforeAutospacing="0" w:afterAutospacing="0"/>
        <w:jc w:val="both"/>
        <w:rPr>
          <w:rFonts w:ascii="Calibri" w:hAnsi="Calibri" w:cs="Calibri"/>
          <w:b/>
          <w:sz w:val="24"/>
          <w:szCs w:val="24"/>
        </w:rPr>
      </w:pPr>
      <w:r w:rsidRPr="00795CC4">
        <w:rPr>
          <w:rFonts w:ascii="Calibri" w:hAnsi="Calibri" w:cs="Calibri"/>
          <w:b/>
          <w:sz w:val="24"/>
          <w:szCs w:val="24"/>
        </w:rPr>
        <w:t>3</w:t>
      </w:r>
      <w:r w:rsidR="008B0B90">
        <w:rPr>
          <w:rFonts w:ascii="Calibri" w:hAnsi="Calibri" w:cs="Calibri"/>
          <w:b/>
          <w:sz w:val="24"/>
          <w:szCs w:val="24"/>
        </w:rPr>
        <w:t>.</w:t>
      </w:r>
    </w:p>
    <w:p w:rsidR="00795CC4" w:rsidRDefault="00795CC4" w:rsidP="00961D2B">
      <w:pPr>
        <w:pStyle w:val="PlainText"/>
        <w:spacing w:beforeAutospacing="0" w:afterAutospacing="0" w:line="360" w:lineRule="auto"/>
        <w:jc w:val="both"/>
        <w:rPr>
          <w:rFonts w:ascii="Calibri" w:hAnsi="Calibri" w:cs="Calibri"/>
          <w:b/>
          <w:sz w:val="28"/>
          <w:szCs w:val="28"/>
        </w:rPr>
      </w:pPr>
      <w:r>
        <w:rPr>
          <w:rFonts w:ascii="Calibri" w:hAnsi="Calibri" w:cs="Calibri"/>
          <w:b/>
          <w:noProof/>
          <w:sz w:val="28"/>
          <w:szCs w:val="28"/>
          <w:lang w:eastAsia="en-GB"/>
        </w:rPr>
        <w:drawing>
          <wp:inline distT="0" distB="0" distL="0" distR="0">
            <wp:extent cx="2801876" cy="1431472"/>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srcRect/>
                    <a:stretch>
                      <a:fillRect/>
                    </a:stretch>
                  </pic:blipFill>
                  <pic:spPr bwMode="auto">
                    <a:xfrm>
                      <a:off x="0" y="0"/>
                      <a:ext cx="2801876" cy="1431472"/>
                    </a:xfrm>
                    <a:prstGeom prst="rect">
                      <a:avLst/>
                    </a:prstGeom>
                    <a:noFill/>
                    <a:ln w="9525">
                      <a:noFill/>
                      <a:miter lim="800000"/>
                      <a:headEnd/>
                      <a:tailEnd/>
                    </a:ln>
                  </pic:spPr>
                </pic:pic>
              </a:graphicData>
            </a:graphic>
          </wp:inline>
        </w:drawing>
      </w:r>
    </w:p>
    <w:p w:rsidR="00FC5CA9" w:rsidRDefault="00FC5CA9" w:rsidP="00961D2B">
      <w:pPr>
        <w:pStyle w:val="PlainText"/>
        <w:spacing w:beforeAutospacing="0" w:afterAutospacing="0" w:line="360" w:lineRule="auto"/>
        <w:jc w:val="both"/>
        <w:rPr>
          <w:rFonts w:ascii="Calibri" w:hAnsi="Calibri" w:cs="Calibri"/>
          <w:b/>
          <w:sz w:val="28"/>
          <w:szCs w:val="28"/>
        </w:rPr>
      </w:pPr>
    </w:p>
    <w:p w:rsidR="00FC5CA9" w:rsidRDefault="008B0B90" w:rsidP="00795CC4">
      <w:pPr>
        <w:pStyle w:val="PlainText"/>
        <w:spacing w:beforeAutospacing="0" w:afterAutospacing="0"/>
        <w:jc w:val="both"/>
        <w:rPr>
          <w:rFonts w:ascii="Calibri" w:hAnsi="Calibri" w:cs="Calibri"/>
          <w:b/>
          <w:sz w:val="28"/>
          <w:szCs w:val="28"/>
        </w:rPr>
      </w:pPr>
      <w:r>
        <w:rPr>
          <w:rFonts w:ascii="Calibri" w:hAnsi="Calibri" w:cs="Calibri"/>
          <w:b/>
          <w:sz w:val="28"/>
          <w:szCs w:val="28"/>
        </w:rPr>
        <w:lastRenderedPageBreak/>
        <w:t xml:space="preserve">ii. </w:t>
      </w:r>
      <w:r w:rsidR="00795CC4" w:rsidRPr="00AA5C66">
        <w:rPr>
          <w:rFonts w:ascii="Calibri" w:hAnsi="Calibri" w:cs="Calibri"/>
          <w:b/>
          <w:sz w:val="28"/>
          <w:szCs w:val="28"/>
        </w:rPr>
        <w:t>MS PowerPoint Presentation</w:t>
      </w:r>
      <w:r w:rsidR="00795CC4">
        <w:rPr>
          <w:rFonts w:ascii="Calibri" w:hAnsi="Calibri" w:cs="Calibri"/>
          <w:b/>
          <w:sz w:val="28"/>
          <w:szCs w:val="28"/>
        </w:rPr>
        <w:t xml:space="preserve"> (Cont.)</w:t>
      </w:r>
    </w:p>
    <w:p w:rsidR="00795CC4" w:rsidRPr="00795CC4" w:rsidRDefault="00795CC4" w:rsidP="00795CC4">
      <w:pPr>
        <w:pStyle w:val="PlainText"/>
        <w:spacing w:beforeAutospacing="0" w:afterAutospacing="0"/>
        <w:jc w:val="both"/>
        <w:rPr>
          <w:rFonts w:ascii="Calibri" w:hAnsi="Calibri" w:cs="Calibri"/>
          <w:b/>
          <w:sz w:val="24"/>
          <w:szCs w:val="24"/>
        </w:rPr>
      </w:pPr>
      <w:r w:rsidRPr="00795CC4">
        <w:rPr>
          <w:rFonts w:ascii="Calibri" w:hAnsi="Calibri" w:cs="Calibri"/>
          <w:b/>
          <w:sz w:val="24"/>
          <w:szCs w:val="24"/>
        </w:rPr>
        <w:t>4</w:t>
      </w:r>
      <w:r w:rsidR="008B0B90">
        <w:rPr>
          <w:rFonts w:ascii="Calibri" w:hAnsi="Calibri" w:cs="Calibri"/>
          <w:b/>
          <w:sz w:val="24"/>
          <w:szCs w:val="24"/>
        </w:rPr>
        <w:t>.</w:t>
      </w:r>
    </w:p>
    <w:p w:rsidR="00795CC4" w:rsidRDefault="00795CC4" w:rsidP="00795CC4">
      <w:pPr>
        <w:pStyle w:val="PlainText"/>
        <w:spacing w:beforeAutospacing="0" w:afterAutospacing="0"/>
        <w:jc w:val="both"/>
        <w:rPr>
          <w:rFonts w:ascii="Calibri" w:hAnsi="Calibri" w:cs="Calibri"/>
          <w:b/>
          <w:sz w:val="28"/>
          <w:szCs w:val="28"/>
        </w:rPr>
      </w:pPr>
      <w:r>
        <w:rPr>
          <w:rFonts w:ascii="Calibri" w:hAnsi="Calibri" w:cs="Calibri"/>
          <w:b/>
          <w:noProof/>
          <w:sz w:val="28"/>
          <w:szCs w:val="28"/>
          <w:lang w:eastAsia="en-GB"/>
        </w:rPr>
        <w:drawing>
          <wp:inline distT="0" distB="0" distL="0" distR="0">
            <wp:extent cx="2897871" cy="1616529"/>
            <wp:effectExtent l="1905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srcRect/>
                    <a:stretch>
                      <a:fillRect/>
                    </a:stretch>
                  </pic:blipFill>
                  <pic:spPr bwMode="auto">
                    <a:xfrm>
                      <a:off x="0" y="0"/>
                      <a:ext cx="2897803" cy="1616491"/>
                    </a:xfrm>
                    <a:prstGeom prst="rect">
                      <a:avLst/>
                    </a:prstGeom>
                    <a:noFill/>
                    <a:ln w="9525">
                      <a:noFill/>
                      <a:miter lim="800000"/>
                      <a:headEnd/>
                      <a:tailEnd/>
                    </a:ln>
                  </pic:spPr>
                </pic:pic>
              </a:graphicData>
            </a:graphic>
          </wp:inline>
        </w:drawing>
      </w:r>
    </w:p>
    <w:p w:rsidR="00FC5CA9" w:rsidRPr="00795CC4" w:rsidRDefault="00795CC4" w:rsidP="00795CC4">
      <w:pPr>
        <w:pStyle w:val="PlainText"/>
        <w:spacing w:beforeAutospacing="0" w:afterAutospacing="0"/>
        <w:jc w:val="both"/>
        <w:rPr>
          <w:rFonts w:ascii="Calibri" w:hAnsi="Calibri" w:cs="Calibri"/>
          <w:b/>
          <w:sz w:val="24"/>
          <w:szCs w:val="24"/>
        </w:rPr>
      </w:pPr>
      <w:r w:rsidRPr="00795CC4">
        <w:rPr>
          <w:rFonts w:ascii="Calibri" w:hAnsi="Calibri" w:cs="Calibri"/>
          <w:b/>
          <w:sz w:val="24"/>
          <w:szCs w:val="24"/>
        </w:rPr>
        <w:t>5</w:t>
      </w:r>
      <w:r w:rsidR="008B0B90">
        <w:rPr>
          <w:rFonts w:ascii="Calibri" w:hAnsi="Calibri" w:cs="Calibri"/>
          <w:b/>
          <w:sz w:val="24"/>
          <w:szCs w:val="24"/>
        </w:rPr>
        <w:t>.</w:t>
      </w:r>
    </w:p>
    <w:p w:rsidR="00FC5CA9" w:rsidRDefault="00795CC4" w:rsidP="00113530">
      <w:pPr>
        <w:pStyle w:val="PlainText"/>
        <w:spacing w:beforeAutospacing="0" w:afterAutospacing="0"/>
        <w:jc w:val="both"/>
        <w:rPr>
          <w:rFonts w:ascii="Calibri" w:hAnsi="Calibri" w:cs="Calibri"/>
          <w:b/>
          <w:sz w:val="28"/>
          <w:szCs w:val="28"/>
        </w:rPr>
      </w:pPr>
      <w:r>
        <w:rPr>
          <w:rFonts w:ascii="Calibri" w:hAnsi="Calibri" w:cs="Calibri"/>
          <w:b/>
          <w:noProof/>
          <w:sz w:val="28"/>
          <w:szCs w:val="28"/>
          <w:lang w:eastAsia="en-GB"/>
        </w:rPr>
        <w:drawing>
          <wp:inline distT="0" distB="0" distL="0" distR="0">
            <wp:extent cx="2898321" cy="1513114"/>
            <wp:effectExtent l="19050" t="0" r="0"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srcRect/>
                    <a:stretch>
                      <a:fillRect/>
                    </a:stretch>
                  </pic:blipFill>
                  <pic:spPr bwMode="auto">
                    <a:xfrm>
                      <a:off x="0" y="0"/>
                      <a:ext cx="2901118" cy="1514574"/>
                    </a:xfrm>
                    <a:prstGeom prst="rect">
                      <a:avLst/>
                    </a:prstGeom>
                    <a:noFill/>
                    <a:ln w="9525">
                      <a:noFill/>
                      <a:miter lim="800000"/>
                      <a:headEnd/>
                      <a:tailEnd/>
                    </a:ln>
                  </pic:spPr>
                </pic:pic>
              </a:graphicData>
            </a:graphic>
          </wp:inline>
        </w:drawing>
      </w:r>
    </w:p>
    <w:p w:rsidR="00795CC4" w:rsidRPr="00113530" w:rsidRDefault="00113530" w:rsidP="00113530">
      <w:pPr>
        <w:pStyle w:val="PlainText"/>
        <w:spacing w:beforeAutospacing="0" w:afterAutospacing="0"/>
        <w:jc w:val="both"/>
        <w:rPr>
          <w:rFonts w:ascii="Calibri" w:hAnsi="Calibri" w:cs="Calibri"/>
          <w:b/>
          <w:sz w:val="24"/>
          <w:szCs w:val="24"/>
        </w:rPr>
      </w:pPr>
      <w:r w:rsidRPr="00113530">
        <w:rPr>
          <w:rFonts w:ascii="Calibri" w:hAnsi="Calibri" w:cs="Calibri"/>
          <w:b/>
          <w:sz w:val="24"/>
          <w:szCs w:val="24"/>
        </w:rPr>
        <w:t>6</w:t>
      </w:r>
      <w:r w:rsidR="008B0B90">
        <w:rPr>
          <w:rFonts w:ascii="Calibri" w:hAnsi="Calibri" w:cs="Calibri"/>
          <w:b/>
          <w:sz w:val="24"/>
          <w:szCs w:val="24"/>
        </w:rPr>
        <w:t>.</w:t>
      </w:r>
    </w:p>
    <w:p w:rsidR="00795CC4" w:rsidRDefault="00113530" w:rsidP="00113530">
      <w:pPr>
        <w:pStyle w:val="PlainText"/>
        <w:spacing w:beforeAutospacing="0" w:afterAutospacing="0"/>
        <w:jc w:val="both"/>
        <w:rPr>
          <w:rFonts w:ascii="Calibri" w:hAnsi="Calibri" w:cs="Calibri"/>
          <w:b/>
          <w:sz w:val="28"/>
          <w:szCs w:val="28"/>
        </w:rPr>
      </w:pPr>
      <w:r>
        <w:rPr>
          <w:rFonts w:ascii="Calibri" w:hAnsi="Calibri" w:cs="Calibri"/>
          <w:b/>
          <w:noProof/>
          <w:sz w:val="28"/>
          <w:szCs w:val="28"/>
          <w:lang w:eastAsia="en-GB"/>
        </w:rPr>
        <w:drawing>
          <wp:inline distT="0" distB="0" distL="0" distR="0">
            <wp:extent cx="2860219" cy="1426028"/>
            <wp:effectExtent l="19050" t="0" r="0" b="0"/>
            <wp:docPr id="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srcRect/>
                    <a:stretch>
                      <a:fillRect/>
                    </a:stretch>
                  </pic:blipFill>
                  <pic:spPr bwMode="auto">
                    <a:xfrm>
                      <a:off x="0" y="0"/>
                      <a:ext cx="2862492" cy="1427161"/>
                    </a:xfrm>
                    <a:prstGeom prst="rect">
                      <a:avLst/>
                    </a:prstGeom>
                    <a:noFill/>
                    <a:ln w="9525">
                      <a:noFill/>
                      <a:miter lim="800000"/>
                      <a:headEnd/>
                      <a:tailEnd/>
                    </a:ln>
                  </pic:spPr>
                </pic:pic>
              </a:graphicData>
            </a:graphic>
          </wp:inline>
        </w:drawing>
      </w:r>
    </w:p>
    <w:p w:rsidR="00795CC4" w:rsidRPr="00113530" w:rsidRDefault="00113530" w:rsidP="00113530">
      <w:pPr>
        <w:pStyle w:val="PlainText"/>
        <w:spacing w:beforeAutospacing="0" w:afterAutospacing="0"/>
        <w:jc w:val="both"/>
        <w:rPr>
          <w:rFonts w:ascii="Calibri" w:hAnsi="Calibri" w:cs="Calibri"/>
          <w:b/>
          <w:sz w:val="24"/>
          <w:szCs w:val="24"/>
        </w:rPr>
      </w:pPr>
      <w:r w:rsidRPr="00113530">
        <w:rPr>
          <w:rFonts w:ascii="Calibri" w:hAnsi="Calibri" w:cs="Calibri"/>
          <w:b/>
          <w:sz w:val="24"/>
          <w:szCs w:val="24"/>
        </w:rPr>
        <w:t>7</w:t>
      </w:r>
      <w:r w:rsidR="008B0B90">
        <w:rPr>
          <w:rFonts w:ascii="Calibri" w:hAnsi="Calibri" w:cs="Calibri"/>
          <w:b/>
          <w:sz w:val="24"/>
          <w:szCs w:val="24"/>
        </w:rPr>
        <w:t>.</w:t>
      </w:r>
    </w:p>
    <w:p w:rsidR="00795CC4" w:rsidRDefault="00113530" w:rsidP="00150869">
      <w:pPr>
        <w:pStyle w:val="PlainText"/>
        <w:spacing w:beforeAutospacing="0" w:afterAutospacing="0"/>
        <w:jc w:val="both"/>
        <w:rPr>
          <w:rFonts w:ascii="Calibri" w:hAnsi="Calibri" w:cs="Calibri"/>
          <w:b/>
          <w:sz w:val="28"/>
          <w:szCs w:val="28"/>
        </w:rPr>
      </w:pPr>
      <w:r>
        <w:rPr>
          <w:rFonts w:ascii="Calibri" w:hAnsi="Calibri" w:cs="Calibri"/>
          <w:b/>
          <w:noProof/>
          <w:sz w:val="28"/>
          <w:szCs w:val="28"/>
          <w:lang w:eastAsia="en-GB"/>
        </w:rPr>
        <w:drawing>
          <wp:inline distT="0" distB="0" distL="0" distR="0">
            <wp:extent cx="2894370" cy="1415143"/>
            <wp:effectExtent l="19050" t="0" r="123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srcRect/>
                    <a:stretch>
                      <a:fillRect/>
                    </a:stretch>
                  </pic:blipFill>
                  <pic:spPr bwMode="auto">
                    <a:xfrm>
                      <a:off x="0" y="0"/>
                      <a:ext cx="2892879" cy="1414414"/>
                    </a:xfrm>
                    <a:prstGeom prst="rect">
                      <a:avLst/>
                    </a:prstGeom>
                    <a:noFill/>
                    <a:ln w="9525">
                      <a:noFill/>
                      <a:miter lim="800000"/>
                      <a:headEnd/>
                      <a:tailEnd/>
                    </a:ln>
                  </pic:spPr>
                </pic:pic>
              </a:graphicData>
            </a:graphic>
          </wp:inline>
        </w:drawing>
      </w:r>
    </w:p>
    <w:p w:rsidR="009F5017" w:rsidRDefault="009F5017" w:rsidP="00150869">
      <w:pPr>
        <w:pStyle w:val="PlainText"/>
        <w:spacing w:beforeAutospacing="0" w:afterAutospacing="0"/>
        <w:jc w:val="both"/>
        <w:rPr>
          <w:rFonts w:ascii="Calibri" w:hAnsi="Calibri" w:cs="Calibri"/>
          <w:b/>
          <w:sz w:val="24"/>
          <w:szCs w:val="24"/>
        </w:rPr>
      </w:pPr>
      <w:r w:rsidRPr="009F5017">
        <w:rPr>
          <w:rFonts w:ascii="Calibri" w:hAnsi="Calibri" w:cs="Calibri"/>
          <w:b/>
          <w:sz w:val="24"/>
          <w:szCs w:val="24"/>
        </w:rPr>
        <w:t>8</w:t>
      </w:r>
      <w:r w:rsidR="008B0B90">
        <w:rPr>
          <w:rFonts w:ascii="Calibri" w:hAnsi="Calibri" w:cs="Calibri"/>
          <w:b/>
          <w:sz w:val="24"/>
          <w:szCs w:val="24"/>
        </w:rPr>
        <w:t>.</w:t>
      </w:r>
    </w:p>
    <w:p w:rsidR="00795CC4" w:rsidRPr="003B357B" w:rsidRDefault="009F5017" w:rsidP="009F5017">
      <w:pPr>
        <w:pStyle w:val="PlainText"/>
        <w:spacing w:beforeAutospacing="0" w:afterAutospacing="0"/>
        <w:jc w:val="both"/>
        <w:rPr>
          <w:rFonts w:ascii="Calibri" w:hAnsi="Calibri" w:cs="Calibri"/>
          <w:b/>
          <w:sz w:val="28"/>
          <w:szCs w:val="28"/>
        </w:rPr>
      </w:pPr>
      <w:r>
        <w:rPr>
          <w:rFonts w:ascii="Calibri" w:hAnsi="Calibri" w:cs="Calibri"/>
          <w:b/>
          <w:noProof/>
          <w:sz w:val="28"/>
          <w:szCs w:val="28"/>
          <w:lang w:eastAsia="en-GB"/>
        </w:rPr>
        <w:drawing>
          <wp:inline distT="0" distB="0" distL="0" distR="0">
            <wp:extent cx="2898321" cy="1420586"/>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cstate="print"/>
                    <a:srcRect/>
                    <a:stretch>
                      <a:fillRect/>
                    </a:stretch>
                  </pic:blipFill>
                  <pic:spPr bwMode="auto">
                    <a:xfrm>
                      <a:off x="0" y="0"/>
                      <a:ext cx="2900178" cy="1421496"/>
                    </a:xfrm>
                    <a:prstGeom prst="rect">
                      <a:avLst/>
                    </a:prstGeom>
                    <a:noFill/>
                    <a:ln w="9525">
                      <a:noFill/>
                      <a:miter lim="800000"/>
                      <a:headEnd/>
                      <a:tailEnd/>
                    </a:ln>
                  </pic:spPr>
                </pic:pic>
              </a:graphicData>
            </a:graphic>
          </wp:inline>
        </w:drawing>
      </w:r>
    </w:p>
    <w:p w:rsidR="00150869" w:rsidRDefault="00150869" w:rsidP="009F5017">
      <w:pPr>
        <w:spacing w:after="0" w:line="240" w:lineRule="auto"/>
      </w:pPr>
    </w:p>
    <w:p w:rsidR="00343657" w:rsidRDefault="00343657" w:rsidP="009F5017">
      <w:pPr>
        <w:spacing w:after="0" w:line="240" w:lineRule="auto"/>
      </w:pPr>
      <w:r>
        <w:rPr>
          <w:rFonts w:ascii="Calibri" w:hAnsi="Calibri" w:cs="Calibri"/>
          <w:b/>
          <w:sz w:val="28"/>
          <w:szCs w:val="28"/>
        </w:rPr>
        <w:lastRenderedPageBreak/>
        <w:t xml:space="preserve">ii. </w:t>
      </w:r>
      <w:r w:rsidRPr="00AA5C66">
        <w:rPr>
          <w:rFonts w:ascii="Calibri" w:hAnsi="Calibri" w:cs="Calibri"/>
          <w:b/>
          <w:sz w:val="28"/>
          <w:szCs w:val="28"/>
        </w:rPr>
        <w:t>MS PowerPoint Presentation</w:t>
      </w:r>
      <w:r>
        <w:rPr>
          <w:rFonts w:ascii="Calibri" w:hAnsi="Calibri" w:cs="Calibri"/>
          <w:b/>
          <w:sz w:val="28"/>
          <w:szCs w:val="28"/>
        </w:rPr>
        <w:t xml:space="preserve"> (Cont.)</w:t>
      </w:r>
    </w:p>
    <w:p w:rsidR="009F5017" w:rsidRDefault="009F5017" w:rsidP="009F5017">
      <w:pPr>
        <w:spacing w:after="0" w:line="240" w:lineRule="auto"/>
      </w:pPr>
      <w:r>
        <w:t>9</w:t>
      </w:r>
      <w:r w:rsidR="008B0B90">
        <w:t>.</w:t>
      </w:r>
    </w:p>
    <w:p w:rsidR="009F5017" w:rsidRDefault="009F5017" w:rsidP="009F5017">
      <w:pPr>
        <w:spacing w:after="0" w:line="240" w:lineRule="auto"/>
      </w:pPr>
      <w:r>
        <w:rPr>
          <w:noProof/>
          <w:lang w:eastAsia="en-GB"/>
        </w:rPr>
        <w:drawing>
          <wp:inline distT="0" distB="0" distL="0" distR="0">
            <wp:extent cx="2860221" cy="1338286"/>
            <wp:effectExtent l="19050" t="0" r="0" b="0"/>
            <wp:docPr id="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srcRect/>
                    <a:stretch>
                      <a:fillRect/>
                    </a:stretch>
                  </pic:blipFill>
                  <pic:spPr bwMode="auto">
                    <a:xfrm>
                      <a:off x="0" y="0"/>
                      <a:ext cx="2862495" cy="1339350"/>
                    </a:xfrm>
                    <a:prstGeom prst="rect">
                      <a:avLst/>
                    </a:prstGeom>
                    <a:noFill/>
                    <a:ln w="9525">
                      <a:noFill/>
                      <a:miter lim="800000"/>
                      <a:headEnd/>
                      <a:tailEnd/>
                    </a:ln>
                  </pic:spPr>
                </pic:pic>
              </a:graphicData>
            </a:graphic>
          </wp:inline>
        </w:drawing>
      </w:r>
    </w:p>
    <w:p w:rsidR="009F5017" w:rsidRDefault="009F5017" w:rsidP="009F5017">
      <w:pPr>
        <w:spacing w:after="0" w:line="240" w:lineRule="auto"/>
      </w:pPr>
      <w:r>
        <w:t>10</w:t>
      </w:r>
      <w:r w:rsidR="008B0B90">
        <w:t>.</w:t>
      </w:r>
    </w:p>
    <w:p w:rsidR="009F5017" w:rsidRDefault="009F5017" w:rsidP="009F5017">
      <w:pPr>
        <w:spacing w:after="0" w:line="240" w:lineRule="auto"/>
      </w:pPr>
      <w:r>
        <w:rPr>
          <w:noProof/>
          <w:lang w:eastAsia="en-GB"/>
        </w:rPr>
        <w:drawing>
          <wp:inline distT="0" distB="0" distL="0" distR="0">
            <wp:extent cx="2860221" cy="1621971"/>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a:srcRect/>
                    <a:stretch>
                      <a:fillRect/>
                    </a:stretch>
                  </pic:blipFill>
                  <pic:spPr bwMode="auto">
                    <a:xfrm>
                      <a:off x="0" y="0"/>
                      <a:ext cx="2860221" cy="1621971"/>
                    </a:xfrm>
                    <a:prstGeom prst="rect">
                      <a:avLst/>
                    </a:prstGeom>
                    <a:noFill/>
                    <a:ln w="9525">
                      <a:noFill/>
                      <a:miter lim="800000"/>
                      <a:headEnd/>
                      <a:tailEnd/>
                    </a:ln>
                  </pic:spPr>
                </pic:pic>
              </a:graphicData>
            </a:graphic>
          </wp:inline>
        </w:drawing>
      </w:r>
    </w:p>
    <w:p w:rsidR="009F5017" w:rsidRDefault="009F5017" w:rsidP="009F5017">
      <w:pPr>
        <w:spacing w:after="0" w:line="240" w:lineRule="auto"/>
      </w:pPr>
      <w:r>
        <w:t>11</w:t>
      </w:r>
      <w:r w:rsidR="008B0B90">
        <w:t>.</w:t>
      </w:r>
    </w:p>
    <w:p w:rsidR="009F5017" w:rsidRDefault="009F5017" w:rsidP="009F5017">
      <w:pPr>
        <w:spacing w:after="0" w:line="240" w:lineRule="auto"/>
      </w:pPr>
      <w:r>
        <w:rPr>
          <w:noProof/>
          <w:lang w:eastAsia="en-GB"/>
        </w:rPr>
        <w:drawing>
          <wp:inline distT="0" distB="0" distL="0" distR="0">
            <wp:extent cx="2860221" cy="1578428"/>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a:srcRect/>
                    <a:stretch>
                      <a:fillRect/>
                    </a:stretch>
                  </pic:blipFill>
                  <pic:spPr bwMode="auto">
                    <a:xfrm>
                      <a:off x="0" y="0"/>
                      <a:ext cx="2861511" cy="1579140"/>
                    </a:xfrm>
                    <a:prstGeom prst="rect">
                      <a:avLst/>
                    </a:prstGeom>
                    <a:noFill/>
                    <a:ln w="9525">
                      <a:noFill/>
                      <a:miter lim="800000"/>
                      <a:headEnd/>
                      <a:tailEnd/>
                    </a:ln>
                  </pic:spPr>
                </pic:pic>
              </a:graphicData>
            </a:graphic>
          </wp:inline>
        </w:drawing>
      </w:r>
    </w:p>
    <w:p w:rsidR="009F5017" w:rsidRDefault="009F5017" w:rsidP="009F5017">
      <w:pPr>
        <w:spacing w:after="0" w:line="240" w:lineRule="auto"/>
      </w:pPr>
      <w:r>
        <w:t>12</w:t>
      </w:r>
      <w:r w:rsidR="008B0B90">
        <w:t>.</w:t>
      </w:r>
    </w:p>
    <w:p w:rsidR="009F5017" w:rsidRDefault="00150869" w:rsidP="009F5017">
      <w:pPr>
        <w:spacing w:after="0" w:line="240" w:lineRule="auto"/>
      </w:pPr>
      <w:r>
        <w:rPr>
          <w:noProof/>
          <w:lang w:eastAsia="en-GB"/>
        </w:rPr>
        <w:drawing>
          <wp:inline distT="0" distB="0" distL="0" distR="0">
            <wp:extent cx="2860221" cy="1513115"/>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6"/>
                    <a:srcRect/>
                    <a:stretch>
                      <a:fillRect/>
                    </a:stretch>
                  </pic:blipFill>
                  <pic:spPr bwMode="auto">
                    <a:xfrm>
                      <a:off x="0" y="0"/>
                      <a:ext cx="2865750" cy="1516040"/>
                    </a:xfrm>
                    <a:prstGeom prst="rect">
                      <a:avLst/>
                    </a:prstGeom>
                    <a:noFill/>
                    <a:ln w="9525">
                      <a:noFill/>
                      <a:miter lim="800000"/>
                      <a:headEnd/>
                      <a:tailEnd/>
                    </a:ln>
                  </pic:spPr>
                </pic:pic>
              </a:graphicData>
            </a:graphic>
          </wp:inline>
        </w:drawing>
      </w:r>
    </w:p>
    <w:p w:rsidR="009F5017" w:rsidRDefault="00150869" w:rsidP="009F5017">
      <w:pPr>
        <w:spacing w:after="0" w:line="240" w:lineRule="auto"/>
      </w:pPr>
      <w:r>
        <w:t>13</w:t>
      </w:r>
      <w:r w:rsidR="008B0B90">
        <w:t>.</w:t>
      </w:r>
    </w:p>
    <w:p w:rsidR="00150869" w:rsidRPr="009F5017" w:rsidRDefault="008B0B90" w:rsidP="009F5017">
      <w:pPr>
        <w:spacing w:after="0" w:line="240" w:lineRule="auto"/>
      </w:pPr>
      <w:r>
        <w:rPr>
          <w:noProof/>
          <w:lang w:eastAsia="en-GB"/>
        </w:rPr>
        <w:drawing>
          <wp:inline distT="0" distB="0" distL="0" distR="0">
            <wp:extent cx="2860221" cy="1589314"/>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7"/>
                    <a:srcRect/>
                    <a:stretch>
                      <a:fillRect/>
                    </a:stretch>
                  </pic:blipFill>
                  <pic:spPr bwMode="auto">
                    <a:xfrm>
                      <a:off x="0" y="0"/>
                      <a:ext cx="2864908" cy="1591918"/>
                    </a:xfrm>
                    <a:prstGeom prst="rect">
                      <a:avLst/>
                    </a:prstGeom>
                    <a:noFill/>
                    <a:ln w="9525">
                      <a:noFill/>
                      <a:miter lim="800000"/>
                      <a:headEnd/>
                      <a:tailEnd/>
                    </a:ln>
                  </pic:spPr>
                </pic:pic>
              </a:graphicData>
            </a:graphic>
          </wp:inline>
        </w:drawing>
      </w:r>
    </w:p>
    <w:p w:rsidR="00961D2B" w:rsidRDefault="00F137CD" w:rsidP="009F5017">
      <w:pPr>
        <w:pStyle w:val="Heading1"/>
        <w:spacing w:before="0" w:after="0" w:line="240" w:lineRule="auto"/>
        <w:rPr>
          <w:b/>
          <w:color w:val="auto"/>
        </w:rPr>
      </w:pPr>
      <w:bookmarkStart w:id="34" w:name="_Toc216919876"/>
      <w:r w:rsidRPr="00DA0B4D">
        <w:rPr>
          <w:b/>
          <w:color w:val="auto"/>
        </w:rPr>
        <w:lastRenderedPageBreak/>
        <w:t xml:space="preserve">11. </w:t>
      </w:r>
      <w:r w:rsidR="00961D2B" w:rsidRPr="00DA0B4D">
        <w:rPr>
          <w:b/>
          <w:color w:val="auto"/>
        </w:rPr>
        <w:t>REFERENCES</w:t>
      </w:r>
      <w:bookmarkEnd w:id="34"/>
    </w:p>
    <w:p w:rsidR="008B0B90" w:rsidRDefault="008B0B90" w:rsidP="003B357B">
      <w:pPr>
        <w:pStyle w:val="PlainText"/>
        <w:spacing w:beforeAutospacing="0" w:afterAutospacing="0"/>
        <w:jc w:val="both"/>
        <w:rPr>
          <w:rFonts w:ascii="Calibri" w:hAnsi="Calibri" w:cs="Calibri"/>
          <w:i/>
          <w:sz w:val="20"/>
          <w:szCs w:val="20"/>
        </w:rPr>
      </w:pPr>
    </w:p>
    <w:p w:rsidR="00961D2B" w:rsidRPr="007C548A" w:rsidRDefault="00961D2B"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[1] World Economic Forum, "The Global Risks Report 2024," Geneva: World Economic Forum, 2024, p. 15.</w:t>
      </w:r>
    </w:p>
    <w:p w:rsidR="00DA6E03" w:rsidRPr="007C548A" w:rsidRDefault="00DA6E03" w:rsidP="003B357B">
      <w:pPr>
        <w:pStyle w:val="PlainText"/>
        <w:spacing w:beforeAutospacing="0" w:afterAutospacing="0"/>
        <w:jc w:val="both"/>
        <w:rPr>
          <w:rFonts w:ascii="Calibri" w:hAnsi="Calibri" w:cs="Calibri"/>
          <w:i/>
          <w:sz w:val="20"/>
          <w:szCs w:val="20"/>
        </w:rPr>
      </w:pPr>
    </w:p>
    <w:p w:rsidR="00961D2B" w:rsidRPr="007C548A" w:rsidRDefault="00961D2B"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[2] W. Stallings, "Network Security Essentials: Applications and Standards," 6th ed. Harlow, England: Pearson, 2017, p. 28.</w:t>
      </w:r>
    </w:p>
    <w:p w:rsidR="00DA6E03" w:rsidRPr="007C548A" w:rsidRDefault="00DA6E03" w:rsidP="003B357B">
      <w:pPr>
        <w:pStyle w:val="PlainText"/>
        <w:spacing w:beforeAutospacing="0" w:afterAutospacing="0"/>
        <w:jc w:val="both"/>
        <w:rPr>
          <w:rFonts w:ascii="Calibri" w:hAnsi="Calibri" w:cs="Calibri"/>
          <w:i/>
          <w:sz w:val="20"/>
          <w:szCs w:val="20"/>
        </w:rPr>
      </w:pPr>
    </w:p>
    <w:p w:rsidR="00961D2B" w:rsidRPr="007C548A" w:rsidRDefault="00961D2B"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[3] National Institute of Standards and Technology (NIST), "Zero Trust Architecture," NIST Special Publication 800-207. Gaithersburg, MD: NIST, 2020, p. 12.</w:t>
      </w:r>
    </w:p>
    <w:p w:rsidR="00DA6E03" w:rsidRPr="007C548A" w:rsidRDefault="00DA6E03" w:rsidP="003B357B">
      <w:pPr>
        <w:pStyle w:val="PlainText"/>
        <w:spacing w:beforeAutospacing="0" w:afterAutospacing="0"/>
        <w:jc w:val="both"/>
        <w:rPr>
          <w:rFonts w:ascii="Calibri" w:hAnsi="Calibri" w:cs="Calibri"/>
          <w:i/>
          <w:sz w:val="20"/>
          <w:szCs w:val="20"/>
        </w:rPr>
      </w:pPr>
    </w:p>
    <w:p w:rsidR="00961D2B" w:rsidRPr="007C548A" w:rsidRDefault="00961D2B"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[4] J. M. Stewart and D. Kinsey, "Network Security, Firewalls, and VPNs," 3rd ed. Burlington, MA: Jones &amp; Bartlett Learning, 2021, p. 156.</w:t>
      </w:r>
    </w:p>
    <w:p w:rsidR="00DA6E03" w:rsidRPr="007C548A" w:rsidRDefault="00DA6E03" w:rsidP="003B357B">
      <w:pPr>
        <w:pStyle w:val="PlainText"/>
        <w:spacing w:beforeAutospacing="0" w:afterAutospacing="0"/>
        <w:jc w:val="both"/>
        <w:rPr>
          <w:rFonts w:ascii="Calibri" w:hAnsi="Calibri" w:cs="Calibri"/>
          <w:i/>
          <w:sz w:val="20"/>
          <w:szCs w:val="20"/>
        </w:rPr>
      </w:pPr>
    </w:p>
    <w:p w:rsidR="00961D2B" w:rsidRPr="007C548A" w:rsidRDefault="00961D2B"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[5] Sophos, "2024 State of Ransomware Report," Oxford, UK: Sophos Ltd., 2024, p. 8.</w:t>
      </w:r>
    </w:p>
    <w:p w:rsidR="00DA6E03" w:rsidRPr="007C548A" w:rsidRDefault="00DA6E03" w:rsidP="003B357B">
      <w:pPr>
        <w:pStyle w:val="PlainText"/>
        <w:spacing w:beforeAutospacing="0" w:afterAutospacing="0"/>
        <w:jc w:val="both"/>
        <w:rPr>
          <w:rFonts w:ascii="Calibri" w:hAnsi="Calibri" w:cs="Calibri"/>
          <w:i/>
          <w:sz w:val="20"/>
          <w:szCs w:val="20"/>
        </w:rPr>
      </w:pPr>
    </w:p>
    <w:p w:rsidR="00961D2B" w:rsidRPr="007C548A" w:rsidRDefault="00961D2B"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[6] NCC Group, "Annual Cyber Threat Monitor Report 2023," Manchester, UK: NCC Group, 2023, p. 22.</w:t>
      </w:r>
    </w:p>
    <w:p w:rsidR="00DA6E03" w:rsidRPr="007C548A" w:rsidRDefault="00DA6E03" w:rsidP="003B357B">
      <w:pPr>
        <w:pStyle w:val="PlainText"/>
        <w:spacing w:beforeAutospacing="0" w:afterAutospacing="0"/>
        <w:jc w:val="both"/>
        <w:rPr>
          <w:rFonts w:ascii="Calibri" w:hAnsi="Calibri" w:cs="Calibri"/>
          <w:i/>
          <w:sz w:val="20"/>
          <w:szCs w:val="20"/>
        </w:rPr>
      </w:pPr>
    </w:p>
    <w:p w:rsidR="00961D2B" w:rsidRPr="007C548A" w:rsidRDefault="00961D2B"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[7] CrowdStrike, "2024 Global Threat Report," Sunnyvale, CA: CrowdStrike, 2024, p. 34.</w:t>
      </w:r>
    </w:p>
    <w:p w:rsidR="00FE56D7" w:rsidRPr="007C548A" w:rsidRDefault="00FE56D7" w:rsidP="003B357B">
      <w:pPr>
        <w:pStyle w:val="PlainText"/>
        <w:spacing w:beforeAutospacing="0" w:afterAutospacing="0"/>
        <w:jc w:val="both"/>
        <w:rPr>
          <w:rFonts w:ascii="Calibri" w:hAnsi="Calibri" w:cs="Calibri"/>
          <w:i/>
          <w:sz w:val="20"/>
          <w:szCs w:val="20"/>
        </w:rPr>
      </w:pPr>
    </w:p>
    <w:p w:rsidR="00961D2B" w:rsidRPr="007C548A" w:rsidRDefault="00961D2B"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[8] NCC Group, "The Rising Threat of Vishing Attacks and Deepfakes," Manchester, UK: NCC Group, 2025, p. 5.</w:t>
      </w:r>
    </w:p>
    <w:p w:rsidR="00FE56D7" w:rsidRPr="007C548A" w:rsidRDefault="00FE56D7" w:rsidP="003B357B">
      <w:pPr>
        <w:pStyle w:val="PlainText"/>
        <w:spacing w:beforeAutospacing="0" w:afterAutospacing="0"/>
        <w:jc w:val="both"/>
        <w:rPr>
          <w:rFonts w:ascii="Calibri" w:hAnsi="Calibri" w:cs="Calibri"/>
          <w:i/>
          <w:sz w:val="20"/>
          <w:szCs w:val="20"/>
        </w:rPr>
      </w:pPr>
    </w:p>
    <w:p w:rsidR="00961D2B" w:rsidRPr="007C548A" w:rsidRDefault="00961D2B"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[9] CISA, "SolarWinds Supply Chain Attack Analysis," Washington, DC: CISA, 2021, p. 3.</w:t>
      </w:r>
    </w:p>
    <w:p w:rsidR="00FE56D7" w:rsidRPr="007C548A" w:rsidRDefault="00FE56D7" w:rsidP="003B357B">
      <w:pPr>
        <w:pStyle w:val="PlainText"/>
        <w:spacing w:beforeAutospacing="0" w:afterAutospacing="0"/>
        <w:jc w:val="both"/>
        <w:rPr>
          <w:rFonts w:ascii="Calibri" w:hAnsi="Calibri" w:cs="Calibri"/>
          <w:i/>
          <w:sz w:val="20"/>
          <w:szCs w:val="20"/>
        </w:rPr>
      </w:pPr>
    </w:p>
    <w:p w:rsidR="00961D2B" w:rsidRPr="007C548A" w:rsidRDefault="00961D2B"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[10] National Institute of Standards and Technology, "NIST Cybersecurity Framework 2.0," Gaithersburg, MD: NIST, 2024, p. 31.</w:t>
      </w:r>
    </w:p>
    <w:p w:rsidR="00FE56D7" w:rsidRPr="007C548A" w:rsidRDefault="00FE56D7" w:rsidP="003B357B">
      <w:pPr>
        <w:pStyle w:val="PlainText"/>
        <w:spacing w:beforeAutospacing="0" w:afterAutospacing="0"/>
        <w:jc w:val="both"/>
        <w:rPr>
          <w:rFonts w:ascii="Calibri" w:hAnsi="Calibri" w:cs="Calibri"/>
          <w:i/>
          <w:sz w:val="20"/>
          <w:szCs w:val="20"/>
        </w:rPr>
      </w:pPr>
    </w:p>
    <w:p w:rsidR="00961D2B" w:rsidRPr="007C548A" w:rsidRDefault="00961D2B"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[11] NIST, "Zero Trust Architecture," NIST SP 800-207, p. 15.</w:t>
      </w:r>
    </w:p>
    <w:p w:rsidR="00FE56D7" w:rsidRPr="007C548A" w:rsidRDefault="00FE56D7" w:rsidP="003B357B">
      <w:pPr>
        <w:pStyle w:val="PlainText"/>
        <w:spacing w:beforeAutospacing="0" w:afterAutospacing="0"/>
        <w:jc w:val="both"/>
        <w:rPr>
          <w:rFonts w:ascii="Calibri" w:hAnsi="Calibri" w:cs="Calibri"/>
          <w:i/>
          <w:sz w:val="20"/>
          <w:szCs w:val="20"/>
        </w:rPr>
      </w:pPr>
    </w:p>
    <w:p w:rsidR="00961D2B" w:rsidRPr="007C548A" w:rsidRDefault="00961D2B"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[12] Insider Threat Program, "Insider Threat Study: Illicit Cyber Activity in the Banking and Finance Sector," Secret Service and Carnegie Mellon University, 2016, p. 12.</w:t>
      </w:r>
    </w:p>
    <w:p w:rsidR="00FE56D7" w:rsidRPr="007C548A" w:rsidRDefault="00FE56D7" w:rsidP="003B357B">
      <w:pPr>
        <w:pStyle w:val="PlainText"/>
        <w:spacing w:beforeAutospacing="0" w:afterAutospacing="0"/>
        <w:jc w:val="both"/>
        <w:rPr>
          <w:rFonts w:ascii="Calibri" w:hAnsi="Calibri" w:cs="Calibri"/>
          <w:i/>
          <w:sz w:val="20"/>
          <w:szCs w:val="20"/>
        </w:rPr>
      </w:pPr>
    </w:p>
    <w:p w:rsidR="00961D2B" w:rsidRPr="007C548A" w:rsidRDefault="00961D2B"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[13] J. Steinberg, "Cybersecurity for Dummies," 2nd ed. Hoboken, NJ: John Wiley &amp; Sons, 2022, p. 198.</w:t>
      </w:r>
    </w:p>
    <w:p w:rsidR="00FE56D7" w:rsidRPr="007C548A" w:rsidRDefault="00FE56D7" w:rsidP="003B357B">
      <w:pPr>
        <w:pStyle w:val="PlainText"/>
        <w:spacing w:beforeAutospacing="0" w:afterAutospacing="0"/>
        <w:jc w:val="both"/>
        <w:rPr>
          <w:rFonts w:ascii="Calibri" w:hAnsi="Calibri" w:cs="Calibri"/>
          <w:i/>
          <w:sz w:val="20"/>
          <w:szCs w:val="20"/>
        </w:rPr>
      </w:pPr>
    </w:p>
    <w:p w:rsidR="00961D2B" w:rsidRPr="007C548A" w:rsidRDefault="00961D2B"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[14] NIST, "NIST Cybersecurity Framework (CSF) 2.0," Gaithersburg, MD: NIST, 2024, p. 8.</w:t>
      </w:r>
    </w:p>
    <w:p w:rsidR="00FE56D7" w:rsidRPr="007C548A" w:rsidRDefault="00FE56D7" w:rsidP="003B357B">
      <w:pPr>
        <w:pStyle w:val="PlainText"/>
        <w:spacing w:beforeAutospacing="0" w:afterAutospacing="0"/>
        <w:jc w:val="both"/>
        <w:rPr>
          <w:rFonts w:ascii="Calibri" w:hAnsi="Calibri" w:cs="Calibri"/>
          <w:i/>
          <w:sz w:val="20"/>
          <w:szCs w:val="20"/>
        </w:rPr>
      </w:pPr>
    </w:p>
    <w:p w:rsidR="00961D2B" w:rsidRPr="007C548A" w:rsidRDefault="00961D2B"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 xml:space="preserve">[15] Cybersecurity and Infrastructure Security Agency (CISA), "Known Exploited </w:t>
      </w:r>
      <w:r w:rsidR="00A73619" w:rsidRPr="007C548A">
        <w:rPr>
          <w:rFonts w:ascii="Calibri" w:hAnsi="Calibri" w:cs="Calibri"/>
          <w:i/>
          <w:sz w:val="20"/>
          <w:szCs w:val="20"/>
        </w:rPr>
        <w:t xml:space="preserve">Vulnerabilities Catalog," </w:t>
      </w:r>
      <w:r w:rsidRPr="007C548A">
        <w:rPr>
          <w:rFonts w:ascii="Calibri" w:hAnsi="Calibri" w:cs="Calibri"/>
          <w:i/>
          <w:sz w:val="20"/>
          <w:szCs w:val="20"/>
        </w:rPr>
        <w:t>CISA, 2024.</w:t>
      </w:r>
    </w:p>
    <w:p w:rsidR="007C548A" w:rsidRPr="007C548A" w:rsidRDefault="007C548A" w:rsidP="003B357B">
      <w:pPr>
        <w:pStyle w:val="PlainText"/>
        <w:spacing w:beforeAutospacing="0" w:afterAutospacing="0"/>
        <w:jc w:val="both"/>
        <w:rPr>
          <w:rFonts w:ascii="Calibri" w:hAnsi="Calibri" w:cs="Calibri"/>
          <w:i/>
          <w:sz w:val="20"/>
          <w:szCs w:val="20"/>
        </w:rPr>
      </w:pPr>
    </w:p>
    <w:p w:rsidR="00382704" w:rsidRPr="007C548A" w:rsidRDefault="00382704" w:rsidP="003B357B">
      <w:pPr>
        <w:spacing w:after="0" w:line="240" w:lineRule="auto"/>
        <w:rPr>
          <w:rFonts w:ascii="Calibri" w:hAnsi="Calibri" w:cs="Calibri"/>
          <w:i/>
          <w:sz w:val="20"/>
          <w:szCs w:val="20"/>
        </w:rPr>
      </w:pPr>
      <w:r w:rsidRPr="007C548A">
        <w:rPr>
          <w:rFonts w:ascii="Calibri" w:hAnsi="Calibri" w:cs="Calibri"/>
          <w:i/>
          <w:sz w:val="20"/>
          <w:szCs w:val="20"/>
        </w:rPr>
        <w:t xml:space="preserve">[16] "Enhancing Cyber Resilience: Convergence of SIEM, SOAR, and AI in 2024" </w:t>
      </w:r>
      <w:r w:rsidRPr="007C548A">
        <w:rPr>
          <w:rStyle w:val="Emphasis"/>
          <w:rFonts w:ascii="Calibri" w:hAnsi="Calibri" w:cs="Calibri"/>
          <w:sz w:val="20"/>
          <w:szCs w:val="20"/>
        </w:rPr>
        <w:t>International Journal of Computing and Engineering</w:t>
      </w:r>
      <w:r w:rsidRPr="007C548A">
        <w:rPr>
          <w:rFonts w:ascii="Calibri" w:hAnsi="Calibri" w:cs="Calibri"/>
          <w:i/>
          <w:sz w:val="20"/>
          <w:szCs w:val="20"/>
        </w:rPr>
        <w:t xml:space="preserve">, 5(2), 36–44 </w:t>
      </w:r>
      <w:r w:rsidRPr="007C548A">
        <w:rPr>
          <w:rStyle w:val="Strong"/>
          <w:rFonts w:ascii="Calibri" w:hAnsi="Calibri" w:cs="Calibri"/>
          <w:b w:val="0"/>
          <w:i/>
          <w:sz w:val="20"/>
          <w:szCs w:val="20"/>
        </w:rPr>
        <w:t>Ramakrishnan, S., &amp; Chittibala, D. R. (2024)</w:t>
      </w:r>
      <w:r w:rsidRPr="007C548A">
        <w:rPr>
          <w:rFonts w:ascii="Calibri" w:hAnsi="Calibri" w:cs="Calibri"/>
          <w:b/>
          <w:i/>
          <w:sz w:val="20"/>
          <w:szCs w:val="20"/>
        </w:rPr>
        <w:t xml:space="preserve"> </w:t>
      </w:r>
      <w:hyperlink r:id="rId28" w:history="1">
        <w:r w:rsidRPr="007C548A">
          <w:rPr>
            <w:rStyle w:val="Hyperlink"/>
            <w:rFonts w:ascii="Calibri" w:hAnsi="Calibri" w:cs="Calibri"/>
            <w:i/>
            <w:sz w:val="20"/>
            <w:szCs w:val="20"/>
          </w:rPr>
          <w:t>https://doi.org/10.47941/ijce.1754</w:t>
        </w:r>
      </w:hyperlink>
    </w:p>
    <w:p w:rsidR="007C548A" w:rsidRPr="007C548A" w:rsidRDefault="007C548A" w:rsidP="003B357B">
      <w:pPr>
        <w:spacing w:after="0" w:line="240" w:lineRule="auto"/>
        <w:rPr>
          <w:rFonts w:ascii="Calibri" w:hAnsi="Calibri" w:cs="Calibri"/>
          <w:i/>
          <w:sz w:val="20"/>
          <w:szCs w:val="20"/>
        </w:rPr>
      </w:pPr>
    </w:p>
    <w:p w:rsidR="00FE56D7" w:rsidRPr="007C548A" w:rsidRDefault="00382704" w:rsidP="003B357B">
      <w:pPr>
        <w:spacing w:after="0" w:line="240" w:lineRule="auto"/>
        <w:rPr>
          <w:rFonts w:ascii="Calibri" w:hAnsi="Calibri" w:cs="Calibri"/>
          <w:i/>
          <w:sz w:val="20"/>
          <w:szCs w:val="20"/>
        </w:rPr>
      </w:pPr>
      <w:r w:rsidRPr="007C548A">
        <w:rPr>
          <w:rFonts w:ascii="Calibri" w:hAnsi="Calibri" w:cs="Calibri"/>
          <w:i/>
          <w:sz w:val="20"/>
          <w:szCs w:val="20"/>
        </w:rPr>
        <w:t xml:space="preserve">[17] Google Images </w:t>
      </w:r>
      <w:hyperlink r:id="rId29" w:history="1">
        <w:r w:rsidRPr="007C548A">
          <w:rPr>
            <w:rStyle w:val="Hyperlink"/>
            <w:rFonts w:ascii="Calibri" w:hAnsi="Calibri" w:cs="Calibri"/>
            <w:i/>
            <w:sz w:val="20"/>
            <w:szCs w:val="20"/>
          </w:rPr>
          <w:t>https://correlatedsecurity.com/soar-critical-success-factors/</w:t>
        </w:r>
      </w:hyperlink>
    </w:p>
    <w:p w:rsidR="007C548A" w:rsidRPr="007C548A" w:rsidRDefault="007C548A" w:rsidP="003B357B">
      <w:pPr>
        <w:spacing w:after="0" w:line="240" w:lineRule="auto"/>
        <w:rPr>
          <w:rFonts w:ascii="Calibri" w:hAnsi="Calibri" w:cs="Calibri"/>
          <w:i/>
          <w:sz w:val="20"/>
          <w:szCs w:val="20"/>
        </w:rPr>
      </w:pPr>
    </w:p>
    <w:p w:rsidR="00FE56D7" w:rsidRPr="007C548A" w:rsidRDefault="00382704"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[18</w:t>
      </w:r>
      <w:r w:rsidR="00961D2B" w:rsidRPr="007C548A">
        <w:rPr>
          <w:rFonts w:ascii="Calibri" w:hAnsi="Calibri" w:cs="Calibri"/>
          <w:i/>
          <w:sz w:val="20"/>
          <w:szCs w:val="20"/>
        </w:rPr>
        <w:t>] CISA, "Zero Trust Maturity Model v2.0," Washington, DC: CISA, 2023, p. 11.</w:t>
      </w:r>
    </w:p>
    <w:p w:rsidR="007C548A" w:rsidRPr="007C548A" w:rsidRDefault="007C548A" w:rsidP="003B357B">
      <w:pPr>
        <w:pStyle w:val="PlainText"/>
        <w:spacing w:beforeAutospacing="0" w:afterAutospacing="0"/>
        <w:jc w:val="both"/>
        <w:rPr>
          <w:rFonts w:ascii="Calibri" w:hAnsi="Calibri" w:cs="Calibri"/>
          <w:i/>
          <w:sz w:val="20"/>
          <w:szCs w:val="20"/>
        </w:rPr>
      </w:pPr>
    </w:p>
    <w:p w:rsidR="00FE56D7" w:rsidRPr="007C548A" w:rsidRDefault="00382704" w:rsidP="003B357B">
      <w:pPr>
        <w:pStyle w:val="PlainText"/>
        <w:spacing w:beforeAutospacing="0" w:afterAutospacing="0"/>
        <w:jc w:val="both"/>
        <w:rPr>
          <w:rFonts w:ascii="Calibri" w:hAnsi="Calibri" w:cs="Calibri"/>
          <w:i/>
          <w:sz w:val="20"/>
          <w:szCs w:val="20"/>
        </w:rPr>
      </w:pPr>
      <w:r w:rsidRPr="007C548A">
        <w:rPr>
          <w:rFonts w:ascii="Calibri" w:hAnsi="Calibri" w:cs="Calibri"/>
          <w:i/>
          <w:sz w:val="20"/>
          <w:szCs w:val="20"/>
        </w:rPr>
        <w:t>[19</w:t>
      </w:r>
      <w:r w:rsidR="00961D2B" w:rsidRPr="007C548A">
        <w:rPr>
          <w:rFonts w:ascii="Calibri" w:hAnsi="Calibri" w:cs="Calibri"/>
          <w:i/>
          <w:sz w:val="20"/>
          <w:szCs w:val="20"/>
        </w:rPr>
        <w:t>] CISA, "Known Exploited Vulnerabilities," Washington, DC: CISA, 2024.</w:t>
      </w:r>
    </w:p>
    <w:p w:rsidR="007C548A" w:rsidRPr="007C548A" w:rsidRDefault="007C548A" w:rsidP="003B357B">
      <w:pPr>
        <w:pStyle w:val="PlainText"/>
        <w:spacing w:beforeAutospacing="0" w:afterAutospacing="0"/>
        <w:jc w:val="both"/>
        <w:rPr>
          <w:rFonts w:ascii="Calibri" w:hAnsi="Calibri" w:cs="Calibri"/>
          <w:i/>
          <w:sz w:val="20"/>
          <w:szCs w:val="20"/>
        </w:rPr>
      </w:pPr>
    </w:p>
    <w:p w:rsidR="00961D2B" w:rsidRPr="007C548A" w:rsidRDefault="00382704" w:rsidP="003B357B">
      <w:pPr>
        <w:spacing w:after="0" w:line="240" w:lineRule="auto"/>
        <w:rPr>
          <w:rFonts w:ascii="Calibri" w:hAnsi="Calibri" w:cs="Calibri"/>
          <w:i/>
          <w:sz w:val="20"/>
          <w:szCs w:val="20"/>
        </w:rPr>
      </w:pPr>
      <w:r w:rsidRPr="007C548A">
        <w:rPr>
          <w:rFonts w:ascii="Calibri" w:hAnsi="Calibri" w:cs="Calibri"/>
          <w:i/>
          <w:sz w:val="20"/>
          <w:szCs w:val="20"/>
        </w:rPr>
        <w:t>[20</w:t>
      </w:r>
      <w:r w:rsidR="00961D2B" w:rsidRPr="007C548A">
        <w:rPr>
          <w:rFonts w:ascii="Calibri" w:hAnsi="Calibri" w:cs="Calibri"/>
          <w:i/>
          <w:sz w:val="20"/>
          <w:szCs w:val="20"/>
        </w:rPr>
        <w:t>] Gartner, "Security and Risk Ma</w:t>
      </w:r>
      <w:r w:rsidR="00A73619" w:rsidRPr="007C548A">
        <w:rPr>
          <w:rFonts w:ascii="Calibri" w:hAnsi="Calibri" w:cs="Calibri"/>
          <w:i/>
          <w:sz w:val="20"/>
          <w:szCs w:val="20"/>
        </w:rPr>
        <w:t xml:space="preserve">nagement Budgets," </w:t>
      </w:r>
      <w:r w:rsidR="00961D2B" w:rsidRPr="007C548A">
        <w:rPr>
          <w:rFonts w:ascii="Calibri" w:hAnsi="Calibri" w:cs="Calibri"/>
          <w:i/>
          <w:sz w:val="20"/>
          <w:szCs w:val="20"/>
        </w:rPr>
        <w:t>Gartner, Inc., 2024, p. 9.</w:t>
      </w:r>
    </w:p>
    <w:p w:rsidR="001077BE" w:rsidRPr="0070309C" w:rsidRDefault="001077BE" w:rsidP="00382704">
      <w:pPr>
        <w:spacing w:after="0" w:line="240" w:lineRule="auto"/>
        <w:rPr>
          <w:rFonts w:ascii="Calibri" w:hAnsi="Calibri" w:cs="Calibri"/>
          <w:sz w:val="22"/>
          <w:szCs w:val="22"/>
        </w:rPr>
      </w:pPr>
    </w:p>
    <w:sectPr w:rsidR="001077BE" w:rsidRPr="0070309C" w:rsidSect="00DA3DEB">
      <w:footerReference w:type="defaul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53888" w:rsidRDefault="00A53888" w:rsidP="00DA3DEB">
      <w:pPr>
        <w:spacing w:after="0" w:line="240" w:lineRule="auto"/>
      </w:pPr>
      <w:r>
        <w:separator/>
      </w:r>
    </w:p>
  </w:endnote>
  <w:endnote w:type="continuationSeparator" w:id="1">
    <w:p w:rsidR="00A53888" w:rsidRDefault="00A53888" w:rsidP="00DA3DE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D092C" w:rsidRDefault="00DD092C">
    <w:pPr>
      <w:tabs>
        <w:tab w:val="center" w:pos="4550"/>
        <w:tab w:val="left" w:pos="5818"/>
      </w:tabs>
      <w:ind w:right="260"/>
      <w:jc w:val="right"/>
      <w:rPr>
        <w:color w:val="071320" w:themeColor="text2" w:themeShade="80"/>
      </w:rPr>
    </w:pPr>
    <w:r>
      <w:rPr>
        <w:color w:val="2C7FCE" w:themeColor="text2" w:themeTint="99"/>
        <w:spacing w:val="60"/>
      </w:rPr>
      <w:t>Page</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sidR="00156AE7">
      <w:rPr>
        <w:noProof/>
        <w:color w:val="0A1D30" w:themeColor="text2" w:themeShade="BF"/>
      </w:rPr>
      <w:t>2</w:t>
    </w:r>
    <w:r>
      <w:rPr>
        <w:color w:val="0A1D30" w:themeColor="text2" w:themeShade="BF"/>
      </w:rPr>
      <w:fldChar w:fldCharType="end"/>
    </w:r>
    <w:r>
      <w:rPr>
        <w:color w:val="0A1D30" w:themeColor="text2" w:themeShade="BF"/>
      </w:rPr>
      <w:t xml:space="preserve"> | </w:t>
    </w:r>
    <w:fldSimple w:instr="NUMPAGES  \* Arabic  \* MERGEFORMAT">
      <w:r w:rsidR="00156AE7" w:rsidRPr="00156AE7">
        <w:rPr>
          <w:noProof/>
          <w:color w:val="0A1D30" w:themeColor="text2" w:themeShade="BF"/>
        </w:rPr>
        <w:t>15</w:t>
      </w:r>
    </w:fldSimple>
  </w:p>
  <w:p w:rsidR="00DD092C" w:rsidRDefault="00DD092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4306470"/>
      <w:docPartObj>
        <w:docPartGallery w:val="Page Numbers (Bottom of Page)"/>
        <w:docPartUnique/>
      </w:docPartObj>
    </w:sdtPr>
    <w:sdtEndPr>
      <w:rPr>
        <w:color w:val="7F7F7F" w:themeColor="background1" w:themeShade="7F"/>
        <w:spacing w:val="60"/>
      </w:rPr>
    </w:sdtEndPr>
    <w:sdtContent>
      <w:p w:rsidR="00DD092C" w:rsidRDefault="00DD092C">
        <w:pPr>
          <w:pStyle w:val="Footer"/>
          <w:pBdr>
            <w:top w:val="single" w:sz="4" w:space="1" w:color="D9D9D9" w:themeColor="background1" w:themeShade="D9"/>
          </w:pBdr>
          <w:jc w:val="right"/>
        </w:pPr>
        <w:fldSimple w:instr=" PAGE   \* MERGEFORMAT ">
          <w:r w:rsidR="00156AE7">
            <w:rPr>
              <w:noProof/>
            </w:rPr>
            <w:t>0</w:t>
          </w:r>
        </w:fldSimple>
        <w:r>
          <w:t xml:space="preserve"> | </w:t>
        </w:r>
        <w:r>
          <w:rPr>
            <w:color w:val="7F7F7F" w:themeColor="background1" w:themeShade="7F"/>
            <w:spacing w:val="60"/>
          </w:rPr>
          <w:t>Page</w:t>
        </w:r>
      </w:p>
    </w:sdtContent>
  </w:sdt>
  <w:p w:rsidR="00DD092C" w:rsidRDefault="00DD092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53888" w:rsidRDefault="00A53888" w:rsidP="00DA3DEB">
      <w:pPr>
        <w:spacing w:after="0" w:line="240" w:lineRule="auto"/>
      </w:pPr>
      <w:r>
        <w:separator/>
      </w:r>
    </w:p>
  </w:footnote>
  <w:footnote w:type="continuationSeparator" w:id="1">
    <w:p w:rsidR="00A53888" w:rsidRDefault="00A53888" w:rsidP="00DA3DE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84123DB4"/>
    <w:multiLevelType w:val="multilevel"/>
    <w:tmpl w:val="84123DB4"/>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1">
    <w:nsid w:val="880BE58F"/>
    <w:multiLevelType w:val="singleLevel"/>
    <w:tmpl w:val="880BE58F"/>
    <w:lvl w:ilvl="0">
      <w:start w:val="4"/>
      <w:numFmt w:val="decimal"/>
      <w:suff w:val="space"/>
      <w:lvlText w:val="%1."/>
      <w:lvlJc w:val="left"/>
    </w:lvl>
  </w:abstractNum>
  <w:abstractNum w:abstractNumId="2">
    <w:nsid w:val="8E2E23FB"/>
    <w:multiLevelType w:val="multilevel"/>
    <w:tmpl w:val="8E2E23FB"/>
    <w:lvl w:ilvl="0">
      <w:start w:val="1"/>
      <w:numFmt w:val="bullet"/>
      <w:lvlText w:val=""/>
      <w:lvlJc w:val="left"/>
      <w:pPr>
        <w:tabs>
          <w:tab w:val="left" w:pos="720"/>
        </w:tabs>
        <w:ind w:left="720" w:hanging="360"/>
      </w:pPr>
      <w:rPr>
        <w:rFonts w:ascii="Symbol" w:hAnsi="Symbol" w:cs="Symbol"/>
        <w:sz w:val="20"/>
      </w:rPr>
    </w:lvl>
    <w:lvl w:ilvl="1">
      <w:start w:val="1"/>
      <w:numFmt w:val="bullet"/>
      <w:lvlText w:val="o"/>
      <w:lvlJc w:val="left"/>
      <w:pPr>
        <w:tabs>
          <w:tab w:val="left" w:pos="1440"/>
        </w:tabs>
        <w:ind w:left="1440" w:hanging="360"/>
      </w:pPr>
      <w:rPr>
        <w:rFonts w:ascii="Courier New" w:hAnsi="Courier New" w:cs="Courier New"/>
        <w:sz w:val="20"/>
      </w:rPr>
    </w:lvl>
    <w:lvl w:ilvl="2">
      <w:start w:val="1"/>
      <w:numFmt w:val="bullet"/>
      <w:lvlText w:val=""/>
      <w:lvlJc w:val="left"/>
      <w:pPr>
        <w:tabs>
          <w:tab w:val="left" w:pos="2160"/>
        </w:tabs>
        <w:ind w:left="2160" w:hanging="360"/>
      </w:pPr>
      <w:rPr>
        <w:rFonts w:ascii="Wingdings" w:hAnsi="Wingdings" w:cs="Wingdings"/>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3">
    <w:nsid w:val="94256C83"/>
    <w:multiLevelType w:val="multilevel"/>
    <w:tmpl w:val="94256C83"/>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4">
    <w:nsid w:val="AA8C030B"/>
    <w:multiLevelType w:val="multilevel"/>
    <w:tmpl w:val="AA8C030B"/>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5">
    <w:nsid w:val="C2FA3A08"/>
    <w:multiLevelType w:val="multilevel"/>
    <w:tmpl w:val="C2FA3A08"/>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6">
    <w:nsid w:val="06D130AD"/>
    <w:multiLevelType w:val="hybridMultilevel"/>
    <w:tmpl w:val="ED323540"/>
    <w:lvl w:ilvl="0" w:tplc="1F42A4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E950E76"/>
    <w:multiLevelType w:val="hybridMultilevel"/>
    <w:tmpl w:val="4942C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C120B48"/>
    <w:multiLevelType w:val="hybridMultilevel"/>
    <w:tmpl w:val="1A88153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30E06C0"/>
    <w:multiLevelType w:val="hybridMultilevel"/>
    <w:tmpl w:val="99B2E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541ADAF"/>
    <w:multiLevelType w:val="multilevel"/>
    <w:tmpl w:val="2541ADAF"/>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11">
    <w:nsid w:val="2D04388B"/>
    <w:multiLevelType w:val="hybridMultilevel"/>
    <w:tmpl w:val="945028C6"/>
    <w:lvl w:ilvl="0" w:tplc="D5CEE41C">
      <w:start w:val="4"/>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0A7A88C"/>
    <w:multiLevelType w:val="multilevel"/>
    <w:tmpl w:val="50A7A88C"/>
    <w:lvl w:ilvl="0">
      <w:start w:val="1"/>
      <w:numFmt w:val="bullet"/>
      <w:lvlText w:val=""/>
      <w:lvlJc w:val="left"/>
      <w:pPr>
        <w:tabs>
          <w:tab w:val="left" w:pos="720"/>
        </w:tabs>
        <w:ind w:left="720" w:hanging="360"/>
      </w:pPr>
      <w:rPr>
        <w:rFonts w:ascii="Symbol" w:hAnsi="Symbol" w:cs="Symbol"/>
        <w:sz w:val="20"/>
      </w:rPr>
    </w:lvl>
    <w:lvl w:ilvl="1">
      <w:start w:val="1"/>
      <w:numFmt w:val="bullet"/>
      <w:lvlText w:val="o"/>
      <w:lvlJc w:val="left"/>
      <w:pPr>
        <w:tabs>
          <w:tab w:val="left" w:pos="1440"/>
        </w:tabs>
        <w:ind w:left="1440" w:hanging="360"/>
      </w:pPr>
      <w:rPr>
        <w:rFonts w:ascii="Courier New" w:hAnsi="Courier New" w:cs="Courier New"/>
        <w:sz w:val="20"/>
      </w:rPr>
    </w:lvl>
    <w:lvl w:ilvl="2">
      <w:start w:val="1"/>
      <w:numFmt w:val="bullet"/>
      <w:lvlText w:val=""/>
      <w:lvlJc w:val="left"/>
      <w:pPr>
        <w:tabs>
          <w:tab w:val="left" w:pos="2160"/>
        </w:tabs>
        <w:ind w:left="2160" w:hanging="360"/>
      </w:pPr>
      <w:rPr>
        <w:rFonts w:ascii="Wingdings" w:hAnsi="Wingdings" w:cs="Wingdings"/>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13">
    <w:nsid w:val="55FB4546"/>
    <w:multiLevelType w:val="multilevel"/>
    <w:tmpl w:val="B81A7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231506D"/>
    <w:multiLevelType w:val="hybridMultilevel"/>
    <w:tmpl w:val="455E773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EEDFBA8"/>
    <w:multiLevelType w:val="singleLevel"/>
    <w:tmpl w:val="6EEDFBA8"/>
    <w:lvl w:ilvl="0">
      <w:start w:val="2"/>
      <w:numFmt w:val="decimal"/>
      <w:suff w:val="space"/>
      <w:lvlText w:val="%1."/>
      <w:lvlJc w:val="left"/>
    </w:lvl>
  </w:abstractNum>
  <w:abstractNum w:abstractNumId="16">
    <w:nsid w:val="6F487D2F"/>
    <w:multiLevelType w:val="hybridMultilevel"/>
    <w:tmpl w:val="B1604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22846B7"/>
    <w:multiLevelType w:val="hybridMultilevel"/>
    <w:tmpl w:val="C8981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4"/>
  </w:num>
  <w:num w:numId="3">
    <w:abstractNumId w:val="12"/>
  </w:num>
  <w:num w:numId="4">
    <w:abstractNumId w:val="2"/>
  </w:num>
  <w:num w:numId="5">
    <w:abstractNumId w:val="5"/>
  </w:num>
  <w:num w:numId="6">
    <w:abstractNumId w:val="10"/>
  </w:num>
  <w:num w:numId="7">
    <w:abstractNumId w:val="4"/>
  </w:num>
  <w:num w:numId="8">
    <w:abstractNumId w:val="3"/>
  </w:num>
  <w:num w:numId="9">
    <w:abstractNumId w:val="0"/>
  </w:num>
  <w:num w:numId="10">
    <w:abstractNumId w:val="1"/>
  </w:num>
  <w:num w:numId="11">
    <w:abstractNumId w:val="15"/>
  </w:num>
  <w:num w:numId="12">
    <w:abstractNumId w:val="16"/>
  </w:num>
  <w:num w:numId="13">
    <w:abstractNumId w:val="17"/>
  </w:num>
  <w:num w:numId="14">
    <w:abstractNumId w:val="9"/>
  </w:num>
  <w:num w:numId="15">
    <w:abstractNumId w:val="7"/>
  </w:num>
  <w:num w:numId="16">
    <w:abstractNumId w:val="11"/>
  </w:num>
  <w:num w:numId="17">
    <w:abstractNumId w:val="6"/>
  </w:num>
  <w:num w:numId="18">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defaultTabStop w:val="720"/>
  <w:characterSpacingControl w:val="doNotCompress"/>
  <w:hdrShapeDefaults>
    <o:shapedefaults v:ext="edit" spidmax="14338"/>
  </w:hdrShapeDefaults>
  <w:footnotePr>
    <w:footnote w:id="0"/>
    <w:footnote w:id="1"/>
  </w:footnotePr>
  <w:endnotePr>
    <w:endnote w:id="0"/>
    <w:endnote w:id="1"/>
  </w:endnotePr>
  <w:compat>
    <w:useFELayout/>
  </w:compat>
  <w:rsids>
    <w:rsidRoot w:val="00DA3DEB"/>
    <w:rsid w:val="00003494"/>
    <w:rsid w:val="00011046"/>
    <w:rsid w:val="00025449"/>
    <w:rsid w:val="00027471"/>
    <w:rsid w:val="000515A0"/>
    <w:rsid w:val="00081FC6"/>
    <w:rsid w:val="00083724"/>
    <w:rsid w:val="000903AB"/>
    <w:rsid w:val="00091135"/>
    <w:rsid w:val="0009189C"/>
    <w:rsid w:val="00096703"/>
    <w:rsid w:val="000A424A"/>
    <w:rsid w:val="000A5961"/>
    <w:rsid w:val="000B63DD"/>
    <w:rsid w:val="000D57E3"/>
    <w:rsid w:val="000E07A2"/>
    <w:rsid w:val="000F3BDE"/>
    <w:rsid w:val="000F50CB"/>
    <w:rsid w:val="00102897"/>
    <w:rsid w:val="001077BE"/>
    <w:rsid w:val="00113530"/>
    <w:rsid w:val="00130C08"/>
    <w:rsid w:val="00150869"/>
    <w:rsid w:val="00155202"/>
    <w:rsid w:val="00156AE7"/>
    <w:rsid w:val="00165E70"/>
    <w:rsid w:val="001704AC"/>
    <w:rsid w:val="00180DA2"/>
    <w:rsid w:val="00185E93"/>
    <w:rsid w:val="00194F12"/>
    <w:rsid w:val="001B036D"/>
    <w:rsid w:val="001B25D6"/>
    <w:rsid w:val="001D5DAE"/>
    <w:rsid w:val="001F0E6A"/>
    <w:rsid w:val="001F17D3"/>
    <w:rsid w:val="001F5730"/>
    <w:rsid w:val="001F717B"/>
    <w:rsid w:val="00202204"/>
    <w:rsid w:val="002157B7"/>
    <w:rsid w:val="00224643"/>
    <w:rsid w:val="002442E6"/>
    <w:rsid w:val="00284A96"/>
    <w:rsid w:val="002A3ECB"/>
    <w:rsid w:val="002D06B6"/>
    <w:rsid w:val="002D247A"/>
    <w:rsid w:val="002D51D0"/>
    <w:rsid w:val="002F5DBF"/>
    <w:rsid w:val="00301C32"/>
    <w:rsid w:val="00306FF9"/>
    <w:rsid w:val="00313184"/>
    <w:rsid w:val="00315254"/>
    <w:rsid w:val="00326C1A"/>
    <w:rsid w:val="003417BE"/>
    <w:rsid w:val="00342654"/>
    <w:rsid w:val="00343657"/>
    <w:rsid w:val="00352196"/>
    <w:rsid w:val="0035563E"/>
    <w:rsid w:val="00361315"/>
    <w:rsid w:val="00382704"/>
    <w:rsid w:val="00384FD5"/>
    <w:rsid w:val="003A373C"/>
    <w:rsid w:val="003B357B"/>
    <w:rsid w:val="003B5360"/>
    <w:rsid w:val="003C0157"/>
    <w:rsid w:val="003D17E9"/>
    <w:rsid w:val="003D70F0"/>
    <w:rsid w:val="003E1331"/>
    <w:rsid w:val="003E24D1"/>
    <w:rsid w:val="003E2EA8"/>
    <w:rsid w:val="003E44B2"/>
    <w:rsid w:val="003F3DFC"/>
    <w:rsid w:val="003F4852"/>
    <w:rsid w:val="003F5C23"/>
    <w:rsid w:val="003F61AF"/>
    <w:rsid w:val="0040261E"/>
    <w:rsid w:val="004103FD"/>
    <w:rsid w:val="004121ED"/>
    <w:rsid w:val="0041743C"/>
    <w:rsid w:val="00424F21"/>
    <w:rsid w:val="004265EC"/>
    <w:rsid w:val="00426A88"/>
    <w:rsid w:val="00436B19"/>
    <w:rsid w:val="004425E5"/>
    <w:rsid w:val="004457BD"/>
    <w:rsid w:val="0047081B"/>
    <w:rsid w:val="00487128"/>
    <w:rsid w:val="004A44C4"/>
    <w:rsid w:val="004B497A"/>
    <w:rsid w:val="004C3D6E"/>
    <w:rsid w:val="004E1534"/>
    <w:rsid w:val="00500174"/>
    <w:rsid w:val="0051095B"/>
    <w:rsid w:val="0052554C"/>
    <w:rsid w:val="00525951"/>
    <w:rsid w:val="0052682C"/>
    <w:rsid w:val="00536C3B"/>
    <w:rsid w:val="0054423D"/>
    <w:rsid w:val="00546D62"/>
    <w:rsid w:val="0055448A"/>
    <w:rsid w:val="005577C8"/>
    <w:rsid w:val="00566878"/>
    <w:rsid w:val="00574C70"/>
    <w:rsid w:val="005804E0"/>
    <w:rsid w:val="0058416E"/>
    <w:rsid w:val="0059233C"/>
    <w:rsid w:val="005A5C34"/>
    <w:rsid w:val="005A6ADF"/>
    <w:rsid w:val="005B2540"/>
    <w:rsid w:val="005B2893"/>
    <w:rsid w:val="005C7760"/>
    <w:rsid w:val="005D2722"/>
    <w:rsid w:val="005E220F"/>
    <w:rsid w:val="005F7552"/>
    <w:rsid w:val="006109C8"/>
    <w:rsid w:val="006122DB"/>
    <w:rsid w:val="006137C7"/>
    <w:rsid w:val="00617FDC"/>
    <w:rsid w:val="00634B7C"/>
    <w:rsid w:val="00643D82"/>
    <w:rsid w:val="006457C5"/>
    <w:rsid w:val="00666795"/>
    <w:rsid w:val="006722EF"/>
    <w:rsid w:val="006723C7"/>
    <w:rsid w:val="006774E9"/>
    <w:rsid w:val="00681FA1"/>
    <w:rsid w:val="006B6D78"/>
    <w:rsid w:val="006C36CB"/>
    <w:rsid w:val="006D38E7"/>
    <w:rsid w:val="006E08E0"/>
    <w:rsid w:val="00707775"/>
    <w:rsid w:val="00716889"/>
    <w:rsid w:val="00721AA6"/>
    <w:rsid w:val="00731915"/>
    <w:rsid w:val="007351F6"/>
    <w:rsid w:val="00737D3D"/>
    <w:rsid w:val="00744D14"/>
    <w:rsid w:val="0076007B"/>
    <w:rsid w:val="007636F7"/>
    <w:rsid w:val="00766076"/>
    <w:rsid w:val="00777E73"/>
    <w:rsid w:val="00792605"/>
    <w:rsid w:val="00794911"/>
    <w:rsid w:val="00795CC4"/>
    <w:rsid w:val="007A7F67"/>
    <w:rsid w:val="007B1E36"/>
    <w:rsid w:val="007C2D4D"/>
    <w:rsid w:val="007C4B9D"/>
    <w:rsid w:val="007C548A"/>
    <w:rsid w:val="007E15CC"/>
    <w:rsid w:val="0082286E"/>
    <w:rsid w:val="00825E16"/>
    <w:rsid w:val="0082745E"/>
    <w:rsid w:val="00837972"/>
    <w:rsid w:val="00843FCE"/>
    <w:rsid w:val="00852618"/>
    <w:rsid w:val="0085418F"/>
    <w:rsid w:val="008555EF"/>
    <w:rsid w:val="00861F04"/>
    <w:rsid w:val="008627CF"/>
    <w:rsid w:val="00866110"/>
    <w:rsid w:val="00870A01"/>
    <w:rsid w:val="00870FDD"/>
    <w:rsid w:val="00873AFD"/>
    <w:rsid w:val="008A4289"/>
    <w:rsid w:val="008B0B90"/>
    <w:rsid w:val="008C51A8"/>
    <w:rsid w:val="008C56E6"/>
    <w:rsid w:val="008D46A1"/>
    <w:rsid w:val="008E2041"/>
    <w:rsid w:val="008F2A1F"/>
    <w:rsid w:val="008F2F78"/>
    <w:rsid w:val="008F69DE"/>
    <w:rsid w:val="00905B7E"/>
    <w:rsid w:val="0090608A"/>
    <w:rsid w:val="00907D1A"/>
    <w:rsid w:val="00920B96"/>
    <w:rsid w:val="00921F94"/>
    <w:rsid w:val="0093467F"/>
    <w:rsid w:val="00937723"/>
    <w:rsid w:val="00937A31"/>
    <w:rsid w:val="00961D2B"/>
    <w:rsid w:val="00964F07"/>
    <w:rsid w:val="00967DC3"/>
    <w:rsid w:val="009803F8"/>
    <w:rsid w:val="009832A3"/>
    <w:rsid w:val="00990293"/>
    <w:rsid w:val="009922C5"/>
    <w:rsid w:val="00992982"/>
    <w:rsid w:val="009A1A2F"/>
    <w:rsid w:val="009A1E06"/>
    <w:rsid w:val="009A579D"/>
    <w:rsid w:val="009B1492"/>
    <w:rsid w:val="009B2087"/>
    <w:rsid w:val="009B5E1D"/>
    <w:rsid w:val="009D0B6E"/>
    <w:rsid w:val="009D21E1"/>
    <w:rsid w:val="009E1F21"/>
    <w:rsid w:val="009F5017"/>
    <w:rsid w:val="00A13A98"/>
    <w:rsid w:val="00A161E1"/>
    <w:rsid w:val="00A16639"/>
    <w:rsid w:val="00A213EE"/>
    <w:rsid w:val="00A2378B"/>
    <w:rsid w:val="00A27A34"/>
    <w:rsid w:val="00A46673"/>
    <w:rsid w:val="00A52E95"/>
    <w:rsid w:val="00A53888"/>
    <w:rsid w:val="00A5423C"/>
    <w:rsid w:val="00A73619"/>
    <w:rsid w:val="00A74452"/>
    <w:rsid w:val="00A802D2"/>
    <w:rsid w:val="00A81B3B"/>
    <w:rsid w:val="00A92D7F"/>
    <w:rsid w:val="00AA5C66"/>
    <w:rsid w:val="00AB2F3A"/>
    <w:rsid w:val="00AB4087"/>
    <w:rsid w:val="00AC22C8"/>
    <w:rsid w:val="00AD393C"/>
    <w:rsid w:val="00AE568E"/>
    <w:rsid w:val="00AE6343"/>
    <w:rsid w:val="00AF0237"/>
    <w:rsid w:val="00AF505B"/>
    <w:rsid w:val="00B07067"/>
    <w:rsid w:val="00B1666F"/>
    <w:rsid w:val="00B23FCE"/>
    <w:rsid w:val="00B3270C"/>
    <w:rsid w:val="00B33778"/>
    <w:rsid w:val="00B67604"/>
    <w:rsid w:val="00B867BA"/>
    <w:rsid w:val="00B978CE"/>
    <w:rsid w:val="00B97C0A"/>
    <w:rsid w:val="00BA181E"/>
    <w:rsid w:val="00BA2464"/>
    <w:rsid w:val="00BA26E4"/>
    <w:rsid w:val="00BB25CF"/>
    <w:rsid w:val="00BB41E5"/>
    <w:rsid w:val="00BB4B8B"/>
    <w:rsid w:val="00BC4155"/>
    <w:rsid w:val="00BC43AA"/>
    <w:rsid w:val="00BC60D8"/>
    <w:rsid w:val="00BD444F"/>
    <w:rsid w:val="00BE3663"/>
    <w:rsid w:val="00C10BAD"/>
    <w:rsid w:val="00C15BA4"/>
    <w:rsid w:val="00C216E7"/>
    <w:rsid w:val="00C25327"/>
    <w:rsid w:val="00C25D0A"/>
    <w:rsid w:val="00C4141C"/>
    <w:rsid w:val="00C6028E"/>
    <w:rsid w:val="00C724F6"/>
    <w:rsid w:val="00C75A5E"/>
    <w:rsid w:val="00C770F1"/>
    <w:rsid w:val="00C77B19"/>
    <w:rsid w:val="00C8370B"/>
    <w:rsid w:val="00C83786"/>
    <w:rsid w:val="00C853B8"/>
    <w:rsid w:val="00C854A3"/>
    <w:rsid w:val="00C94953"/>
    <w:rsid w:val="00C95EC1"/>
    <w:rsid w:val="00CA144F"/>
    <w:rsid w:val="00CB56E6"/>
    <w:rsid w:val="00CE6866"/>
    <w:rsid w:val="00CF1B76"/>
    <w:rsid w:val="00CF3ED8"/>
    <w:rsid w:val="00D26351"/>
    <w:rsid w:val="00D27EB7"/>
    <w:rsid w:val="00D610E5"/>
    <w:rsid w:val="00D61156"/>
    <w:rsid w:val="00D61335"/>
    <w:rsid w:val="00D6378E"/>
    <w:rsid w:val="00D77792"/>
    <w:rsid w:val="00D95B3C"/>
    <w:rsid w:val="00DA0B4D"/>
    <w:rsid w:val="00DA3DEB"/>
    <w:rsid w:val="00DA6E03"/>
    <w:rsid w:val="00DB6EB5"/>
    <w:rsid w:val="00DC142F"/>
    <w:rsid w:val="00DC1AB0"/>
    <w:rsid w:val="00DD0485"/>
    <w:rsid w:val="00DD092C"/>
    <w:rsid w:val="00DD2A30"/>
    <w:rsid w:val="00DE2D55"/>
    <w:rsid w:val="00DF5519"/>
    <w:rsid w:val="00E027E8"/>
    <w:rsid w:val="00E02968"/>
    <w:rsid w:val="00E05419"/>
    <w:rsid w:val="00E12BE4"/>
    <w:rsid w:val="00E22BC6"/>
    <w:rsid w:val="00E464F9"/>
    <w:rsid w:val="00E544EE"/>
    <w:rsid w:val="00E82B10"/>
    <w:rsid w:val="00E90562"/>
    <w:rsid w:val="00E92D99"/>
    <w:rsid w:val="00E94C30"/>
    <w:rsid w:val="00EA5464"/>
    <w:rsid w:val="00EA5C33"/>
    <w:rsid w:val="00EB4E84"/>
    <w:rsid w:val="00EB642F"/>
    <w:rsid w:val="00EC1422"/>
    <w:rsid w:val="00ED744C"/>
    <w:rsid w:val="00EE12C9"/>
    <w:rsid w:val="00EF6C6B"/>
    <w:rsid w:val="00F0075C"/>
    <w:rsid w:val="00F018BB"/>
    <w:rsid w:val="00F117D9"/>
    <w:rsid w:val="00F137CD"/>
    <w:rsid w:val="00F23A6B"/>
    <w:rsid w:val="00F2530D"/>
    <w:rsid w:val="00F3301C"/>
    <w:rsid w:val="00F37F83"/>
    <w:rsid w:val="00F47BD0"/>
    <w:rsid w:val="00F51A99"/>
    <w:rsid w:val="00F56304"/>
    <w:rsid w:val="00F5654D"/>
    <w:rsid w:val="00F6441F"/>
    <w:rsid w:val="00F67D38"/>
    <w:rsid w:val="00F767F7"/>
    <w:rsid w:val="00F80DCF"/>
    <w:rsid w:val="00F83499"/>
    <w:rsid w:val="00FA21CA"/>
    <w:rsid w:val="00FA643D"/>
    <w:rsid w:val="00FB3CC3"/>
    <w:rsid w:val="00FB535F"/>
    <w:rsid w:val="00FC5CA9"/>
    <w:rsid w:val="00FE56D7"/>
    <w:rsid w:val="00FF36DD"/>
    <w:rsid w:val="00FF6D71"/>
    <w:rsid w:val="00FF6DC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2D7F"/>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rPr>
  </w:style>
  <w:style w:type="character" w:customStyle="1" w:styleId="NoSpacingChar">
    <w:name w:val="No Spacing Char"/>
    <w:basedOn w:val="DefaultParagraphFont"/>
    <w:link w:val="NoSpacing"/>
    <w:uiPriority w:val="1"/>
    <w:rsid w:val="00DA3DEB"/>
    <w:rPr>
      <w:kern w:val="0"/>
      <w:sz w:val="22"/>
      <w:szCs w:val="22"/>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customStyle="1"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156AE7"/>
    <w:pPr>
      <w:tabs>
        <w:tab w:val="right" w:leader="dot" w:pos="9016"/>
      </w:tabs>
      <w:spacing w:after="100"/>
    </w:pPr>
    <w:rPr>
      <w:rFonts w:ascii="Calibri" w:hAnsi="Calibri" w:cs="Calibri"/>
      <w:noProof/>
    </w:rPr>
  </w:style>
  <w:style w:type="paragraph" w:styleId="TOC2">
    <w:name w:val="toc 2"/>
    <w:basedOn w:val="Normal"/>
    <w:next w:val="Normal"/>
    <w:autoRedefine/>
    <w:uiPriority w:val="39"/>
    <w:unhideWhenUsed/>
    <w:rsid w:val="000F3BDE"/>
    <w:pPr>
      <w:spacing w:after="100"/>
      <w:ind w:left="240"/>
    </w:pPr>
  </w:style>
  <w:style w:type="paragraph" w:styleId="BalloonText">
    <w:name w:val="Balloon Text"/>
    <w:basedOn w:val="Normal"/>
    <w:link w:val="BalloonTextChar"/>
    <w:uiPriority w:val="99"/>
    <w:semiHidden/>
    <w:unhideWhenUsed/>
    <w:rsid w:val="008541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418F"/>
    <w:rPr>
      <w:rFonts w:ascii="Tahoma" w:hAnsi="Tahoma" w:cs="Tahoma"/>
      <w:sz w:val="16"/>
      <w:szCs w:val="16"/>
    </w:rPr>
  </w:style>
  <w:style w:type="paragraph" w:styleId="NormalWeb">
    <w:name w:val="Normal (Web)"/>
    <w:basedOn w:val="Normal"/>
    <w:uiPriority w:val="99"/>
    <w:unhideWhenUsed/>
    <w:rsid w:val="0085418F"/>
    <w:pPr>
      <w:spacing w:before="100" w:beforeAutospacing="1" w:after="100" w:afterAutospacing="1" w:line="240" w:lineRule="auto"/>
    </w:pPr>
    <w:rPr>
      <w:rFonts w:ascii="Times New Roman" w:eastAsia="Times New Roman" w:hAnsi="Times New Roman" w:cs="Times New Roman"/>
      <w:kern w:val="0"/>
      <w:lang w:eastAsia="en-GB"/>
    </w:rPr>
  </w:style>
  <w:style w:type="character" w:styleId="Strong">
    <w:name w:val="Strong"/>
    <w:basedOn w:val="DefaultParagraphFont"/>
    <w:uiPriority w:val="22"/>
    <w:qFormat/>
    <w:rsid w:val="00F6441F"/>
    <w:rPr>
      <w:b/>
      <w:bCs/>
    </w:rPr>
  </w:style>
  <w:style w:type="character" w:styleId="HTMLCode">
    <w:name w:val="HTML Code"/>
    <w:basedOn w:val="DefaultParagraphFont"/>
    <w:uiPriority w:val="99"/>
    <w:semiHidden/>
    <w:unhideWhenUsed/>
    <w:rsid w:val="007C2D4D"/>
    <w:rPr>
      <w:rFonts w:ascii="Courier New" w:eastAsia="Times New Roman" w:hAnsi="Courier New" w:cs="Courier New"/>
      <w:sz w:val="20"/>
      <w:szCs w:val="20"/>
    </w:rPr>
  </w:style>
  <w:style w:type="paragraph" w:styleId="PlainText">
    <w:name w:val="Plain Text"/>
    <w:basedOn w:val="Normal"/>
    <w:link w:val="PlainTextChar"/>
    <w:uiPriority w:val="99"/>
    <w:unhideWhenUsed/>
    <w:rsid w:val="00961D2B"/>
    <w:pPr>
      <w:spacing w:beforeAutospacing="1" w:after="0" w:afterAutospacing="1" w:line="240" w:lineRule="auto"/>
    </w:pPr>
    <w:rPr>
      <w:rFonts w:ascii="Consolas" w:eastAsiaTheme="minorHAnsi" w:hAnsi="Consolas"/>
      <w:kern w:val="0"/>
      <w:sz w:val="21"/>
      <w:szCs w:val="21"/>
      <w:lang w:eastAsia="en-US"/>
    </w:rPr>
  </w:style>
  <w:style w:type="character" w:customStyle="1" w:styleId="PlainTextChar">
    <w:name w:val="Plain Text Char"/>
    <w:basedOn w:val="DefaultParagraphFont"/>
    <w:link w:val="PlainText"/>
    <w:uiPriority w:val="99"/>
    <w:rsid w:val="00961D2B"/>
    <w:rPr>
      <w:rFonts w:ascii="Consolas" w:eastAsiaTheme="minorHAnsi" w:hAnsi="Consolas"/>
      <w:kern w:val="0"/>
      <w:sz w:val="21"/>
      <w:szCs w:val="21"/>
      <w:lang w:eastAsia="en-US"/>
    </w:rPr>
  </w:style>
  <w:style w:type="character" w:styleId="SubtleEmphasis">
    <w:name w:val="Subtle Emphasis"/>
    <w:basedOn w:val="DefaultParagraphFont"/>
    <w:uiPriority w:val="19"/>
    <w:qFormat/>
    <w:rsid w:val="00F137CD"/>
    <w:rPr>
      <w:i/>
      <w:iCs/>
      <w:color w:val="808080" w:themeColor="text1" w:themeTint="7F"/>
    </w:rPr>
  </w:style>
  <w:style w:type="character" w:styleId="Emphasis">
    <w:name w:val="Emphasis"/>
    <w:basedOn w:val="DefaultParagraphFont"/>
    <w:uiPriority w:val="20"/>
    <w:qFormat/>
    <w:rsid w:val="001077BE"/>
    <w:rPr>
      <w:i/>
      <w:iCs/>
    </w:rPr>
  </w:style>
</w:styles>
</file>

<file path=word/webSettings.xml><?xml version="1.0" encoding="utf-8"?>
<w:webSettings xmlns:r="http://schemas.openxmlformats.org/officeDocument/2006/relationships" xmlns:w="http://schemas.openxmlformats.org/wordprocessingml/2006/main">
  <w:divs>
    <w:div w:id="21173418">
      <w:bodyDiv w:val="1"/>
      <w:marLeft w:val="0"/>
      <w:marRight w:val="0"/>
      <w:marTop w:val="0"/>
      <w:marBottom w:val="0"/>
      <w:divBdr>
        <w:top w:val="none" w:sz="0" w:space="0" w:color="auto"/>
        <w:left w:val="none" w:sz="0" w:space="0" w:color="auto"/>
        <w:bottom w:val="none" w:sz="0" w:space="0" w:color="auto"/>
        <w:right w:val="none" w:sz="0" w:space="0" w:color="auto"/>
      </w:divBdr>
    </w:div>
    <w:div w:id="151720567">
      <w:bodyDiv w:val="1"/>
      <w:marLeft w:val="0"/>
      <w:marRight w:val="0"/>
      <w:marTop w:val="0"/>
      <w:marBottom w:val="0"/>
      <w:divBdr>
        <w:top w:val="none" w:sz="0" w:space="0" w:color="auto"/>
        <w:left w:val="none" w:sz="0" w:space="0" w:color="auto"/>
        <w:bottom w:val="none" w:sz="0" w:space="0" w:color="auto"/>
        <w:right w:val="none" w:sz="0" w:space="0" w:color="auto"/>
      </w:divBdr>
    </w:div>
    <w:div w:id="211503689">
      <w:bodyDiv w:val="1"/>
      <w:marLeft w:val="0"/>
      <w:marRight w:val="0"/>
      <w:marTop w:val="0"/>
      <w:marBottom w:val="0"/>
      <w:divBdr>
        <w:top w:val="none" w:sz="0" w:space="0" w:color="auto"/>
        <w:left w:val="none" w:sz="0" w:space="0" w:color="auto"/>
        <w:bottom w:val="none" w:sz="0" w:space="0" w:color="auto"/>
        <w:right w:val="none" w:sz="0" w:space="0" w:color="auto"/>
      </w:divBdr>
    </w:div>
    <w:div w:id="417292745">
      <w:bodyDiv w:val="1"/>
      <w:marLeft w:val="0"/>
      <w:marRight w:val="0"/>
      <w:marTop w:val="0"/>
      <w:marBottom w:val="0"/>
      <w:divBdr>
        <w:top w:val="none" w:sz="0" w:space="0" w:color="auto"/>
        <w:left w:val="none" w:sz="0" w:space="0" w:color="auto"/>
        <w:bottom w:val="none" w:sz="0" w:space="0" w:color="auto"/>
        <w:right w:val="none" w:sz="0" w:space="0" w:color="auto"/>
      </w:divBdr>
    </w:div>
    <w:div w:id="486674161">
      <w:bodyDiv w:val="1"/>
      <w:marLeft w:val="0"/>
      <w:marRight w:val="0"/>
      <w:marTop w:val="0"/>
      <w:marBottom w:val="0"/>
      <w:divBdr>
        <w:top w:val="none" w:sz="0" w:space="0" w:color="auto"/>
        <w:left w:val="none" w:sz="0" w:space="0" w:color="auto"/>
        <w:bottom w:val="none" w:sz="0" w:space="0" w:color="auto"/>
        <w:right w:val="none" w:sz="0" w:space="0" w:color="auto"/>
      </w:divBdr>
    </w:div>
    <w:div w:id="586575616">
      <w:bodyDiv w:val="1"/>
      <w:marLeft w:val="0"/>
      <w:marRight w:val="0"/>
      <w:marTop w:val="0"/>
      <w:marBottom w:val="0"/>
      <w:divBdr>
        <w:top w:val="none" w:sz="0" w:space="0" w:color="auto"/>
        <w:left w:val="none" w:sz="0" w:space="0" w:color="auto"/>
        <w:bottom w:val="none" w:sz="0" w:space="0" w:color="auto"/>
        <w:right w:val="none" w:sz="0" w:space="0" w:color="auto"/>
      </w:divBdr>
    </w:div>
    <w:div w:id="619068383">
      <w:bodyDiv w:val="1"/>
      <w:marLeft w:val="0"/>
      <w:marRight w:val="0"/>
      <w:marTop w:val="0"/>
      <w:marBottom w:val="0"/>
      <w:divBdr>
        <w:top w:val="none" w:sz="0" w:space="0" w:color="auto"/>
        <w:left w:val="none" w:sz="0" w:space="0" w:color="auto"/>
        <w:bottom w:val="none" w:sz="0" w:space="0" w:color="auto"/>
        <w:right w:val="none" w:sz="0" w:space="0" w:color="auto"/>
      </w:divBdr>
    </w:div>
    <w:div w:id="658769167">
      <w:bodyDiv w:val="1"/>
      <w:marLeft w:val="0"/>
      <w:marRight w:val="0"/>
      <w:marTop w:val="0"/>
      <w:marBottom w:val="0"/>
      <w:divBdr>
        <w:top w:val="none" w:sz="0" w:space="0" w:color="auto"/>
        <w:left w:val="none" w:sz="0" w:space="0" w:color="auto"/>
        <w:bottom w:val="none" w:sz="0" w:space="0" w:color="auto"/>
        <w:right w:val="none" w:sz="0" w:space="0" w:color="auto"/>
      </w:divBdr>
    </w:div>
    <w:div w:id="1523662374">
      <w:bodyDiv w:val="1"/>
      <w:marLeft w:val="0"/>
      <w:marRight w:val="0"/>
      <w:marTop w:val="0"/>
      <w:marBottom w:val="0"/>
      <w:divBdr>
        <w:top w:val="none" w:sz="0" w:space="0" w:color="auto"/>
        <w:left w:val="none" w:sz="0" w:space="0" w:color="auto"/>
        <w:bottom w:val="none" w:sz="0" w:space="0" w:color="auto"/>
        <w:right w:val="none" w:sz="0" w:space="0" w:color="auto"/>
      </w:divBdr>
    </w:div>
    <w:div w:id="2052071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correlatedsecurity.com/soar-critical-success-factor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doi.org/10.47941/ijce.1754" TargetMode="Externa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2025-12-18T00:00:00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3.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4.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A24FC5D-6184-4B78-934F-A781F0C65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3882</Words>
  <Characters>22130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CAO</vt:lpstr>
    </vt:vector>
  </TitlesOfParts>
  <Company/>
  <LinksUpToDate>false</LinksUpToDate>
  <CharactersWithSpaces>25961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CAO</dc:title>
  <dc:subject>Network &amp; Cybersecurity Essentials</dc:subject>
  <dc:creator>Lecturer: Dr Amit Naik</dc:creator>
  <cp:lastModifiedBy>Lenovo</cp:lastModifiedBy>
  <cp:revision>2</cp:revision>
  <dcterms:created xsi:type="dcterms:W3CDTF">2025-12-18T03:18:00Z</dcterms:created>
  <dcterms:modified xsi:type="dcterms:W3CDTF">2025-12-18T03:18:00Z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