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header1.xml" ContentType="application/vnd.openxmlformats-officedocument.wordprocessingml.header+xml"/>
  <Override PartName="/word/theme/theme1.xml" ContentType="application/vnd.openxmlformats-officedocument.theme+xml"/>
</Types>
</file>

<file path=_rels/.rels>&#65279;<?xml version="1.0" encoding="utf-8"?><Relationships xmlns="http://schemas.openxmlformats.org/package/2006/relationships"><Relationship Id="R1" Type="http://schemas.openxmlformats.org/officeDocument/2006/relationships/officeDocument" Target="/word/document.xml" /><Relationship Id="coreR1" Type="http://schemas.openxmlformats.org/package/2006/relationships/metadata/core-properties" Target="/docProps/core.xml" /><Relationship Id="appR1" Type="http://schemas.openxmlformats.org/officeDocument/2006/relationships/extended-properties" Target="/docProps/app.xml" /></Relationships>
</file>

<file path=word/document.xml><?xml version="1.0" encoding="utf-8"?>
<w:document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body>
    <w:p>
      <w:pPr>
        <w:spacing w:lineRule="auto" w:line="360" w:after="0" w:beforeAutospacing="0" w:afterAutospacing="0"/>
        <w:jc w:val="center"/>
        <w:rPr>
          <w:rFonts w:ascii="Arial" w:hAnsi="Arial" w:cs="Arial" w:eastAsia="Arial"/>
          <w:b w:val="1"/>
          <w:bCs w:val="1"/>
          <w:sz w:val="22"/>
          <w:szCs w:val="22"/>
        </w:rPr>
      </w:pPr>
      <w:r>
        <w:rPr>
          <w:rFonts w:ascii="Arial" w:hAnsi="Arial" w:cs="Arial" w:eastAsia="Arial"/>
          <w:b w:val="1"/>
          <w:bCs w:val="1"/>
          <w:sz w:val="22"/>
          <w:szCs w:val="22"/>
          <w:rtl w:val="0"/>
        </w:rPr>
        <w:t>The Josie King Patient Safety Case at Johns Hopkins Hospital</w:t>
      </w:r>
    </w:p>
    <w:p>
      <w:pPr>
        <w:spacing w:lineRule="auto" w:line="360" w:after="0" w:beforeAutospacing="0" w:afterAutospacing="0"/>
        <w:jc w:val="center"/>
        <w:rPr>
          <w:rFonts w:ascii="Arial" w:hAnsi="Arial" w:cs="Arial" w:eastAsia="Arial"/>
          <w:sz w:val="22"/>
          <w:szCs w:val="22"/>
        </w:rPr>
      </w:pPr>
    </w:p>
    <w:p>
      <w:pPr>
        <w:spacing w:lineRule="auto" w:line="360" w:after="0" w:beforeAutospacing="0" w:afterAutospacing="0"/>
        <w:jc w:val="left"/>
        <w:rPr>
          <w:rFonts w:ascii="Arial" w:hAnsi="Arial" w:cs="Arial" w:eastAsia="Arial"/>
          <w:b w:val="1"/>
          <w:bCs w:val="1"/>
          <w:sz w:val="22"/>
          <w:szCs w:val="22"/>
          <w:rtl w:val="0"/>
        </w:rPr>
      </w:pPr>
      <w:r>
        <w:rPr>
          <w:rFonts w:ascii="Arial" w:hAnsi="Arial" w:cs="Arial" w:eastAsia="Arial"/>
          <w:b w:val="1"/>
          <w:bCs w:val="1"/>
          <w:sz w:val="22"/>
          <w:szCs w:val="22"/>
          <w:rtl w:val="0"/>
        </w:rPr>
        <w:t xml:space="preserve"> </w:t>
      </w:r>
      <w:r>
        <w:rPr>
          <w:rFonts w:ascii="Arial" w:hAnsi="Arial" w:cs="Arial" w:eastAsia="Arial"/>
          <w:b w:val="1"/>
          <w:bCs w:val="1"/>
          <w:sz w:val="22"/>
          <w:szCs w:val="22"/>
          <w:rtl w:val="0"/>
        </w:rPr>
        <w:t>Name</w:t>
      </w:r>
      <w:r>
        <w:rPr>
          <w:rFonts w:ascii="Arial" w:hAnsi="Arial" w:cs="Arial" w:eastAsia="Arial"/>
          <w:sz w:val="22"/>
          <w:szCs w:val="22"/>
          <w:rtl w:val="0"/>
        </w:rPr>
        <w:t xml:space="preserve">: Fahmidah faruk patel </w:t>
      </w:r>
    </w:p>
    <w:p>
      <w:pPr>
        <w:spacing w:lineRule="auto" w:line="360" w:after="0" w:beforeAutospacing="0" w:afterAutospacing="0"/>
        <w:jc w:val="left"/>
        <w:rPr>
          <w:rFonts w:ascii="Arial" w:hAnsi="Arial" w:cs="Arial" w:eastAsia="Arial"/>
          <w:b w:val="1"/>
          <w:bCs w:val="1"/>
          <w:sz w:val="22"/>
          <w:szCs w:val="22"/>
          <w:rtl w:val="0"/>
        </w:rPr>
      </w:pPr>
      <w:r>
        <w:rPr>
          <w:rFonts w:ascii="Arial" w:hAnsi="Arial" w:cs="Arial" w:eastAsia="Arial"/>
          <w:b w:val="1"/>
          <w:bCs w:val="1"/>
          <w:sz w:val="22"/>
          <w:szCs w:val="22"/>
          <w:rtl w:val="0"/>
          <w:lang w:val="en-US" w:bidi="en-US" w:eastAsia="en-US"/>
        </w:rPr>
        <w:t xml:space="preserve"> </w:t>
      </w:r>
      <w:r>
        <w:rPr>
          <w:rFonts w:ascii="Arial" w:hAnsi="Arial" w:cs="Arial" w:eastAsia="Arial"/>
          <w:b w:val="1"/>
          <w:bCs w:val="1"/>
          <w:sz w:val="22"/>
          <w:szCs w:val="22"/>
          <w:rtl w:val="0"/>
        </w:rPr>
        <w:t xml:space="preserve">Student id: </w:t>
      </w:r>
      <w:r>
        <w:rPr>
          <w:rFonts w:ascii="Arial" w:hAnsi="Arial" w:cs="Arial" w:eastAsia="Arial"/>
          <w:sz w:val="22"/>
          <w:szCs w:val="22"/>
          <w:rtl w:val="0"/>
        </w:rPr>
        <w:t>251942</w:t>
      </w:r>
      <w:r>
        <w:rPr>
          <w:rFonts w:ascii="Arial" w:hAnsi="Arial" w:cs="Arial" w:eastAsia="Arial"/>
          <w:sz w:val="22"/>
          <w:szCs w:val="22"/>
          <w:rtl w:val="0"/>
          <w:lang w:val="en-US" w:bidi="en-US" w:eastAsia="en-US"/>
        </w:rPr>
        <w:t>5</w:t>
      </w:r>
    </w:p>
    <w:p>
      <w:pPr>
        <w:spacing w:lineRule="auto" w:line="360" w:after="0" w:beforeAutospacing="0" w:afterAutospacing="0"/>
        <w:jc w:val="left"/>
        <w:rPr>
          <w:rFonts w:ascii="Arial" w:hAnsi="Arial" w:cs="Arial" w:eastAsia="Arial"/>
          <w:sz w:val="22"/>
          <w:szCs w:val="22"/>
          <w:rtl w:val="0"/>
          <w:lang w:val="en-US" w:bidi="en-US" w:eastAsia="en-US"/>
        </w:rPr>
      </w:pPr>
      <w:r>
        <w:rPr>
          <w:rFonts w:ascii="Arial" w:hAnsi="Arial" w:cs="Arial" w:eastAsia="Arial"/>
          <w:b w:val="1"/>
          <w:bCs w:val="1"/>
          <w:sz w:val="22"/>
          <w:szCs w:val="22"/>
          <w:rtl w:val="0"/>
          <w:lang w:val="en-US" w:bidi="en-US" w:eastAsia="en-US"/>
        </w:rPr>
        <w:t xml:space="preserve"> </w:t>
      </w:r>
      <w:r>
        <w:rPr>
          <w:rFonts w:ascii="Arial" w:hAnsi="Arial" w:cs="Arial" w:eastAsia="Arial"/>
          <w:b w:val="1"/>
          <w:bCs w:val="1"/>
          <w:sz w:val="22"/>
          <w:szCs w:val="22"/>
          <w:rtl w:val="0"/>
        </w:rPr>
        <w:t>Programme</w:t>
      </w:r>
      <w:r>
        <w:rPr>
          <w:rFonts w:ascii="Arial" w:hAnsi="Arial" w:cs="Arial" w:eastAsia="Arial"/>
          <w:sz w:val="22"/>
          <w:szCs w:val="22"/>
          <w:rtl w:val="0"/>
        </w:rPr>
        <w:t>: MSc Public Health and Social Care in Practic</w:t>
      </w:r>
      <w:r>
        <w:rPr>
          <w:rFonts w:ascii="Arial" w:hAnsi="Arial" w:cs="Arial" w:eastAsia="Arial"/>
          <w:sz w:val="22"/>
          <w:szCs w:val="22"/>
          <w:rtl w:val="0"/>
          <w:lang w:val="en-US" w:bidi="en-US" w:eastAsia="en-US"/>
        </w:rPr>
        <w:t>e</w:t>
      </w:r>
    </w:p>
    <w:p>
      <w:pPr>
        <w:spacing w:lineRule="auto" w:line="360" w:after="0" w:beforeAutospacing="0" w:afterAutospacing="0"/>
        <w:jc w:val="left"/>
        <w:rPr>
          <w:rFonts w:ascii="Arial" w:hAnsi="Arial" w:cs="Arial" w:eastAsia="Arial"/>
          <w:sz w:val="22"/>
          <w:szCs w:val="22"/>
          <w:rtl w:val="0"/>
        </w:rPr>
      </w:pPr>
      <w:r>
        <w:rPr>
          <w:rFonts w:ascii="Arial" w:hAnsi="Arial" w:cs="Arial" w:eastAsia="Arial"/>
          <w:sz w:val="22"/>
          <w:szCs w:val="22"/>
          <w:rtl w:val="0"/>
          <w:lang w:val="en-US" w:bidi="en-US" w:eastAsia="en-US"/>
        </w:rPr>
        <w:t xml:space="preserve"> </w:t>
      </w:r>
      <w:r>
        <w:rPr>
          <w:rFonts w:ascii="Arial" w:hAnsi="Arial" w:cs="Arial" w:eastAsia="Arial"/>
          <w:b w:val="1"/>
          <w:bCs w:val="1"/>
          <w:sz w:val="22"/>
          <w:szCs w:val="22"/>
          <w:rtl w:val="0"/>
        </w:rPr>
        <w:t>Module:</w:t>
      </w:r>
      <w:r>
        <w:rPr>
          <w:rFonts w:ascii="Arial" w:hAnsi="Arial" w:cs="Arial" w:eastAsia="Arial"/>
          <w:sz w:val="22"/>
          <w:szCs w:val="22"/>
          <w:rtl w:val="0"/>
        </w:rPr>
        <w:t xml:space="preserve"> Health care system organization and leadership</w:t>
      </w:r>
    </w:p>
    <w:p>
      <w:pPr>
        <w:spacing w:lineRule="auto" w:line="360" w:after="0" w:beforeAutospacing="0" w:afterAutospacing="0"/>
        <w:jc w:val="left"/>
        <w:rPr>
          <w:rFonts w:ascii="Arial" w:hAnsi="Arial" w:cs="Arial" w:eastAsia="Arial"/>
          <w:b w:val="1"/>
          <w:bCs w:val="1"/>
          <w:sz w:val="22"/>
          <w:szCs w:val="22"/>
          <w:rtl w:val="0"/>
        </w:rPr>
      </w:pPr>
      <w:r>
        <w:rPr>
          <w:rFonts w:ascii="Arial" w:hAnsi="Arial" w:cs="Arial" w:eastAsia="Arial"/>
          <w:sz w:val="22"/>
          <w:szCs w:val="22"/>
          <w:rtl w:val="0"/>
        </w:rPr>
        <w:t xml:space="preserve"> </w:t>
      </w:r>
      <w:r>
        <w:rPr>
          <w:rFonts w:ascii="Arial" w:hAnsi="Arial" w:cs="Arial" w:eastAsia="Arial"/>
          <w:b w:val="1"/>
          <w:bCs w:val="1"/>
          <w:sz w:val="22"/>
          <w:szCs w:val="22"/>
          <w:rtl w:val="0"/>
        </w:rPr>
        <w:t>Module Code</w:t>
      </w:r>
      <w:r>
        <w:rPr>
          <w:rFonts w:ascii="Arial" w:hAnsi="Arial" w:cs="Arial" w:eastAsia="Arial"/>
          <w:sz w:val="22"/>
          <w:szCs w:val="22"/>
          <w:rtl w:val="0"/>
        </w:rPr>
        <w:t>: LCHS7002</w:t>
      </w:r>
    </w:p>
    <w:p>
      <w:pPr>
        <w:spacing w:lineRule="auto" w:line="360" w:after="0" w:beforeAutospacing="0" w:afterAutospacing="0"/>
        <w:jc w:val="left"/>
        <w:rPr>
          <w:rFonts w:ascii="Arial" w:hAnsi="Arial" w:cs="Arial" w:eastAsia="Arial"/>
          <w:sz w:val="22"/>
          <w:szCs w:val="22"/>
        </w:rPr>
      </w:pPr>
      <w:r>
        <w:rPr>
          <w:rFonts w:ascii="Arial" w:hAnsi="Arial" w:cs="Arial" w:eastAsia="Arial"/>
          <w:b w:val="1"/>
          <w:bCs w:val="1"/>
          <w:sz w:val="22"/>
          <w:szCs w:val="22"/>
          <w:rtl w:val="0"/>
          <w:lang w:val="en-US" w:bidi="en-US" w:eastAsia="en-US"/>
        </w:rPr>
        <w:t xml:space="preserve"> </w:t>
      </w:r>
      <w:r>
        <w:rPr>
          <w:rFonts w:ascii="Arial" w:hAnsi="Arial" w:cs="Arial" w:eastAsia="Arial"/>
          <w:b w:val="1"/>
          <w:bCs w:val="1"/>
          <w:sz w:val="22"/>
          <w:szCs w:val="22"/>
          <w:rtl w:val="0"/>
        </w:rPr>
        <w:t xml:space="preserve">Lecturer: </w:t>
      </w:r>
      <w:r>
        <w:rPr>
          <w:rFonts w:ascii="Arial" w:hAnsi="Arial" w:cs="Arial" w:eastAsia="Arial"/>
          <w:sz w:val="22"/>
          <w:szCs w:val="22"/>
          <w:rtl w:val="0"/>
        </w:rPr>
        <w:t>Dr fahad khan</w:t>
      </w:r>
    </w:p>
    <w:p>
      <w:pPr>
        <w:spacing w:lineRule="auto" w:line="360" w:after="0" w:beforeAutospacing="0" w:afterAutospacing="0"/>
        <w:jc w:val="center"/>
        <w:rPr>
          <w:rFonts w:ascii="Arial" w:hAnsi="Arial" w:cs="Arial" w:eastAsia="Arial"/>
          <w:sz w:val="22"/>
          <w:szCs w:val="22"/>
        </w:rPr>
      </w:pPr>
    </w:p>
    <w:p>
      <w:pPr>
        <w:spacing w:lineRule="auto" w:line="360" w:after="0" w:beforeAutospacing="0" w:afterAutospacing="0"/>
        <w:jc w:val="left"/>
        <w:rPr>
          <w:rFonts w:ascii="Arial" w:hAnsi="Arial" w:cs="Arial" w:eastAsia="Arial"/>
          <w:sz w:val="22"/>
          <w:szCs w:val="22"/>
        </w:rPr>
      </w:pPr>
    </w:p>
    <w:p>
      <w:pPr>
        <w:spacing w:lineRule="auto" w:line="360" w:after="0" w:beforeAutospacing="0" w:afterAutospacing="0"/>
        <w:jc w:val="left"/>
        <w:rPr>
          <w:rFonts w:ascii="Arial" w:hAnsi="Arial" w:cs="Arial" w:eastAsia="Arial"/>
          <w:sz w:val="22"/>
          <w:szCs w:val="22"/>
        </w:rPr>
      </w:pPr>
    </w:p>
    <w:p>
      <w:pPr>
        <w:jc w:val="center"/>
        <w:rPr>
          <w:rFonts w:ascii="Times New Roman" w:hAnsi="Times New Roman" w:cs="Times New Roman" w:eastAsia="Times New Roman"/>
        </w:rPr>
      </w:pPr>
    </w:p>
    <w:p>
      <w:pPr>
        <w:rPr>
          <w:rFonts w:ascii="Times New Roman" w:hAnsi="Times New Roman" w:cs="Times New Roman" w:eastAsia="Times New Roman"/>
          <w:b w:val="1"/>
          <w:bCs w:val="1"/>
        </w:rPr>
      </w:pPr>
      <w:r>
        <w:br w:type="page"/>
      </w:r>
    </w:p>
    <w:p>
      <w:pPr>
        <w:spacing w:lineRule="auto" w:line="360" w:after="0" w:beforeAutospacing="0" w:afterAutospacing="0"/>
        <w:jc w:val="both"/>
        <w:rPr>
          <w:rFonts w:ascii="Arial" w:hAnsi="Arial" w:cs="Arial" w:eastAsia="Arial"/>
          <w:b w:val="1"/>
          <w:bCs w:val="1"/>
        </w:rPr>
      </w:pPr>
      <w:r>
        <w:rPr>
          <w:rFonts w:ascii="Arial" w:hAnsi="Arial" w:cs="Arial" w:eastAsia="Arial"/>
          <w:b w:val="1"/>
          <w:bCs w:val="1"/>
          <w:rtl w:val="0"/>
        </w:rPr>
        <w:t xml:space="preserve"> </w:t>
      </w:r>
      <w:r>
        <w:rPr>
          <w:rFonts w:ascii="Arial" w:hAnsi="Arial" w:cs="Arial" w:eastAsia="Arial"/>
          <w:b w:val="1"/>
          <w:bCs w:val="1"/>
          <w:sz w:val="22"/>
          <w:szCs w:val="22"/>
          <w:rtl w:val="0"/>
        </w:rPr>
        <w:t>The Josie King Patient Safety Case at Johns Hopkins Hospital</w:t>
      </w:r>
    </w:p>
    <w:p>
      <w:pPr>
        <w:spacing w:lineRule="auto" w:line="360" w:after="0" w:beforeAutospacing="0" w:afterAutospacing="0"/>
        <w:jc w:val="both"/>
        <w:rPr>
          <w:rFonts w:ascii="Arial" w:hAnsi="Arial" w:cs="Arial" w:eastAsia="Arial"/>
        </w:rPr>
      </w:pPr>
    </w:p>
    <w:p>
      <w:pPr>
        <w:spacing w:lineRule="auto" w:line="360" w:after="0" w:beforeAutospacing="0" w:afterAutospacing="0"/>
        <w:jc w:val="both"/>
        <w:rPr>
          <w:rFonts w:ascii="Arial" w:hAnsi="Arial" w:cs="Arial" w:eastAsia="Arial"/>
          <w:b w:val="1"/>
          <w:bCs w:val="1"/>
          <w:sz w:val="22"/>
          <w:szCs w:val="22"/>
        </w:rPr>
      </w:pPr>
      <w:bookmarkStart w:id="0" w:name="_wxd44po3fdir"/>
      <w:bookmarkEnd w:id="0"/>
      <w:r>
        <w:rPr>
          <w:rFonts w:ascii="Arial" w:hAnsi="Arial" w:cs="Arial" w:eastAsia="Arial"/>
          <w:b w:val="1"/>
          <w:bCs w:val="1"/>
          <w:sz w:val="22"/>
          <w:szCs w:val="22"/>
          <w:rtl w:val="0"/>
        </w:rPr>
        <w:t>1.Introduction</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Josie King's patient safety case is a pioneering case in the healthcare transformation since it serves as a perfect example of the supremacy of patient safety and system-wide change in quality (Upadhyay &amp; Chien, 2024). In 2001, a three-year-old Josie King passed away in Johns Hopkins Hospital as a result of the chain of preventable medical errors, highlighting the exact disastrous nature of the systems and procedures of hospitals (Shoja, Ventura Rodriguez, Avilova, and Rajput 2025). The case indicated a significant institutional issue, like a failure in communication, where the concerns of patients were brought up to be ignored and not acted on. The failure of the leadership to control them resulted in the lethal outcome (Chegini, Kakemam, Asghari Jafarabadi &amp; Janati, 2020). The case study aims at reviewing the contribution of these failures to creating the essential transformations in the leadership practices, the governance, and the processes of patient safety in the Johns Hopkins Hospital, and consequently provides the insights that could be applied in the broader healthcare context (Rosenstein &amp; O'Daniel, 2008). It is an analysis aimed at assessing the leadership dynamics, governance systems, and systemic vulnerability from the perspective of realizing resources for the improvement of performance and safety of the health care (Weaver, Lubomksi, Wilson, Pfoh, Martinez, and Dy 2013). The art of influencing individuals and groups to achieve shared objectives, particularly those that call for change, to resolve a problem, or to improve the status quo, can be defined as health and social care leadership (Pronovost et al., 2006). Hospital leaders can ensure quality care delivery to the patients, good organizational culture, and system changes that address errors, inefficiencies, or emerging safety risks (Singer, Lin, Falwell, Gaba, and Baker 2009). The leadership in multidisciplinary healthcare teams is mostly focused on patient safety, as well as enhancing communication, collaboration, and accountability (Leape et al., 2009). Centralization of power within the highest officials of a company is termed centralization, and decentralization is the distribution of it to units or departments to enable faster decision-making locally (Upadhyay &amp; Chien, 2024). Health and social care, as a domain, could be centralized to enhance standardization and uniformity in processes and decentralize structures, allowing the frontline personnel to respond instantly to patient demand and new crises (Shoja et al., 2025). Both of these approaches have their advantages and problems concerning patient care, and in a high-stakes clinical environment, this matter is particularly important (Chegini et al., 2020). Transformational leadership, which motivates and encourages employees to achieve higher performance standards, and transactional leadership, which aims at completing tasks, rules, and rewards, are some of the leadership theories that would be applicable in the health care sector (Rosenstein &amp; O'Daniel, 2008). This is also pertinent because situational leadership implies that leaders adjust their leadership styles to suit a situation in the context of being the most effective (Weaver et al., 2013). The decision to adopt an appropriate leadership strategy during the crises, like that with Josie King, will have a direct impact on the organization, addressing the systemic failures that will both prevent the damage and mitigate its impact (Pronovost et al., 2006). Lastly, the leadership style adopted influences the success of the change project in the healthcare setting since inappropriate leadership could exacerbate the existing circumstances, reduce the feeling of responsibility, and other systemic faults (Singer et al., 2009). The report further defines the problem and system situation, outlines the problems of centralization and decentralization, theories of leadership being applied, critically evaluates governance, and gives a final statement on how to improve and enhance system-wide safety (Leape et al., 2009).</w:t>
      </w:r>
    </w:p>
    <w:p>
      <w:pPr>
        <w:spacing w:lineRule="auto" w:line="360" w:after="0" w:beforeAutospacing="0" w:afterAutospacing="0"/>
        <w:jc w:val="both"/>
        <w:rPr>
          <w:rFonts w:ascii="Arial" w:hAnsi="Arial" w:cs="Arial" w:eastAsia="Arial"/>
          <w:b w:val="1"/>
          <w:bCs w:val="1"/>
          <w:sz w:val="22"/>
          <w:szCs w:val="22"/>
        </w:rPr>
      </w:pPr>
      <w:r>
        <w:rPr>
          <w:rFonts w:ascii="Arial" w:hAnsi="Arial" w:cs="Arial" w:eastAsia="Arial"/>
          <w:b w:val="1"/>
          <w:bCs w:val="1"/>
          <w:sz w:val="22"/>
          <w:szCs w:val="22"/>
          <w:rtl w:val="0"/>
        </w:rPr>
        <w:t xml:space="preserve">Main Body and Analysis </w:t>
      </w:r>
    </w:p>
    <w:p>
      <w:pPr>
        <w:spacing w:lineRule="auto" w:line="360" w:after="0" w:beforeAutospacing="0" w:afterAutospacing="0"/>
        <w:jc w:val="both"/>
        <w:rPr>
          <w:rFonts w:ascii="Arial" w:hAnsi="Arial" w:cs="Arial" w:eastAsia="Arial"/>
          <w:sz w:val="22"/>
          <w:szCs w:val="22"/>
        </w:rPr>
      </w:pPr>
      <w:r>
        <w:rPr>
          <w:rFonts w:ascii="Arial" w:hAnsi="Arial" w:cs="Arial" w:eastAsia="Arial"/>
          <w:b w:val="1"/>
          <w:bCs w:val="1"/>
          <w:sz w:val="22"/>
          <w:szCs w:val="22"/>
          <w:rtl w:val="0"/>
        </w:rPr>
        <w:t>Identifying the Problem and Setting the System Context</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Josie King's case illustrates Johns Hopkins Hospital has significant flaws in patient safety protocols, which resulted in a preventable death (Upadhyay &amp; Chien, 2024). As an example, Josie, a woman who died in the hospital with severe burns, did not die because of her conditions but because of a series of medical errors which could have been avoided (Shoja, Ventura Rodriguez, Avilova &amp; Rajput 2025). The most critical mistakes were that her deteriorating condition was not immediately identified, employees lacked the communication skills, and compliance with the established principles of patient safety was not achieved (Chegini, Kakemam, Asghari Jafarabadi, &amp; Janati, 2020). Her death was an indication of the weak points within the System, which means that it was not the fault of a few employees but rather a systemic problem where the issue was linked to the hospital culture, the practice of leadership, and communication (Rosenstein &amp; O'Daniel, 2008). Specifically, the staff was unable to recognize the signs of sepsis early enough, as well as timely escalate the problems, and did not oversee the compliance with the safety protocols, which confirms that the demise of Josie was the result of the overall institutional failures (Weaver, Lubomksi, Wilson, Pfoh, Martinez, and Dy 2013). Globally, patient safety remains a significant concern. According to the World Health Organization (WHO), one of the 4.5 million people worldwide has preventable medical errors every year, and the majority of them reside in developed countries (Pronovost et al., 2006). These errors may result in long-term disability or preventable death, and effective patient safety systems should be put in place (Singer, Lin, Falwell, Gaba, and Baker 2009). In the US, a 2000 report by the Institute of Medicine (IOM) declared that medical errors were the eighth leading cause of death, killing more than 100,000 people every year, meaning the scale of the challenge in highly funded healthcare systems (Leape et al., 2009). The problems of this type are similar to those of the Johns Hopkins hospital and the Josie King case, which provided an understanding of the general flaws of the System of communication, leadership, and accountability, which can directly result in the damage that can be avoided (Upadhyay &amp; Chien, 2024). These errors occur frequently, and it proves that the failures of the safety culture are not an isolated case but rather the case that takes place on the international level, where systematic alterations in the patient safety practices are required (Shoja et al., 2025). The communication breakdown, lack of accountability, and weak leadership oversight are the major systemic vulnerabilities that can be observed in the case of Josie King (Chegini et al., 2020). In particular, communication breakdowns were particularly high as the essential information regarding the deteriorating state of Josie was not effectively transferred across shifts or between the nursing staff and the physicians attending to her (Rosenstein &amp; O'Daniel, 2008). Reporting the concerns of the frontline staff was never timely, and the interventions were not implemented before damage (Weaver et al., 2013). This absence of unified communication systems and the low quality of the functioning of the feedback systems allowed the critical information about Josie's sepsis to be neglected, which is one of the symptoms of a systemic failure in communication (Pronovost et al., 2006). In addition, there was a lack of clear accountability within the hospital hierarchy, leaving essential task unmonitored and critical essentials of Josie’s care neglected (Singer et al., 2009). Without well-defined accountability, and thus the individual could not be directly accountable to ensure that timely interventions were performed, her condition was followed up, and that safety measures were adhered to (Leape et al., 2009). The absence of efficient accountability mechanisms allowed structural issues that were not resolved to persist, and those errors that could have been avoided to get out of control (Upadhyay &amp; Chien, 2024).</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Leadership control was also deficient in enforcing the standards of patient safety (Shoja et al., 2025). Despite the top managers did not commit a direct error, the fact that they failed to safely oversee the safety systems led to an environment where errors could occur (Chegini et al., 2020). The leadership did not have adequate supervision, real-time control, and follow-up procedures that would ensure the frontline staff complied with the protocols, which is a weakness in the System of governance and organizational control (Rosenstein &amp; O'Daniel, 2008). It would have prevented some risks that have led to the death of Josie had an active leadership style been used, and vigilance, systematic monitoring, and prompt feedback been emphasized (Weaver et al., 2013). The local leadership within the hospital and the national regulatory standards also influence patient safety on the level of governance (Pronovost et al., 2006). At the local level, hospital administration is supposed to support a culture that works towards safety and accountability, where the employees are encouraged to express it without the threat of reprimand (Singer et al., 2009). Regulations of patient safety are implemented by the national agencies, including the Centers for Medicare and Medicaid Services (CMS) and the Joint Commission (JCAHO), which hold a hospital liable to follow these standards (Leape et al., 2009). The Josie King case also shows that firm local control and adherence to national norms lead to the prevention of such errors (Upadhyay &amp; Chien, 2024).</w:t>
      </w:r>
    </w:p>
    <w:p>
      <w:pPr>
        <w:spacing w:lineRule="auto" w:line="360" w:after="0" w:beforeAutospacing="0" w:afterAutospacing="0"/>
        <w:jc w:val="both"/>
        <w:rPr>
          <w:rFonts w:ascii="Arial" w:hAnsi="Arial" w:cs="Arial" w:eastAsia="Arial"/>
          <w:sz w:val="22"/>
          <w:szCs w:val="22"/>
        </w:rPr>
      </w:pPr>
      <w:bookmarkStart w:id="1" w:name="_gil9itrfasqx"/>
      <w:bookmarkEnd w:id="1"/>
      <w:r>
        <w:rPr>
          <w:rFonts w:ascii="Arial" w:hAnsi="Arial" w:cs="Arial" w:eastAsia="Arial"/>
          <w:sz w:val="22"/>
          <w:szCs w:val="22"/>
          <w:rtl w:val="0"/>
        </w:rPr>
        <w:t xml:space="preserve">A Rich Picture diagram would provide a graphical representation of the complexity of all activities within the Johns Hopkins Hospital during the treatment of Josie King (Shoja et al., 2025). This type of diagram would indicate communication channels, or, quite simply, the lack of them between nurses, doctors, and administrators, at which the information was delayed or misunderstood (Chegini et al., 2020). It would also depict poor feedback loops whereby warnings about her deteriorating condition were not taken into account to respond immediately (Rosenstein &amp; O'Daniel, 2008). Also, the control of leadership would be observed, and it would indicate that there is no active monitoring and implementation of safety culture (Weaver et al., 2013). Finally, the absence of a cohesive culture of safety would be displayed by the diagram, and the lack of cohesion between communication and inadequate collaboration would lead to an undeserved tragedy (Pronovost et al., 2006). These systemic failures can be explained with the help of the rich picture approach to the Problem that unidimensional approaches cannot address, hence requiring multifactorial solutions to improve communication, accountability, and leadership in hospital settings (Singer et al., 2009). These inefficiencies will enable medical institutions to prevent the act of such a tragedy and establish an atmosphere in which patient safety will be a high priority throughout the board (Leape et al., </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2009).</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Pr>
        <w:drawing>
          <wp:inline xmlns:wp="http://schemas.openxmlformats.org/drawingml/2006/wordprocessingDrawing" distT="0" distB="0" distL="0" distR="0">
            <wp:extent cx="4960620" cy="268224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dpi="0">
                    <a:blip xmlns:r="http://schemas.openxmlformats.org/officeDocument/2006/relationships" r:embed="Relimage1"/>
                    <a:srcRect/>
                    <a:stretch>
                      <a:fillRect/>
                    </a:stretch>
                  </pic:blipFill>
                  <pic:spPr>
                    <a:xfrm>
                      <a:off x="0" y="0"/>
                      <a:ext cx="4960620" cy="2682240"/>
                    </a:xfrm>
                    <a:prstGeom prst="rect"/>
                  </pic:spPr>
                </pic:pic>
              </a:graphicData>
            </a:graphic>
          </wp:inline>
        </w:drawing>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240" w:before="0" w:after="200" w:beforeAutospacing="0" w:afterAutospacing="0"/>
        <w:ind w:firstLine="0" w:left="0" w:right="0"/>
        <w:jc w:val="left"/>
        <w:rPr>
          <w:rFonts w:ascii="Arial" w:hAnsi="Arial" w:cs="Arial" w:eastAsia="Arial"/>
          <w:b w:val="1"/>
          <w:i w:val="0"/>
          <w:bCs w:val="1"/>
          <w:iCs w:val="0"/>
          <w:smallCaps w:val="0"/>
          <w:color w:val="000000"/>
          <w:sz w:val="32"/>
          <w:szCs w:val="32"/>
          <w:u w:val="none"/>
          <w:shd w:val="clear" w:color="auto" w:fill="auto"/>
          <w:vertAlign w:val="baseline"/>
        </w:rPr>
      </w:pPr>
      <w:r>
        <w:rPr>
          <w:rFonts w:ascii="Arial" w:hAnsi="Arial" w:cs="Arial" w:eastAsia="Arial"/>
          <w:b w:val="1"/>
          <w:i w:val="0"/>
          <w:bCs w:val="1"/>
          <w:iCs w:val="0"/>
          <w:smallCaps w:val="0"/>
          <w:color w:val="000000"/>
          <w:sz w:val="24"/>
          <w:szCs w:val="24"/>
          <w:u w:val="none"/>
          <w:shd w:val="clear" w:color="auto" w:fill="auto"/>
          <w:vertAlign w:val="baseline"/>
          <w:rtl w:val="0"/>
        </w:rPr>
        <w:t>Figure 1 A rich picture of Systemic failures in Josie King’s care</w:t>
      </w:r>
    </w:p>
    <w:p>
      <w:pPr>
        <w:spacing w:lineRule="auto" w:line="360" w:after="0" w:beforeAutospacing="0" w:afterAutospacing="0"/>
        <w:jc w:val="both"/>
        <w:rPr>
          <w:rFonts w:ascii="Arial" w:hAnsi="Arial" w:cs="Arial" w:eastAsia="Arial"/>
          <w:b w:val="1"/>
          <w:bCs w:val="1"/>
          <w:sz w:val="22"/>
          <w:szCs w:val="22"/>
        </w:rPr>
      </w:pPr>
      <w:r>
        <w:rPr>
          <w:rFonts w:ascii="Arial" w:hAnsi="Arial" w:cs="Arial" w:eastAsia="Arial"/>
          <w:b w:val="1"/>
          <w:bCs w:val="1"/>
          <w:sz w:val="22"/>
          <w:szCs w:val="22"/>
          <w:rtl w:val="0"/>
        </w:rPr>
        <w:t>b. Decentralization or Centralization</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The Johns Hopkins Hospital has a centralized framework where the ability to make decisions in the organization is located at the highest leadership tiers (Rawas &amp; Abou Hashish, 2023). In the centralized models, the top decisions are made by a few administrators or top medical officials to guide organizational policies, protocols, and procedures of all the departments (Althobaiti, 2026). The patient care practices are uniform, consistent, and standardized with centralization, and, most importantly, in a large hospital system, this practice is crucial to offer quality and compliance to the standards in various units (Alabdullah &amp; Karwowski, 2024). This cohesion may help align the projects of the hospitals to the national standards and internal regulations in order to make sure that the style of clinical governance remains the same (Collado-Gonzalez, Urtubia-Herrera, Navarta-Sanchez, Sanz-Garcia &amp; Palmar-Santos 2025). However, as can be presented in the Josie King case, the centralization may introduce certain severe drawbacks into high-stakes medical environments where the conditions of patients may shift rapidly and require urgent response (Sammer, Lykens, Singh, Mains, and Lackan 2010). It is also possible that the frontline staff will be limited in making timely decisions, particularly when there are emergencies, with the power they have in high positions (Mujumdar &amp; Santos, 2026). Additionally, the delay in identifying and deteriorating the situation with Josie King was caused by the use of the centralized structure, since the nurses and the treating physicians were not highly empowered to make major decisions without the approval of top-level administrators (Rawas &amp; Abou Hashish, 2023). The delays in some of the critical interventions are caused by decision bottlenecks. They may result in situations where patients are delaying in significant clinical interventions, which directly influence patient outcomes (Althobaiti, 2026). Centralization can also be advantageous in terms of the day-to-day operations and the execution of the hospital-wide policies, though (Alabdullah &amp; Karwowski, 2024). The standardization of the clinical procedure and reduced variability in care delivery due to the centralized control are the consequences of the fact that all institutional clinical procedures are kept constant (Collado-Gonzalez et al., 2025). One such field is infection control, medication administration processes, and reporting, which can be introduced periodically, where the decision-making process will be centralized (Sammer et al., 2010). These advantages mean that centralized control in the Josie King case did not enable the frontline staff to make their own clinical judgments in the cases of emergent situations that required a quick clinical decision, hence highlighting the futility of a completely centralized approach in the context of active patient management (Mujumdar &amp; Santos, 2026).</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Moreover, the centralized systems may not be capable of monitoring and controlling the operation in the daily running (Rawas &amp; Abou Hashish, 2023). In the situation where policies exist, the operational level implementation may not follow the intended safety standard in the absence of the leaders in the daily clinical practice (Althobaiti, 2026). In Josie King, the safety of patients was designed at an administrative level, but realized at the bedside, was not fully followed, and the absence of communication gaps was not discussed in real-time (Alabdullah &amp; Karwowski, 2024). Hence, systemic failures existed, which were not detected until a patient started getting critically ill (Collado-Gonzalez et al., 2025). In contrast decentralization, is the dispersion of decision-making authorities by different departments, units, or frontline staff, and therefore decisions can be made at a point of closer care (Sammer et al., 2010). Decentralized systems will allow nurses, physicians, and unit managers to make immediate decisions so as to please the patients without consulting the top administrators (Mujumdar &amp; Santos, 2026). Decentralization could also help in the Josie King case because the frontline staff could act on the first instance to recognize the symptoms of sepsis and the absence of the necessary delays in her treatment (Rawas &amp; Abou Hashish, 2023). Decentralized systems have the potential to enhance the responsiveness and situational flexibility of high-stress clinical areas by providing the staff with operational control (Althobaiti, 2026). However, there is also decentralization (Alabdullah &amp; Karwowski, 2024). Some of the greatest risks involve the likelihood of unequal practices and communication breakdown between the units that can put patient safety at risk, in case the lack of coordination occurs (Collado-Gonzalez et al., 2025). Even given that the departments perhaps better regulated their work, the absence of a structured communication channel would still not have made the failure of the state of Josie King to be visible (Sammer et al., 2010). In decentralized decision making, there must be a high degree of cooperation, consistency of regulations, and lines of escalation to achieve consistency in providing care to patients (Mujumdar &amp; Santos, 2026). Without those mechanisms, autonomy can only cause fragmented care and delayed interventions (Rawas &amp; Abou Hashish, 2023). Josie King's case shows that neither pure centralization nor pure decentralization would work in a complex healthcare setting (Althobaiti, 2026). Centralization provides control at a strategic level, uniformity, and accountability, and can create congestion during emergencies (Alabdullah &amp; Karwowski, 2024). Decentralization offers flexibility and responsiveness, but may result in inconsistencies and a lack of communication unless it is well organized (Collado-Gonzalez et al., 2025). Therefore, a centralized control and decentralized operational control solution is the most optimal (Sammer et al., 2010). A hybrid system implies retaining the highest management with the responsibility over the hospital-wide policy, safety standards, and strategic planning, and allowing the frontline workers to make decisions in real-time and based on their patients (Mujumdar &amp; Santos, 2026). The approach will ensure that the necessary interventions are obtained on time, and the overall level of quality and safety is maintained (Rawas &amp; Abou Hashish, 2023). It requires well-structured feedback systems, communication, and frequent safety huddles to ensure that operational autonomy does not compromise coordination and patient safety (Althobaiti, 2026).</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In conclusion, the case of Josie King demonstrates that the middle ground between the centralized leadership and provision of strategic direction and accountability versus the decentralized operational authority with the provision of responsive and patient-centred care should be equal (Alabdullah &amp; Karwowski, 2024). The integration of the two systems will assist the hospitals to become more efficient, improve their crisis management, improve patient safety outcomes, and prevent the delay and errors that resulted in the death of Josie King (Collado-Gonzalez et al., 2025).</w:t>
      </w:r>
    </w:p>
    <w:p>
      <w:pPr>
        <w:spacing w:lineRule="auto" w:line="360" w:after="0" w:beforeAutospacing="0" w:afterAutospacing="0"/>
        <w:jc w:val="both"/>
        <w:rPr>
          <w:rFonts w:ascii="Arial" w:hAnsi="Arial" w:cs="Arial" w:eastAsia="Arial"/>
          <w:sz w:val="22"/>
          <w:szCs w:val="22"/>
        </w:rPr>
      </w:pP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Pr>
        <w:drawing>
          <wp:inline xmlns:wp="http://schemas.openxmlformats.org/drawingml/2006/wordprocessingDrawing" distT="0" distB="0" distL="0" distR="0">
            <wp:extent cx="5694045" cy="345059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dpi="0">
                    <a:blip xmlns:r="http://schemas.openxmlformats.org/officeDocument/2006/relationships" r:embed="Relimage2"/>
                    <a:srcRect/>
                    <a:stretch>
                      <a:fillRect/>
                    </a:stretch>
                  </pic:blipFill>
                  <pic:spPr>
                    <a:xfrm>
                      <a:off x="0" y="0"/>
                      <a:ext cx="5694045" cy="3450590"/>
                    </a:xfrm>
                    <a:prstGeom prst="rect"/>
                  </pic:spPr>
                </pic:pic>
              </a:graphicData>
            </a:graphic>
          </wp:inline>
        </w:drawing>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240" w:before="0" w:after="200" w:beforeAutospacing="0" w:afterAutospacing="0"/>
        <w:ind w:firstLine="0" w:left="0" w:right="0"/>
        <w:jc w:val="left"/>
        <w:rPr>
          <w:rFonts w:ascii="Arial" w:hAnsi="Arial" w:cs="Arial" w:eastAsia="Arial"/>
          <w:b w:val="1"/>
          <w:i w:val="0"/>
          <w:bCs w:val="1"/>
          <w:iCs w:val="0"/>
          <w:smallCaps w:val="0"/>
          <w:color w:val="000000"/>
          <w:sz w:val="32"/>
          <w:szCs w:val="32"/>
          <w:u w:val="none"/>
          <w:shd w:val="clear" w:color="auto" w:fill="auto"/>
          <w:vertAlign w:val="baseline"/>
        </w:rPr>
      </w:pPr>
      <w:r>
        <w:rPr>
          <w:rFonts w:ascii="Arial" w:hAnsi="Arial" w:cs="Arial" w:eastAsia="Arial"/>
          <w:b w:val="1"/>
          <w:i w:val="0"/>
          <w:bCs w:val="1"/>
          <w:iCs w:val="0"/>
          <w:smallCaps w:val="0"/>
          <w:color w:val="000000"/>
          <w:sz w:val="24"/>
          <w:szCs w:val="24"/>
          <w:u w:val="none"/>
          <w:shd w:val="clear" w:color="auto" w:fill="auto"/>
          <w:vertAlign w:val="baseline"/>
          <w:rtl w:val="0"/>
        </w:rPr>
        <w:t>Figure 2 Global and US Patient Safety Concerns</w:t>
      </w:r>
    </w:p>
    <w:p>
      <w:pPr>
        <w:spacing w:lineRule="auto" w:line="360" w:after="0" w:beforeAutospacing="0" w:afterAutospacing="0"/>
        <w:jc w:val="both"/>
        <w:rPr>
          <w:rFonts w:ascii="Arial" w:hAnsi="Arial" w:cs="Arial" w:eastAsia="Arial"/>
          <w:b w:val="1"/>
          <w:bCs w:val="1"/>
          <w:sz w:val="22"/>
          <w:szCs w:val="22"/>
        </w:rPr>
      </w:pPr>
      <w:r>
        <w:rPr>
          <w:rFonts w:ascii="Arial" w:hAnsi="Arial" w:cs="Arial" w:eastAsia="Arial"/>
          <w:b w:val="1"/>
          <w:bCs w:val="1"/>
          <w:sz w:val="22"/>
          <w:szCs w:val="22"/>
          <w:rtl w:val="0"/>
        </w:rPr>
        <w:t>Leadership Application and Theories</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Josie King's case demonstrates how significant the leadership role in patient safety and organizational outcomes is (Alrasheeday et al., 2024). The failures of the Johns Hopkins Hospital can be explained particularly by transformational leadership that can inspire and motivate workers and encourage innovation and shared values (Al-Mandhari et al., 2014). Transformational leaders adhere to long-term goals, employee training, and empowerment that create a culture where the staff feels free to raise concerns regarding safety (Ammouri, Tailakh, Muliira, Geethakrishnan, &amp; Al Kindi, 2014). Transformational leadership likely contributed to open communication, a focus on patient safety, and proactive efforts, which prevented the tragedy in the case of Josie King (Shafei et al., 2023). On the other hand, transactional leadership is founded on completing tasks and a reward-punishment model that will maintain the status quo in comparison with systemic problems (Tasbihi, Moghri, Ghavami, Raesi, Janghorban, and Tabatabaee 2025). Transactional leadership can be used to get through the day-to-day tasks. Still, the underlying cultural problems, such as the communication gaps and the lack of accountability, that stand out in this case, cannot be resolved with it (Rawas &amp; Abou Hashish, 2023). The former history of the hospital's reliance on transactional approaches resulted in the gradual understanding of the deteriorating health of Josie and the wrongful proactive measures (Althobaiti, 2026).</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Situational leadership is dynamic and designed to change the leadership style according to the requirements of a certain situation (Alrasheeday et al., 2024). In the Josie King case, situational leadership would have helped leaders to switch to directive styles in such situations when acute deterioration and supportive styles when stressing to motivate and empower staff (Al-Mandhari et al., 2014). This flexibility would have resulted in quicker responses and higher confidence of the staff in taking the necessary action to make the patient safe (Ammouri et al., 2014). The theories of great man and trait Leadership, in which inborn qualities prevail over development, are important yet lack the information to provide as to the potential leadership shortcomings at Johns Hopkins (Shafei et al., 2023). Reliance on inherent traits without inclusivity and developmental approaches towards care provision may have adversely affected active problem-solving and partnership activities, which were required in the case of Josie (Tasbihi et al., 2025). Using the leadership style analysis, what strategy was applied in one of the hospitals at the moment was reactive, which was aimed at the maintenance of the current processes rather than preparedness for the potential crisis (Rawas &amp; Abou Hashish, 2023). There were no adequate communication channels, support, and empowerment of the employees to raise issues, which impeded the speed of response (Althobaiti, 2026). During the post-incident phase, the leadership began to shift towards a proactive model, introducing the safety protocols and the level of transparency, along with regular huddles, which were revealed rather late to prevent the negative outcome (Alrasheeday et al., 2024). The level of leadership foresight and emotional intelligence was low due to the inability of employees to voice their concerns and respond properly to the deterioration of patients (Al-Mandhari et al., 2014). The distributed leadership could have been employed to improve leadership components, where decision-making and responsibilities are distributed among nurses and physicians in the field (Ammouri et al., 2014). The plan will help develop teamwork, shared responsibility, and quicker responses during emergencies (Shafei et al., 2023). The emotion intelligence-based leadership would have enhanced the employees' support, empathy, and communication, enabled timely interventions to address safety concerns, and removed barriers to reporting safety issues (Tasbihi et al., 2025). An active leadership that puts high value on risk prediction, frequent checking of the state of patients, and the availability of clear safety principles would have made it possible to create a preventive rather than a responsive climate (Rawas &amp; Abou Hashish, 2023). In conclusion, transformational, situational, and emotionally intelligent leadership principles should have been applied in the Josie King case, as this would have yielded significantly better outcomes (Althobaiti, 2026). The leadership style is distributed, proactive, and emotionally conscious, which allows creating a culture that facilitates safety, empowering employees, and enabling them to react promptly to emerging risks (Alrasheeday et al., 2024). The theories play a critical role in the leadership development to prevent such tragedies and provide quality patient care (Al-Mandhari et al., 2014).</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 xml:space="preserve">d. </w:t>
      </w:r>
      <w:r>
        <w:rPr>
          <w:rFonts w:ascii="Arial" w:hAnsi="Arial" w:cs="Arial" w:eastAsia="Arial"/>
          <w:b w:val="1"/>
          <w:bCs w:val="1"/>
          <w:sz w:val="22"/>
          <w:szCs w:val="22"/>
          <w:rtl w:val="0"/>
        </w:rPr>
        <w:t>Improvement and Lessons Learned</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Following the unfortunate incident of the death of Josie King, Johns Hopkins Hospital knew that it was time to effect changes of overhaul in terms of leadership, governance, and patient safety (Moraca, Zaghini, Fiorini, and Sili 2025). Some of the most significant flaws in the hospital culture, including the role of leadership and the processes of communication, became known at the time of the incident (Kyriakeli, Georgiadou, Lithoxopoulou, Tsimtsiou &amp; Kotsis 2025). To begin with, the leadership was not oriented towards the powerful safety culture that contributed to the occurrence of the avoidable outcome (Velez et al., 2026). The hospital reacted by accepting a patient-centered safety culture, transparency, accountability, and openness of communication policies (Schmiedhofer, Derksen, Dietl, Haeussler, Strametz, Huener, and Lippke 2022). It also established the safety huddles, during which cross-departmental dialogues about patient risks, progress, and safety would take place on a regular basis, which allowed making safety a concern of all staff members at all levels (Alrasheeday et al., 2024). Leadership also implemented mechanisms allowing staff to report near misses and safety hazards without fear of retaliation, fostering a psychologically safe environment for acknowledging and learning from errors (Al-Mandhari, Al-Zakwani, Al-Kindi, Tawilah, Dorvlo &amp; Al-Adawi 2014). Employees owned patient safety programs because the inclusive leadership activities allowed employees to make decisions (Moraca et al., 2025). The hospital used the procedure of the Root Cause Analysis (RCA) to investigate the negative outcomes in a systematic way and to remove the systemic problems rather than focusing on the single mistakes (Kyriakeli et al., 2025). RCA helped to identify the failures in communication and the mismatch of the process, along with the areas of blindness in leadership, which serves the role in proactive safety (Velez et al., 2026). However, the improvement, the first tragedy was caused by the missed opportunities. Feedback was not given to the employees directly and in time, and no one could raise concerns regarding the condition of Josie (Schmiedhofer et al., 2022). The feedback systems were separated, and the top-down communication distracted the participation of the frontline, as well as reduced the level of autonomy in the staff in case of the emergence of urgent circumstances (Alrasheeday et al., 2024). Centralized leadership indicated a need to have distributed leadership because the bedside nurses and physicians were not able to take the requisite actions promptly (Al-Mandhari et al., 2014). The active leadership with emotional intelligence and situational awareness would have added to the well-being of the staff members, prevented burnout, and improved the patient safety-related focus (Moraca et al., 2025).</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These data underscore the fact that reactive leadership and centralized governance could slow down turnaround time of response and risk the safety of patients (Kyriakeli et al., 2025). The deficiently developed communication systems and the absence of feedback were also contributing to the delayed intervention, which contributed to the fact that critical safety concerns were able to expand (Velez et al., 2026). Distributed leadership would assist the frontline employees to make immediate decisions based on their professional judgment and respond faster in high-pressure cases, with the assistance of emotional intelligence (Schmiedhofer et al., 2022).</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The continuation of safety improvements is highly dependent on continuous improvement. The training on patient safety, communication, and leadership should be conducted on a regular basis at every level of staff (Alrasheeday et al., 2024). Anonymous reporting and digital platforms are integrated real-time feedback systems that can prevent the risks before crises arise (Al-Mandhari et al., 2014). The cross-departmental contact and safety huddles should become the new standard to give the staff the power and ensure the flow of information (Moraca et al., 2025). The transformational practice and emotional intelligence should be developed into leadership to provide a favorable and proactive working environment (Kyriakeli et al., 2025). In conclusion, a culture of safety, open communication, and distributed leadership will also be required to maintain positive changes at Johns Hopkins (Velez et al., 2026). The example of Josie King will help the hospital to prevent future tragedies by implementing systemic protection, promoting accountability, and providing high-quality patient care (Schmiedhofer et al., 2022).</w:t>
      </w:r>
    </w:p>
    <w:p>
      <w:pPr>
        <w:spacing w:lineRule="auto" w:line="360" w:after="0" w:beforeAutospacing="0" w:afterAutospacing="0"/>
        <w:jc w:val="both"/>
        <w:rPr>
          <w:rFonts w:ascii="Arial" w:hAnsi="Arial" w:cs="Arial" w:eastAsia="Arial"/>
          <w:b w:val="1"/>
          <w:bCs w:val="1"/>
          <w:sz w:val="22"/>
          <w:szCs w:val="22"/>
        </w:rPr>
      </w:pPr>
      <w:r>
        <w:rPr>
          <w:rFonts w:ascii="Arial" w:hAnsi="Arial" w:cs="Arial" w:eastAsia="Arial"/>
          <w:b w:val="1"/>
          <w:bCs w:val="1"/>
          <w:sz w:val="22"/>
          <w:szCs w:val="22"/>
          <w:rtl w:val="0"/>
        </w:rPr>
        <w:t>3.Recommendations</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Josie King's case highlights the need to reform the entire System at Johns Hopkins Hospital since it lacks patient safety, governance, and communication (Camacho-Rodriguez, Carrasquilla-Baza, Dominguez-Cancino, &amp; Palmieri, 2022). A transformational and emotionally intelligent leader will be introduced instead because the former fosters collaboration, motivates workers, and enhances innovation (Azyabi, Karwowski, and Davahli 2021). The lack of communication and preventable errors during the case being solved through transformational leadership is the result of a lack of leadership involvement that was de-escalated, which can be addressed by focusing on empathy and staff empowerment (Fuseini, Teixeira da Costa, Matos, Merino-Godoy, &amp; Nave, 2023). It is also possible to establish a shared responsibility toward patient safety through the selected leaders actively involving the staff in decision-making (Brittain &amp; Carrington, 2024).</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Management and compliance also have to improve operational efficiencies and safety by reinforcing governance and communication (Moraca, Zaghini, Fiorini, &amp; Sili, 2025). This may be achievable through standardized reporting systems and procedures at the departmental level that may enable a timely circulation of information and safety huddles in the daily work, which may offer a platform upon which risks might be identified proactively (Kyriakeli, Georgiadou, Lithoxopoulou, Tsimtsiou &amp; Kotsis 2025). Implementation of electronic medical record (EMR) systems with standard templates makes it possible to reduce errors and access valuable information about patients (Camacho-Rodriguez et al., 2022). It must have feedback tools like anonymous reporting and safety hotline where staff can report any concerns without any apprehension of being punished (Azyabi et al., 2021).</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The reduction of efficiency is also necessary (Fuseini et al., 2023). The work processes can be streamlined and the number of bottlenecks reduced to avoid delays in handling the deteriorating conditions of patients (Brittain &amp; Carrington, 2024). The errors in drug delivery can be eliminated through automation, such as barcode medication administration, and technical efficiency should be improved (Moraca et al., 2025). The allocation efficiency can be improved through staffing that is more patient-oriented and predictive analytics, and allocating resources to where they are needed the most (Kyriakeli et al., 2025).</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Constant learning improves patient safety culture (Camacho-Rodriguez et al., 2022). Every employee is constantly able to make no mistakes due to the safety, communication, and leadership trainings (Azyabi et al., 2021). Co-production models promote patient and family-centered interactions as successful collaborators in the process of improving the results and satisfaction (Fuseini et al., 2023). The families will be empowered to monitor the recovery by educating them on safety precautions and discharge plans (Brittain &amp; Carrington, 2024). Psychological safety can be achieved through the establishment of non-punitive reporting, which enables open communication and accountability, and corrects the mistakes and near-misses promptly (Moraca et al., 2025). By combining transformational leadership, effective systems, and continuous learning, Johns Hopkins Hospital will be capable of developing sustainably in the areas of patient safety and quality of care (Kyriakeli et al., 2025).</w:t>
      </w:r>
    </w:p>
    <w:p>
      <w:pPr>
        <w:spacing w:lineRule="auto" w:line="360" w:after="0" w:beforeAutospacing="0" w:afterAutospacing="0"/>
        <w:jc w:val="both"/>
        <w:rPr>
          <w:rFonts w:ascii="Arial" w:hAnsi="Arial" w:cs="Arial" w:eastAsia="Arial"/>
          <w:b w:val="1"/>
          <w:bCs w:val="1"/>
          <w:sz w:val="22"/>
          <w:szCs w:val="22"/>
        </w:rPr>
      </w:pPr>
      <w:r>
        <w:rPr>
          <w:rFonts w:ascii="Arial" w:hAnsi="Arial" w:cs="Arial" w:eastAsia="Arial"/>
          <w:b w:val="1"/>
          <w:bCs w:val="1"/>
          <w:sz w:val="22"/>
          <w:szCs w:val="22"/>
          <w:rtl w:val="0"/>
        </w:rPr>
        <w:t>4.Conclusion</w:t>
      </w: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In the Josie King case, the Johns Hopkins Hospital has highlights significant leadership deficiencies, particularly in communication and accountability (Dietl, Derksen, Keller, Schmiedhofer, &amp; Lippke, 2023). The inability of the leadership to address the systematic issues before the tragedy resulted in preventable errors that took the life of a young patient (Kim &amp; Yu, 2021). Significant alterations took place in the post-event, in particular, in the sphere of patient safety guidelines (Camacho-Rodriguez, Carrasquilla-Baza, Dominguez-Cancino, &amp; Palmieri, 2022). This demonstrates the necessity to introduce the proactive, emotional intelligence, and transformational leadership in healthcare institutions (Azyabi, Karwowski, and Davahli 2021). The managers must foster employee commitment in terms of safety, establish a trustworthy, communicative, and responsible culture (Fuseini, Teixeira da Costa, Matos, Merino-Godoy, &amp; Nave, 2023). It is in the high-risk environment that a leader can provide a much-needed systemic change (Dietl et al., 2023), so the proper leadership framework is necessary to make the change that will result in continuous betterment (Kim &amp; Yu, 2021). The key characteristics of transformational leadership that were required during the struggle with the crisis (Camacho-Rodriguez et al., 2022), the creation of a favorable and proactive working atmosphere (Azyabi et al., 2021), are collaboration-oriented leadership, focus on motivation, and ethical decision-making. The other useful thing about the case is that it demonstrates that people, processes, and structures are interdependent and should be focused on and not on individual errors (Fuseini et al., 2023; Dietl et al., 2023). Through such a holistic approach, the organization can identify the underlying factors and make comprehensive changes to make safety an organizational culture (Kim &amp; Yu, 2021; Camacho-Rodriguez et al., 2022). Systems thinking and good leadership make it possible to initiate meaningful and sustainable changes in patient safety and healthcare delivery (Azyabi et al., 2021; Fuseini et al., 2023).</w:t>
      </w: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rPr>
          <w:rFonts w:ascii="Times New Roman" w:hAnsi="Times New Roman" w:cs="Times New Roman" w:eastAsia="Times New Roman"/>
        </w:rPr>
      </w:pPr>
    </w:p>
    <w:p>
      <w:pPr>
        <w:spacing w:lineRule="auto" w:line="360" w:after="0" w:beforeAutospacing="0" w:afterAutospacing="0"/>
        <w:jc w:val="both"/>
        <w:rPr>
          <w:rFonts w:ascii="Arial" w:hAnsi="Arial" w:cs="Arial" w:eastAsia="Arial"/>
          <w:sz w:val="22"/>
          <w:szCs w:val="22"/>
        </w:rPr>
      </w:pPr>
      <w:r>
        <w:rPr>
          <w:rFonts w:ascii="Arial" w:hAnsi="Arial" w:cs="Arial" w:eastAsia="Arial"/>
          <w:sz w:val="22"/>
          <w:szCs w:val="22"/>
          <w:rtl w:val="0"/>
        </w:rPr>
        <w:t>Reference list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bookmarkStart w:id="2" w:name="_89j4yk22gv07"/>
      <w:bookmarkEnd w:id="2"/>
      <w:r>
        <w:rPr>
          <w:rFonts w:ascii="Arial" w:hAnsi="Arial" w:cs="Arial" w:eastAsia="Arial"/>
          <w:b w:val="0"/>
          <w:i w:val="0"/>
          <w:bCs w:val="0"/>
          <w:iCs w:val="0"/>
          <w:smallCaps w:val="0"/>
          <w:color w:val="000000"/>
          <w:sz w:val="22"/>
          <w:szCs w:val="22"/>
          <w:u w:val="none"/>
          <w:shd w:val="clear" w:color="auto" w:fill="auto"/>
          <w:vertAlign w:val="baseline"/>
          <w:rtl w:val="0"/>
        </w:rPr>
        <w:t xml:space="preserve">‘To Err Is Human’ 2000, National Academies Press, Washington, D.C., viewed 12 March 2026, </w:t>
      </w:r>
      <w:hyperlink xmlns:r="http://schemas.openxmlformats.org/officeDocument/2006/relationships" r:id="R2">
        <w:r>
          <w:rPr>
            <w:rFonts w:ascii="Arial" w:hAnsi="Arial" w:cs="Arial" w:eastAsia="Arial"/>
            <w:b w:val="0"/>
            <w:i w:val="0"/>
            <w:bCs w:val="0"/>
            <w:iCs w:val="0"/>
            <w:smallCaps w:val="0"/>
            <w:color w:val="0563C1"/>
            <w:sz w:val="22"/>
            <w:szCs w:val="22"/>
            <w:u w:val="single"/>
            <w:shd w:val="clear" w:color="auto" w:fill="auto"/>
            <w:vertAlign w:val="baseline"/>
            <w:rtl w:val="0"/>
          </w:rPr>
          <w:t>https://pubmed.ncbi.nlm.nih.gov/25077248/</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Alabdullah, H &amp; Karwowski, W 2024, ‘Patient Safety Culture in Hospital Settings Across Continents: A Systematic Review’, </w:t>
      </w:r>
      <w:r>
        <w:rPr>
          <w:rFonts w:ascii="Arial" w:hAnsi="Arial" w:cs="Arial" w:eastAsia="Arial"/>
          <w:b w:val="0"/>
          <w:i w:val="1"/>
          <w:bCs w:val="0"/>
          <w:iCs w:val="1"/>
          <w:smallCaps w:val="0"/>
          <w:color w:val="000000"/>
          <w:sz w:val="22"/>
          <w:szCs w:val="22"/>
          <w:u w:val="none"/>
          <w:shd w:val="clear" w:color="auto" w:fill="auto"/>
          <w:vertAlign w:val="baseline"/>
          <w:rtl w:val="0"/>
        </w:rPr>
        <w:t>Applied Sciences</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14, MDPI AG, no. 18, p. 8496, viewed 12 March 2026, </w:t>
      </w:r>
      <w:hyperlink xmlns:r="http://schemas.openxmlformats.org/officeDocument/2006/relationships" r:id="R3">
        <w:r>
          <w:rPr>
            <w:rFonts w:ascii="Arial" w:hAnsi="Arial" w:cs="Arial" w:eastAsia="Arial"/>
            <w:b w:val="0"/>
            <w:i w:val="0"/>
            <w:bCs w:val="0"/>
            <w:iCs w:val="0"/>
            <w:smallCaps w:val="0"/>
            <w:color w:val="0563C1"/>
            <w:sz w:val="22"/>
            <w:szCs w:val="22"/>
            <w:u w:val="single"/>
            <w:shd w:val="clear" w:color="auto" w:fill="auto"/>
            <w:vertAlign w:val="baseline"/>
            <w:rtl w:val="0"/>
          </w:rPr>
          <w:t>https://www.mdpi.com/2076-3417/14/18/8496</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Al-Mandhari, A, Al-Zakwani, I, Al-Kindi, M, Tawilah, J, Dorvlo, ASS &amp; Al-Adawi, S 2014, ‘Patient Safety Culture Assessment in Oman’, </w:t>
      </w:r>
      <w:r>
        <w:rPr>
          <w:rFonts w:ascii="Arial" w:hAnsi="Arial" w:cs="Arial" w:eastAsia="Arial"/>
          <w:i w:val="1"/>
          <w:iCs w:val="1"/>
          <w:sz w:val="22"/>
          <w:szCs w:val="22"/>
          <w:rtl w:val="0"/>
        </w:rPr>
        <w:t>Oman Medical Journal</w:t>
      </w:r>
      <w:r>
        <w:rPr>
          <w:rFonts w:ascii="Arial" w:hAnsi="Arial" w:cs="Arial" w:eastAsia="Arial"/>
          <w:sz w:val="22"/>
          <w:szCs w:val="22"/>
          <w:rtl w:val="0"/>
        </w:rPr>
        <w:t xml:space="preserve">, vol. 29, Oman Medical Journal, no. 4, pp. 264–270, viewed 12 March 2026, </w:t>
      </w:r>
      <w:hyperlink xmlns:r="http://schemas.openxmlformats.org/officeDocument/2006/relationships" r:id="R4">
        <w:r>
          <w:rPr>
            <w:rFonts w:ascii="Arial" w:hAnsi="Arial" w:cs="Arial" w:eastAsia="Arial"/>
            <w:color w:val="0563C1"/>
            <w:sz w:val="22"/>
            <w:szCs w:val="22"/>
            <w:u w:val="single"/>
            <w:rtl w:val="0"/>
          </w:rPr>
          <w:t>https://pmc.ncbi.nlm.nih.gov/articles/PMC4137582/</w:t>
        </w:r>
      </w:hyperlink>
      <w:r>
        <w:rPr>
          <w:rFonts w:ascii="Arial" w:hAnsi="Arial" w:cs="Arial" w:eastAsia="Arial"/>
          <w:sz w:val="22"/>
          <w:szCs w:val="22"/>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Alrasheeday, AM, Alkubati, SA, Alqalah, TAH, Alrubaiee, GG, Pasay-An, E, Alshammari, B, Abdullah, SO &amp; Loutfy, A 2024, ‘Nurses’ perceptions of patient safety culture and adverse events in Hail City, Saudi Arabia: a cross-sectional approach to improving healthcare safety’, </w:t>
      </w:r>
      <w:r>
        <w:rPr>
          <w:rFonts w:ascii="Arial" w:hAnsi="Arial" w:cs="Arial" w:eastAsia="Arial"/>
          <w:i w:val="1"/>
          <w:iCs w:val="1"/>
          <w:sz w:val="22"/>
          <w:szCs w:val="22"/>
          <w:rtl w:val="0"/>
        </w:rPr>
        <w:t>BMJ Open</w:t>
      </w:r>
      <w:r>
        <w:rPr>
          <w:rFonts w:ascii="Arial" w:hAnsi="Arial" w:cs="Arial" w:eastAsia="Arial"/>
          <w:sz w:val="22"/>
          <w:szCs w:val="22"/>
          <w:rtl w:val="0"/>
        </w:rPr>
        <w:t xml:space="preserve">, vol. 14, BMJ, no. 9, p. e084741, viewed 12 March 2026, </w:t>
      </w:r>
      <w:hyperlink xmlns:r="http://schemas.openxmlformats.org/officeDocument/2006/relationships" r:id="R5">
        <w:r>
          <w:rPr>
            <w:rFonts w:ascii="Arial" w:hAnsi="Arial" w:cs="Arial" w:eastAsia="Arial"/>
            <w:color w:val="0563C1"/>
            <w:sz w:val="22"/>
            <w:szCs w:val="22"/>
            <w:u w:val="single"/>
            <w:rtl w:val="0"/>
          </w:rPr>
          <w:t>https://bmjopen.bmj.com/content/14/9/e084741.abstract</w:t>
        </w:r>
      </w:hyperlink>
      <w:r>
        <w:rPr>
          <w:rFonts w:ascii="Arial" w:hAnsi="Arial" w:cs="Arial" w:eastAsia="Arial"/>
          <w:sz w:val="22"/>
          <w:szCs w:val="22"/>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Althobaiti, FM 2026, ‘The effects of leadership on patient safety culture in health care: a systematic review’, </w:t>
      </w:r>
      <w:r>
        <w:rPr>
          <w:rFonts w:ascii="Arial" w:hAnsi="Arial" w:cs="Arial" w:eastAsia="Arial"/>
          <w:b w:val="0"/>
          <w:i w:val="1"/>
          <w:bCs w:val="0"/>
          <w:iCs w:val="1"/>
          <w:smallCaps w:val="0"/>
          <w:color w:val="000000"/>
          <w:sz w:val="22"/>
          <w:szCs w:val="22"/>
          <w:u w:val="none"/>
          <w:shd w:val="clear" w:color="auto" w:fill="auto"/>
          <w:vertAlign w:val="baseline"/>
          <w:rtl w:val="0"/>
        </w:rPr>
        <w:t>BMC Nursing</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25, Springer Science and Business Media LLC, no. 1, viewed 12 March 2026, </w:t>
      </w:r>
      <w:hyperlink xmlns:r="http://schemas.openxmlformats.org/officeDocument/2006/relationships" r:id="R6">
        <w:r>
          <w:rPr>
            <w:rFonts w:ascii="Arial" w:hAnsi="Arial" w:cs="Arial" w:eastAsia="Arial"/>
            <w:b w:val="0"/>
            <w:i w:val="0"/>
            <w:bCs w:val="0"/>
            <w:iCs w:val="0"/>
            <w:smallCaps w:val="0"/>
            <w:color w:val="0563C1"/>
            <w:sz w:val="22"/>
            <w:szCs w:val="22"/>
            <w:u w:val="single"/>
            <w:shd w:val="clear" w:color="auto" w:fill="auto"/>
            <w:vertAlign w:val="baseline"/>
            <w:rtl w:val="0"/>
          </w:rPr>
          <w:t>https://pmc.ncbi.nlm.nih.gov/articles/PMC12882623/</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Ammouri, AA, Tailakh, AK, Muliira, JK, Geethakrishnan, R &amp; Al Kindi, SN 2014, ‘Patient safety culture among nurses’, </w:t>
      </w:r>
      <w:r>
        <w:rPr>
          <w:rFonts w:ascii="Arial" w:hAnsi="Arial" w:cs="Arial" w:eastAsia="Arial"/>
          <w:i w:val="1"/>
          <w:iCs w:val="1"/>
          <w:sz w:val="22"/>
          <w:szCs w:val="22"/>
          <w:rtl w:val="0"/>
        </w:rPr>
        <w:t>International Nursing Review</w:t>
      </w:r>
      <w:r>
        <w:rPr>
          <w:rFonts w:ascii="Arial" w:hAnsi="Arial" w:cs="Arial" w:eastAsia="Arial"/>
          <w:sz w:val="22"/>
          <w:szCs w:val="22"/>
          <w:rtl w:val="0"/>
        </w:rPr>
        <w:t xml:space="preserve">, vol. 62, Wiley, no. 1, pp. 102–110, viewed 12 March 2026, </w:t>
      </w:r>
      <w:hyperlink xmlns:r="http://schemas.openxmlformats.org/officeDocument/2006/relationships" r:id="R7">
        <w:r>
          <w:rPr>
            <w:rFonts w:ascii="Arial" w:hAnsi="Arial" w:cs="Arial" w:eastAsia="Arial"/>
            <w:color w:val="0563C1"/>
            <w:sz w:val="22"/>
            <w:szCs w:val="22"/>
            <w:u w:val="single"/>
            <w:rtl w:val="0"/>
          </w:rPr>
          <w:t>https://onlinelibrary.wiley.com/doi/abs/10.1111/inr.12159</w:t>
        </w:r>
      </w:hyperlink>
      <w:r>
        <w:rPr>
          <w:rFonts w:ascii="Arial" w:hAnsi="Arial" w:cs="Arial" w:eastAsia="Arial"/>
          <w:sz w:val="22"/>
          <w:szCs w:val="22"/>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Azyabi, A, Karwowski, W &amp; Davahli, MR 2021, ‘Assessing Patient Safety Culture in Hospital Settings’, </w:t>
      </w:r>
      <w:r>
        <w:rPr>
          <w:rFonts w:ascii="Arial" w:hAnsi="Arial" w:cs="Arial" w:eastAsia="Arial"/>
          <w:i w:val="1"/>
          <w:iCs w:val="1"/>
          <w:sz w:val="22"/>
          <w:szCs w:val="22"/>
          <w:rtl w:val="0"/>
        </w:rPr>
        <w:t>International Journal of Environmental Research and Public Health</w:t>
      </w:r>
      <w:r>
        <w:rPr>
          <w:rFonts w:ascii="Arial" w:hAnsi="Arial" w:cs="Arial" w:eastAsia="Arial"/>
          <w:sz w:val="22"/>
          <w:szCs w:val="22"/>
          <w:rtl w:val="0"/>
        </w:rPr>
        <w:t xml:space="preserve">, vol. 18, MDPI AG, no. 5, p. 2466, viewed 12 March 2026, </w:t>
      </w:r>
      <w:hyperlink xmlns:r="http://schemas.openxmlformats.org/officeDocument/2006/relationships" r:id="R8">
        <w:r>
          <w:rPr>
            <w:rFonts w:ascii="Arial" w:hAnsi="Arial" w:cs="Arial" w:eastAsia="Arial"/>
            <w:color w:val="0563C1"/>
            <w:sz w:val="22"/>
            <w:szCs w:val="22"/>
            <w:u w:val="single"/>
            <w:rtl w:val="0"/>
          </w:rPr>
          <w:t>https://www.mdpi.com/1660-4601/18/5/2466</w:t>
        </w:r>
      </w:hyperlink>
      <w:r>
        <w:rPr>
          <w:rFonts w:ascii="Arial" w:hAnsi="Arial" w:cs="Arial" w:eastAsia="Arial"/>
          <w:sz w:val="22"/>
          <w:szCs w:val="22"/>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Brittain, AC &amp; Carrington, JM 2024, ‘Effective Communication of System-Level Events for Hospital System Health and Nurse Well-Being: A Qualitative Study’, </w:t>
      </w:r>
      <w:r>
        <w:rPr>
          <w:rFonts w:ascii="Arial" w:hAnsi="Arial" w:cs="Arial" w:eastAsia="Arial"/>
          <w:i w:val="1"/>
          <w:iCs w:val="1"/>
          <w:sz w:val="22"/>
          <w:szCs w:val="22"/>
          <w:rtl w:val="0"/>
        </w:rPr>
        <w:t>Safety</w:t>
      </w:r>
      <w:r>
        <w:rPr>
          <w:rFonts w:ascii="Arial" w:hAnsi="Arial" w:cs="Arial" w:eastAsia="Arial"/>
          <w:sz w:val="22"/>
          <w:szCs w:val="22"/>
          <w:rtl w:val="0"/>
        </w:rPr>
        <w:t xml:space="preserve">, vol. 10, MDPI AG, no. 4, p. 96, viewed 12 March 2026, </w:t>
      </w:r>
      <w:hyperlink xmlns:r="http://schemas.openxmlformats.org/officeDocument/2006/relationships" r:id="R9">
        <w:r>
          <w:rPr>
            <w:rFonts w:ascii="Arial" w:hAnsi="Arial" w:cs="Arial" w:eastAsia="Arial"/>
            <w:color w:val="0563C1"/>
            <w:sz w:val="22"/>
            <w:szCs w:val="22"/>
            <w:u w:val="single"/>
            <w:rtl w:val="0"/>
          </w:rPr>
          <w:t>https://www.mdpi.com/2313-576X/10/4/96</w:t>
        </w:r>
      </w:hyperlink>
      <w:r>
        <w:rPr>
          <w:rFonts w:ascii="Arial" w:hAnsi="Arial" w:cs="Arial" w:eastAsia="Arial"/>
          <w:sz w:val="22"/>
          <w:szCs w:val="22"/>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Camacho-Rodríguez, DE, Carrasquilla-Baza, DA, Dominguez-Cancino, KA &amp; Palmieri, PA 2022, ‘Patient Safety Culture in Latin American Hospitals: A Systematic Review with Meta-Analysis’, </w:t>
      </w:r>
      <w:r>
        <w:rPr>
          <w:rFonts w:ascii="Arial" w:hAnsi="Arial" w:cs="Arial" w:eastAsia="Arial"/>
          <w:i w:val="1"/>
          <w:iCs w:val="1"/>
          <w:sz w:val="22"/>
          <w:szCs w:val="22"/>
          <w:rtl w:val="0"/>
        </w:rPr>
        <w:t>International Journal of Environmental Research and Public Health</w:t>
      </w:r>
      <w:r>
        <w:rPr>
          <w:rFonts w:ascii="Arial" w:hAnsi="Arial" w:cs="Arial" w:eastAsia="Arial"/>
          <w:sz w:val="22"/>
          <w:szCs w:val="22"/>
          <w:rtl w:val="0"/>
        </w:rPr>
        <w:t xml:space="preserve">, vol. 19, MDPI AG, no. 21, p. 14380, viewed 12 March 2026, </w:t>
      </w:r>
      <w:hyperlink xmlns:r="http://schemas.openxmlformats.org/officeDocument/2006/relationships" r:id="RA">
        <w:r>
          <w:rPr>
            <w:rFonts w:ascii="Arial" w:hAnsi="Arial" w:cs="Arial" w:eastAsia="Arial"/>
            <w:color w:val="0563C1"/>
            <w:sz w:val="22"/>
            <w:szCs w:val="22"/>
            <w:u w:val="single"/>
            <w:rtl w:val="0"/>
          </w:rPr>
          <w:t>https://pubmed.ncbi.nlm.nih.gov/36361273/</w:t>
        </w:r>
      </w:hyperlink>
      <w:r>
        <w:rPr>
          <w:rFonts w:ascii="Arial" w:hAnsi="Arial" w:cs="Arial" w:eastAsia="Arial"/>
          <w:sz w:val="22"/>
          <w:szCs w:val="22"/>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Chegini, Z, Kakemam, E, Asghari Jafarabadi, M &amp; Janati, A 2020, ‘The impact of patient safety culture and the leader coaching behaviour of nurses on the intention to report errors: a cross-sectional survey’, </w:t>
      </w:r>
      <w:r>
        <w:rPr>
          <w:rFonts w:ascii="Arial" w:hAnsi="Arial" w:cs="Arial" w:eastAsia="Arial"/>
          <w:b w:val="0"/>
          <w:i w:val="1"/>
          <w:bCs w:val="0"/>
          <w:iCs w:val="1"/>
          <w:smallCaps w:val="0"/>
          <w:color w:val="000000"/>
          <w:sz w:val="22"/>
          <w:szCs w:val="22"/>
          <w:u w:val="none"/>
          <w:shd w:val="clear" w:color="auto" w:fill="auto"/>
          <w:vertAlign w:val="baseline"/>
          <w:rtl w:val="0"/>
        </w:rPr>
        <w:t>BMC Nursing</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19, Springer Science and Business Media LLC, no. 1, viewed 12 March 2026, </w:t>
      </w:r>
      <w:hyperlink xmlns:r="http://schemas.openxmlformats.org/officeDocument/2006/relationships" r:id="RB">
        <w:r>
          <w:rPr>
            <w:rFonts w:ascii="Arial" w:hAnsi="Arial" w:cs="Arial" w:eastAsia="Arial"/>
            <w:b w:val="0"/>
            <w:i w:val="0"/>
            <w:bCs w:val="0"/>
            <w:iCs w:val="0"/>
            <w:smallCaps w:val="0"/>
            <w:color w:val="0563C1"/>
            <w:sz w:val="22"/>
            <w:szCs w:val="22"/>
            <w:u w:val="single"/>
            <w:shd w:val="clear" w:color="auto" w:fill="auto"/>
            <w:vertAlign w:val="baseline"/>
            <w:rtl w:val="0"/>
          </w:rPr>
          <w:t>https://pubmed.ncbi.nlm.nih.gov/32973398/</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Collado-González, B, Urtubia-Herrera, V, Navarta-Sánchez, MV, Sanz-Garcia, A &amp; Palmar-Santos, AM 2025, ‘Safety culture in paediatric emergency departments: a cross-sectional study among healthcare professionals’, </w:t>
      </w:r>
      <w:r>
        <w:rPr>
          <w:rFonts w:ascii="Arial" w:hAnsi="Arial" w:cs="Arial" w:eastAsia="Arial"/>
          <w:b w:val="0"/>
          <w:i w:val="1"/>
          <w:bCs w:val="0"/>
          <w:iCs w:val="1"/>
          <w:smallCaps w:val="0"/>
          <w:color w:val="000000"/>
          <w:sz w:val="22"/>
          <w:szCs w:val="22"/>
          <w:u w:val="none"/>
          <w:shd w:val="clear" w:color="auto" w:fill="auto"/>
          <w:vertAlign w:val="baseline"/>
          <w:rtl w:val="0"/>
        </w:rPr>
        <w:t>BMJ Open</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15, BMJ, no. 10, p. e105434, viewed 12 March 2026, </w:t>
      </w:r>
      <w:hyperlink xmlns:r="http://schemas.openxmlformats.org/officeDocument/2006/relationships" r:id="RC">
        <w:r>
          <w:rPr>
            <w:rFonts w:ascii="Arial" w:hAnsi="Arial" w:cs="Arial" w:eastAsia="Arial"/>
            <w:b w:val="0"/>
            <w:i w:val="0"/>
            <w:bCs w:val="0"/>
            <w:iCs w:val="0"/>
            <w:smallCaps w:val="0"/>
            <w:color w:val="0563C1"/>
            <w:sz w:val="22"/>
            <w:szCs w:val="22"/>
            <w:u w:val="single"/>
            <w:shd w:val="clear" w:color="auto" w:fill="auto"/>
            <w:vertAlign w:val="baseline"/>
            <w:rtl w:val="0"/>
          </w:rPr>
          <w:t>https://bmjopen.bmj.com/content/15/10/e105434</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Dietl, JE, Derksen, C, Keller, FM, Schmiedhofer, M &amp; Lippke, S 2023, ‘Psychosocial Processes in Healthcare Workers: How Individuals’ Perceptions of Interpersonal Communication Is Related to Patient Safety Threats and Higher-Quality Care’, </w:t>
      </w:r>
      <w:r>
        <w:rPr>
          <w:rFonts w:ascii="Arial" w:hAnsi="Arial" w:cs="Arial" w:eastAsia="Arial"/>
          <w:i w:val="1"/>
          <w:iCs w:val="1"/>
          <w:sz w:val="22"/>
          <w:szCs w:val="22"/>
          <w:rtl w:val="0"/>
        </w:rPr>
        <w:t>International Journal of Environmental Research and Public Health</w:t>
      </w:r>
      <w:r>
        <w:rPr>
          <w:rFonts w:ascii="Arial" w:hAnsi="Arial" w:cs="Arial" w:eastAsia="Arial"/>
          <w:sz w:val="22"/>
          <w:szCs w:val="22"/>
          <w:rtl w:val="0"/>
        </w:rPr>
        <w:t xml:space="preserve">, vol. 20, MDPI AG, no. 9, p. 5698, viewed 12 March 2026, </w:t>
      </w:r>
      <w:hyperlink xmlns:r="http://schemas.openxmlformats.org/officeDocument/2006/relationships" r:id="RD">
        <w:r>
          <w:rPr>
            <w:rFonts w:ascii="Arial" w:hAnsi="Arial" w:cs="Arial" w:eastAsia="Arial"/>
            <w:color w:val="0563C1"/>
            <w:sz w:val="22"/>
            <w:szCs w:val="22"/>
            <w:u w:val="single"/>
            <w:rtl w:val="0"/>
          </w:rPr>
          <w:t>https://www.mdpi.com/1660-4601/20/9/5698</w:t>
        </w:r>
      </w:hyperlink>
      <w:r>
        <w:rPr>
          <w:rFonts w:ascii="Arial" w:hAnsi="Arial" w:cs="Arial" w:eastAsia="Arial"/>
          <w:sz w:val="22"/>
          <w:szCs w:val="22"/>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Fuseini, A-KJ, Teixeira da Costa, EIM, Matos, FAS de, Merino-Godoy, M-A &amp; Nave, F 2023, ‘Patient-Safety Culture among Emergency and Critical Care Nurses in a Maternal and Child Department’, </w:t>
      </w:r>
      <w:r>
        <w:rPr>
          <w:rFonts w:ascii="Arial" w:hAnsi="Arial" w:cs="Arial" w:eastAsia="Arial"/>
          <w:i w:val="1"/>
          <w:iCs w:val="1"/>
          <w:sz w:val="22"/>
          <w:szCs w:val="22"/>
          <w:rtl w:val="0"/>
        </w:rPr>
        <w:t>Healthcare</w:t>
      </w:r>
      <w:r>
        <w:rPr>
          <w:rFonts w:ascii="Arial" w:hAnsi="Arial" w:cs="Arial" w:eastAsia="Arial"/>
          <w:sz w:val="22"/>
          <w:szCs w:val="22"/>
          <w:rtl w:val="0"/>
        </w:rPr>
        <w:t xml:space="preserve">, vol. 11, MDPI AG, no. 20, p. 2770, viewed 12 March 2026, </w:t>
      </w:r>
      <w:hyperlink xmlns:r="http://schemas.openxmlformats.org/officeDocument/2006/relationships" r:id="RE">
        <w:r>
          <w:rPr>
            <w:rFonts w:ascii="Arial" w:hAnsi="Arial" w:cs="Arial" w:eastAsia="Arial"/>
            <w:color w:val="0563C1"/>
            <w:sz w:val="22"/>
            <w:szCs w:val="22"/>
            <w:u w:val="single"/>
            <w:rtl w:val="0"/>
          </w:rPr>
          <w:t>https://www.mdpi.com/2227-9032/11/20/2770</w:t>
        </w:r>
      </w:hyperlink>
      <w:r>
        <w:rPr>
          <w:rFonts w:ascii="Arial" w:hAnsi="Arial" w:cs="Arial" w:eastAsia="Arial"/>
          <w:sz w:val="22"/>
          <w:szCs w:val="22"/>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Kim, BB &amp; Yu, S 2021, ‘Effects of Just Culture and Empowerment on Patient Safety Activities of Hospital Nurses’, </w:t>
      </w:r>
      <w:r>
        <w:rPr>
          <w:rFonts w:ascii="Arial" w:hAnsi="Arial" w:cs="Arial" w:eastAsia="Arial"/>
          <w:i w:val="1"/>
          <w:iCs w:val="1"/>
          <w:sz w:val="22"/>
          <w:szCs w:val="22"/>
          <w:rtl w:val="0"/>
        </w:rPr>
        <w:t>Healthcare</w:t>
      </w:r>
      <w:r>
        <w:rPr>
          <w:rFonts w:ascii="Arial" w:hAnsi="Arial" w:cs="Arial" w:eastAsia="Arial"/>
          <w:sz w:val="22"/>
          <w:szCs w:val="22"/>
          <w:rtl w:val="0"/>
        </w:rPr>
        <w:t xml:space="preserve">, vol. 9, MDPI AG, no. 10, p. 1324, viewed 12 March 2026, </w:t>
      </w:r>
      <w:hyperlink xmlns:r="http://schemas.openxmlformats.org/officeDocument/2006/relationships" r:id="RF">
        <w:r>
          <w:rPr>
            <w:rFonts w:ascii="Arial" w:hAnsi="Arial" w:cs="Arial" w:eastAsia="Arial"/>
            <w:color w:val="0563C1"/>
            <w:sz w:val="22"/>
            <w:szCs w:val="22"/>
            <w:u w:val="single"/>
            <w:rtl w:val="0"/>
          </w:rPr>
          <w:t>https://www.mdpi.com/2227-9032/9/10/1324</w:t>
        </w:r>
      </w:hyperlink>
      <w:r>
        <w:rPr>
          <w:rFonts w:ascii="Arial" w:hAnsi="Arial" w:cs="Arial" w:eastAsia="Arial"/>
          <w:sz w:val="22"/>
          <w:szCs w:val="22"/>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Kyriakeli, G, Georgiadou, A, Lithoxopoulou, M, Tsimtsiou, Z &amp; Kotsis, V 2025, ‘The Impact of ISO Certification Procedures on Patient Safety Culture in Public Hospital Departments’, </w:t>
      </w:r>
      <w:r>
        <w:rPr>
          <w:rFonts w:ascii="Arial" w:hAnsi="Arial" w:cs="Arial" w:eastAsia="Arial"/>
          <w:i w:val="1"/>
          <w:iCs w:val="1"/>
          <w:sz w:val="22"/>
          <w:szCs w:val="22"/>
          <w:rtl w:val="0"/>
        </w:rPr>
        <w:t>Healthcare</w:t>
      </w:r>
      <w:r>
        <w:rPr>
          <w:rFonts w:ascii="Arial" w:hAnsi="Arial" w:cs="Arial" w:eastAsia="Arial"/>
          <w:sz w:val="22"/>
          <w:szCs w:val="22"/>
          <w:rtl w:val="0"/>
        </w:rPr>
        <w:t xml:space="preserve">, vol. 13, MDPI AG, no. 6, p. 661, viewed 12 March 2026, </w:t>
      </w:r>
      <w:hyperlink xmlns:r="http://schemas.openxmlformats.org/officeDocument/2006/relationships" r:id="R10">
        <w:r>
          <w:rPr>
            <w:rFonts w:ascii="Arial" w:hAnsi="Arial" w:cs="Arial" w:eastAsia="Arial"/>
            <w:color w:val="0563C1"/>
            <w:sz w:val="22"/>
            <w:szCs w:val="22"/>
            <w:u w:val="single"/>
            <w:rtl w:val="0"/>
          </w:rPr>
          <w:t>https://www.mdpi.com/2227-9032/13/6/661</w:t>
        </w:r>
      </w:hyperlink>
      <w:r>
        <w:rPr>
          <w:rFonts w:ascii="Arial" w:hAnsi="Arial" w:cs="Arial" w:eastAsia="Arial"/>
          <w:sz w:val="22"/>
          <w:szCs w:val="22"/>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Leape, L, Berwick, D, Clancy, C, Conway, J, Gluck, P, Guest, J, Lawrence, D, Morath, J, O’Leary, D, O’Neill, P, Pinakiewicz, D &amp; Isaac, T 2009, ‘Transforming healthcare: a safety imperative’, </w:t>
      </w:r>
      <w:r>
        <w:rPr>
          <w:rFonts w:ascii="Arial" w:hAnsi="Arial" w:cs="Arial" w:eastAsia="Arial"/>
          <w:b w:val="0"/>
          <w:i w:val="1"/>
          <w:bCs w:val="0"/>
          <w:iCs w:val="1"/>
          <w:smallCaps w:val="0"/>
          <w:color w:val="000000"/>
          <w:sz w:val="22"/>
          <w:szCs w:val="22"/>
          <w:u w:val="none"/>
          <w:shd w:val="clear" w:color="auto" w:fill="auto"/>
          <w:vertAlign w:val="baseline"/>
          <w:rtl w:val="0"/>
        </w:rPr>
        <w:t>Quality and Safety in Health Care</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18, BMJ, no. 6, pp. 424–428, viewed 12 March 2026, </w:t>
      </w:r>
      <w:hyperlink xmlns:r="http://schemas.openxmlformats.org/officeDocument/2006/relationships" r:id="R11">
        <w:r>
          <w:rPr>
            <w:rFonts w:ascii="Arial" w:hAnsi="Arial" w:cs="Arial" w:eastAsia="Arial"/>
            <w:b w:val="0"/>
            <w:i w:val="0"/>
            <w:bCs w:val="0"/>
            <w:iCs w:val="0"/>
            <w:smallCaps w:val="0"/>
            <w:color w:val="0563C1"/>
            <w:sz w:val="22"/>
            <w:szCs w:val="22"/>
            <w:u w:val="single"/>
            <w:shd w:val="clear" w:color="auto" w:fill="auto"/>
            <w:vertAlign w:val="baseline"/>
            <w:rtl w:val="0"/>
          </w:rPr>
          <w:t>https://pubmed.ncbi.nlm.nih.gov/19955451/</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Moraca, E, Zaghini, F, Fiorini, J &amp; Sili, A 2025, ‘Errors in Clinical Practice and Organizational Constraints: The Role of Leadership in Improving Patients’ Safety’, </w:t>
      </w:r>
      <w:r>
        <w:rPr>
          <w:rFonts w:ascii="Arial" w:hAnsi="Arial" w:cs="Arial" w:eastAsia="Arial"/>
          <w:i w:val="1"/>
          <w:iCs w:val="1"/>
          <w:sz w:val="22"/>
          <w:szCs w:val="22"/>
          <w:rtl w:val="0"/>
        </w:rPr>
        <w:t>Safety</w:t>
      </w:r>
      <w:r>
        <w:rPr>
          <w:rFonts w:ascii="Arial" w:hAnsi="Arial" w:cs="Arial" w:eastAsia="Arial"/>
          <w:sz w:val="22"/>
          <w:szCs w:val="22"/>
          <w:rtl w:val="0"/>
        </w:rPr>
        <w:t xml:space="preserve">, vol. 11, MDPI AG, no. 2, p. 57, viewed 12 March 2026, </w:t>
      </w:r>
      <w:hyperlink xmlns:r="http://schemas.openxmlformats.org/officeDocument/2006/relationships" r:id="R12">
        <w:r>
          <w:rPr>
            <w:rFonts w:ascii="Arial" w:hAnsi="Arial" w:cs="Arial" w:eastAsia="Arial"/>
            <w:color w:val="0563C1"/>
            <w:sz w:val="22"/>
            <w:szCs w:val="22"/>
            <w:u w:val="single"/>
            <w:rtl w:val="0"/>
          </w:rPr>
          <w:t>https://www.mdpi.com/2313-576X/11/2/57</w:t>
        </w:r>
      </w:hyperlink>
      <w:r>
        <w:rPr>
          <w:rFonts w:ascii="Arial" w:hAnsi="Arial" w:cs="Arial" w:eastAsia="Arial"/>
          <w:sz w:val="22"/>
          <w:szCs w:val="22"/>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Mujumdar S;Santos D 2026, ‘Teamwork and communication: an effective approach to patient safety’, </w:t>
      </w:r>
      <w:r>
        <w:rPr>
          <w:rFonts w:ascii="Arial" w:hAnsi="Arial" w:cs="Arial" w:eastAsia="Arial"/>
          <w:b w:val="0"/>
          <w:i w:val="1"/>
          <w:bCs w:val="0"/>
          <w:iCs w:val="1"/>
          <w:smallCaps w:val="0"/>
          <w:color w:val="000000"/>
          <w:sz w:val="22"/>
          <w:szCs w:val="22"/>
          <w:u w:val="none"/>
          <w:shd w:val="clear" w:color="auto" w:fill="auto"/>
          <w:vertAlign w:val="baseline"/>
          <w:rtl w:val="0"/>
        </w:rPr>
        <w:t>World hospitals and health services : the official journal of the International Hospital Federation</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50, World Hosp Health Serv, no. 1, viewed 12 March 2026, </w:t>
      </w:r>
      <w:hyperlink xmlns:r="http://schemas.openxmlformats.org/officeDocument/2006/relationships" r:id="R13">
        <w:r>
          <w:rPr>
            <w:rFonts w:ascii="Arial" w:hAnsi="Arial" w:cs="Arial" w:eastAsia="Arial"/>
            <w:b w:val="0"/>
            <w:i w:val="0"/>
            <w:bCs w:val="0"/>
            <w:iCs w:val="0"/>
            <w:smallCaps w:val="0"/>
            <w:color w:val="0563C1"/>
            <w:sz w:val="22"/>
            <w:szCs w:val="22"/>
            <w:u w:val="single"/>
            <w:shd w:val="clear" w:color="auto" w:fill="auto"/>
            <w:vertAlign w:val="baseline"/>
            <w:rtl w:val="0"/>
          </w:rPr>
          <w:t>https://pubmed.ncbi.nlm.nih.gov/24938029/</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Pronovost, P, Needham, D, Berenholtz, S, Sinopoli, D, Chu, H, Cosgrove, S, Sexton, B, Hyzy, R, Welsh, R, Roth, G, Bander, J, Kepros, J &amp; Goeschel, C 2006, ‘An Intervention to Decrease Catheter-Related Bloodstream Infections in the ICU’, </w:t>
      </w:r>
      <w:r>
        <w:rPr>
          <w:rFonts w:ascii="Arial" w:hAnsi="Arial" w:cs="Arial" w:eastAsia="Arial"/>
          <w:b w:val="0"/>
          <w:i w:val="1"/>
          <w:bCs w:val="0"/>
          <w:iCs w:val="1"/>
          <w:smallCaps w:val="0"/>
          <w:color w:val="000000"/>
          <w:sz w:val="22"/>
          <w:szCs w:val="22"/>
          <w:u w:val="none"/>
          <w:shd w:val="clear" w:color="auto" w:fill="auto"/>
          <w:vertAlign w:val="baseline"/>
          <w:rtl w:val="0"/>
        </w:rPr>
        <w:t>New England Journal of Medicine</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355, Massachusetts Medical Society, no. 26, pp. 2725–2732, viewed 12 March 2026, </w:t>
      </w:r>
      <w:hyperlink xmlns:r="http://schemas.openxmlformats.org/officeDocument/2006/relationships" r:id="R14">
        <w:r>
          <w:rPr>
            <w:rFonts w:ascii="Arial" w:hAnsi="Arial" w:cs="Arial" w:eastAsia="Arial"/>
            <w:b w:val="0"/>
            <w:i w:val="0"/>
            <w:bCs w:val="0"/>
            <w:iCs w:val="0"/>
            <w:smallCaps w:val="0"/>
            <w:color w:val="0563C1"/>
            <w:sz w:val="22"/>
            <w:szCs w:val="22"/>
            <w:u w:val="single"/>
            <w:shd w:val="clear" w:color="auto" w:fill="auto"/>
            <w:vertAlign w:val="baseline"/>
            <w:rtl w:val="0"/>
          </w:rPr>
          <w:t>https://www.nejm.org/doi/full/10.1056/NEJMoa061115</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Rawas, H &amp; Abou Hashish, EA 2023, ‘Predictors and outcomes of patient safety culture at King Abdulaziz Medical City, Jeddah, Saudi Arabia. A nursing perspective’, </w:t>
      </w:r>
      <w:r>
        <w:rPr>
          <w:rFonts w:ascii="Arial" w:hAnsi="Arial" w:cs="Arial" w:eastAsia="Arial"/>
          <w:b w:val="0"/>
          <w:i w:val="1"/>
          <w:bCs w:val="0"/>
          <w:iCs w:val="1"/>
          <w:smallCaps w:val="0"/>
          <w:color w:val="000000"/>
          <w:sz w:val="22"/>
          <w:szCs w:val="22"/>
          <w:u w:val="none"/>
          <w:shd w:val="clear" w:color="auto" w:fill="auto"/>
          <w:vertAlign w:val="baseline"/>
          <w:rtl w:val="0"/>
        </w:rPr>
        <w:t>BMC Nursing</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22, Springer Science and Business Media LLC, no. 1, viewed 12 March 2026, </w:t>
      </w:r>
      <w:hyperlink xmlns:r="http://schemas.openxmlformats.org/officeDocument/2006/relationships" r:id="R15">
        <w:r>
          <w:rPr>
            <w:rFonts w:ascii="Arial" w:hAnsi="Arial" w:cs="Arial" w:eastAsia="Arial"/>
            <w:b w:val="0"/>
            <w:i w:val="0"/>
            <w:bCs w:val="0"/>
            <w:iCs w:val="0"/>
            <w:smallCaps w:val="0"/>
            <w:color w:val="0563C1"/>
            <w:sz w:val="22"/>
            <w:szCs w:val="22"/>
            <w:u w:val="single"/>
            <w:shd w:val="clear" w:color="auto" w:fill="auto"/>
            <w:vertAlign w:val="baseline"/>
            <w:rtl w:val="0"/>
          </w:rPr>
          <w:t>https://link.springer.com/article/10.1186/s12912-023-01391-w</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Rosenstein, AH &amp; O’Daniel, M 2008, ‘A Survey of the Impact of Disruptive Behaviors and Communication Defects on Patient Safety’, </w:t>
      </w:r>
      <w:r>
        <w:rPr>
          <w:rFonts w:ascii="Arial" w:hAnsi="Arial" w:cs="Arial" w:eastAsia="Arial"/>
          <w:b w:val="0"/>
          <w:i w:val="1"/>
          <w:bCs w:val="0"/>
          <w:iCs w:val="1"/>
          <w:smallCaps w:val="0"/>
          <w:color w:val="000000"/>
          <w:sz w:val="22"/>
          <w:szCs w:val="22"/>
          <w:u w:val="none"/>
          <w:shd w:val="clear" w:color="auto" w:fill="auto"/>
          <w:vertAlign w:val="baseline"/>
          <w:rtl w:val="0"/>
        </w:rPr>
        <w:t>The Joint Commission Journal on Quality and Patient Safety</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34, Elsevier BV, no. 8, pp. 464–471, viewed 12 March 2026, </w:t>
      </w:r>
      <w:hyperlink xmlns:r="http://schemas.openxmlformats.org/officeDocument/2006/relationships" r:id="R16">
        <w:r>
          <w:rPr>
            <w:rFonts w:ascii="Arial" w:hAnsi="Arial" w:cs="Arial" w:eastAsia="Arial"/>
            <w:b w:val="0"/>
            <w:i w:val="0"/>
            <w:bCs w:val="0"/>
            <w:iCs w:val="0"/>
            <w:smallCaps w:val="0"/>
            <w:color w:val="0563C1"/>
            <w:sz w:val="22"/>
            <w:szCs w:val="22"/>
            <w:u w:val="single"/>
            <w:shd w:val="clear" w:color="auto" w:fill="auto"/>
            <w:vertAlign w:val="baseline"/>
            <w:rtl w:val="0"/>
          </w:rPr>
          <w:t>https://pubmed.ncbi.nlm.nih.gov/18714748/</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Sammer, CE, Lykens, K, Singh, KP, Mains, DA &amp; Lackan, NA 2010, ‘What is Patient Safety Culture? A Review of the Literature’, </w:t>
      </w:r>
      <w:r>
        <w:rPr>
          <w:rFonts w:ascii="Arial" w:hAnsi="Arial" w:cs="Arial" w:eastAsia="Arial"/>
          <w:b w:val="0"/>
          <w:i w:val="1"/>
          <w:bCs w:val="0"/>
          <w:iCs w:val="1"/>
          <w:smallCaps w:val="0"/>
          <w:color w:val="000000"/>
          <w:sz w:val="22"/>
          <w:szCs w:val="22"/>
          <w:u w:val="none"/>
          <w:shd w:val="clear" w:color="auto" w:fill="auto"/>
          <w:vertAlign w:val="baseline"/>
          <w:rtl w:val="0"/>
        </w:rPr>
        <w:t>Journal of Nursing Scholarship</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42, Wiley, no. 2, pp. 156–165, viewed 12 March 2026, </w:t>
      </w:r>
      <w:hyperlink xmlns:r="http://schemas.openxmlformats.org/officeDocument/2006/relationships" r:id="R17">
        <w:r>
          <w:rPr>
            <w:rFonts w:ascii="Arial" w:hAnsi="Arial" w:cs="Arial" w:eastAsia="Arial"/>
            <w:b w:val="0"/>
            <w:i w:val="0"/>
            <w:bCs w:val="0"/>
            <w:iCs w:val="0"/>
            <w:smallCaps w:val="0"/>
            <w:color w:val="0563C1"/>
            <w:sz w:val="22"/>
            <w:szCs w:val="22"/>
            <w:u w:val="single"/>
            <w:shd w:val="clear" w:color="auto" w:fill="auto"/>
            <w:vertAlign w:val="baseline"/>
            <w:rtl w:val="0"/>
          </w:rPr>
          <w:t>https://pubmed.ncbi.nlm.nih.gov/20618600/</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Schmiedhofer, M, Derksen, C, Dietl, JE, Haeussler, F, Strametz, R, Huener, B &amp; Lippke, S 2022, ‘The Impact of a Communication Training on the Birth Experience: Qualitative Interviews with Mothers after Giving Birth at Obstetric University Departments in Germany’, </w:t>
      </w:r>
      <w:r>
        <w:rPr>
          <w:rFonts w:ascii="Arial" w:hAnsi="Arial" w:cs="Arial" w:eastAsia="Arial"/>
          <w:i w:val="1"/>
          <w:iCs w:val="1"/>
          <w:sz w:val="22"/>
          <w:szCs w:val="22"/>
          <w:rtl w:val="0"/>
        </w:rPr>
        <w:t>International Journal of Environmental Research and Public Health</w:t>
      </w:r>
      <w:r>
        <w:rPr>
          <w:rFonts w:ascii="Arial" w:hAnsi="Arial" w:cs="Arial" w:eastAsia="Arial"/>
          <w:sz w:val="22"/>
          <w:szCs w:val="22"/>
          <w:rtl w:val="0"/>
        </w:rPr>
        <w:t xml:space="preserve">, vol. 19, MDPI AG, no. 18, p. 11481, viewed 12 March 2026, </w:t>
      </w:r>
      <w:hyperlink xmlns:r="http://schemas.openxmlformats.org/officeDocument/2006/relationships" r:id="R18">
        <w:r>
          <w:rPr>
            <w:rFonts w:ascii="Arial" w:hAnsi="Arial" w:cs="Arial" w:eastAsia="Arial"/>
            <w:color w:val="0563C1"/>
            <w:sz w:val="22"/>
            <w:szCs w:val="22"/>
            <w:u w:val="single"/>
            <w:rtl w:val="0"/>
          </w:rPr>
          <w:t>https://www.mdpi.com/1660-4601/19/18/11481</w:t>
        </w:r>
      </w:hyperlink>
      <w:r>
        <w:rPr>
          <w:rFonts w:ascii="Arial" w:hAnsi="Arial" w:cs="Arial" w:eastAsia="Arial"/>
          <w:sz w:val="22"/>
          <w:szCs w:val="22"/>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Shafei, L, Mekki, L, Maklad, E, Alhathal, T, Ghanem, R, Almalouf, R, Stewart, D &amp; Nazar, Z 2023, ‘Factors that influence patient and public adverse drug reaction reporting: a systematic review using the theoretical domains framework’, </w:t>
      </w:r>
      <w:r>
        <w:rPr>
          <w:rFonts w:ascii="Arial" w:hAnsi="Arial" w:cs="Arial" w:eastAsia="Arial"/>
          <w:i w:val="1"/>
          <w:iCs w:val="1"/>
          <w:sz w:val="22"/>
          <w:szCs w:val="22"/>
          <w:rtl w:val="0"/>
        </w:rPr>
        <w:t>International Journal of Clinical Pharmacy</w:t>
      </w:r>
      <w:r>
        <w:rPr>
          <w:rFonts w:ascii="Arial" w:hAnsi="Arial" w:cs="Arial" w:eastAsia="Arial"/>
          <w:sz w:val="22"/>
          <w:szCs w:val="22"/>
          <w:rtl w:val="0"/>
        </w:rPr>
        <w:t xml:space="preserve">, vol. 45, Springer Science and Business Media LLC, no. 4, pp. 801–813, viewed 12 March 2026, </w:t>
      </w:r>
      <w:hyperlink xmlns:r="http://schemas.openxmlformats.org/officeDocument/2006/relationships" r:id="R19">
        <w:r>
          <w:rPr>
            <w:rFonts w:ascii="Arial" w:hAnsi="Arial" w:cs="Arial" w:eastAsia="Arial"/>
            <w:color w:val="0563C1"/>
            <w:sz w:val="22"/>
            <w:szCs w:val="22"/>
            <w:u w:val="single"/>
            <w:rtl w:val="0"/>
          </w:rPr>
          <w:t>https://link.springer.com/article/10.1007/s11096-023-01591-z</w:t>
        </w:r>
      </w:hyperlink>
      <w:r>
        <w:rPr>
          <w:rFonts w:ascii="Arial" w:hAnsi="Arial" w:cs="Arial" w:eastAsia="Arial"/>
          <w:sz w:val="22"/>
          <w:szCs w:val="22"/>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Shoja, MM, Ventura Rodriguez, DN, Avilova, O &amp; Rajput, V 2025, ‘Error Reduction in Healthcare Through Team Training and Cultural Transformation’, </w:t>
      </w:r>
      <w:r>
        <w:rPr>
          <w:rFonts w:ascii="Arial" w:hAnsi="Arial" w:cs="Arial" w:eastAsia="Arial"/>
          <w:b w:val="0"/>
          <w:i w:val="1"/>
          <w:bCs w:val="0"/>
          <w:iCs w:val="1"/>
          <w:smallCaps w:val="0"/>
          <w:color w:val="000000"/>
          <w:sz w:val="22"/>
          <w:szCs w:val="22"/>
          <w:u w:val="none"/>
          <w:shd w:val="clear" w:color="auto" w:fill="auto"/>
          <w:vertAlign w:val="baseline"/>
          <w:rtl w:val="0"/>
        </w:rPr>
        <w:t>Cureus</w:t>
      </w:r>
      <w:r>
        <w:rPr>
          <w:rFonts w:ascii="Arial" w:hAnsi="Arial" w:cs="Arial" w:eastAsia="Arial"/>
          <w:b w:val="0"/>
          <w:i w:val="0"/>
          <w:bCs w:val="0"/>
          <w:iCs w:val="0"/>
          <w:smallCaps w:val="0"/>
          <w:color w:val="000000"/>
          <w:sz w:val="22"/>
          <w:szCs w:val="22"/>
          <w:u w:val="none"/>
          <w:shd w:val="clear" w:color="auto" w:fill="auto"/>
          <w:vertAlign w:val="baseline"/>
          <w:rtl w:val="0"/>
        </w:rPr>
        <w:t xml:space="preserve">, Springer Science and Business Media LLC, viewed 12 March 2026, </w:t>
      </w:r>
      <w:hyperlink xmlns:r="http://schemas.openxmlformats.org/officeDocument/2006/relationships" r:id="R1A">
        <w:r>
          <w:rPr>
            <w:rFonts w:ascii="Arial" w:hAnsi="Arial" w:cs="Arial" w:eastAsia="Arial"/>
            <w:b w:val="0"/>
            <w:i w:val="0"/>
            <w:bCs w:val="0"/>
            <w:iCs w:val="0"/>
            <w:smallCaps w:val="0"/>
            <w:color w:val="0563C1"/>
            <w:sz w:val="22"/>
            <w:szCs w:val="22"/>
            <w:u w:val="single"/>
            <w:shd w:val="clear" w:color="auto" w:fill="auto"/>
            <w:vertAlign w:val="baseline"/>
            <w:rtl w:val="0"/>
          </w:rPr>
          <w:t>https://pubmed.ncbi.nlm.nih.gov/41030715/</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Singer, S, Lin, S, Falwell, A, Gaba, D &amp; Baker, L 2009, ‘Relationship of Safety Climate and Safety Performance in Hospitals’, </w:t>
      </w:r>
      <w:r>
        <w:rPr>
          <w:rFonts w:ascii="Arial" w:hAnsi="Arial" w:cs="Arial" w:eastAsia="Arial"/>
          <w:b w:val="0"/>
          <w:i w:val="1"/>
          <w:bCs w:val="0"/>
          <w:iCs w:val="1"/>
          <w:smallCaps w:val="0"/>
          <w:color w:val="000000"/>
          <w:sz w:val="22"/>
          <w:szCs w:val="22"/>
          <w:u w:val="none"/>
          <w:shd w:val="clear" w:color="auto" w:fill="auto"/>
          <w:vertAlign w:val="baseline"/>
          <w:rtl w:val="0"/>
        </w:rPr>
        <w:t>Health Services Research</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44, Wiley, no. 2p1, pp. 399–421, viewed 12 March 2026, </w:t>
      </w:r>
      <w:hyperlink xmlns:r="http://schemas.openxmlformats.org/officeDocument/2006/relationships" r:id="R1B">
        <w:r>
          <w:rPr>
            <w:rFonts w:ascii="Arial" w:hAnsi="Arial" w:cs="Arial" w:eastAsia="Arial"/>
            <w:b w:val="0"/>
            <w:i w:val="0"/>
            <w:bCs w:val="0"/>
            <w:iCs w:val="0"/>
            <w:smallCaps w:val="0"/>
            <w:color w:val="0563C1"/>
            <w:sz w:val="22"/>
            <w:szCs w:val="22"/>
            <w:u w:val="single"/>
            <w:shd w:val="clear" w:color="auto" w:fill="auto"/>
            <w:vertAlign w:val="baseline"/>
            <w:rtl w:val="0"/>
          </w:rPr>
          <w:t>https://pubmed.ncbi.nlm.nih.gov/19178583/</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Tasbihi, N, Moghri, J, Ghavami, V, Raesi, R, Janghorban, A &amp; Tabatabaee, SS 2025, ‘Patient safety competency and it associated with teamwork and psychological safety among emergency nurses in Iran’, </w:t>
      </w:r>
      <w:r>
        <w:rPr>
          <w:rFonts w:ascii="Arial" w:hAnsi="Arial" w:cs="Arial" w:eastAsia="Arial"/>
          <w:b w:val="0"/>
          <w:i w:val="1"/>
          <w:bCs w:val="0"/>
          <w:iCs w:val="1"/>
          <w:smallCaps w:val="0"/>
          <w:color w:val="000000"/>
          <w:sz w:val="22"/>
          <w:szCs w:val="22"/>
          <w:u w:val="none"/>
          <w:shd w:val="clear" w:color="auto" w:fill="auto"/>
          <w:vertAlign w:val="baseline"/>
          <w:rtl w:val="0"/>
        </w:rPr>
        <w:t>Scientific Reports</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15, Springer Science and Business Media LLC, no. 1, viewed 12 March 2026, </w:t>
      </w:r>
      <w:hyperlink xmlns:r="http://schemas.openxmlformats.org/officeDocument/2006/relationships" r:id="R1C">
        <w:r>
          <w:rPr>
            <w:rFonts w:ascii="Arial" w:hAnsi="Arial" w:cs="Arial" w:eastAsia="Arial"/>
            <w:b w:val="0"/>
            <w:i w:val="0"/>
            <w:bCs w:val="0"/>
            <w:iCs w:val="0"/>
            <w:smallCaps w:val="0"/>
            <w:color w:val="0563C1"/>
            <w:sz w:val="22"/>
            <w:szCs w:val="22"/>
            <w:u w:val="single"/>
            <w:shd w:val="clear" w:color="auto" w:fill="auto"/>
            <w:vertAlign w:val="baseline"/>
            <w:rtl w:val="0"/>
          </w:rPr>
          <w:t>https://pmc.ncbi.nlm.nih.gov/articles/PMC12075797/</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Upadhyay, S &amp; Chien, L-C 2024, ‘The Influence of Hospital Physician Integration on Culture of Patient Safety’, </w:t>
      </w:r>
      <w:r>
        <w:rPr>
          <w:rFonts w:ascii="Arial" w:hAnsi="Arial" w:cs="Arial" w:eastAsia="Arial"/>
          <w:b w:val="0"/>
          <w:i w:val="1"/>
          <w:bCs w:val="0"/>
          <w:iCs w:val="1"/>
          <w:smallCaps w:val="0"/>
          <w:color w:val="000000"/>
          <w:sz w:val="22"/>
          <w:szCs w:val="22"/>
          <w:u w:val="none"/>
          <w:shd w:val="clear" w:color="auto" w:fill="auto"/>
          <w:vertAlign w:val="baseline"/>
          <w:rtl w:val="0"/>
        </w:rPr>
        <w:t>Journal of Patient Safety</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20, Ovid Technologies (Wolters Kluwer Health), no. 8, pp. 542–548, viewed 12 March 2026, </w:t>
      </w:r>
      <w:hyperlink xmlns:r="http://schemas.openxmlformats.org/officeDocument/2006/relationships" r:id="R1D">
        <w:r>
          <w:rPr>
            <w:rFonts w:ascii="Arial" w:hAnsi="Arial" w:cs="Arial" w:eastAsia="Arial"/>
            <w:b w:val="0"/>
            <w:i w:val="0"/>
            <w:bCs w:val="0"/>
            <w:iCs w:val="0"/>
            <w:smallCaps w:val="0"/>
            <w:color w:val="0563C1"/>
            <w:sz w:val="22"/>
            <w:szCs w:val="22"/>
            <w:u w:val="single"/>
            <w:shd w:val="clear" w:color="auto" w:fill="auto"/>
            <w:vertAlign w:val="baseline"/>
            <w:rtl w:val="0"/>
          </w:rPr>
          <w:t>https://pubmed.ncbi.nlm.nih.gov/39400202/</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spacing w:lineRule="auto" w:line="360" w:after="0" w:beforeAutospacing="0" w:afterAutospacing="0"/>
        <w:ind w:hanging="720" w:left="720"/>
        <w:jc w:val="both"/>
        <w:rPr>
          <w:rFonts w:ascii="Arial" w:hAnsi="Arial" w:cs="Arial" w:eastAsia="Arial"/>
          <w:sz w:val="22"/>
          <w:szCs w:val="22"/>
        </w:rPr>
      </w:pPr>
      <w:r>
        <w:rPr>
          <w:rFonts w:ascii="Arial" w:hAnsi="Arial" w:cs="Arial" w:eastAsia="Arial"/>
          <w:sz w:val="22"/>
          <w:szCs w:val="22"/>
          <w:rtl w:val="0"/>
        </w:rPr>
        <w:t>Velez, L, Costa, P, Santos, N, Inácio, M, Figueiredo, AR, Ribeiro, S, Cruchinho, P, Nunes, E &amp; Lucas, P 2026, ‘Enhancing Teamwork and Patient Safety Through TeamSTEPPS®: A Scoping Review of Benefits in Academic and Clinical Settings’, </w:t>
      </w:r>
      <w:r>
        <w:rPr>
          <w:rFonts w:ascii="Arial" w:hAnsi="Arial" w:cs="Arial" w:eastAsia="Arial"/>
          <w:i w:val="1"/>
          <w:iCs w:val="1"/>
          <w:sz w:val="22"/>
          <w:szCs w:val="22"/>
          <w:rtl w:val="0"/>
        </w:rPr>
        <w:t>Nursing Reports</w:t>
      </w:r>
      <w:r>
        <w:rPr>
          <w:rFonts w:ascii="Arial" w:hAnsi="Arial" w:cs="Arial" w:eastAsia="Arial"/>
          <w:sz w:val="22"/>
          <w:szCs w:val="22"/>
          <w:rtl w:val="0"/>
        </w:rPr>
        <w:t xml:space="preserve">, vol. 16, MDPI AG, no. 3, p. 79, viewed 12 March 2026, </w:t>
      </w:r>
      <w:hyperlink xmlns:r="http://schemas.openxmlformats.org/officeDocument/2006/relationships" r:id="R1E">
        <w:r>
          <w:rPr>
            <w:rFonts w:ascii="Arial" w:hAnsi="Arial" w:cs="Arial" w:eastAsia="Arial"/>
            <w:color w:val="0563C1"/>
            <w:sz w:val="22"/>
            <w:szCs w:val="22"/>
            <w:u w:val="single"/>
            <w:rtl w:val="0"/>
          </w:rPr>
          <w:t>https://www.mdpi.com/2039-4403/16/3/79</w:t>
        </w:r>
      </w:hyperlink>
      <w:r>
        <w:rPr>
          <w:rFonts w:ascii="Arial" w:hAnsi="Arial" w:cs="Arial" w:eastAsia="Arial"/>
          <w:sz w:val="22"/>
          <w:szCs w:val="22"/>
          <w:rtl w:val="0"/>
        </w:rPr>
        <w:t>.</w:t>
      </w:r>
    </w:p>
    <w:p>
      <w:pPr>
        <w:keepNext w:val="0"/>
        <w:keepLines w:val="0"/>
        <w:pageBreakBefore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spacing w:lineRule="auto" w:line="360" w:before="0" w:after="0" w:beforeAutospacing="0" w:afterAutospacing="0"/>
        <w:ind w:hanging="720" w:left="720" w:right="0"/>
        <w:jc w:val="both"/>
        <w:rPr>
          <w:rFonts w:ascii="Arial" w:hAnsi="Arial" w:cs="Arial" w:eastAsia="Arial"/>
          <w:b w:val="0"/>
          <w:i w:val="0"/>
          <w:bCs w:val="0"/>
          <w:iCs w:val="0"/>
          <w:smallCaps w:val="0"/>
          <w:color w:val="000000"/>
          <w:sz w:val="22"/>
          <w:szCs w:val="22"/>
          <w:u w:val="none"/>
          <w:shd w:val="clear" w:color="auto" w:fill="auto"/>
          <w:vertAlign w:val="baseline"/>
        </w:rPr>
      </w:pPr>
      <w:r>
        <w:rPr>
          <w:rFonts w:ascii="Arial" w:hAnsi="Arial" w:cs="Arial" w:eastAsia="Arial"/>
          <w:b w:val="0"/>
          <w:i w:val="0"/>
          <w:bCs w:val="0"/>
          <w:iCs w:val="0"/>
          <w:smallCaps w:val="0"/>
          <w:color w:val="000000"/>
          <w:sz w:val="22"/>
          <w:szCs w:val="22"/>
          <w:u w:val="none"/>
          <w:shd w:val="clear" w:color="auto" w:fill="auto"/>
          <w:vertAlign w:val="baseline"/>
          <w:rtl w:val="0"/>
        </w:rPr>
        <w:t>Weaver, SJ, Lubomksi, LH, Wilson, RF, Pfoh, ER, Martinez, KA &amp; Dy, SM 2013, ‘Promoting a Culture of Safety as a Patient Safety Strategy’, </w:t>
      </w:r>
      <w:r>
        <w:rPr>
          <w:rFonts w:ascii="Arial" w:hAnsi="Arial" w:cs="Arial" w:eastAsia="Arial"/>
          <w:b w:val="0"/>
          <w:i w:val="1"/>
          <w:bCs w:val="0"/>
          <w:iCs w:val="1"/>
          <w:smallCaps w:val="0"/>
          <w:color w:val="000000"/>
          <w:sz w:val="22"/>
          <w:szCs w:val="22"/>
          <w:u w:val="none"/>
          <w:shd w:val="clear" w:color="auto" w:fill="auto"/>
          <w:vertAlign w:val="baseline"/>
          <w:rtl w:val="0"/>
        </w:rPr>
        <w:t>Annals of Internal Medicine</w:t>
      </w:r>
      <w:r>
        <w:rPr>
          <w:rFonts w:ascii="Arial" w:hAnsi="Arial" w:cs="Arial" w:eastAsia="Arial"/>
          <w:b w:val="0"/>
          <w:i w:val="0"/>
          <w:bCs w:val="0"/>
          <w:iCs w:val="0"/>
          <w:smallCaps w:val="0"/>
          <w:color w:val="000000"/>
          <w:sz w:val="22"/>
          <w:szCs w:val="22"/>
          <w:u w:val="none"/>
          <w:shd w:val="clear" w:color="auto" w:fill="auto"/>
          <w:vertAlign w:val="baseline"/>
          <w:rtl w:val="0"/>
        </w:rPr>
        <w:t xml:space="preserve">, vol. 158, American College of Physicians, no. 5_Part_2, pp. 369–374, viewed 12 March 2026, </w:t>
      </w:r>
      <w:hyperlink xmlns:r="http://schemas.openxmlformats.org/officeDocument/2006/relationships" r:id="R1F">
        <w:r>
          <w:rPr>
            <w:rFonts w:ascii="Arial" w:hAnsi="Arial" w:cs="Arial" w:eastAsia="Arial"/>
            <w:b w:val="0"/>
            <w:i w:val="0"/>
            <w:bCs w:val="0"/>
            <w:iCs w:val="0"/>
            <w:smallCaps w:val="0"/>
            <w:color w:val="0563C1"/>
            <w:sz w:val="22"/>
            <w:szCs w:val="22"/>
            <w:u w:val="single"/>
            <w:shd w:val="clear" w:color="auto" w:fill="auto"/>
            <w:vertAlign w:val="baseline"/>
            <w:rtl w:val="0"/>
          </w:rPr>
          <w:t>https://pubmed.ncbi.nlm.nih.gov/23460092/</w:t>
        </w:r>
      </w:hyperlink>
      <w:r>
        <w:rPr>
          <w:rFonts w:ascii="Arial" w:hAnsi="Arial" w:cs="Arial" w:eastAsia="Arial"/>
          <w:b w:val="0"/>
          <w:i w:val="0"/>
          <w:bCs w:val="0"/>
          <w:iCs w:val="0"/>
          <w:smallCaps w:val="0"/>
          <w:color w:val="000000"/>
          <w:sz w:val="22"/>
          <w:szCs w:val="22"/>
          <w:u w:val="none"/>
          <w:shd w:val="clear" w:color="auto" w:fill="auto"/>
          <w:vertAlign w:val="baseline"/>
          <w:rtl w:val="0"/>
        </w:rPr>
        <w:t>.</w:t>
      </w:r>
    </w:p>
    <w:p>
      <w:pPr>
        <w:rPr>
          <w:rFonts w:ascii="Times New Roman" w:hAnsi="Times New Roman" w:cs="Times New Roman" w:eastAsia="Times New Roman"/>
        </w:rPr>
      </w:pPr>
    </w:p>
    <w:p>
      <w:pPr>
        <w:rPr>
          <w:rFonts w:ascii="Times New Roman" w:hAnsi="Times New Roman" w:cs="Times New Roman" w:eastAsia="Times New Roman"/>
        </w:rPr>
      </w:pPr>
      <w:r>
        <w:rPr>
          <w:rFonts w:ascii="Times New Roman" w:hAnsi="Times New Roman" w:cs="Times New Roman" w:eastAsia="Times New Roman"/>
          <w:rtl w:val="0"/>
        </w:rPr>
        <w:t>‌</w:t>
      </w:r>
    </w:p>
    <w:p>
      <w:pPr>
        <w:rPr>
          <w:rFonts w:ascii="Times New Roman" w:hAnsi="Times New Roman" w:cs="Times New Roman" w:eastAsia="Times New Roman"/>
        </w:rPr>
      </w:pPr>
    </w:p>
    <w:p>
      <w:pPr>
        <w:rPr>
          <w:rFonts w:ascii="Times New Roman" w:hAnsi="Times New Roman" w:cs="Times New Roman" w:eastAsia="Times New Roman"/>
        </w:rPr>
      </w:pPr>
      <w:r>
        <w:rPr>
          <w:rFonts w:ascii="Times New Roman" w:hAnsi="Times New Roman" w:cs="Times New Roman" w:eastAsia="Times New Roman"/>
          <w:rtl w:val="0"/>
        </w:rPr>
        <w:t>‌</w:t>
      </w:r>
    </w:p>
    <w:p>
      <w:pPr>
        <w:rPr>
          <w:rFonts w:ascii="Times New Roman" w:hAnsi="Times New Roman" w:cs="Times New Roman" w:eastAsia="Times New Roman"/>
        </w:rPr>
      </w:pPr>
    </w:p>
    <w:p>
      <w:pPr>
        <w:rPr>
          <w:rFonts w:ascii="Times New Roman" w:hAnsi="Times New Roman" w:cs="Times New Roman" w:eastAsia="Times New Roman"/>
        </w:rPr>
      </w:pPr>
      <w:r>
        <w:rPr>
          <w:rFonts w:ascii="Times New Roman" w:hAnsi="Times New Roman" w:cs="Times New Roman" w:eastAsia="Times New Roman"/>
          <w:rtl w:val="0"/>
        </w:rPr>
        <w:t>‌</w:t>
      </w:r>
    </w:p>
    <w:p>
      <w:pPr>
        <w:rPr>
          <w:rFonts w:ascii="Times New Roman" w:hAnsi="Times New Roman" w:cs="Times New Roman" w:eastAsia="Times New Roman"/>
        </w:rPr>
      </w:pPr>
    </w:p>
    <w:p>
      <w:pPr>
        <w:rPr>
          <w:rFonts w:ascii="Times New Roman" w:hAnsi="Times New Roman" w:cs="Times New Roman" w:eastAsia="Times New Roman"/>
        </w:rPr>
      </w:pPr>
      <w:r>
        <w:rPr>
          <w:rFonts w:ascii="Times New Roman" w:hAnsi="Times New Roman" w:cs="Times New Roman" w:eastAsia="Times New Roman"/>
          <w:rtl w:val="0"/>
        </w:rPr>
        <w:t>‌</w:t>
      </w:r>
    </w:p>
    <w:p>
      <w:pPr>
        <w:rPr>
          <w:rFonts w:ascii="Times New Roman" w:hAnsi="Times New Roman" w:cs="Times New Roman" w:eastAsia="Times New Roman"/>
        </w:rPr>
      </w:pPr>
    </w:p>
    <w:p>
      <w:pPr>
        <w:rPr>
          <w:rFonts w:ascii="Times New Roman" w:hAnsi="Times New Roman" w:cs="Times New Roman" w:eastAsia="Times New Roman"/>
        </w:rPr>
      </w:pPr>
      <w:r>
        <w:rPr>
          <w:rFonts w:ascii="Times New Roman" w:hAnsi="Times New Roman" w:cs="Times New Roman" w:eastAsia="Times New Roman"/>
          <w:rtl w:val="0"/>
        </w:rPr>
        <w:t>‌</w:t>
      </w:r>
    </w:p>
    <w:p>
      <w:pPr>
        <w:rPr>
          <w:rFonts w:ascii="Times New Roman" w:hAnsi="Times New Roman" w:cs="Times New Roman" w:eastAsia="Times New Roman"/>
        </w:rPr>
      </w:pPr>
    </w:p>
    <w:p>
      <w:pPr>
        <w:rPr>
          <w:rFonts w:ascii="Times New Roman" w:hAnsi="Times New Roman" w:cs="Times New Roman" w:eastAsia="Times New Roman"/>
        </w:rPr>
      </w:pPr>
      <w:r>
        <w:rPr>
          <w:rFonts w:ascii="Times New Roman" w:hAnsi="Times New Roman" w:cs="Times New Roman" w:eastAsia="Times New Roman"/>
          <w:rtl w:val="0"/>
        </w:rPr>
        <w:t>‌</w:t>
      </w:r>
    </w:p>
    <w:p>
      <w:pPr>
        <w:rPr>
          <w:rFonts w:ascii="Times New Roman" w:hAnsi="Times New Roman" w:cs="Times New Roman" w:eastAsia="Times New Roman"/>
        </w:rPr>
      </w:pPr>
    </w:p>
    <w:p>
      <w:pPr>
        <w:rPr>
          <w:rFonts w:ascii="Times New Roman" w:hAnsi="Times New Roman" w:cs="Times New Roman" w:eastAsia="Times New Roman"/>
        </w:rPr>
      </w:pPr>
      <w:r>
        <w:rPr>
          <w:rFonts w:ascii="Times New Roman" w:hAnsi="Times New Roman" w:cs="Times New Roman" w:eastAsia="Times New Roman"/>
          <w:rtl w:val="0"/>
        </w:rPr>
        <w:t>‌</w:t>
      </w:r>
    </w:p>
    <w:p>
      <w:pPr>
        <w:rPr>
          <w:rFonts w:ascii="Times New Roman" w:hAnsi="Times New Roman" w:cs="Times New Roman" w:eastAsia="Times New Roman"/>
        </w:rPr>
      </w:pPr>
    </w:p>
    <w:p>
      <w:pPr>
        <w:rPr>
          <w:rFonts w:ascii="Times New Roman" w:hAnsi="Times New Roman" w:cs="Times New Roman" w:eastAsia="Times New Roman"/>
        </w:rPr>
      </w:pPr>
      <w:r>
        <w:rPr>
          <w:rFonts w:ascii="Times New Roman" w:hAnsi="Times New Roman" w:cs="Times New Roman" w:eastAsia="Times New Roman"/>
          <w:rtl w:val="0"/>
        </w:rPr>
        <w:t>‌</w:t>
      </w:r>
    </w:p>
    <w:p>
      <w:pPr>
        <w:rPr>
          <w:rFonts w:ascii="Times New Roman" w:hAnsi="Times New Roman" w:cs="Times New Roman" w:eastAsia="Times New Roman"/>
        </w:rPr>
      </w:pPr>
    </w:p>
    <w:p>
      <w:pPr>
        <w:rPr>
          <w:rFonts w:ascii="Times New Roman" w:hAnsi="Times New Roman" w:cs="Times New Roman" w:eastAsia="Times New Roman"/>
        </w:rPr>
      </w:pPr>
      <w:r>
        <w:rPr>
          <w:rFonts w:ascii="Times New Roman" w:hAnsi="Times New Roman" w:cs="Times New Roman" w:eastAsia="Times New Roman"/>
          <w:rtl w:val="0"/>
        </w:rPr>
        <w:t>‌</w:t>
      </w:r>
    </w:p>
    <w:sectPr>
      <w:headerReference xmlns:r="http://schemas.openxmlformats.org/officeDocument/2006/relationships" w:type="default" r:id="RelHdr1"/>
      <w:type w:val="nextPage"/>
      <w:pgSz w:w="11906" w:h="16838" w:code="0"/>
      <w:pgMar w:left="1440" w:right="1440" w:top="1440" w:bottom="1440" w:header="708" w:footer="708" w:gutter="0"/>
      <w:pgNumType w:start="1" w:chapSep="period"/>
    </w:sectPr>
  </w:body>
</w:document>
</file>

<file path=word/fontTable.xml><?xml version="1.0" encoding="utf-8"?>
<w:fonts xmlns:w="http://schemas.openxmlformats.org/wordprocessingml/2006/main">
  <w:font w:name="Calibri">
    <w:embedRegular xmlns:r="http://schemas.openxmlformats.org/officeDocument/2006/relationships" r:id="rId0" w:fontKey="{1f977362-df68-4134-95a6-5b54bde240be}"/>
  </w:font>
  <w:font w:name="Arial">
    <w:embedRegular xmlns:r="http://schemas.openxmlformats.org/officeDocument/2006/relationships" r:id="rId1" w:fontKey="{7cee59c3-9035-49f9-976c-45da58ae4c7e}"/>
  </w:font>
  <w:font w:name="Arial">
    <w:embedBold xmlns:r="http://schemas.openxmlformats.org/officeDocument/2006/relationships" r:id="rId2" w:fontKey="{1b3bde91-72dd-463b-ae72-77f9cc64a706}"/>
  </w:font>
  <w:font w:name="Times New Roman">
    <w:embedRegular xmlns:r="http://schemas.openxmlformats.org/officeDocument/2006/relationships" r:id="rId3" w:fontKey="{0aecb516-882d-4009-9fe9-d154fb99a928}"/>
  </w:font>
  <w:font w:name="Times New Roman">
    <w:embedBold xmlns:r="http://schemas.openxmlformats.org/officeDocument/2006/relationships" r:id="rId4" w:fontKey="{8f3aa2ca-d445-4cea-a454-1d1a31ec6d76}"/>
  </w:font>
  <w:font w:name="Arial">
    <w:embedItalic xmlns:r="http://schemas.openxmlformats.org/officeDocument/2006/relationships" r:id="rId5" w:fontKey="{442c5c9e-921a-4ed3-be45-e336fc6272b4}"/>
  </w:font>
</w:fonts>
</file>

<file path=word/header1.xml><?xml version="1.0" encoding="utf-8"?>
<w:hdr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p>
    <w:pPr>
      <w:keepNext w:val="0"/>
      <w:keepLines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tabs>
        <w:tab w:val="center" w:pos="4513" w:leader="none"/>
        <w:tab w:val="right" w:pos="9026" w:leader="none"/>
      </w:tabs>
      <w:spacing w:lineRule="auto" w:line="240" w:before="0" w:after="0" w:beforeAutospacing="0" w:afterAutospacing="0"/>
      <w:ind w:firstLine="0" w:left="0" w:right="0"/>
      <w:jc w:val="right"/>
      <w:rPr>
        <w:rFonts w:ascii="Calibri" w:hAnsi="Calibri" w:cs="Calibri" w:eastAsia="Calibri"/>
        <w:b w:val="0"/>
        <w:i w:val="0"/>
        <w:bCs w:val="0"/>
        <w:iCs w:val="0"/>
        <w:smallCaps w:val="0"/>
        <w:color w:val="000000"/>
        <w:sz w:val="24"/>
        <w:szCs w:val="24"/>
        <w:u w:val="none"/>
        <w:shd w:val="clear" w:color="auto" w:fill="auto"/>
        <w:vertAlign w:val="baseline"/>
      </w:rPr>
    </w:pPr>
    <w:r>
      <w:rPr>
        <w:rFonts w:ascii="Calibri" w:hAnsi="Calibri" w:cs="Calibri" w:eastAsia="Calibri"/>
        <w:b w:val="0"/>
        <w:i w:val="0"/>
        <w:bCs w:val="0"/>
        <w:iCs w:val="0"/>
        <w:smallCaps w:val="0"/>
        <w:color w:val="000000"/>
        <w:sz w:val="24"/>
        <w:szCs w:val="24"/>
        <w:u w:val="none"/>
        <w:shd w:val="clear" w:color="auto" w:fill="auto"/>
        <w:vertAlign w:val="baseline"/>
      </w:rPr>
      <w:fldChar w:fldCharType="begin"/>
    </w:r>
    <w:r>
      <w:rPr>
        <w:rFonts w:ascii="Calibri" w:hAnsi="Calibri" w:cs="Calibri" w:eastAsia="Calibri"/>
        <w:b w:val="0"/>
        <w:i w:val="0"/>
        <w:bCs w:val="0"/>
        <w:iCs w:val="0"/>
        <w:smallCaps w:val="0"/>
        <w:color w:val="000000"/>
        <w:sz w:val="24"/>
        <w:szCs w:val="24"/>
        <w:u w:val="none"/>
        <w:shd w:val="clear" w:color="auto" w:fill="auto"/>
        <w:vertAlign w:val="baseline"/>
      </w:rPr>
      <w:instrText>PAGE</w:instrText>
    </w:r>
    <w:r>
      <w:rPr>
        <w:rFonts w:ascii="Calibri" w:hAnsi="Calibri" w:cs="Calibri" w:eastAsia="Calibri"/>
        <w:b w:val="0"/>
        <w:i w:val="0"/>
        <w:bCs w:val="0"/>
        <w:iCs w:val="0"/>
        <w:smallCaps w:val="0"/>
        <w:color w:val="000000"/>
        <w:sz w:val="24"/>
        <w:szCs w:val="24"/>
        <w:u w:val="none"/>
        <w:shd w:val="clear" w:color="auto" w:fill="auto"/>
        <w:vertAlign w:val="baseline"/>
      </w:rPr>
      <w:fldChar w:fldCharType="separate"/>
    </w:r>
    <w:r>
      <w:rPr>
        <w:rFonts w:ascii="Calibri" w:hAnsi="Calibri" w:cs="Calibri" w:eastAsia="Calibri"/>
        <w:b w:val="0"/>
        <w:i w:val="0"/>
        <w:bCs w:val="0"/>
        <w:iCs w:val="0"/>
        <w:smallCaps w:val="0"/>
        <w:color w:val="000000"/>
        <w:sz w:val="24"/>
        <w:szCs w:val="24"/>
        <w:u w:val="none"/>
        <w:shd w:val="clear" w:color="auto" w:fill="auto"/>
        <w:vertAlign w:val="baseline"/>
      </w:rPr>
      <w:t>#</w:t>
    </w:r>
    <w:r>
      <w:rPr>
        <w:rFonts w:ascii="Calibri" w:hAnsi="Calibri" w:cs="Calibri" w:eastAsia="Calibri"/>
        <w:b w:val="0"/>
        <w:i w:val="0"/>
        <w:bCs w:val="0"/>
        <w:iCs w:val="0"/>
        <w:smallCaps w:val="0"/>
        <w:color w:val="000000"/>
        <w:sz w:val="24"/>
        <w:szCs w:val="24"/>
        <w:u w:val="none"/>
        <w:shd w:val="clear" w:color="auto" w:fill="auto"/>
        <w:vertAlign w:val="baseline"/>
      </w:rPr>
      <w:fldChar w:fldCharType="end"/>
    </w:r>
  </w:p>
  <w:p>
    <w:pPr>
      <w:keepNext w:val="0"/>
      <w:keepLines w:val="0"/>
      <w:widowControl w:val="1"/>
      <w:pBdr>
        <w:top w:val="nil" w:sz="0" w:space="0" w:shadow="0" w:frame="0" w:color="auto"/>
        <w:left w:val="nil" w:sz="0" w:space="0" w:shadow="0" w:frame="0" w:color="auto"/>
        <w:bottom w:val="nil" w:sz="0" w:space="0" w:shadow="0" w:frame="0" w:color="auto"/>
        <w:right w:val="nil" w:sz="0" w:space="0" w:shadow="0" w:frame="0" w:color="auto"/>
        <w:between w:val="nil" w:sz="0" w:space="0" w:shadow="0" w:frame="0" w:color="auto"/>
      </w:pBdr>
      <w:shd w:val="clear" w:fill="auto"/>
      <w:tabs>
        <w:tab w:val="center" w:pos="4513" w:leader="none"/>
        <w:tab w:val="right" w:pos="9026" w:leader="none"/>
      </w:tabs>
      <w:spacing w:lineRule="auto" w:line="240" w:before="0" w:after="0" w:beforeAutospacing="0" w:afterAutospacing="0"/>
      <w:ind w:firstLine="0" w:left="0" w:right="0"/>
      <w:jc w:val="left"/>
      <w:rPr>
        <w:rFonts w:ascii="Calibri" w:hAnsi="Calibri" w:cs="Calibri" w:eastAsia="Calibri"/>
        <w:b w:val="0"/>
        <w:i w:val="0"/>
        <w:bCs w:val="0"/>
        <w:iCs w:val="0"/>
        <w:smallCaps w:val="0"/>
        <w:color w:val="000000"/>
        <w:sz w:val="24"/>
        <w:szCs w:val="24"/>
        <w:u w:val="none"/>
        <w:shd w:val="clear" w:color="auto" w:fill="auto"/>
        <w:vertAlign w:val="baseline"/>
      </w:rPr>
    </w:pPr>
  </w:p>
</w:hdr>
</file>

<file path=word/numbering.xml><?xml version="1.0" encoding="utf-8"?>
<w:numbering xmlns:w="http://schemas.openxmlformats.org/wordprocessingml/2006/main"/>
</file>

<file path=word/settings.xml><?xml version="1.0" encoding="utf-8"?>
<w:settings xmlns:w="http://schemas.openxmlformats.org/wordprocessingml/2006/main">
  <w:embedTrueTypeFonts w:val="1"/>
  <w:displayBackgroundShape w:val="0"/>
  <w:defaultTabStop w:val="720"/>
  <w:autoHyphenation w:val="0"/>
  <w:evenAndOddHeaders w:val="0"/>
  <w:characterSpacingControl w:val="doNotCompress"/>
  <w:compat>
    <w:compatSetting w:name="compatibilityMode" w:uri="http://schemas.microsoft.com/office/word" w:val="15"/>
  </w:compat>
  <m:mathPr xmlns:m="http://schemas.openxmlformats.org/officeDocument/2006/math">
    <m:brkBin m:val="before"/>
    <m:brkBinSub m:val="--"/>
    <m:defJc m:val="centerGroup"/>
    <m:interSp m:val="0"/>
    <m:intLim m:val="undOvr"/>
    <m:intraSp m:val="0"/>
    <m:lMargin m:val="0"/>
    <m:mathFont m:val="Cambria Math"/>
    <m:naryLim m:val="undOvr"/>
    <m:postSp m:val="0"/>
    <m:preSp m:val="0"/>
    <m:rMargin m:val="0"/>
    <m:wrapIndent m:val="0"/>
    <m:wrapRight m:val="0"/>
  </m:mathPr>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w:docDefaults>
    <w:rPrDefault>
      <w:rPr>
        <w:rFonts w:ascii="Calibri" w:hAnsi="Calibri" w:cs="Calibri" w:eastAsia="Calibri"/>
        <w:sz w:val="24"/>
        <w:szCs w:val="24"/>
        <w:lang w:val="en-KE"/>
      </w:rPr>
    </w:rPrDefault>
    <w:pPrDefault>
      <w:pPr>
        <w:keepNext w:val="0"/>
        <w:keepLines w:val="0"/>
        <w:pageBreakBefore w:val="0"/>
        <w:widowControl w:val="1"/>
        <w:suppressLineNumbers w:val="0"/>
        <w:shd w:val="clear" w:fill="auto"/>
        <w:suppressAutoHyphens w:val="0"/>
        <w:spacing w:lineRule="auto" w:line="278" w:before="0" w:after="160" w:beforeAutospacing="0" w:afterAutospacing="0"/>
        <w:ind w:firstLine="0" w:left="0" w:right="0"/>
        <w:contextualSpacing w:val="0"/>
        <w:bidi w:val="0"/>
        <w:jc w:val="left"/>
        <w:outlineLvl w:val="9"/>
      </w:pPr>
    </w:pPrDefault>
  </w:docDefaults>
  <w:style w:type="paragraph" w:styleId="P0" w:default="1">
    <w:name w:val="Normal"/>
    <w:pPr/>
    <w:rPr/>
  </w:style>
  <w:style w:type="paragraph" w:styleId="P1">
    <w:name w:val="Heading 1"/>
    <w:basedOn w:val="P0"/>
    <w:next w:val="P0"/>
    <w:pPr>
      <w:keepNext w:val="1"/>
      <w:keepLines w:val="1"/>
      <w:spacing w:before="360" w:after="80" w:beforeAutospacing="0" w:afterAutospacing="0"/>
      <w:outlineLvl w:val="0"/>
    </w:pPr>
    <w:rPr>
      <w:rFonts w:ascii="Calibri" w:hAnsi="Calibri" w:cs="Calibri" w:eastAsia="Calibri"/>
      <w:color w:val="2F5496"/>
      <w:sz w:val="40"/>
      <w:szCs w:val="40"/>
    </w:rPr>
  </w:style>
  <w:style w:type="paragraph" w:styleId="P2">
    <w:name w:val="Heading 2"/>
    <w:basedOn w:val="P0"/>
    <w:next w:val="P0"/>
    <w:pPr>
      <w:keepNext w:val="1"/>
      <w:keepLines w:val="1"/>
      <w:spacing w:before="160" w:after="80" w:beforeAutospacing="0" w:afterAutospacing="0"/>
      <w:outlineLvl w:val="1"/>
    </w:pPr>
    <w:rPr>
      <w:rFonts w:ascii="Calibri" w:hAnsi="Calibri" w:cs="Calibri" w:eastAsia="Calibri"/>
      <w:color w:val="2F5496"/>
      <w:sz w:val="32"/>
      <w:szCs w:val="32"/>
    </w:rPr>
  </w:style>
  <w:style w:type="paragraph" w:styleId="P3">
    <w:name w:val="Heading 3"/>
    <w:basedOn w:val="P0"/>
    <w:next w:val="P0"/>
    <w:pPr>
      <w:keepNext w:val="1"/>
      <w:keepLines w:val="1"/>
      <w:spacing w:before="160" w:after="80" w:beforeAutospacing="0" w:afterAutospacing="0"/>
      <w:outlineLvl w:val="2"/>
    </w:pPr>
    <w:rPr>
      <w:color w:val="2F5496"/>
      <w:sz w:val="28"/>
      <w:szCs w:val="28"/>
    </w:rPr>
  </w:style>
  <w:style w:type="paragraph" w:styleId="P4">
    <w:name w:val="Heading 4"/>
    <w:basedOn w:val="P0"/>
    <w:next w:val="P0"/>
    <w:pPr>
      <w:keepNext w:val="1"/>
      <w:keepLines w:val="1"/>
      <w:spacing w:before="80" w:after="40" w:beforeAutospacing="0" w:afterAutospacing="0"/>
      <w:outlineLvl w:val="3"/>
    </w:pPr>
    <w:rPr>
      <w:i w:val="1"/>
      <w:iCs w:val="1"/>
      <w:color w:val="2F5496"/>
    </w:rPr>
  </w:style>
  <w:style w:type="paragraph" w:styleId="P5">
    <w:name w:val="Heading 5"/>
    <w:basedOn w:val="P0"/>
    <w:next w:val="P0"/>
    <w:pPr>
      <w:keepNext w:val="1"/>
      <w:keepLines w:val="1"/>
      <w:spacing w:before="80" w:after="40" w:beforeAutospacing="0" w:afterAutospacing="0"/>
      <w:outlineLvl w:val="4"/>
    </w:pPr>
    <w:rPr>
      <w:color w:val="2F5496"/>
    </w:rPr>
  </w:style>
  <w:style w:type="paragraph" w:styleId="P6">
    <w:name w:val="Heading 6"/>
    <w:basedOn w:val="P0"/>
    <w:next w:val="P0"/>
    <w:pPr>
      <w:keepNext w:val="1"/>
      <w:keepLines w:val="1"/>
      <w:spacing w:before="40" w:after="0" w:beforeAutospacing="0" w:afterAutospacing="0"/>
      <w:outlineLvl w:val="5"/>
    </w:pPr>
    <w:rPr>
      <w:i w:val="1"/>
      <w:iCs w:val="1"/>
      <w:color w:val="595959"/>
    </w:rPr>
  </w:style>
  <w:style w:type="paragraph" w:styleId="P7">
    <w:name w:val="Title"/>
    <w:basedOn w:val="P0"/>
    <w:next w:val="P0"/>
    <w:pPr>
      <w:spacing w:lineRule="auto" w:line="240" w:after="80" w:beforeAutospacing="0" w:afterAutospacing="0"/>
    </w:pPr>
    <w:rPr>
      <w:rFonts w:ascii="Calibri" w:hAnsi="Calibri" w:cs="Calibri" w:eastAsia="Calibri"/>
      <w:sz w:val="56"/>
      <w:szCs w:val="56"/>
    </w:rPr>
  </w:style>
  <w:style w:type="paragraph" w:styleId="P8">
    <w:name w:val="Subtitle"/>
    <w:basedOn w:val="P0"/>
    <w:next w:val="P0"/>
    <w:pPr/>
    <w:rPr>
      <w:color w:val="595959"/>
      <w:sz w:val="28"/>
      <w:szCs w:val="28"/>
    </w:rPr>
  </w:style>
  <w:style w:type="character" w:styleId="C0" w:default="1">
    <w:name w:val="Default Paragraph Font"/>
    <w:semiHidden/>
    <w:rPr/>
  </w:style>
  <w:style w:type="character" w:styleId="C1">
    <w:name w:val="Line Number"/>
    <w:basedOn w:val="C0"/>
    <w:semiHidden/>
    <w:rPr/>
  </w:style>
  <w:style w:type="character" w:styleId="C2">
    <w:name w:val="Hyperlink"/>
    <w:rPr>
      <w:color w:val="0000FF"/>
      <w:u w:val="single"/>
    </w:rPr>
  </w:style>
  <w:style w:type="table" w:styleId="T0" w:default="1">
    <w:name w:val="Normal Table"/>
    <w:tblPr>
      <w:tblCellMar>
        <w:top w:w="0" w:type="dxa"/>
        <w:left w:w="108" w:type="dxa"/>
        <w:bottom w:w="0" w:type="dxa"/>
        <w:right w:w="108" w:type="dxa"/>
      </w:tblCellMar>
    </w:tblPr>
    <w:trPr/>
    <w:tcPr/>
  </w:style>
  <w:style w:type="table" w:styleId="T1">
    <w:name w:val="Table Simple 1"/>
    <w:basedOn w:val="T0"/>
    <w:tblPr>
      <w:tblBorders>
        <w:top w:val="single" w:sz="4" w:space="0" w:shadow="0" w:frame="0" w:color="000000"/>
        <w:left w:val="single" w:sz="4" w:space="0" w:shadow="0" w:frame="0" w:color="000000"/>
        <w:bottom w:val="single" w:sz="4" w:space="0" w:shadow="0" w:frame="0" w:color="000000"/>
        <w:right w:val="single" w:sz="4" w:space="0" w:shadow="0" w:frame="0" w:color="000000"/>
        <w:insideH w:val="single" w:sz="4" w:space="0" w:shadow="0" w:frame="0" w:color="000000"/>
        <w:insideV w:val="single" w:sz="4" w:space="0" w:shadow="0" w:frame="0" w:color="000000"/>
      </w:tblBorders>
      <w:tblCellMar>
        <w:top w:w="0" w:type="dxa"/>
        <w:left w:w="108" w:type="dxa"/>
        <w:bottom w:w="0" w:type="dxa"/>
        <w:right w:w="108" w:type="dxa"/>
      </w:tblCellMar>
    </w:tblPr>
    <w:trPr/>
    <w:tcPr/>
  </w:style>
  <w:style w:type="table" w:styleId="T2">
    <w:name w:val="TableNormal"/>
    <w:tblPr>
      <w:tblCellMar>
        <w:top w:w="100" w:type="dxa"/>
        <w:left w:w="100" w:type="dxa"/>
        <w:bottom w:w="100" w:type="dxa"/>
        <w:right w:w="100" w:type="dxa"/>
      </w:tblCellMar>
    </w:tblPr>
    <w:trPr/>
    <w:tcPr/>
  </w:style>
</w:styles>
</file>

<file path=word/_rels/document.xml.rels>&#65279;<?xml version="1.0" encoding="utf-8"?><Relationships xmlns="http://schemas.openxmlformats.org/package/2006/relationships"><Relationship Id="Relimage1" Type="http://schemas.openxmlformats.org/officeDocument/2006/relationships/image" Target="/media/image1.png" /><Relationship Id="Relimage2" Type="http://schemas.openxmlformats.org/officeDocument/2006/relationships/image" Target="/media/image2.png" /><Relationship Id="R2" Type="http://schemas.openxmlformats.org/officeDocument/2006/relationships/hyperlink" Target="https://pubmed.ncbi.nlm.nih.gov/25077248/" TargetMode="External" /><Relationship Id="R3" Type="http://schemas.openxmlformats.org/officeDocument/2006/relationships/hyperlink" Target="https://www.mdpi.com/2076-3417/14/18/8496" TargetMode="External" /><Relationship Id="R4" Type="http://schemas.openxmlformats.org/officeDocument/2006/relationships/hyperlink" Target="https://pmc.ncbi.nlm.nih.gov/articles/PMC4137582/" TargetMode="External" /><Relationship Id="R5" Type="http://schemas.openxmlformats.org/officeDocument/2006/relationships/hyperlink" Target="https://bmjopen.bmj.com/content/14/9/e084741.abstract" TargetMode="External" /><Relationship Id="R6" Type="http://schemas.openxmlformats.org/officeDocument/2006/relationships/hyperlink" Target="https://pmc.ncbi.nlm.nih.gov/articles/PMC12882623/" TargetMode="External" /><Relationship Id="R7" Type="http://schemas.openxmlformats.org/officeDocument/2006/relationships/hyperlink" Target="https://onlinelibrary.wiley.com/doi/abs/10.1111/inr.12159" TargetMode="External" /><Relationship Id="R8" Type="http://schemas.openxmlformats.org/officeDocument/2006/relationships/hyperlink" Target="https://www.mdpi.com/1660-4601/18/5/2466" TargetMode="External" /><Relationship Id="R9" Type="http://schemas.openxmlformats.org/officeDocument/2006/relationships/hyperlink" Target="https://www.mdpi.com/2313-576X/10/4/96" TargetMode="External" /><Relationship Id="RA" Type="http://schemas.openxmlformats.org/officeDocument/2006/relationships/hyperlink" Target="https://pubmed.ncbi.nlm.nih.gov/36361273/" TargetMode="External" /><Relationship Id="RB" Type="http://schemas.openxmlformats.org/officeDocument/2006/relationships/hyperlink" Target="https://pubmed.ncbi.nlm.nih.gov/32973398/" TargetMode="External" /><Relationship Id="RC" Type="http://schemas.openxmlformats.org/officeDocument/2006/relationships/hyperlink" Target="https://bmjopen.bmj.com/content/15/10/e105434" TargetMode="External" /><Relationship Id="RD" Type="http://schemas.openxmlformats.org/officeDocument/2006/relationships/hyperlink" Target="https://www.mdpi.com/1660-4601/20/9/5698" TargetMode="External" /><Relationship Id="RE" Type="http://schemas.openxmlformats.org/officeDocument/2006/relationships/hyperlink" Target="https://www.mdpi.com/2227-9032/11/20/2770" TargetMode="External" /><Relationship Id="RF" Type="http://schemas.openxmlformats.org/officeDocument/2006/relationships/hyperlink" Target="https://www.mdpi.com/2227-9032/9/10/1324" TargetMode="External" /><Relationship Id="R10" Type="http://schemas.openxmlformats.org/officeDocument/2006/relationships/hyperlink" Target="https://www.mdpi.com/2227-9032/13/6/661" TargetMode="External" /><Relationship Id="R11" Type="http://schemas.openxmlformats.org/officeDocument/2006/relationships/hyperlink" Target="https://pubmed.ncbi.nlm.nih.gov/19955451/" TargetMode="External" /><Relationship Id="R12" Type="http://schemas.openxmlformats.org/officeDocument/2006/relationships/hyperlink" Target="https://www.mdpi.com/2313-576X/11/2/57" TargetMode="External" /><Relationship Id="R13" Type="http://schemas.openxmlformats.org/officeDocument/2006/relationships/hyperlink" Target="https://pubmed.ncbi.nlm.nih.gov/24938029/" TargetMode="External" /><Relationship Id="R14" Type="http://schemas.openxmlformats.org/officeDocument/2006/relationships/hyperlink" Target="https://www.nejm.org/doi/full/10.1056/NEJMoa061115" TargetMode="External" /><Relationship Id="R15" Type="http://schemas.openxmlformats.org/officeDocument/2006/relationships/hyperlink" Target="https://link.springer.com/article/10.1186/s12912-023-01391-w" TargetMode="External" /><Relationship Id="R16" Type="http://schemas.openxmlformats.org/officeDocument/2006/relationships/hyperlink" Target="https://pubmed.ncbi.nlm.nih.gov/18714748/" TargetMode="External" /><Relationship Id="R17" Type="http://schemas.openxmlformats.org/officeDocument/2006/relationships/hyperlink" Target="https://pubmed.ncbi.nlm.nih.gov/20618600/" TargetMode="External" /><Relationship Id="R18" Type="http://schemas.openxmlformats.org/officeDocument/2006/relationships/hyperlink" Target="https://www.mdpi.com/1660-4601/19/18/11481" TargetMode="External" /><Relationship Id="R19" Type="http://schemas.openxmlformats.org/officeDocument/2006/relationships/hyperlink" Target="https://link.springer.com/article/10.1007/s11096-023-01591-z" TargetMode="External" /><Relationship Id="R1A" Type="http://schemas.openxmlformats.org/officeDocument/2006/relationships/hyperlink" Target="https://pubmed.ncbi.nlm.nih.gov/41030715/" TargetMode="External" /><Relationship Id="R1B" Type="http://schemas.openxmlformats.org/officeDocument/2006/relationships/hyperlink" Target="https://pubmed.ncbi.nlm.nih.gov/19178583/" TargetMode="External" /><Relationship Id="R1C" Type="http://schemas.openxmlformats.org/officeDocument/2006/relationships/hyperlink" Target="https://pmc.ncbi.nlm.nih.gov/articles/PMC12075797/" TargetMode="External" /><Relationship Id="R1D" Type="http://schemas.openxmlformats.org/officeDocument/2006/relationships/hyperlink" Target="https://pubmed.ncbi.nlm.nih.gov/39400202/" TargetMode="External" /><Relationship Id="R1E" Type="http://schemas.openxmlformats.org/officeDocument/2006/relationships/hyperlink" Target="https://www.mdpi.com/2039-4403/16/3/79" TargetMode="External" /><Relationship Id="R1F" Type="http://schemas.openxmlformats.org/officeDocument/2006/relationships/hyperlink" Target="https://pubmed.ncbi.nlm.nih.gov/23460092/" TargetMode="External" /><Relationship Id="RelHdr1" Type="http://schemas.openxmlformats.org/officeDocument/2006/relationships/header" Target="header1.xml" /><Relationship Id="RelStyle1" Type="http://schemas.openxmlformats.org/officeDocument/2006/relationships/styles" Target="styles.xml" /><Relationship Id="RelNum1" Type="http://schemas.openxmlformats.org/officeDocument/2006/relationships/numbering" Target="numbering.xml" /><Relationship Id="RelSettings1" Type="http://schemas.openxmlformats.org/officeDocument/2006/relationships/settings" Target="settings.xml" /><Relationship Id="RelTheme1" Type="http://schemas.openxmlformats.org/officeDocument/2006/relationships/theme" Target="theme/theme1.xml" /><Relationship Id="Fonts1" Type="http://schemas.openxmlformats.org/officeDocument/2006/relationships/fontTable" Target="fontTable.xml" /></Relationships>
</file>

<file path=word/_rels/fontTable.xml.rels>&#65279;<?xml version="1.0" encoding="utf-8"?><Relationships xmlns="http://schemas.openxmlformats.org/package/2006/relationships"><Relationship Id="rId0" Type="http://schemas.openxmlformats.org/officeDocument/2006/relationships/font" Target="fonts/font0.odttf" /><Relationship Id="rId1" Type="http://schemas.openxmlformats.org/officeDocument/2006/relationships/font" Target="fonts/font1.odttf" /><Relationship Id="rId2" Type="http://schemas.openxmlformats.org/officeDocument/2006/relationships/font" Target="fonts/font2.odttf" /><Relationship Id="rId3" Type="http://schemas.openxmlformats.org/officeDocument/2006/relationships/font" Target="fonts/font3.odttf" /><Relationship Id="rId4" Type="http://schemas.openxmlformats.org/officeDocument/2006/relationships/font" Target="fonts/font4.odttf" /><Relationship Id="rId5" Type="http://schemas.openxmlformats.org/officeDocument/2006/relationships/font" Target="fonts/font5.odttf" /></Relationships>
</file>

<file path=word/_rels/header1.xml.rels>&#65279;<?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tileRect/>
        </a:gradFill>
        <a:gradFill rotWithShape="1">
          <a:gsLst>
            <a:gs pos="0">
              <a:schemeClr val="phClr">
                <a:tint val="100000"/>
                <a:shade val="100000"/>
                <a:satMod val="130000"/>
              </a:schemeClr>
            </a:gs>
            <a:gs pos="100000">
              <a:schemeClr val="phClr">
                <a:tint val="50000"/>
                <a:shade val="100000"/>
                <a:satMod val="350000"/>
              </a:schemeClr>
            </a:gs>
          </a:gsLst>
          <a:lin ang="16200000" scaled="0"/>
          <a:tileRect/>
        </a:gradFill>
      </a:fillStyleLst>
      <a:lnStyleLst>
        <a:ln w="9525" cmpd="sng" algn="ctr">
          <a:solidFill>
            <a:schemeClr val="phClr">
              <a:shade val="95000"/>
              <a:satMod val="105000"/>
            </a:schemeClr>
          </a:solidFill>
          <a:prstDash val="solid"/>
        </a:ln>
        <a:ln w="25400" cmpd="sng" algn="ctr">
          <a:solidFill>
            <a:schemeClr val="phClr"/>
          </a:solidFill>
          <a:prstDash val="solid"/>
        </a:ln>
        <a:ln w="38100"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tileRect/>
        </a:gradFill>
        <a:gradFill rotWithShape="1">
          <a:gsLst>
            <a:gs pos="0">
              <a:schemeClr val="phClr">
                <a:tint val="80000"/>
                <a:satMod val="300000"/>
              </a:schemeClr>
            </a:gs>
            <a:gs pos="100000">
              <a:schemeClr val="phClr">
                <a:shade val="30000"/>
                <a:satMod val="200000"/>
              </a:schemeClr>
            </a:gs>
          </a:gsLst>
          <a:path path="circle">
            <a:fillToRect l="50000" t="50000" r="50000" b="50000"/>
          </a:path>
          <a:tileRect/>
        </a:gradFill>
      </a:bgFillStyleLst>
    </a:fmtScheme>
  </a:themeElements>
</a:theme>
</file>

<file path=docProps/app.xml><?xml version="1.0" encoding="utf-8"?>
<Properties xmlns="http://schemas.openxmlformats.org/officeDocument/2006/extended-properties">
  <Application>DevExpress Office File API/24.1.6.0</Application>
  <AppVersion>24.1</AppVersion>
</Properties>
</file>

<file path=docProps/core.xml><?xml version="1.0" encoding="utf-8"?>
<cp:coreProperties xmlns:dc="http://purl.org/dc/elements/1.1/" xmlns:dcterms="http://purl.org/dc/terms/" xmlns:dcmitype="http://purl.org/dc/dcmitype/" xmlns:xsi="http://www.w3.org/2001/XMLSchema-instance" xmlns:cp="http://schemas.openxmlformats.org/package/2006/metadata/core-properties">
  <dc:creator>Muhammed Atif Sajid Banglawala</dc:creator>
  <dcterms:created xsi:type="dcterms:W3CDTF">2026-03-26T22:22:03Z</dcterms:created>
  <cp:lastModifiedBy>Muhammed Atif Sajid Banglawala</cp:lastModifiedBy>
  <dcterms:modified xsi:type="dcterms:W3CDTF">2026-03-26T22:22:03Z</dcterms:modified>
  <cp:revision>2</cp:revision>
</cp:coreProperties>
</file>