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603C4C" w14:textId="77777777" w:rsidR="00612908" w:rsidRDefault="00612908" w:rsidP="001E2E41">
      <w:pPr>
        <w:jc w:val="center"/>
        <w:rPr>
          <w:rFonts w:cs="Arial"/>
          <w:b/>
          <w:bCs/>
          <w:szCs w:val="24"/>
        </w:rPr>
      </w:pPr>
    </w:p>
    <w:p w14:paraId="55D478E6" w14:textId="77777777" w:rsidR="00612908" w:rsidRDefault="00612908" w:rsidP="001E2E41">
      <w:pPr>
        <w:jc w:val="center"/>
        <w:rPr>
          <w:rFonts w:cs="Arial"/>
          <w:b/>
          <w:bCs/>
          <w:szCs w:val="24"/>
        </w:rPr>
      </w:pPr>
    </w:p>
    <w:p w14:paraId="4ACDAD14" w14:textId="77777777" w:rsidR="00612908" w:rsidRDefault="00612908" w:rsidP="001E2E41">
      <w:pPr>
        <w:jc w:val="center"/>
        <w:rPr>
          <w:rFonts w:cs="Arial"/>
          <w:b/>
          <w:bCs/>
          <w:szCs w:val="24"/>
        </w:rPr>
      </w:pPr>
    </w:p>
    <w:p w14:paraId="6FFF75D5" w14:textId="77777777" w:rsidR="00612908" w:rsidRDefault="00612908" w:rsidP="001E2E41">
      <w:pPr>
        <w:jc w:val="center"/>
        <w:rPr>
          <w:rFonts w:cs="Arial"/>
          <w:b/>
          <w:bCs/>
          <w:szCs w:val="24"/>
        </w:rPr>
      </w:pPr>
    </w:p>
    <w:p w14:paraId="78C907C4" w14:textId="77777777" w:rsidR="00612908" w:rsidRDefault="00612908" w:rsidP="001E2E41">
      <w:pPr>
        <w:jc w:val="center"/>
        <w:rPr>
          <w:rFonts w:cs="Arial"/>
          <w:b/>
          <w:bCs/>
          <w:szCs w:val="24"/>
        </w:rPr>
      </w:pPr>
    </w:p>
    <w:p w14:paraId="3DAD7D51" w14:textId="77777777" w:rsidR="00612908" w:rsidRDefault="00612908" w:rsidP="001E2E41">
      <w:pPr>
        <w:jc w:val="center"/>
        <w:rPr>
          <w:rFonts w:cs="Arial"/>
          <w:b/>
          <w:bCs/>
          <w:szCs w:val="24"/>
        </w:rPr>
      </w:pPr>
    </w:p>
    <w:p w14:paraId="6F10A6AC" w14:textId="77777777" w:rsidR="00612908" w:rsidRDefault="00612908" w:rsidP="001E2E41">
      <w:pPr>
        <w:jc w:val="center"/>
        <w:rPr>
          <w:rFonts w:cs="Arial"/>
          <w:b/>
          <w:bCs/>
          <w:szCs w:val="24"/>
        </w:rPr>
      </w:pPr>
    </w:p>
    <w:p w14:paraId="3390AA77" w14:textId="77777777" w:rsidR="00612908" w:rsidRPr="00612908" w:rsidRDefault="00612908" w:rsidP="00612908">
      <w:pPr>
        <w:jc w:val="center"/>
        <w:rPr>
          <w:rFonts w:cs="Arial"/>
          <w:szCs w:val="24"/>
        </w:rPr>
      </w:pPr>
      <w:r w:rsidRPr="00612908">
        <w:rPr>
          <w:rFonts w:cs="Arial"/>
          <w:szCs w:val="24"/>
        </w:rPr>
        <w:t>ECES7004 – Principles of Pedagogy, Teaching and Learning</w:t>
      </w:r>
    </w:p>
    <w:p w14:paraId="1E2DEB31" w14:textId="77777777" w:rsidR="00612908" w:rsidRDefault="00612908" w:rsidP="00612908">
      <w:pPr>
        <w:jc w:val="center"/>
        <w:rPr>
          <w:rFonts w:cs="Arial"/>
          <w:szCs w:val="24"/>
        </w:rPr>
      </w:pPr>
      <w:r w:rsidRPr="00612908">
        <w:rPr>
          <w:rFonts w:cs="Arial"/>
          <w:szCs w:val="24"/>
        </w:rPr>
        <w:t>Modern Evidence Teaching</w:t>
      </w:r>
    </w:p>
    <w:p w14:paraId="6DDDCBD9" w14:textId="2F725C52" w:rsidR="00D84DAC" w:rsidRPr="00612908" w:rsidRDefault="00D84DAC" w:rsidP="0019414B">
      <w:pPr>
        <w:jc w:val="center"/>
        <w:rPr>
          <w:rFonts w:cs="Arial"/>
          <w:szCs w:val="24"/>
        </w:rPr>
      </w:pPr>
    </w:p>
    <w:p w14:paraId="1E91590F" w14:textId="77777777" w:rsidR="001E5467" w:rsidRDefault="001E5467" w:rsidP="001E2E41">
      <w:pPr>
        <w:rPr>
          <w:rFonts w:cs="Arial"/>
          <w:b/>
          <w:bCs/>
          <w:szCs w:val="24"/>
        </w:rPr>
      </w:pPr>
      <w:r w:rsidRPr="00C1261E">
        <w:rPr>
          <w:rFonts w:cs="Arial"/>
          <w:b/>
          <w:bCs/>
          <w:szCs w:val="24"/>
        </w:rPr>
        <w:br w:type="page"/>
      </w:r>
    </w:p>
    <w:sdt>
      <w:sdtPr>
        <w:rPr>
          <w:rFonts w:asciiTheme="minorBidi" w:eastAsiaTheme="minorHAnsi" w:hAnsiTheme="minorBidi" w:cstheme="minorBidi"/>
          <w:b/>
          <w:bCs/>
          <w:color w:val="auto"/>
          <w:sz w:val="24"/>
          <w:szCs w:val="24"/>
          <w:lang w:val="en-GB"/>
          <w14:ligatures w14:val="standardContextual"/>
        </w:rPr>
        <w:id w:val="-989241527"/>
        <w:docPartObj>
          <w:docPartGallery w:val="Table of Contents"/>
          <w:docPartUnique/>
        </w:docPartObj>
      </w:sdtPr>
      <w:sdtEndPr>
        <w:rPr>
          <w:rFonts w:ascii="Arial" w:hAnsi="Arial"/>
          <w:noProof/>
          <w:szCs w:val="22"/>
        </w:rPr>
      </w:sdtEndPr>
      <w:sdtContent>
        <w:p w14:paraId="3184041A" w14:textId="0D99DB78" w:rsidR="00612908" w:rsidRPr="00612908" w:rsidRDefault="00612908" w:rsidP="00612908">
          <w:pPr>
            <w:pStyle w:val="Titolosommario"/>
            <w:jc w:val="center"/>
            <w:rPr>
              <w:rFonts w:asciiTheme="minorBidi" w:hAnsiTheme="minorBidi" w:cstheme="minorBidi"/>
              <w:b/>
              <w:bCs/>
              <w:color w:val="auto"/>
              <w:sz w:val="24"/>
              <w:szCs w:val="24"/>
            </w:rPr>
          </w:pPr>
          <w:r w:rsidRPr="00612908">
            <w:rPr>
              <w:rFonts w:asciiTheme="minorBidi" w:hAnsiTheme="minorBidi" w:cstheme="minorBidi"/>
              <w:b/>
              <w:bCs/>
              <w:color w:val="auto"/>
              <w:sz w:val="24"/>
              <w:szCs w:val="24"/>
            </w:rPr>
            <w:t>Table of Contents</w:t>
          </w:r>
        </w:p>
        <w:p w14:paraId="28A0A609" w14:textId="67737B5E" w:rsidR="00612908" w:rsidRDefault="00612908">
          <w:pPr>
            <w:pStyle w:val="Sommario1"/>
            <w:tabs>
              <w:tab w:val="right" w:leader="dot" w:pos="9350"/>
            </w:tabs>
            <w:rPr>
              <w:noProof/>
            </w:rPr>
          </w:pPr>
          <w:r>
            <w:fldChar w:fldCharType="begin"/>
          </w:r>
          <w:r>
            <w:instrText xml:space="preserve"> TOC \o "1-3" \h \z \u </w:instrText>
          </w:r>
          <w:r>
            <w:fldChar w:fldCharType="separate"/>
          </w:r>
          <w:hyperlink w:anchor="_Toc219206219" w:history="1">
            <w:r w:rsidRPr="008132EC">
              <w:rPr>
                <w:rStyle w:val="Collegamentoipertestuale"/>
                <w:noProof/>
              </w:rPr>
              <w:t>Introduction</w:t>
            </w:r>
            <w:r>
              <w:rPr>
                <w:noProof/>
                <w:webHidden/>
              </w:rPr>
              <w:tab/>
            </w:r>
            <w:r>
              <w:rPr>
                <w:noProof/>
                <w:webHidden/>
              </w:rPr>
              <w:fldChar w:fldCharType="begin"/>
            </w:r>
            <w:r>
              <w:rPr>
                <w:noProof/>
                <w:webHidden/>
              </w:rPr>
              <w:instrText xml:space="preserve"> PAGEREF _Toc219206219 \h </w:instrText>
            </w:r>
            <w:r>
              <w:rPr>
                <w:noProof/>
                <w:webHidden/>
              </w:rPr>
            </w:r>
            <w:r>
              <w:rPr>
                <w:noProof/>
                <w:webHidden/>
              </w:rPr>
              <w:fldChar w:fldCharType="separate"/>
            </w:r>
            <w:r>
              <w:rPr>
                <w:noProof/>
                <w:webHidden/>
              </w:rPr>
              <w:t>2</w:t>
            </w:r>
            <w:r>
              <w:rPr>
                <w:noProof/>
                <w:webHidden/>
              </w:rPr>
              <w:fldChar w:fldCharType="end"/>
            </w:r>
          </w:hyperlink>
        </w:p>
        <w:p w14:paraId="360E76FF" w14:textId="381D7179" w:rsidR="00612908" w:rsidRDefault="00612908">
          <w:pPr>
            <w:pStyle w:val="Sommario2"/>
            <w:tabs>
              <w:tab w:val="right" w:leader="dot" w:pos="9350"/>
            </w:tabs>
            <w:rPr>
              <w:noProof/>
            </w:rPr>
          </w:pPr>
          <w:hyperlink w:anchor="_Toc219206220" w:history="1">
            <w:r w:rsidRPr="008132EC">
              <w:rPr>
                <w:rStyle w:val="Collegamentoipertestuale"/>
                <w:noProof/>
              </w:rPr>
              <w:t>The Cognitive Science Foundation of Learning: Understanding How Students Learn in Evidence-Informed Pedagogy</w:t>
            </w:r>
            <w:r>
              <w:rPr>
                <w:noProof/>
                <w:webHidden/>
              </w:rPr>
              <w:tab/>
            </w:r>
            <w:r>
              <w:rPr>
                <w:noProof/>
                <w:webHidden/>
              </w:rPr>
              <w:fldChar w:fldCharType="begin"/>
            </w:r>
            <w:r>
              <w:rPr>
                <w:noProof/>
                <w:webHidden/>
              </w:rPr>
              <w:instrText xml:space="preserve"> PAGEREF _Toc219206220 \h </w:instrText>
            </w:r>
            <w:r>
              <w:rPr>
                <w:noProof/>
                <w:webHidden/>
              </w:rPr>
            </w:r>
            <w:r>
              <w:rPr>
                <w:noProof/>
                <w:webHidden/>
              </w:rPr>
              <w:fldChar w:fldCharType="separate"/>
            </w:r>
            <w:r>
              <w:rPr>
                <w:noProof/>
                <w:webHidden/>
              </w:rPr>
              <w:t>3</w:t>
            </w:r>
            <w:r>
              <w:rPr>
                <w:noProof/>
                <w:webHidden/>
              </w:rPr>
              <w:fldChar w:fldCharType="end"/>
            </w:r>
          </w:hyperlink>
        </w:p>
        <w:p w14:paraId="63F7D24D" w14:textId="296189F9" w:rsidR="00612908" w:rsidRDefault="00612908">
          <w:pPr>
            <w:pStyle w:val="Sommario2"/>
            <w:tabs>
              <w:tab w:val="right" w:leader="dot" w:pos="9350"/>
            </w:tabs>
            <w:rPr>
              <w:noProof/>
            </w:rPr>
          </w:pPr>
          <w:hyperlink w:anchor="_Toc219206221" w:history="1">
            <w:r w:rsidRPr="008132EC">
              <w:rPr>
                <w:rStyle w:val="Collegamentoipertestuale"/>
                <w:noProof/>
              </w:rPr>
              <w:t>Great Teaching as Evidence-Based Practice: The Four-Dimensional Framework</w:t>
            </w:r>
            <w:r>
              <w:rPr>
                <w:noProof/>
                <w:webHidden/>
              </w:rPr>
              <w:tab/>
            </w:r>
            <w:r>
              <w:rPr>
                <w:noProof/>
                <w:webHidden/>
              </w:rPr>
              <w:fldChar w:fldCharType="begin"/>
            </w:r>
            <w:r>
              <w:rPr>
                <w:noProof/>
                <w:webHidden/>
              </w:rPr>
              <w:instrText xml:space="preserve"> PAGEREF _Toc219206221 \h </w:instrText>
            </w:r>
            <w:r>
              <w:rPr>
                <w:noProof/>
                <w:webHidden/>
              </w:rPr>
            </w:r>
            <w:r>
              <w:rPr>
                <w:noProof/>
                <w:webHidden/>
              </w:rPr>
              <w:fldChar w:fldCharType="separate"/>
            </w:r>
            <w:r>
              <w:rPr>
                <w:noProof/>
                <w:webHidden/>
              </w:rPr>
              <w:t>5</w:t>
            </w:r>
            <w:r>
              <w:rPr>
                <w:noProof/>
                <w:webHidden/>
              </w:rPr>
              <w:fldChar w:fldCharType="end"/>
            </w:r>
          </w:hyperlink>
        </w:p>
        <w:p w14:paraId="354BC09F" w14:textId="22502A6D" w:rsidR="00612908" w:rsidRDefault="00612908">
          <w:pPr>
            <w:pStyle w:val="Sommario2"/>
            <w:tabs>
              <w:tab w:val="right" w:leader="dot" w:pos="9350"/>
            </w:tabs>
            <w:rPr>
              <w:noProof/>
            </w:rPr>
          </w:pPr>
          <w:hyperlink w:anchor="_Toc219206222" w:history="1">
            <w:r w:rsidRPr="008132EC">
              <w:rPr>
                <w:rStyle w:val="Collegamentoipertestuale"/>
                <w:noProof/>
              </w:rPr>
              <w:t>Bridging Theory and Practice</w:t>
            </w:r>
            <w:r>
              <w:rPr>
                <w:noProof/>
                <w:webHidden/>
              </w:rPr>
              <w:tab/>
            </w:r>
            <w:r>
              <w:rPr>
                <w:noProof/>
                <w:webHidden/>
              </w:rPr>
              <w:fldChar w:fldCharType="begin"/>
            </w:r>
            <w:r>
              <w:rPr>
                <w:noProof/>
                <w:webHidden/>
              </w:rPr>
              <w:instrText xml:space="preserve"> PAGEREF _Toc219206222 \h </w:instrText>
            </w:r>
            <w:r>
              <w:rPr>
                <w:noProof/>
                <w:webHidden/>
              </w:rPr>
            </w:r>
            <w:r>
              <w:rPr>
                <w:noProof/>
                <w:webHidden/>
              </w:rPr>
              <w:fldChar w:fldCharType="separate"/>
            </w:r>
            <w:r>
              <w:rPr>
                <w:noProof/>
                <w:webHidden/>
              </w:rPr>
              <w:t>7</w:t>
            </w:r>
            <w:r>
              <w:rPr>
                <w:noProof/>
                <w:webHidden/>
              </w:rPr>
              <w:fldChar w:fldCharType="end"/>
            </w:r>
          </w:hyperlink>
        </w:p>
        <w:p w14:paraId="362955C6" w14:textId="3BE4928E" w:rsidR="00612908" w:rsidRDefault="00612908">
          <w:pPr>
            <w:pStyle w:val="Sommario2"/>
            <w:tabs>
              <w:tab w:val="right" w:leader="dot" w:pos="9350"/>
            </w:tabs>
            <w:rPr>
              <w:noProof/>
            </w:rPr>
          </w:pPr>
          <w:hyperlink w:anchor="_Toc219206223" w:history="1">
            <w:r w:rsidRPr="008132EC">
              <w:rPr>
                <w:rStyle w:val="Collegamentoipertestuale"/>
                <w:noProof/>
              </w:rPr>
              <w:t>Teaching and Learning in the 21st Century: Integrating Evidence with Modern Pedagogy</w:t>
            </w:r>
            <w:r>
              <w:rPr>
                <w:noProof/>
                <w:webHidden/>
              </w:rPr>
              <w:tab/>
            </w:r>
            <w:r>
              <w:rPr>
                <w:noProof/>
                <w:webHidden/>
              </w:rPr>
              <w:fldChar w:fldCharType="begin"/>
            </w:r>
            <w:r>
              <w:rPr>
                <w:noProof/>
                <w:webHidden/>
              </w:rPr>
              <w:instrText xml:space="preserve"> PAGEREF _Toc219206223 \h </w:instrText>
            </w:r>
            <w:r>
              <w:rPr>
                <w:noProof/>
                <w:webHidden/>
              </w:rPr>
            </w:r>
            <w:r>
              <w:rPr>
                <w:noProof/>
                <w:webHidden/>
              </w:rPr>
              <w:fldChar w:fldCharType="separate"/>
            </w:r>
            <w:r>
              <w:rPr>
                <w:noProof/>
                <w:webHidden/>
              </w:rPr>
              <w:t>10</w:t>
            </w:r>
            <w:r>
              <w:rPr>
                <w:noProof/>
                <w:webHidden/>
              </w:rPr>
              <w:fldChar w:fldCharType="end"/>
            </w:r>
          </w:hyperlink>
        </w:p>
        <w:p w14:paraId="6ACC67BE" w14:textId="3AE64F10" w:rsidR="00612908" w:rsidRDefault="00612908">
          <w:pPr>
            <w:pStyle w:val="Sommario2"/>
            <w:tabs>
              <w:tab w:val="right" w:leader="dot" w:pos="9350"/>
            </w:tabs>
            <w:rPr>
              <w:noProof/>
            </w:rPr>
          </w:pPr>
          <w:hyperlink w:anchor="_Toc219206224" w:history="1">
            <w:r w:rsidRPr="008132EC">
              <w:rPr>
                <w:rStyle w:val="Collegamentoipertestuale"/>
                <w:noProof/>
              </w:rPr>
              <w:t>Critical Reflection: The Future of Evidence-Informed Teaching Practice</w:t>
            </w:r>
            <w:r>
              <w:rPr>
                <w:noProof/>
                <w:webHidden/>
              </w:rPr>
              <w:tab/>
            </w:r>
            <w:r>
              <w:rPr>
                <w:noProof/>
                <w:webHidden/>
              </w:rPr>
              <w:fldChar w:fldCharType="begin"/>
            </w:r>
            <w:r>
              <w:rPr>
                <w:noProof/>
                <w:webHidden/>
              </w:rPr>
              <w:instrText xml:space="preserve"> PAGEREF _Toc219206224 \h </w:instrText>
            </w:r>
            <w:r>
              <w:rPr>
                <w:noProof/>
                <w:webHidden/>
              </w:rPr>
            </w:r>
            <w:r>
              <w:rPr>
                <w:noProof/>
                <w:webHidden/>
              </w:rPr>
              <w:fldChar w:fldCharType="separate"/>
            </w:r>
            <w:r>
              <w:rPr>
                <w:noProof/>
                <w:webHidden/>
              </w:rPr>
              <w:t>12</w:t>
            </w:r>
            <w:r>
              <w:rPr>
                <w:noProof/>
                <w:webHidden/>
              </w:rPr>
              <w:fldChar w:fldCharType="end"/>
            </w:r>
          </w:hyperlink>
        </w:p>
        <w:p w14:paraId="3EB4C38F" w14:textId="6CDFEEF0" w:rsidR="00612908" w:rsidRDefault="00612908">
          <w:pPr>
            <w:pStyle w:val="Sommario1"/>
            <w:tabs>
              <w:tab w:val="right" w:leader="dot" w:pos="9350"/>
            </w:tabs>
            <w:rPr>
              <w:noProof/>
            </w:rPr>
          </w:pPr>
          <w:hyperlink w:anchor="_Toc219206225" w:history="1">
            <w:r w:rsidRPr="008132EC">
              <w:rPr>
                <w:rStyle w:val="Collegamentoipertestuale"/>
                <w:noProof/>
              </w:rPr>
              <w:t>Conclusion</w:t>
            </w:r>
            <w:r>
              <w:rPr>
                <w:noProof/>
                <w:webHidden/>
              </w:rPr>
              <w:tab/>
            </w:r>
            <w:r>
              <w:rPr>
                <w:noProof/>
                <w:webHidden/>
              </w:rPr>
              <w:fldChar w:fldCharType="begin"/>
            </w:r>
            <w:r>
              <w:rPr>
                <w:noProof/>
                <w:webHidden/>
              </w:rPr>
              <w:instrText xml:space="preserve"> PAGEREF _Toc219206225 \h </w:instrText>
            </w:r>
            <w:r>
              <w:rPr>
                <w:noProof/>
                <w:webHidden/>
              </w:rPr>
            </w:r>
            <w:r>
              <w:rPr>
                <w:noProof/>
                <w:webHidden/>
              </w:rPr>
              <w:fldChar w:fldCharType="separate"/>
            </w:r>
            <w:r>
              <w:rPr>
                <w:noProof/>
                <w:webHidden/>
              </w:rPr>
              <w:t>14</w:t>
            </w:r>
            <w:r>
              <w:rPr>
                <w:noProof/>
                <w:webHidden/>
              </w:rPr>
              <w:fldChar w:fldCharType="end"/>
            </w:r>
          </w:hyperlink>
        </w:p>
        <w:p w14:paraId="37BF0F34" w14:textId="205F6F5B" w:rsidR="00612908" w:rsidRDefault="00612908">
          <w:pPr>
            <w:pStyle w:val="Sommario1"/>
            <w:tabs>
              <w:tab w:val="right" w:leader="dot" w:pos="9350"/>
            </w:tabs>
            <w:rPr>
              <w:noProof/>
            </w:rPr>
          </w:pPr>
          <w:hyperlink w:anchor="_Toc219206226" w:history="1">
            <w:r w:rsidRPr="008132EC">
              <w:rPr>
                <w:rStyle w:val="Collegamentoipertestuale"/>
                <w:rFonts w:cs="Arial"/>
                <w:bCs/>
                <w:noProof/>
              </w:rPr>
              <w:t>References</w:t>
            </w:r>
            <w:r>
              <w:rPr>
                <w:noProof/>
                <w:webHidden/>
              </w:rPr>
              <w:tab/>
            </w:r>
            <w:r>
              <w:rPr>
                <w:noProof/>
                <w:webHidden/>
              </w:rPr>
              <w:fldChar w:fldCharType="begin"/>
            </w:r>
            <w:r>
              <w:rPr>
                <w:noProof/>
                <w:webHidden/>
              </w:rPr>
              <w:instrText xml:space="preserve"> PAGEREF _Toc219206226 \h </w:instrText>
            </w:r>
            <w:r>
              <w:rPr>
                <w:noProof/>
                <w:webHidden/>
              </w:rPr>
            </w:r>
            <w:r>
              <w:rPr>
                <w:noProof/>
                <w:webHidden/>
              </w:rPr>
              <w:fldChar w:fldCharType="separate"/>
            </w:r>
            <w:r>
              <w:rPr>
                <w:noProof/>
                <w:webHidden/>
              </w:rPr>
              <w:t>16</w:t>
            </w:r>
            <w:r>
              <w:rPr>
                <w:noProof/>
                <w:webHidden/>
              </w:rPr>
              <w:fldChar w:fldCharType="end"/>
            </w:r>
          </w:hyperlink>
        </w:p>
        <w:p w14:paraId="309E2007" w14:textId="083FAB43" w:rsidR="00612908" w:rsidRDefault="00612908">
          <w:r>
            <w:rPr>
              <w:b/>
              <w:bCs/>
              <w:noProof/>
            </w:rPr>
            <w:fldChar w:fldCharType="end"/>
          </w:r>
        </w:p>
      </w:sdtContent>
    </w:sdt>
    <w:p w14:paraId="77B1E2C1" w14:textId="77777777" w:rsidR="00612908" w:rsidRPr="00C1261E" w:rsidRDefault="00612908" w:rsidP="001E2E41">
      <w:pPr>
        <w:rPr>
          <w:rFonts w:cs="Arial"/>
          <w:b/>
          <w:bCs/>
          <w:szCs w:val="24"/>
        </w:rPr>
      </w:pPr>
    </w:p>
    <w:p w14:paraId="461A87AF" w14:textId="77777777" w:rsidR="00612908" w:rsidRDefault="00612908">
      <w:pPr>
        <w:spacing w:before="0" w:after="160" w:line="259" w:lineRule="auto"/>
        <w:contextualSpacing w:val="0"/>
        <w:jc w:val="left"/>
        <w:rPr>
          <w:rFonts w:eastAsiaTheme="majorEastAsia" w:cstheme="majorBidi"/>
          <w:b/>
          <w:i/>
          <w:szCs w:val="40"/>
        </w:rPr>
      </w:pPr>
      <w:bookmarkStart w:id="0" w:name="_Toc219206219"/>
      <w:r>
        <w:br w:type="page"/>
      </w:r>
    </w:p>
    <w:p w14:paraId="75593865" w14:textId="5F973008" w:rsidR="00D84DAC" w:rsidRPr="00736676" w:rsidRDefault="00D84DAC" w:rsidP="001E2E41">
      <w:pPr>
        <w:pStyle w:val="Titolo1"/>
      </w:pPr>
      <w:r w:rsidRPr="00736676">
        <w:lastRenderedPageBreak/>
        <w:t>Introduction</w:t>
      </w:r>
      <w:bookmarkEnd w:id="0"/>
    </w:p>
    <w:p w14:paraId="22D11690" w14:textId="77777777" w:rsidR="00673925" w:rsidRDefault="00673925" w:rsidP="001E2E41">
      <w:pPr>
        <w:spacing w:before="0" w:after="160"/>
      </w:pPr>
      <w:r>
        <w:t>Evidence based teaching is a relatively recent movement in education in response to ongoing anxieties about the surface learning, low retention, and weak transfer. Further developments in cognitive science have dismantled old conceptions about the learning processes of students, and educators are no longer willing to operate intuitively but rather to use research-based approaches in their practise. The most important sources include The Science of Learning (Deans for Impact, 2015), Cognitive Load Theory (Centre for Education Statistics and Evaluation, 2017), Why Don’t Students Like School? The Great Teaching Toolkit (Coe et al., 2020), as well as (Willingham, 2021), have become extremely dominant in determining modern discourses of efficient pedagogy.</w:t>
      </w:r>
    </w:p>
    <w:p w14:paraId="0490D419" w14:textId="77777777" w:rsidR="00173C6E" w:rsidRDefault="00AC73BC" w:rsidP="001E2E41">
      <w:pPr>
        <w:spacing w:before="0" w:after="160"/>
      </w:pPr>
      <w:r w:rsidRPr="00AC73BC">
        <w:t xml:space="preserve">The importance of these articles lies in the fact that they all have an answer to basic questions on learning, such as the capacity of working memory, the value of practise and recall, the significance of systematic teaching, and the circumstances in which deep learning is most probable to take place. Although they have in common a focus on cognitive processes, there are also significant points of tension between them especially regarding the issue of learner agency, teacher judgement and the </w:t>
      </w:r>
      <w:r w:rsidR="005232A9" w:rsidRPr="00AC73BC">
        <w:t>trade-off</w:t>
      </w:r>
      <w:r w:rsidRPr="00AC73BC">
        <w:t xml:space="preserve"> between structure and meaning-making.</w:t>
      </w:r>
    </w:p>
    <w:p w14:paraId="329C263C" w14:textId="78CA50F6" w:rsidR="00736676" w:rsidRPr="00736676" w:rsidRDefault="00AC73BC" w:rsidP="001E2E41">
      <w:pPr>
        <w:spacing w:before="0" w:after="160"/>
      </w:pPr>
      <w:r w:rsidRPr="00AC73BC">
        <w:t xml:space="preserve">This essay is a critical analysis and a synthesis of these four texts, as they are continuously compared and contrasted as opposed to viewing them as independent texts. It places their arguments in the context of the more general learning theories: behaviourism, </w:t>
      </w:r>
      <w:proofErr w:type="spellStart"/>
      <w:r w:rsidRPr="00AC73BC">
        <w:t>cognitivism</w:t>
      </w:r>
      <w:proofErr w:type="spellEnd"/>
      <w:r w:rsidRPr="00AC73BC">
        <w:t xml:space="preserve">, constructivism and the social learning theory, and weighs them against their suitability to contemporary classrooms. Lastly, the essay reflects on the reasons why teachers need to be critical in thinking about such concepts and </w:t>
      </w:r>
      <w:r w:rsidRPr="00AC73BC">
        <w:lastRenderedPageBreak/>
        <w:t>evaluates how much evidence-based instruction equips learners to handle future academic and social issues.</w:t>
      </w:r>
    </w:p>
    <w:p w14:paraId="32E7331F" w14:textId="77777777" w:rsidR="00FB0FF3" w:rsidRPr="00FB0FF3" w:rsidRDefault="00FB0FF3" w:rsidP="001E2E41">
      <w:pPr>
        <w:pStyle w:val="Titolo2"/>
        <w:rPr>
          <w:bCs w:val="0"/>
        </w:rPr>
      </w:pPr>
      <w:bookmarkStart w:id="1" w:name="_Toc219206220"/>
      <w:r w:rsidRPr="00FB0FF3">
        <w:rPr>
          <w:bCs w:val="0"/>
        </w:rPr>
        <w:t>The Cognitive Science Foundation of Learning: Understanding How Students Learn in Evidence-Informed Pedagogy</w:t>
      </w:r>
      <w:bookmarkEnd w:id="1"/>
    </w:p>
    <w:p w14:paraId="3672DA02" w14:textId="39E0617B" w:rsidR="005232A9" w:rsidRPr="005232A9" w:rsidRDefault="005232A9" w:rsidP="001E2E41">
      <w:pPr>
        <w:rPr>
          <w:rFonts w:cs="Arial"/>
          <w:szCs w:val="24"/>
        </w:rPr>
      </w:pPr>
      <w:r w:rsidRPr="005232A9">
        <w:rPr>
          <w:rFonts w:cs="Arial"/>
          <w:szCs w:val="24"/>
        </w:rPr>
        <w:t xml:space="preserve">The modern </w:t>
      </w:r>
      <w:r w:rsidR="001E2E41" w:rsidRPr="005232A9">
        <w:rPr>
          <w:rFonts w:cs="Arial"/>
          <w:szCs w:val="24"/>
        </w:rPr>
        <w:t>evidence-based</w:t>
      </w:r>
      <w:r w:rsidRPr="005232A9">
        <w:rPr>
          <w:rFonts w:cs="Arial"/>
          <w:szCs w:val="24"/>
        </w:rPr>
        <w:t xml:space="preserve"> practise in teaching is emphasising increasingly the input of the cognitive science rather than the simplified or even the intuition based models of instruction. One of the key contributions to this change is The Science of Learning (Deans for Impact, 2015), which presents the learning process as based on the limited set of foundational questions about understanding, memory, transfer, motivation, and misconceptions. This framework allows an educator to be guided by principles in a traditionally structured organisation of teaching, as opposed to how learning takes place, and thus reduces the gap between theory and classroom practise that has always existed. According to Sawyer (2022) the learning sciences provide a multidisciplinary basis that brings together the cognitive psychology and neuroscience, as well as research in the field of education to understand why some teaching practises are more effective than others are.</w:t>
      </w:r>
    </w:p>
    <w:p w14:paraId="6F225C89" w14:textId="69ABF196" w:rsidR="005232A9" w:rsidRPr="005232A9" w:rsidRDefault="005232A9" w:rsidP="001E2E41">
      <w:pPr>
        <w:rPr>
          <w:rFonts w:cs="Arial"/>
          <w:szCs w:val="24"/>
        </w:rPr>
      </w:pPr>
      <w:r w:rsidRPr="005232A9">
        <w:rPr>
          <w:rFonts w:cs="Arial"/>
          <w:szCs w:val="24"/>
        </w:rPr>
        <w:t xml:space="preserve">One of the essential principles that are common to the entire evidence base is the centrality of prior knowledge. New information is processed by the learner according to already held cognitive schemas, and when sequencing and coherence are applied to the curriculum, it is not a pedagogical whim, but a cognitive requirement. The Great Teaching Toolkit (Coe et al., 2020) supports this view by highlighting pedagogical content knowledge as one of the distinguishing characteristics of good teaching. The teachers should also be aware of not only the subject matter but the common misperceptions of </w:t>
      </w:r>
      <w:r w:rsidRPr="005232A9">
        <w:rPr>
          <w:rFonts w:cs="Arial"/>
          <w:szCs w:val="24"/>
        </w:rPr>
        <w:lastRenderedPageBreak/>
        <w:t>important concepts in a field by the learners. Mathematics education studies reveal the effects of not following this principle: even the best instructional efforts, students will experience problems in mastering more complex material because of a poor understanding of the fundamental concepts (Zhu and Kaiser, 2022). In theory, this is more of a cognitivist orientation though constructivist assumptions are also present in that it acknowledges that learners are active participants in meaning-making as opposed to passive consumers of information.</w:t>
      </w:r>
    </w:p>
    <w:p w14:paraId="1444DD7F" w14:textId="77777777" w:rsidR="005232A9" w:rsidRPr="005232A9" w:rsidRDefault="005232A9" w:rsidP="001E2E41">
      <w:pPr>
        <w:rPr>
          <w:rFonts w:cs="Arial"/>
          <w:szCs w:val="24"/>
        </w:rPr>
      </w:pPr>
      <w:r w:rsidRPr="005232A9">
        <w:rPr>
          <w:rFonts w:cs="Arial"/>
          <w:szCs w:val="24"/>
        </w:rPr>
        <w:t>Cognitive science also emphasises the frailty of the working memory and dangers of cognitive overload. Cognitive Load Theory describes the effectiveness of explicit instruction, slow-paced learning, and worked examples when applied to novice learners because it minimises the number of superfluous processing tasks and enables novice learners to concentrate on the key information (Centre for Education Statistics and Evaluation, 2017). According to Sawyer (2022), classrooms that place undue pressure on working memory can have an active discouraging or, to put it differently, deteriorating effect on knowledge acquisition. Nevertheless, this structural focus has led to criticism by constructivist views, which warn of overly restrictive pedagogies that are likely to inhibit learner agency and participation (Russell and Baldwin, 2022). The evidence-based teaching process thus entails critical consideration when making decisions between structure and sense-making, as well as exploration opportunities.</w:t>
      </w:r>
    </w:p>
    <w:p w14:paraId="30F21001" w14:textId="77777777" w:rsidR="005232A9" w:rsidRPr="005232A9" w:rsidRDefault="005232A9" w:rsidP="001E2E41">
      <w:pPr>
        <w:rPr>
          <w:rFonts w:cs="Arial"/>
          <w:szCs w:val="24"/>
        </w:rPr>
      </w:pPr>
      <w:r w:rsidRPr="005232A9">
        <w:rPr>
          <w:rFonts w:cs="Arial"/>
          <w:szCs w:val="24"/>
        </w:rPr>
        <w:t xml:space="preserve">More importantly, exposure does not result in learning. To make knowledge durable and transferable, learners are required to do something meaningful in their cognitive processes such as retrieving, explaining and practising in diverse contexts. Willingham (2021) indicates that visible engagement does not make a good proxy of learning because </w:t>
      </w:r>
      <w:r w:rsidRPr="005232A9">
        <w:rPr>
          <w:rFonts w:cs="Arial"/>
          <w:szCs w:val="24"/>
        </w:rPr>
        <w:lastRenderedPageBreak/>
        <w:t>it is memory that is left behind by thought, not action. This statement is validated by empirical studies, which indicated that spaced practise, retrieval practise, and interleaving strategies are more effective in long-term retention than massed practise or repetitive practise (</w:t>
      </w:r>
      <w:proofErr w:type="spellStart"/>
      <w:r w:rsidRPr="005232A9">
        <w:rPr>
          <w:rFonts w:cs="Arial"/>
          <w:szCs w:val="24"/>
        </w:rPr>
        <w:t>Jerrim</w:t>
      </w:r>
      <w:proofErr w:type="spellEnd"/>
      <w:r w:rsidRPr="005232A9">
        <w:rPr>
          <w:rFonts w:cs="Arial"/>
          <w:szCs w:val="24"/>
        </w:rPr>
        <w:t xml:space="preserve"> et al., 2022). Such strategies tend to be more challenging and less directly gratifying, but have more profound learning results. These results contradict the intuition of teachers and support the need to base pedagogical choices on research and not on the sense.</w:t>
      </w:r>
    </w:p>
    <w:p w14:paraId="1A2ED104" w14:textId="48CEC07A" w:rsidR="0030263C" w:rsidRPr="00516D2B" w:rsidRDefault="0030263C" w:rsidP="001E2E41">
      <w:pPr>
        <w:pStyle w:val="Titolo2"/>
      </w:pPr>
      <w:bookmarkStart w:id="2" w:name="_Toc219206221"/>
      <w:r w:rsidRPr="00516D2B">
        <w:t>Great Teaching as Evidence-Based Practice: The Four-Dimensional Framework</w:t>
      </w:r>
      <w:bookmarkEnd w:id="2"/>
    </w:p>
    <w:p w14:paraId="36CB04FD" w14:textId="27A160FE" w:rsidR="00EC49F7" w:rsidRPr="00EC49F7" w:rsidRDefault="002C1115" w:rsidP="001E2E41">
      <w:pPr>
        <w:rPr>
          <w:rFonts w:cs="Arial"/>
          <w:szCs w:val="24"/>
        </w:rPr>
      </w:pPr>
      <w:r w:rsidRPr="002C1115">
        <w:rPr>
          <w:rFonts w:cs="Arial"/>
          <w:szCs w:val="24"/>
        </w:rPr>
        <w:t xml:space="preserve">The application of cognitive science to classroom practise needs models that go beyond the abstract in favour of practical, lasting education enhancement. The toolkit of Great Teaching (Coe et al., 2020) is effective in this regard as it summarises decades of educational research into a four-dimensional framework of successful teaching. In contrast to some of the more focussed descriptions like The Science of Learning (Deans for Impact, 2015) or Cognitive Load Theory (Centre for Education Statistics and Evaluation, 2017), the Toolkit specifically mentions not only the instructional strategies, but also the social, organisational and the condition of the profession, which affects the teaching quality. It is based on the primary assumption that effective teaching is created through a purposeful, cumulative practise, but not through the implementation of individualised techniques, which aligns with the perspectives of learning sciences (Sawyer, 2022). </w:t>
      </w:r>
    </w:p>
    <w:p w14:paraId="7F0178DD" w14:textId="77777777" w:rsidR="00563801" w:rsidRPr="00563801" w:rsidRDefault="00563801" w:rsidP="001E2E41">
      <w:pPr>
        <w:rPr>
          <w:rFonts w:cs="Arial"/>
          <w:szCs w:val="24"/>
        </w:rPr>
      </w:pPr>
      <w:r w:rsidRPr="00563801">
        <w:rPr>
          <w:rFonts w:cs="Arial"/>
          <w:szCs w:val="24"/>
        </w:rPr>
        <w:t xml:space="preserve">The first dimension, which is the knowledge of what is being taught and how students learn that information, responds to an old weakness in conventional understandings of teacher expertise. Studies have continually indicated that merely having subject </w:t>
      </w:r>
      <w:r w:rsidRPr="00563801">
        <w:rPr>
          <w:rFonts w:cs="Arial"/>
          <w:szCs w:val="24"/>
        </w:rPr>
        <w:lastRenderedPageBreak/>
        <w:t>knowledge is not enough: one must also acquire pedagogical content knowledge, such as the knowledge of the pitfalls involved in particular concepts, learning pathologies, and cognitive load of particular concepts. This also conforms to cognitivist theories of schema development and existing knowledge and also goes hand in hand with constructivist theories of learners being active decoders of information and inaccurate decoders in some instances. Mathematical education has shown empirically that instruction that is responsive to these cognitive and conceptual needs has been linked with greater interest, self-efficacy, and student achievement (Zhu and Kaiser, 2022). According to Sawyer (2022), to be a successful teacher needs to be well-versed in the process of learning within specific areas, as opposed to nonspecific teaching ability.</w:t>
      </w:r>
    </w:p>
    <w:p w14:paraId="7686B91B" w14:textId="1CF2D82C" w:rsidR="00563801" w:rsidRPr="00563801" w:rsidRDefault="00563801" w:rsidP="001E2E41">
      <w:pPr>
        <w:rPr>
          <w:rFonts w:cs="Arial"/>
          <w:szCs w:val="24"/>
        </w:rPr>
      </w:pPr>
      <w:r w:rsidRPr="00563801">
        <w:rPr>
          <w:rFonts w:cs="Arial"/>
          <w:szCs w:val="24"/>
        </w:rPr>
        <w:t xml:space="preserve">The second dimension creating supportive learning environments goes beyond the purely cognitive mode of consideration, anticipating motivation, relationships, and classroom climate. Based on Self-Determination Theory, it advocates the relevance of autonomy, competence, and relatedness in maintaining learner engagement. It has been found that motivational beliefs in students, such as growth </w:t>
      </w:r>
      <w:proofErr w:type="spellStart"/>
      <w:r w:rsidRPr="00563801">
        <w:rPr>
          <w:rFonts w:cs="Arial"/>
          <w:szCs w:val="24"/>
        </w:rPr>
        <w:t>mindset</w:t>
      </w:r>
      <w:proofErr w:type="spellEnd"/>
      <w:r w:rsidRPr="00563801">
        <w:rPr>
          <w:rFonts w:cs="Arial"/>
          <w:szCs w:val="24"/>
        </w:rPr>
        <w:t>, have strong conne</w:t>
      </w:r>
      <w:r w:rsidR="001E2E41">
        <w:rPr>
          <w:rFonts w:cs="Arial"/>
          <w:szCs w:val="24"/>
        </w:rPr>
        <w:t>ct</w:t>
      </w:r>
      <w:r w:rsidRPr="00563801">
        <w:rPr>
          <w:rFonts w:cs="Arial"/>
          <w:szCs w:val="24"/>
        </w:rPr>
        <w:t xml:space="preserve">ions with the beliefs of teachers, school climate, and instructional practise (Yu et al., 2022). This is in addition to Willingham argument that thinking is not an easy task and learners will not continue with an exerting activity unless they are encouraged to do so. Notably, the Toolkit </w:t>
      </w:r>
      <w:proofErr w:type="spellStart"/>
      <w:r w:rsidRPr="00563801">
        <w:rPr>
          <w:rFonts w:cs="Arial"/>
          <w:szCs w:val="24"/>
        </w:rPr>
        <w:t>reinvites</w:t>
      </w:r>
      <w:proofErr w:type="spellEnd"/>
      <w:r w:rsidRPr="00563801">
        <w:rPr>
          <w:rFonts w:cs="Arial"/>
          <w:szCs w:val="24"/>
        </w:rPr>
        <w:t xml:space="preserve"> support as not the diminution of challenge, but the establishment of psychologically secure settings where high expectations are not negated, an effect that implicates simplistic categori</w:t>
      </w:r>
      <w:r w:rsidR="001E2E41">
        <w:rPr>
          <w:rFonts w:cs="Arial"/>
          <w:szCs w:val="24"/>
        </w:rPr>
        <w:t>s</w:t>
      </w:r>
      <w:r w:rsidRPr="00563801">
        <w:rPr>
          <w:rFonts w:cs="Arial"/>
          <w:szCs w:val="24"/>
        </w:rPr>
        <w:t>ations of permissive and authoritarian teaching.</w:t>
      </w:r>
    </w:p>
    <w:p w14:paraId="297846B5" w14:textId="77777777" w:rsidR="00563801" w:rsidRPr="00563801" w:rsidRDefault="00563801" w:rsidP="001E2E41">
      <w:pPr>
        <w:rPr>
          <w:rFonts w:cs="Arial"/>
          <w:szCs w:val="24"/>
        </w:rPr>
      </w:pPr>
      <w:r w:rsidRPr="00563801">
        <w:rPr>
          <w:rFonts w:cs="Arial"/>
          <w:szCs w:val="24"/>
        </w:rPr>
        <w:t xml:space="preserve">Maximising opportunity to learn and activating hard thinking, considered to be the third and fourth dimensions, lead the Toolkit into actual conversation with cognitive science. </w:t>
      </w:r>
      <w:r w:rsidRPr="00563801">
        <w:rPr>
          <w:rFonts w:cs="Arial"/>
          <w:szCs w:val="24"/>
        </w:rPr>
        <w:lastRenderedPageBreak/>
        <w:t>Classroom management is not sold as an act of control in and of itself, but rather is the organisation of time, routine, and expectation that optimises meaningful engagement with the content. On the same note, cognitive activation via explicit teaching, guided practise, and strategic questioning is based on the principles inspired by Cognitive Load Theory and the Science of Learning. The Toolkit builds upon these concepts by anticipating the concept of metacognition, which places the learners in control of their thoughts. Nonetheless, studies warn that the success of these practises requires the ability of the teachers to maintain the flexibility of their application, such as the considerate adoption of technology in accordance with the pedagogical objectives and not with the impulse of novelty (Rakes et al., 2022).</w:t>
      </w:r>
    </w:p>
    <w:p w14:paraId="6423BAB6" w14:textId="374047A0" w:rsidR="0030263C" w:rsidRPr="00441E92" w:rsidRDefault="0030263C" w:rsidP="001E2E41">
      <w:pPr>
        <w:pStyle w:val="Titolo2"/>
      </w:pPr>
      <w:bookmarkStart w:id="3" w:name="_Toc219206222"/>
      <w:r w:rsidRPr="00441E92">
        <w:t>Bridging Theory and Practice</w:t>
      </w:r>
      <w:bookmarkEnd w:id="3"/>
    </w:p>
    <w:p w14:paraId="41491073" w14:textId="77777777" w:rsidR="003D51BF" w:rsidRPr="003D51BF" w:rsidRDefault="003D51BF" w:rsidP="001E2E41">
      <w:pPr>
        <w:rPr>
          <w:rFonts w:cs="Arial"/>
          <w:szCs w:val="24"/>
        </w:rPr>
      </w:pPr>
      <w:r w:rsidRPr="003D51BF">
        <w:rPr>
          <w:rFonts w:cs="Arial"/>
          <w:szCs w:val="24"/>
        </w:rPr>
        <w:t>The linkage between the research on effective teaching and the real practise in the classrooms, the discrepancy between research and implementation is always an obstacle in the field of evidence-informed pedagogy. Although theories like the Great Teaching Toolkit give an integrated overview of research-based principles, it also recognises that learning about effective teaching does not necessarily relate to the practise. The teachers work in a complex environment where accountability pressures, curriculum demands, and varied needs of learners exist and are constrained by limited time and resources. Therefore, classroom practise is defined by repeated micro- decisions taken in uncertain conditions as opposed to the controlled settings where most educational research is done. According to Harrison et al. (2022), not only evidence influences the quality of teaching practise, but also institutional, cultural, and professional contexts mediate the interpretation and application of evidence.</w:t>
      </w:r>
    </w:p>
    <w:p w14:paraId="2B08F5CD" w14:textId="14CBA879" w:rsidR="003D51BF" w:rsidRPr="003D51BF" w:rsidRDefault="003D51BF" w:rsidP="001E2E41">
      <w:pPr>
        <w:rPr>
          <w:rFonts w:cs="Arial"/>
          <w:szCs w:val="24"/>
        </w:rPr>
      </w:pPr>
      <w:r w:rsidRPr="003D51BF">
        <w:rPr>
          <w:rFonts w:cs="Arial"/>
          <w:szCs w:val="24"/>
        </w:rPr>
        <w:lastRenderedPageBreak/>
        <w:t>This is complicated by the fact that it is difficult to interpret the research findings especially in trying to establish cause and effects between teaching strategies and learning outcomes. Most of the studies have found correlations between good teachers and specific practises but in most instances, those practises are usually linked with other significant factors, such as subject expertise, relationship expertise and professional judgement. It is problematic to isolate the factors that lead to the observed learning gains. Evidence based change, as Rousseau and Ten Have (2022) believe, needs a lot of situational sensitivity because one can never think that what works in one environment is certainly going to work without problems in a different environment. Reductive strategies for turning research into behavioural checklists or fidelity measures run the risk of distorting the nature of good teaching and could even lead to professional degradation. This issue can be seen in discussions around curriculum and pedagogy, including the so-called reading wars, in which policy-based interpretations of evidence have occasionally been simplistic in their understanding of the nature of instruction (Wyse and Bradbury, 2022).</w:t>
      </w:r>
      <w:r w:rsidR="00C25F5D">
        <w:rPr>
          <w:rFonts w:cs="Arial"/>
          <w:szCs w:val="24"/>
        </w:rPr>
        <w:t xml:space="preserve"> Also, </w:t>
      </w:r>
      <w:r w:rsidR="00C25F5D" w:rsidRPr="00C25F5D">
        <w:rPr>
          <w:rFonts w:cs="Arial"/>
          <w:szCs w:val="24"/>
        </w:rPr>
        <w:t>Structured modelling</w:t>
      </w:r>
      <w:r w:rsidR="00C25F5D">
        <w:rPr>
          <w:rFonts w:cs="Arial"/>
          <w:szCs w:val="24"/>
        </w:rPr>
        <w:t xml:space="preserve"> and then guided practice have</w:t>
      </w:r>
      <w:r w:rsidR="00C25F5D" w:rsidRPr="00C25F5D">
        <w:rPr>
          <w:rFonts w:cs="Arial"/>
          <w:szCs w:val="24"/>
        </w:rPr>
        <w:t xml:space="preserve"> always been more effective than leaving pupils to discover the important ideas too early, as may happen in my classroom experience. Learners remained attentive and reduced unnecessary mistakes when I presented new material in a clear way using explanations and working examples. Contrastingly, open-ended tasks in the beginning usually stimulated confusion and off-task behaviour especially among the less confident pupils.</w:t>
      </w:r>
    </w:p>
    <w:p w14:paraId="1136ED32" w14:textId="11CA9424" w:rsidR="00E11F33" w:rsidRPr="00E11F33" w:rsidRDefault="003D51BF" w:rsidP="001E2E41">
      <w:pPr>
        <w:rPr>
          <w:rFonts w:cs="Arial"/>
          <w:szCs w:val="24"/>
        </w:rPr>
      </w:pPr>
      <w:r w:rsidRPr="003D51BF">
        <w:rPr>
          <w:rFonts w:cs="Arial"/>
          <w:szCs w:val="24"/>
        </w:rPr>
        <w:t xml:space="preserve">The conflicts between structure and flexibility also depict the issue of applying theory to practise. Cognitive science is a firm advocate of tell-back and worked example and progressive learning among new learners. Nonetheless, these methods might be </w:t>
      </w:r>
      <w:r w:rsidRPr="003D51BF">
        <w:rPr>
          <w:rFonts w:cs="Arial"/>
          <w:szCs w:val="24"/>
        </w:rPr>
        <w:lastRenderedPageBreak/>
        <w:t>unnecessary or even harmful as the students build more advanced schemas, which is the expertise reversal effect. Structured instruction is very useful to construct the foundational knowledge, but when it is left to be the only method, it can limit the higher-order thinking unless the scaffolding is removed over time (Russell and Baldwin, 2022). According to Vygotskian approach, successful teaching entails adaptive scaffolding inside the zone of proximal development whereby support is gradually faded as the competence of the learner improves. Empirical research in terms of education, and early mathematics education in particular, emphasise the significance of responsive pedagogical methods that modify organisation as learners continue to gain knowledge (</w:t>
      </w:r>
      <w:proofErr w:type="spellStart"/>
      <w:r w:rsidRPr="003D51BF">
        <w:rPr>
          <w:rFonts w:cs="Arial"/>
          <w:szCs w:val="24"/>
        </w:rPr>
        <w:t>Gonulates</w:t>
      </w:r>
      <w:proofErr w:type="spellEnd"/>
      <w:r w:rsidRPr="003D51BF">
        <w:rPr>
          <w:rFonts w:cs="Arial"/>
          <w:szCs w:val="24"/>
        </w:rPr>
        <w:t xml:space="preserve"> and Gilbert, 2023).</w:t>
      </w:r>
    </w:p>
    <w:p w14:paraId="2C63B2A3" w14:textId="77777777" w:rsidR="00BC24C3" w:rsidRPr="00BC24C3" w:rsidRDefault="00BC24C3" w:rsidP="001E2E41">
      <w:pPr>
        <w:rPr>
          <w:rFonts w:cs="Arial"/>
          <w:szCs w:val="24"/>
        </w:rPr>
      </w:pPr>
      <w:r w:rsidRPr="00BC24C3">
        <w:rPr>
          <w:rFonts w:cs="Arial"/>
          <w:szCs w:val="24"/>
        </w:rPr>
        <w:t>Another limitation to the sustainability and evaluation of teaching is also noted in the evidence base. Numerous best practises rely on subtle professional judgement which can not be subject to standardisation. The instructors are always faced with the option of re-explaining the concepts, demonstrating alternative strategies, offering guided practise or promoting self-problem solving. Decisions of that nature are contextual and cannot be observed with the help of a set of observation tools alone (</w:t>
      </w:r>
      <w:proofErr w:type="spellStart"/>
      <w:r w:rsidRPr="00BC24C3">
        <w:rPr>
          <w:rFonts w:cs="Arial"/>
          <w:szCs w:val="24"/>
        </w:rPr>
        <w:t>Wherfel</w:t>
      </w:r>
      <w:proofErr w:type="spellEnd"/>
      <w:r w:rsidRPr="00BC24C3">
        <w:rPr>
          <w:rFonts w:cs="Arial"/>
          <w:szCs w:val="24"/>
        </w:rPr>
        <w:t xml:space="preserve"> et al., 2022). It follows that sustained professional learning is more appropriate to support the evidence-informed teaching as opposed to a one-off training.</w:t>
      </w:r>
    </w:p>
    <w:p w14:paraId="033653B6" w14:textId="14DEA9C3" w:rsidR="00E11F33" w:rsidRPr="00E11F33" w:rsidRDefault="00BC24C3" w:rsidP="001E2E41">
      <w:pPr>
        <w:rPr>
          <w:rFonts w:cs="Arial"/>
          <w:szCs w:val="24"/>
        </w:rPr>
      </w:pPr>
      <w:r w:rsidRPr="00BC24C3">
        <w:rPr>
          <w:rFonts w:cs="Arial"/>
          <w:szCs w:val="24"/>
        </w:rPr>
        <w:t>Studies have shown that professional development can be best supported through an ongoing, collaborative and closely linked type of professional development that is directly linked to classroom practise (</w:t>
      </w:r>
      <w:proofErr w:type="spellStart"/>
      <w:r w:rsidRPr="00BC24C3">
        <w:rPr>
          <w:rFonts w:cs="Arial"/>
          <w:szCs w:val="24"/>
        </w:rPr>
        <w:t>Fernandes</w:t>
      </w:r>
      <w:proofErr w:type="spellEnd"/>
      <w:r w:rsidRPr="00BC24C3">
        <w:rPr>
          <w:rFonts w:cs="Arial"/>
          <w:szCs w:val="24"/>
        </w:rPr>
        <w:t xml:space="preserve"> et al., 2023; Howard et al., 2022). Such technologies as artificial intelligence can provide more assistance in the instructional decision-making process, but only with a well-considered approach to their </w:t>
      </w:r>
      <w:r w:rsidRPr="00BC24C3">
        <w:rPr>
          <w:rFonts w:cs="Arial"/>
          <w:szCs w:val="24"/>
        </w:rPr>
        <w:lastRenderedPageBreak/>
        <w:t>implementation and under the supervision of pedagogical knowledge instead of computeri</w:t>
      </w:r>
      <w:r w:rsidR="001E2E41">
        <w:rPr>
          <w:rFonts w:cs="Arial"/>
          <w:szCs w:val="24"/>
        </w:rPr>
        <w:t>s</w:t>
      </w:r>
      <w:r w:rsidRPr="00BC24C3">
        <w:rPr>
          <w:rFonts w:cs="Arial"/>
          <w:szCs w:val="24"/>
        </w:rPr>
        <w:t>ation (</w:t>
      </w:r>
      <w:proofErr w:type="spellStart"/>
      <w:r w:rsidRPr="00BC24C3">
        <w:rPr>
          <w:rFonts w:cs="Arial"/>
          <w:szCs w:val="24"/>
        </w:rPr>
        <w:t>Mollick</w:t>
      </w:r>
      <w:proofErr w:type="spellEnd"/>
      <w:r w:rsidRPr="00BC24C3">
        <w:rPr>
          <w:rFonts w:cs="Arial"/>
          <w:szCs w:val="24"/>
        </w:rPr>
        <w:t xml:space="preserve"> and </w:t>
      </w:r>
      <w:proofErr w:type="spellStart"/>
      <w:r w:rsidRPr="00BC24C3">
        <w:rPr>
          <w:rFonts w:cs="Arial"/>
          <w:szCs w:val="24"/>
        </w:rPr>
        <w:t>Mollick</w:t>
      </w:r>
      <w:proofErr w:type="spellEnd"/>
      <w:r w:rsidRPr="00BC24C3">
        <w:rPr>
          <w:rFonts w:cs="Arial"/>
          <w:szCs w:val="24"/>
        </w:rPr>
        <w:t>, 2023). Collectively, these results indicate that the gap between theory and practise should be approached not only with solid evidence, but with structures that can help to make teachers reflective professionals, who are flexible and adaptive.</w:t>
      </w:r>
      <w:r w:rsidR="00C25F5D">
        <w:rPr>
          <w:rFonts w:cs="Arial"/>
          <w:szCs w:val="24"/>
        </w:rPr>
        <w:t xml:space="preserve"> Lastly, </w:t>
      </w:r>
      <w:r w:rsidR="00C25F5D" w:rsidRPr="00C25F5D">
        <w:rPr>
          <w:rFonts w:cs="Arial"/>
          <w:szCs w:val="24"/>
        </w:rPr>
        <w:t>I have also discovered that brief and low-stakes retrieval problems enhance learning reliably as compared to re-reading or extensive copying of notes. As an illustration, brief tests at the beginning of classes assisted students in determining the weak points and enhanced memorization with time. This strategy achieved engagement as all people were allowed to have a go at the questions and I got an instant response to speed up, scaffold and inquire during the lesson.</w:t>
      </w:r>
    </w:p>
    <w:p w14:paraId="3C7EB9B1" w14:textId="77777777" w:rsidR="0030263C" w:rsidRPr="00352A5D" w:rsidRDefault="0030263C" w:rsidP="001E2E41">
      <w:pPr>
        <w:pStyle w:val="Titolo2"/>
      </w:pPr>
      <w:bookmarkStart w:id="4" w:name="_Toc219206223"/>
      <w:r w:rsidRPr="00352A5D">
        <w:t>Teaching and Learning in the 21st Century: Integrating Evidence with Modern Pedagogy</w:t>
      </w:r>
      <w:bookmarkEnd w:id="4"/>
    </w:p>
    <w:p w14:paraId="540AE3B9" w14:textId="77777777" w:rsidR="002D4B40" w:rsidRPr="002D4B40" w:rsidRDefault="002D4B40" w:rsidP="001E2E41">
      <w:pPr>
        <w:rPr>
          <w:rFonts w:cs="Arial"/>
          <w:szCs w:val="24"/>
        </w:rPr>
      </w:pPr>
      <w:r w:rsidRPr="002D4B40">
        <w:rPr>
          <w:rFonts w:cs="Arial"/>
          <w:szCs w:val="24"/>
        </w:rPr>
        <w:t>Modern education is defining the acquisition of critical, creative, communicative, collaborative, and digital skills in learners in addition to disciplinary knowledge. In this regard, evidence-based pedagogy has shifted focus to motivation, transfer and metacognition as fundamental requirements of meaningful learning. Empirical studies based on the Self-Determination Theory indicate that students with autonomous motivation (i.e. interest, relevance, and perceived value) tend to stay engaged in cognitively challenging tasks and have a deeper learning outcome (Miyake and Shirouzu, 2006; Brenner, 2022). This also concurs with Willingham (2021) who claims that thinking is effortful, and learners are not likely to do it intensively unless they perceive the challenge as meaningful and achievable. This fact highlights to teachers the need to have instructional designs that combine cognitive challenge and motivations.</w:t>
      </w:r>
    </w:p>
    <w:p w14:paraId="40CF0134" w14:textId="77777777" w:rsidR="002D4B40" w:rsidRPr="002D4B40" w:rsidRDefault="002D4B40" w:rsidP="001E2E41">
      <w:pPr>
        <w:rPr>
          <w:rFonts w:cs="Arial"/>
          <w:szCs w:val="24"/>
        </w:rPr>
      </w:pPr>
      <w:r w:rsidRPr="002D4B40">
        <w:rPr>
          <w:rFonts w:cs="Arial"/>
          <w:szCs w:val="24"/>
        </w:rPr>
        <w:lastRenderedPageBreak/>
        <w:t xml:space="preserve">One of the difficulties that characterise the education of the 21 </w:t>
      </w:r>
      <w:proofErr w:type="spellStart"/>
      <w:r w:rsidRPr="002D4B40">
        <w:rPr>
          <w:rFonts w:cs="Arial"/>
          <w:szCs w:val="24"/>
        </w:rPr>
        <w:t>st</w:t>
      </w:r>
      <w:proofErr w:type="spellEnd"/>
      <w:r w:rsidRPr="002D4B40">
        <w:rPr>
          <w:rFonts w:cs="Arial"/>
          <w:szCs w:val="24"/>
        </w:rPr>
        <w:t xml:space="preserve"> century is the ability of the learner to apply the knowledge to new situations. Although it is key in the process of preparing for the future, studies have always shown that transfer is an uncommon occurrence except when the instruction explicitly promotes it. Learners should not just understand surface attributes of tasks, but also the structures behind the tasks that enables the generalisation of knowledge. The learning sciences demonstrate that mindful practise that alters surface attributes and maintains structural parallels at depth levels is more apt to promote pliant knowledge application (Sawyer, 2022). The result of such findings supports the necessity of closely sequenced curricula and professional teacher instructions, which are promoted in evidence-based schemes. In the absence of this deliberate design, the learner would be prone to inert knowledge, which would be facts and processes that cannot be utilised outside the immediate context of learning.</w:t>
      </w:r>
    </w:p>
    <w:p w14:paraId="606E0F4A" w14:textId="77777777" w:rsidR="002D4B40" w:rsidRPr="002D4B40" w:rsidRDefault="002D4B40" w:rsidP="001E2E41">
      <w:pPr>
        <w:rPr>
          <w:rFonts w:cs="Arial"/>
          <w:szCs w:val="24"/>
        </w:rPr>
      </w:pPr>
      <w:r w:rsidRPr="002D4B40">
        <w:rPr>
          <w:rFonts w:cs="Arial"/>
          <w:szCs w:val="24"/>
        </w:rPr>
        <w:t xml:space="preserve">Metacognition has also come out as a key competence among learners operating in a future that is more challenging and uncertain. Students that have the ability to plan, track, and assess their own learning are in a better position to be able to adjust to new challenges and work independently. Nevertheless, the studies show that metacognitive knowledge is not acquired automatically by exposure to open-ended or inquiry-based tasks. Rather, they need direct modelling, guided practise and constant scaffolding in teaching. </w:t>
      </w:r>
      <w:proofErr w:type="spellStart"/>
      <w:r w:rsidRPr="002D4B40">
        <w:rPr>
          <w:rFonts w:cs="Arial"/>
          <w:szCs w:val="24"/>
        </w:rPr>
        <w:t>Socioculturally</w:t>
      </w:r>
      <w:proofErr w:type="spellEnd"/>
      <w:r w:rsidRPr="002D4B40">
        <w:rPr>
          <w:rFonts w:cs="Arial"/>
          <w:szCs w:val="24"/>
        </w:rPr>
        <w:t xml:space="preserve">, this is an indication of gradual internalisation of cognitive strategies via guided participation whereby teacher support is gradually withdrawn as the learner competence advances. This is especially relevant to those learners and teachers who are novice, and learners require the guidance of the structure before they can build adaptive expertise (Shank and </w:t>
      </w:r>
      <w:proofErr w:type="spellStart"/>
      <w:r w:rsidRPr="002D4B40">
        <w:rPr>
          <w:rFonts w:cs="Arial"/>
          <w:szCs w:val="24"/>
        </w:rPr>
        <w:t>Santiague</w:t>
      </w:r>
      <w:proofErr w:type="spellEnd"/>
      <w:r w:rsidRPr="002D4B40">
        <w:rPr>
          <w:rFonts w:cs="Arial"/>
          <w:szCs w:val="24"/>
        </w:rPr>
        <w:t>, 2022; Reeves et al., 2022).</w:t>
      </w:r>
    </w:p>
    <w:p w14:paraId="1B9931BB" w14:textId="794D7D32" w:rsidR="00E11F33" w:rsidRPr="00E11F33" w:rsidRDefault="002D4B40" w:rsidP="001E2E41">
      <w:pPr>
        <w:rPr>
          <w:rFonts w:cs="Arial"/>
          <w:szCs w:val="24"/>
        </w:rPr>
      </w:pPr>
      <w:r w:rsidRPr="002D4B40">
        <w:rPr>
          <w:rFonts w:cs="Arial"/>
          <w:szCs w:val="24"/>
        </w:rPr>
        <w:lastRenderedPageBreak/>
        <w:t>The 21st century is an age of technology that makes the teaching and learning process more complicated. Although digital tools are frequently presented as a fundamentally transformational technology, studies have constantly revealed that technology in itself does not enhance the learning outcomes. Its success can be determined by its correspondence to the principles of cognitive and pedagogical management of cognitive load and integration of complementary representations (Rakes et al., 2022). As mentioned by Ferreira et al. (2022), evidence-based practise does not only need access to the tools, but it also needs the ability to assess and use evidence wisely. Systems-level Distributed leadership and collaborative professional cultures are progressively being recognised as key to maintaining evidence-based practise and in aiding teachers to adapt to new educational needs (Harris et al., 2022). Collectively, these results indicate that the future of teaching and learning necessitates disciplined interactions with research and coherent teaching planning and professional conditions that allow educators to flexibly and reflexively use the evidence.</w:t>
      </w:r>
    </w:p>
    <w:p w14:paraId="37313855" w14:textId="77777777" w:rsidR="0030263C" w:rsidRPr="00C1261E" w:rsidRDefault="0030263C" w:rsidP="001E2E41">
      <w:pPr>
        <w:pStyle w:val="Titolo2"/>
      </w:pPr>
      <w:bookmarkStart w:id="5" w:name="_Toc219206224"/>
      <w:r w:rsidRPr="00C1261E">
        <w:t>Critical Reflection: The Future of Evidence-Informed Teaching Practice</w:t>
      </w:r>
      <w:bookmarkEnd w:id="5"/>
    </w:p>
    <w:p w14:paraId="6B1D26E2" w14:textId="77777777" w:rsidR="00F272E3" w:rsidRPr="00F272E3" w:rsidRDefault="00F272E3" w:rsidP="001E2E41">
      <w:pPr>
        <w:rPr>
          <w:rFonts w:cs="Arial"/>
          <w:szCs w:val="24"/>
        </w:rPr>
      </w:pPr>
      <w:r w:rsidRPr="00F272E3">
        <w:rPr>
          <w:rFonts w:cs="Arial"/>
          <w:szCs w:val="24"/>
        </w:rPr>
        <w:t xml:space="preserve">The modern evidence-based teaching is the result of the convergence of cognitive science, pedagogical theory, and the practise of classroom activity. Although the growing focus on evidence-based practises has brought more transparency to the process of learning, the sheer interest in quantifiable results may lead to a simplification of a complex process of teaching. Practise requires, among other things, observable strategies, but also professional judgement, responsiveness to learners and contextual decision-making, which is not always easily measurable (Coe et al., 2020). According to Hoffmann et al. (2023), evidence-based practise in any profession should be viewed as a combination of </w:t>
      </w:r>
      <w:r w:rsidRPr="00F272E3">
        <w:rPr>
          <w:rFonts w:cs="Arial"/>
          <w:szCs w:val="24"/>
        </w:rPr>
        <w:lastRenderedPageBreak/>
        <w:t>research evidence, professional skills, and situational, but not a mechanical implementation of the results. This view is especially applicable to education, where evidence-free intuition can support an ineffective practise, whereas evidence used blindly can be used against professional agency.</w:t>
      </w:r>
    </w:p>
    <w:p w14:paraId="6893CFF6" w14:textId="58699D48" w:rsidR="00AF4278" w:rsidRPr="00AF4278" w:rsidRDefault="00F272E3" w:rsidP="001E2E41">
      <w:pPr>
        <w:rPr>
          <w:rFonts w:cs="Arial"/>
          <w:szCs w:val="24"/>
        </w:rPr>
      </w:pPr>
      <w:r w:rsidRPr="00F272E3">
        <w:rPr>
          <w:rFonts w:cs="Arial"/>
          <w:szCs w:val="24"/>
        </w:rPr>
        <w:t>An unending debate in the pedagogical discourse is the perceived conflict between the organised, content-driven education and student-centred, inquiry-based education. Cognitive science supports explicit and systematic teaching of the development of basic knowledge and in particular among novice learners as it is less on cognitive load and promotes the formation of schemata (Centre for Education Statistics and Evaluation, 2017; Deans for Impact, 2015). Meanwhile, this active involvement of learners in the explanation, problem solving and conceptual integration is the key to a deeper comprehension and its flexible transfer (Willingham, 2021). There is extensive empirical evidence that suggests that the inquiry-based methods can be linked to lower achievement, especially among underprivileged learners, in case they are organised inadequately (</w:t>
      </w:r>
      <w:proofErr w:type="spellStart"/>
      <w:r w:rsidRPr="00F272E3">
        <w:rPr>
          <w:rFonts w:cs="Arial"/>
          <w:szCs w:val="24"/>
        </w:rPr>
        <w:t>Jerrim</w:t>
      </w:r>
      <w:proofErr w:type="spellEnd"/>
      <w:r w:rsidRPr="00F272E3">
        <w:rPr>
          <w:rFonts w:cs="Arial"/>
          <w:szCs w:val="24"/>
        </w:rPr>
        <w:t xml:space="preserve"> et al., 2022). The results support the idea that successful pedagogy is not based on the choice between structure and inquiry, and scaffold teaching that depends on the degree of learner competence development.</w:t>
      </w:r>
    </w:p>
    <w:p w14:paraId="6FA5F5C4" w14:textId="77777777" w:rsidR="00FF0E52" w:rsidRPr="00FF0E52" w:rsidRDefault="00FF0E52" w:rsidP="001E2E41">
      <w:pPr>
        <w:rPr>
          <w:rFonts w:cs="Arial"/>
          <w:szCs w:val="24"/>
        </w:rPr>
      </w:pPr>
      <w:r w:rsidRPr="00FF0E52">
        <w:rPr>
          <w:rFonts w:cs="Arial"/>
          <w:szCs w:val="24"/>
        </w:rPr>
        <w:t xml:space="preserve">Teacher beliefs, motivation and professional learning are also closely related to the future of evidence-informed teaching. It has been shown that classroom climates in terms of teacher expectations and beliefs regarding learning including growth </w:t>
      </w:r>
      <w:proofErr w:type="spellStart"/>
      <w:r w:rsidRPr="00FF0E52">
        <w:rPr>
          <w:rFonts w:cs="Arial"/>
          <w:szCs w:val="24"/>
        </w:rPr>
        <w:t>mindset</w:t>
      </w:r>
      <w:proofErr w:type="spellEnd"/>
      <w:r w:rsidRPr="00FF0E52">
        <w:rPr>
          <w:rFonts w:cs="Arial"/>
          <w:szCs w:val="24"/>
        </w:rPr>
        <w:t xml:space="preserve"> orientations affect how students will engage and achieve (Yu et al., 2022). Professional development should be sustained thus in case evidence-informed practises should be executed in a meaningful way. Similar to student learning, teachers need conscious practise, feedback </w:t>
      </w:r>
      <w:r w:rsidRPr="00FF0E52">
        <w:rPr>
          <w:rFonts w:cs="Arial"/>
          <w:szCs w:val="24"/>
        </w:rPr>
        <w:lastRenderedPageBreak/>
        <w:t>and the possibility to jointly reflect on their practise. In the absence of this support, evidence may be minimised to superficial adherence as opposed to actual pedagogical enhancement.</w:t>
      </w:r>
    </w:p>
    <w:p w14:paraId="4CD24C40" w14:textId="77777777" w:rsidR="00FF0E52" w:rsidRPr="00FF0E52" w:rsidRDefault="00FF0E52" w:rsidP="001E2E41">
      <w:pPr>
        <w:rPr>
          <w:rFonts w:cs="Arial"/>
          <w:szCs w:val="24"/>
        </w:rPr>
      </w:pPr>
      <w:r w:rsidRPr="00FF0E52">
        <w:rPr>
          <w:rFonts w:cs="Arial"/>
          <w:szCs w:val="24"/>
        </w:rPr>
        <w:t>The use of evidence-informed teaching is also complicated by technological change. Although digital tools and data-driven systems are being advanced as the answers to educational problems, research points out contradictions between the policy-related requirements in terms of technology integration and the pedagogical knowledge and belief held by teachers (</w:t>
      </w:r>
      <w:proofErr w:type="spellStart"/>
      <w:r w:rsidRPr="00FF0E52">
        <w:rPr>
          <w:rFonts w:cs="Arial"/>
          <w:szCs w:val="24"/>
        </w:rPr>
        <w:t>Abedi</w:t>
      </w:r>
      <w:proofErr w:type="spellEnd"/>
      <w:r w:rsidRPr="00FF0E52">
        <w:rPr>
          <w:rFonts w:cs="Arial"/>
          <w:szCs w:val="24"/>
        </w:rPr>
        <w:t>, 2024). Accordingly, those classroom practises, which have been observed to promote student motivation and achievement (i.e., coherent explanations, structured practise, and responsive feedback), are kept at the centre no matter what the technological setting is (Zhu and Kaiser, 2022). This implies that technology ought to be considered a facilitator of evidence based practise as opposed to its catalyst.</w:t>
      </w:r>
    </w:p>
    <w:p w14:paraId="259313CE" w14:textId="3AC40A64" w:rsidR="00AF4278" w:rsidRPr="00AF4278" w:rsidRDefault="00FF0E52" w:rsidP="001E2E41">
      <w:pPr>
        <w:rPr>
          <w:rFonts w:cs="Arial"/>
          <w:szCs w:val="24"/>
        </w:rPr>
      </w:pPr>
      <w:r w:rsidRPr="00FF0E52">
        <w:rPr>
          <w:rFonts w:cs="Arial"/>
          <w:szCs w:val="24"/>
        </w:rPr>
        <w:t>When analysing the four articles that have been discussed in this essay, all of them bring critical information about the effective teaching. Nevertheless, the most detailed practise framework provided by the Great Teaching Toolkit is the one that incorporates cognitive, motivational, and organisational aspects of teaching. Evidence-based pedagogy, together with the knowledge of cognitive science and the critical consciousness of the implementation issues, offers a leadership course of action in equipping learners to be ready to handle the requirements of an ever more complex and unpredictable future.</w:t>
      </w:r>
    </w:p>
    <w:p w14:paraId="434D6AD6" w14:textId="3D4208FF" w:rsidR="00D94EA1" w:rsidRPr="00D94EA1" w:rsidRDefault="00D94EA1" w:rsidP="001E2E41">
      <w:pPr>
        <w:pStyle w:val="Titolo1"/>
      </w:pPr>
      <w:bookmarkStart w:id="6" w:name="_Toc219206225"/>
      <w:r w:rsidRPr="00D94EA1">
        <w:t>Conclusion</w:t>
      </w:r>
      <w:bookmarkEnd w:id="6"/>
    </w:p>
    <w:p w14:paraId="486836AF" w14:textId="77777777" w:rsidR="00FF0E52" w:rsidRPr="00FF0E52" w:rsidRDefault="00FF0E52" w:rsidP="001E2E41">
      <w:pPr>
        <w:rPr>
          <w:rFonts w:cs="Arial"/>
          <w:szCs w:val="24"/>
        </w:rPr>
      </w:pPr>
      <w:r w:rsidRPr="00FF0E52">
        <w:rPr>
          <w:rFonts w:cs="Arial"/>
          <w:szCs w:val="24"/>
        </w:rPr>
        <w:t xml:space="preserve">This essay has reviewed the main evidence-based methods of instruction to investigate the possibilities of finding relevant ways of how the fields of cognitive science can be </w:t>
      </w:r>
      <w:r w:rsidRPr="00FF0E52">
        <w:rPr>
          <w:rFonts w:cs="Arial"/>
          <w:szCs w:val="24"/>
        </w:rPr>
        <w:lastRenderedPageBreak/>
        <w:t>applied to classroom instructions. The argument through a prolonged comparison of four influential texts has revealed that though the current evidence-based pedagogy provides certain insights that can contribute to understanding the process of learning, its success relies on the criticality and flexibility with which these concepts are enacted by educators. In the literature, one can find the common focus on memory, prior knowledge and structure of instruction, placing particular emphasis on teaching that should be based on meticulously staged progression, especially with beginning learners. But in a narrow sense, these methods also have a danger of presenting a simplistic view of teaching that is complex and relational in nature.</w:t>
      </w:r>
    </w:p>
    <w:p w14:paraId="6106AF77" w14:textId="1CC5BDED" w:rsidR="00FF0E52" w:rsidRPr="00FF0E52" w:rsidRDefault="00FF0E52" w:rsidP="001E2E41">
      <w:pPr>
        <w:rPr>
          <w:rFonts w:cs="Arial"/>
          <w:szCs w:val="24"/>
        </w:rPr>
      </w:pPr>
      <w:r w:rsidRPr="00FF0E52">
        <w:rPr>
          <w:rFonts w:cs="Arial"/>
          <w:szCs w:val="24"/>
        </w:rPr>
        <w:t xml:space="preserve">Structured pedagogy, learner engagement and professional judgement have been argued to be </w:t>
      </w:r>
      <w:r w:rsidR="001E2E41" w:rsidRPr="00FF0E52">
        <w:rPr>
          <w:rFonts w:cs="Arial"/>
          <w:szCs w:val="24"/>
        </w:rPr>
        <w:t>eruditions</w:t>
      </w:r>
      <w:r w:rsidRPr="00FF0E52">
        <w:rPr>
          <w:rFonts w:cs="Arial"/>
          <w:szCs w:val="24"/>
        </w:rPr>
        <w:t xml:space="preserve"> in creation of a sound pedagogy, rather than through inflexible use of techniques. Teaching practises based on evidence are the most effective when they help to build profound knowledge, transfer and student autonomy in the form of a scaffold-based teaching process which de-escalates as students become more competent. In that regard, the methods that recognise both cognitive limitations and social aspects of learning have the most significant potential of having a lasting effect.</w:t>
      </w:r>
    </w:p>
    <w:p w14:paraId="0581DDBC" w14:textId="5886448A" w:rsidR="00D94EA1" w:rsidRPr="00D94EA1" w:rsidRDefault="00FF0E52" w:rsidP="001E2E41">
      <w:pPr>
        <w:rPr>
          <w:rFonts w:cs="Arial"/>
          <w:szCs w:val="24"/>
        </w:rPr>
      </w:pPr>
      <w:r w:rsidRPr="00FF0E52">
        <w:rPr>
          <w:rFonts w:cs="Arial"/>
          <w:szCs w:val="24"/>
        </w:rPr>
        <w:t>Going forward, to equip learners with a more complex and uncertain future, it takes more than innovation or technological change. It demands teachers who are able to be critically engaged with research, develop sensible curricula, and respond responsively in their realities. Evidence-based teaching is a strong base to enhance learning without sacrificing the professional agency that is crucial to effective teaching when considered as a principled guide instead of the prescriptive model.</w:t>
      </w:r>
    </w:p>
    <w:p w14:paraId="11CD3019" w14:textId="4D870380" w:rsidR="00657221" w:rsidRDefault="00657221" w:rsidP="001E2E41">
      <w:pPr>
        <w:rPr>
          <w:rFonts w:cs="Arial"/>
          <w:szCs w:val="24"/>
        </w:rPr>
      </w:pPr>
    </w:p>
    <w:p w14:paraId="3FD9F3C7" w14:textId="77777777" w:rsidR="00657221" w:rsidRDefault="00657221" w:rsidP="001E2E41">
      <w:pPr>
        <w:rPr>
          <w:rFonts w:cs="Arial"/>
          <w:szCs w:val="24"/>
        </w:rPr>
      </w:pPr>
      <w:r>
        <w:rPr>
          <w:rFonts w:cs="Arial"/>
          <w:szCs w:val="24"/>
        </w:rPr>
        <w:lastRenderedPageBreak/>
        <w:br w:type="page"/>
      </w:r>
    </w:p>
    <w:p w14:paraId="71FCBE71" w14:textId="5E9104E9" w:rsidR="009912A9" w:rsidRPr="00C53755" w:rsidRDefault="00657221" w:rsidP="001E2E41">
      <w:pPr>
        <w:pStyle w:val="Titolo1"/>
        <w:rPr>
          <w:rFonts w:cs="Arial"/>
          <w:b w:val="0"/>
          <w:bCs/>
          <w:color w:val="000000" w:themeColor="text1"/>
          <w:szCs w:val="24"/>
        </w:rPr>
      </w:pPr>
      <w:bookmarkStart w:id="7" w:name="_Toc219206226"/>
      <w:r w:rsidRPr="00C53755">
        <w:rPr>
          <w:rFonts w:cs="Arial"/>
          <w:bCs/>
          <w:color w:val="000000" w:themeColor="text1"/>
          <w:szCs w:val="24"/>
        </w:rPr>
        <w:lastRenderedPageBreak/>
        <w:t>References</w:t>
      </w:r>
      <w:bookmarkEnd w:id="7"/>
      <w:r w:rsidRPr="00C53755">
        <w:rPr>
          <w:rFonts w:cs="Arial"/>
          <w:bCs/>
          <w:color w:val="000000" w:themeColor="text1"/>
          <w:szCs w:val="24"/>
        </w:rPr>
        <w:t xml:space="preserve"> </w:t>
      </w:r>
    </w:p>
    <w:p w14:paraId="19C80898" w14:textId="77777777" w:rsidR="00E94A76" w:rsidRDefault="00E94A76" w:rsidP="001E2E41">
      <w:pPr>
        <w:ind w:left="720" w:hanging="720"/>
      </w:pPr>
      <w:proofErr w:type="spellStart"/>
      <w:r w:rsidRPr="007C72D3">
        <w:t>Abedi</w:t>
      </w:r>
      <w:proofErr w:type="spellEnd"/>
      <w:r w:rsidRPr="007C72D3">
        <w:t>, E. A. (2024). Tensions between technology integration practices of teachers and ICT in education policy expectations: implications for change in teacher knowledge, beliefs and teaching practices. </w:t>
      </w:r>
      <w:r w:rsidRPr="007C72D3">
        <w:rPr>
          <w:i/>
          <w:iCs/>
        </w:rPr>
        <w:t>Journal of computers in education</w:t>
      </w:r>
      <w:r w:rsidRPr="007C72D3">
        <w:t>, </w:t>
      </w:r>
      <w:r w:rsidRPr="007C72D3">
        <w:rPr>
          <w:i/>
          <w:iCs/>
        </w:rPr>
        <w:t>11</w:t>
      </w:r>
      <w:r w:rsidRPr="007C72D3">
        <w:t>(4), 1215-1234.</w:t>
      </w:r>
    </w:p>
    <w:p w14:paraId="29FE62B2" w14:textId="77777777" w:rsidR="00E94A76" w:rsidRDefault="00E94A76" w:rsidP="001E2E41">
      <w:pPr>
        <w:ind w:left="720" w:hanging="720"/>
      </w:pPr>
      <w:r w:rsidRPr="007C72D3">
        <w:t>Brenner, C. A. (2022). Self-regulated learning, self-determination theory and teacher candidates’ development of competency-based teaching practices. </w:t>
      </w:r>
      <w:r w:rsidRPr="007C72D3">
        <w:rPr>
          <w:i/>
          <w:iCs/>
        </w:rPr>
        <w:t>Smart Learning Environments</w:t>
      </w:r>
      <w:r w:rsidRPr="007C72D3">
        <w:t>, </w:t>
      </w:r>
      <w:r w:rsidRPr="007C72D3">
        <w:rPr>
          <w:i/>
          <w:iCs/>
        </w:rPr>
        <w:t>9</w:t>
      </w:r>
      <w:r w:rsidRPr="007C72D3">
        <w:t>(1), 3.</w:t>
      </w:r>
    </w:p>
    <w:p w14:paraId="1F1D1857" w14:textId="77777777" w:rsidR="00E94A76" w:rsidRDefault="00E94A76" w:rsidP="001E2E41">
      <w:pPr>
        <w:ind w:left="720" w:hanging="720"/>
      </w:pPr>
      <w:r w:rsidRPr="00161F47">
        <w:t>‌</w:t>
      </w:r>
      <w:r w:rsidRPr="001A2EDD">
        <w:t>Centre for Education Statistics and Evaluation (2017). </w:t>
      </w:r>
      <w:r w:rsidRPr="001A2EDD">
        <w:rPr>
          <w:i/>
          <w:iCs/>
        </w:rPr>
        <w:t>Cognitive load theory: Research that teachers really need to understand</w:t>
      </w:r>
      <w:r w:rsidRPr="001A2EDD">
        <w:t xml:space="preserve">. [online] NSW Department of Education. Available at: </w:t>
      </w:r>
      <w:hyperlink r:id="rId7" w:history="1">
        <w:r w:rsidRPr="00BB3EB6">
          <w:rPr>
            <w:rStyle w:val="Collegamentoipertestuale"/>
          </w:rPr>
          <w:t>https://education.nsw.gov.au/content/dam/main-education/about-us/educational-data/cese/2017-cognitive-load-theory.pdf</w:t>
        </w:r>
      </w:hyperlink>
      <w:r w:rsidRPr="001A2EDD">
        <w:t>.</w:t>
      </w:r>
    </w:p>
    <w:p w14:paraId="3A3B74A2" w14:textId="77777777" w:rsidR="00E94A76" w:rsidRDefault="00E94A76" w:rsidP="001E2E41">
      <w:pPr>
        <w:ind w:left="720" w:hanging="720"/>
      </w:pPr>
      <w:r w:rsidRPr="001A6BEB">
        <w:t xml:space="preserve">Coe, R., Rauch, C. J., </w:t>
      </w:r>
      <w:proofErr w:type="spellStart"/>
      <w:r w:rsidRPr="001A6BEB">
        <w:t>Kime</w:t>
      </w:r>
      <w:proofErr w:type="spellEnd"/>
      <w:r w:rsidRPr="001A6BEB">
        <w:t xml:space="preserve">, S., </w:t>
      </w:r>
      <w:r>
        <w:t>and</w:t>
      </w:r>
      <w:r w:rsidRPr="001A6BEB">
        <w:t xml:space="preserve"> Singleton, D. (2020). Great teaching toolkit. </w:t>
      </w:r>
      <w:r w:rsidRPr="001A6BEB">
        <w:rPr>
          <w:i/>
          <w:iCs/>
        </w:rPr>
        <w:t>Evidence Review</w:t>
      </w:r>
      <w:r w:rsidRPr="001A6BEB">
        <w:t>.</w:t>
      </w:r>
    </w:p>
    <w:p w14:paraId="15F63914" w14:textId="77777777" w:rsidR="00E94A76" w:rsidRPr="00161F47" w:rsidRDefault="00E94A76" w:rsidP="001E2E41">
      <w:pPr>
        <w:ind w:left="720" w:hanging="720"/>
      </w:pPr>
      <w:r w:rsidRPr="00161F47">
        <w:t>Deans For Impact (2015). </w:t>
      </w:r>
      <w:r w:rsidRPr="00161F47">
        <w:rPr>
          <w:i/>
          <w:iCs/>
        </w:rPr>
        <w:t>The Science of Learning</w:t>
      </w:r>
      <w:r w:rsidRPr="00161F47">
        <w:t>. [online] Available at: https://www.deansforimpact.org/files/assets/thescienceoflearning.pdf.</w:t>
      </w:r>
    </w:p>
    <w:p w14:paraId="21F88005" w14:textId="77777777" w:rsidR="00E94A76" w:rsidRDefault="00E94A76" w:rsidP="001E2E41">
      <w:pPr>
        <w:ind w:left="720" w:hanging="720"/>
      </w:pPr>
      <w:proofErr w:type="spellStart"/>
      <w:r w:rsidRPr="007C72D3">
        <w:t>Fernandes</w:t>
      </w:r>
      <w:proofErr w:type="spellEnd"/>
      <w:r w:rsidRPr="007C72D3">
        <w:t xml:space="preserve">, S., </w:t>
      </w:r>
      <w:proofErr w:type="spellStart"/>
      <w:r w:rsidRPr="007C72D3">
        <w:t>Araújo</w:t>
      </w:r>
      <w:proofErr w:type="spellEnd"/>
      <w:r w:rsidRPr="007C72D3">
        <w:t xml:space="preserve">, A. M., Miguel, I., </w:t>
      </w:r>
      <w:r>
        <w:t>and</w:t>
      </w:r>
      <w:r w:rsidRPr="007C72D3">
        <w:t xml:space="preserve"> </w:t>
      </w:r>
      <w:proofErr w:type="spellStart"/>
      <w:r w:rsidRPr="007C72D3">
        <w:t>Abelha</w:t>
      </w:r>
      <w:proofErr w:type="spellEnd"/>
      <w:r w:rsidRPr="007C72D3">
        <w:t>, M. (2023). Teacher professional development in higher education: The impact of pedagogical training perceived by teachers. </w:t>
      </w:r>
      <w:r w:rsidRPr="007C72D3">
        <w:rPr>
          <w:i/>
          <w:iCs/>
        </w:rPr>
        <w:t>Education Sciences</w:t>
      </w:r>
      <w:r w:rsidRPr="007C72D3">
        <w:t>, </w:t>
      </w:r>
      <w:r w:rsidRPr="007C72D3">
        <w:rPr>
          <w:i/>
          <w:iCs/>
        </w:rPr>
        <w:t>13</w:t>
      </w:r>
      <w:r w:rsidRPr="007C72D3">
        <w:t>(3), 309.</w:t>
      </w:r>
    </w:p>
    <w:p w14:paraId="55540BCB" w14:textId="77777777" w:rsidR="00E94A76" w:rsidRDefault="00E94A76" w:rsidP="001E2E41">
      <w:pPr>
        <w:ind w:left="720" w:hanging="720"/>
      </w:pPr>
      <w:r w:rsidRPr="007C72D3">
        <w:t xml:space="preserve">Ferreira, R. M., Martins, P. N., </w:t>
      </w:r>
      <w:proofErr w:type="spellStart"/>
      <w:r w:rsidRPr="007C72D3">
        <w:t>Pimenta</w:t>
      </w:r>
      <w:proofErr w:type="spellEnd"/>
      <w:r w:rsidRPr="007C72D3">
        <w:t xml:space="preserve">, N., </w:t>
      </w:r>
      <w:r>
        <w:t>and</w:t>
      </w:r>
      <w:r w:rsidRPr="007C72D3">
        <w:t xml:space="preserve"> </w:t>
      </w:r>
      <w:proofErr w:type="spellStart"/>
      <w:r w:rsidRPr="007C72D3">
        <w:t>Gonçalves</w:t>
      </w:r>
      <w:proofErr w:type="spellEnd"/>
      <w:r w:rsidRPr="007C72D3">
        <w:t>, R. S. (2022). Measuring evidence-based practice in physical therapy: a mix-methods study. </w:t>
      </w:r>
      <w:proofErr w:type="spellStart"/>
      <w:r w:rsidRPr="007C72D3">
        <w:rPr>
          <w:i/>
          <w:iCs/>
        </w:rPr>
        <w:t>PeerJ</w:t>
      </w:r>
      <w:proofErr w:type="spellEnd"/>
      <w:r w:rsidRPr="007C72D3">
        <w:t>, </w:t>
      </w:r>
      <w:r w:rsidRPr="007C72D3">
        <w:rPr>
          <w:i/>
          <w:iCs/>
        </w:rPr>
        <w:t>10</w:t>
      </w:r>
      <w:r w:rsidRPr="007C72D3">
        <w:t>, e12666.</w:t>
      </w:r>
    </w:p>
    <w:p w14:paraId="14554BA2" w14:textId="77777777" w:rsidR="00E94A76" w:rsidRDefault="00E94A76" w:rsidP="001E2E41">
      <w:pPr>
        <w:ind w:left="720" w:hanging="720"/>
      </w:pPr>
      <w:proofErr w:type="spellStart"/>
      <w:r w:rsidRPr="007C72D3">
        <w:lastRenderedPageBreak/>
        <w:t>Gonulates</w:t>
      </w:r>
      <w:proofErr w:type="spellEnd"/>
      <w:r w:rsidRPr="007C72D3">
        <w:t xml:space="preserve">, F., </w:t>
      </w:r>
      <w:r>
        <w:t>and</w:t>
      </w:r>
      <w:r w:rsidRPr="007C72D3">
        <w:t xml:space="preserve"> Gilbert, J. (2023). Facilitating Effective Mathematical Teaching Practices in Preschool. </w:t>
      </w:r>
      <w:r w:rsidRPr="007C72D3">
        <w:rPr>
          <w:i/>
          <w:iCs/>
        </w:rPr>
        <w:t>Journal of Global Education and Research</w:t>
      </w:r>
      <w:r w:rsidRPr="007C72D3">
        <w:t>, </w:t>
      </w:r>
      <w:r w:rsidRPr="007C72D3">
        <w:rPr>
          <w:i/>
          <w:iCs/>
        </w:rPr>
        <w:t>7</w:t>
      </w:r>
      <w:r w:rsidRPr="007C72D3">
        <w:t>(3), 265-279.</w:t>
      </w:r>
    </w:p>
    <w:p w14:paraId="27433402" w14:textId="77777777" w:rsidR="00E94A76" w:rsidRDefault="00E94A76" w:rsidP="001E2E41">
      <w:pPr>
        <w:ind w:left="720" w:hanging="720"/>
      </w:pPr>
      <w:r w:rsidRPr="007C72D3">
        <w:t xml:space="preserve">Harris, A., Jones, M., </w:t>
      </w:r>
      <w:r>
        <w:t>and</w:t>
      </w:r>
      <w:r w:rsidRPr="007C72D3">
        <w:t xml:space="preserve"> Ismail, N. (2022). Distributed leadership: taking a retrospective and contemporary view of the evidence base. </w:t>
      </w:r>
      <w:r w:rsidRPr="007C72D3">
        <w:rPr>
          <w:i/>
          <w:iCs/>
        </w:rPr>
        <w:t xml:space="preserve">School Leadership </w:t>
      </w:r>
      <w:r>
        <w:rPr>
          <w:i/>
          <w:iCs/>
        </w:rPr>
        <w:t>and</w:t>
      </w:r>
      <w:r w:rsidRPr="007C72D3">
        <w:rPr>
          <w:i/>
          <w:iCs/>
        </w:rPr>
        <w:t xml:space="preserve"> Management</w:t>
      </w:r>
      <w:r w:rsidRPr="007C72D3">
        <w:t>, </w:t>
      </w:r>
      <w:r w:rsidRPr="007C72D3">
        <w:rPr>
          <w:i/>
          <w:iCs/>
        </w:rPr>
        <w:t>42</w:t>
      </w:r>
      <w:r w:rsidRPr="007C72D3">
        <w:t>(5), 438-456.</w:t>
      </w:r>
    </w:p>
    <w:p w14:paraId="582F065E" w14:textId="77777777" w:rsidR="00E94A76" w:rsidRDefault="00E94A76" w:rsidP="001E2E41">
      <w:pPr>
        <w:ind w:left="720" w:hanging="720"/>
      </w:pPr>
      <w:r w:rsidRPr="007C72D3">
        <w:t xml:space="preserve">Harrison, R., Meyer, L., </w:t>
      </w:r>
      <w:proofErr w:type="spellStart"/>
      <w:r w:rsidRPr="007C72D3">
        <w:t>Rawstorne</w:t>
      </w:r>
      <w:proofErr w:type="spellEnd"/>
      <w:r w:rsidRPr="007C72D3">
        <w:t xml:space="preserve">, P., </w:t>
      </w:r>
      <w:proofErr w:type="spellStart"/>
      <w:r w:rsidRPr="007C72D3">
        <w:t>Razee</w:t>
      </w:r>
      <w:proofErr w:type="spellEnd"/>
      <w:r w:rsidRPr="007C72D3">
        <w:t xml:space="preserve">, H., </w:t>
      </w:r>
      <w:proofErr w:type="spellStart"/>
      <w:r w:rsidRPr="007C72D3">
        <w:t>Chitkara</w:t>
      </w:r>
      <w:proofErr w:type="spellEnd"/>
      <w:r w:rsidRPr="007C72D3">
        <w:t xml:space="preserve">, U., Mears, S., </w:t>
      </w:r>
      <w:r>
        <w:t>and</w:t>
      </w:r>
      <w:r w:rsidRPr="007C72D3">
        <w:t xml:space="preserve"> </w:t>
      </w:r>
      <w:proofErr w:type="spellStart"/>
      <w:r w:rsidRPr="007C72D3">
        <w:t>Balasooriya</w:t>
      </w:r>
      <w:proofErr w:type="spellEnd"/>
      <w:r w:rsidRPr="007C72D3">
        <w:t>, C. (2022). Evaluating and enhancing quality in higher education teaching practice: A meta-review. </w:t>
      </w:r>
      <w:r w:rsidRPr="007C72D3">
        <w:rPr>
          <w:i/>
          <w:iCs/>
        </w:rPr>
        <w:t>Studies in Higher Education</w:t>
      </w:r>
      <w:r w:rsidRPr="007C72D3">
        <w:t>, </w:t>
      </w:r>
      <w:r w:rsidRPr="007C72D3">
        <w:rPr>
          <w:i/>
          <w:iCs/>
        </w:rPr>
        <w:t>47</w:t>
      </w:r>
      <w:r w:rsidRPr="007C72D3">
        <w:t>(1), 80-96.</w:t>
      </w:r>
    </w:p>
    <w:p w14:paraId="1F143598" w14:textId="77777777" w:rsidR="00E94A76" w:rsidRDefault="00E94A76" w:rsidP="001E2E41">
      <w:pPr>
        <w:ind w:left="720" w:hanging="720"/>
      </w:pPr>
      <w:r w:rsidRPr="007C72D3">
        <w:t xml:space="preserve">Hoffmann, T., Bennett, S., </w:t>
      </w:r>
      <w:r>
        <w:t>and</w:t>
      </w:r>
      <w:r w:rsidRPr="007C72D3">
        <w:t xml:space="preserve"> Del Mar, C. (2023). </w:t>
      </w:r>
      <w:r w:rsidRPr="007C72D3">
        <w:rPr>
          <w:i/>
          <w:iCs/>
        </w:rPr>
        <w:t>Evidence-based practice across the health professions</w:t>
      </w:r>
      <w:r w:rsidRPr="007C72D3">
        <w:t>. Elsevier Health Sciences.</w:t>
      </w:r>
    </w:p>
    <w:p w14:paraId="6558BBD8" w14:textId="77777777" w:rsidR="00E94A76" w:rsidRDefault="00E94A76" w:rsidP="001E2E41">
      <w:pPr>
        <w:ind w:left="720" w:hanging="720"/>
      </w:pPr>
      <w:r w:rsidRPr="007C72D3">
        <w:t xml:space="preserve">Howard, B., </w:t>
      </w:r>
      <w:proofErr w:type="spellStart"/>
      <w:r w:rsidRPr="007C72D3">
        <w:t>Diug</w:t>
      </w:r>
      <w:proofErr w:type="spellEnd"/>
      <w:r w:rsidRPr="007C72D3">
        <w:t xml:space="preserve">, B., </w:t>
      </w:r>
      <w:r>
        <w:t>and</w:t>
      </w:r>
      <w:r w:rsidRPr="007C72D3">
        <w:t xml:space="preserve"> </w:t>
      </w:r>
      <w:proofErr w:type="spellStart"/>
      <w:r w:rsidRPr="007C72D3">
        <w:t>Ilic</w:t>
      </w:r>
      <w:proofErr w:type="spellEnd"/>
      <w:r w:rsidRPr="007C72D3">
        <w:t>, D. (2022). Methods of teaching evidence-based practice: a systematic review. </w:t>
      </w:r>
      <w:r w:rsidRPr="007C72D3">
        <w:rPr>
          <w:i/>
          <w:iCs/>
        </w:rPr>
        <w:t>BMC Medical Education</w:t>
      </w:r>
      <w:r w:rsidRPr="007C72D3">
        <w:t>, </w:t>
      </w:r>
      <w:r w:rsidRPr="007C72D3">
        <w:rPr>
          <w:i/>
          <w:iCs/>
        </w:rPr>
        <w:t>22</w:t>
      </w:r>
      <w:r w:rsidRPr="007C72D3">
        <w:t>(1), 742.</w:t>
      </w:r>
    </w:p>
    <w:p w14:paraId="182B2D14" w14:textId="77777777" w:rsidR="00E94A76" w:rsidRDefault="00E94A76" w:rsidP="001E2E41">
      <w:pPr>
        <w:ind w:left="720" w:hanging="720"/>
      </w:pPr>
      <w:proofErr w:type="spellStart"/>
      <w:r w:rsidRPr="007C72D3">
        <w:t>Jerrim</w:t>
      </w:r>
      <w:proofErr w:type="spellEnd"/>
      <w:r w:rsidRPr="007C72D3">
        <w:t xml:space="preserve">, J., Oliver, M., </w:t>
      </w:r>
      <w:r>
        <w:t>and</w:t>
      </w:r>
      <w:r w:rsidRPr="007C72D3">
        <w:t xml:space="preserve"> Sims, S. (2022). The relationship between inquiry-based teaching and students’ achievement. New evidence from a longitudinal PISA study in England. </w:t>
      </w:r>
      <w:r w:rsidRPr="007C72D3">
        <w:rPr>
          <w:i/>
          <w:iCs/>
        </w:rPr>
        <w:t>Learning and Instruction</w:t>
      </w:r>
      <w:r w:rsidRPr="007C72D3">
        <w:t>, </w:t>
      </w:r>
      <w:r w:rsidRPr="007C72D3">
        <w:rPr>
          <w:i/>
          <w:iCs/>
        </w:rPr>
        <w:t>80</w:t>
      </w:r>
      <w:r w:rsidRPr="007C72D3">
        <w:t>, 101310.</w:t>
      </w:r>
    </w:p>
    <w:p w14:paraId="4B6D296A" w14:textId="77777777" w:rsidR="00E94A76" w:rsidRDefault="00E94A76" w:rsidP="001E2E41">
      <w:pPr>
        <w:ind w:left="720" w:hanging="720"/>
      </w:pPr>
      <w:proofErr w:type="spellStart"/>
      <w:r w:rsidRPr="007C72D3">
        <w:t>Mollick</w:t>
      </w:r>
      <w:proofErr w:type="spellEnd"/>
      <w:r w:rsidRPr="007C72D3">
        <w:t xml:space="preserve">, E. R., </w:t>
      </w:r>
      <w:r>
        <w:t>and</w:t>
      </w:r>
      <w:r w:rsidRPr="007C72D3">
        <w:t xml:space="preserve"> </w:t>
      </w:r>
      <w:proofErr w:type="spellStart"/>
      <w:r w:rsidRPr="007C72D3">
        <w:t>Mollick</w:t>
      </w:r>
      <w:proofErr w:type="spellEnd"/>
      <w:r w:rsidRPr="007C72D3">
        <w:t>, L. (2023). Using AI to implement effective teaching strategies in classrooms: Five strategies, including prompts. </w:t>
      </w:r>
      <w:r w:rsidRPr="007C72D3">
        <w:rPr>
          <w:i/>
          <w:iCs/>
        </w:rPr>
        <w:t>The Wharton School Research Paper</w:t>
      </w:r>
      <w:r w:rsidRPr="007C72D3">
        <w:t>.</w:t>
      </w:r>
    </w:p>
    <w:p w14:paraId="35DA967C" w14:textId="77777777" w:rsidR="00E94A76" w:rsidRDefault="00E94A76" w:rsidP="001E2E41">
      <w:pPr>
        <w:ind w:left="720" w:hanging="720"/>
      </w:pPr>
      <w:r w:rsidRPr="007C72D3">
        <w:t xml:space="preserve">Rakes, C. R., </w:t>
      </w:r>
      <w:proofErr w:type="spellStart"/>
      <w:r w:rsidRPr="007C72D3">
        <w:t>Stites</w:t>
      </w:r>
      <w:proofErr w:type="spellEnd"/>
      <w:r w:rsidRPr="007C72D3">
        <w:t xml:space="preserve">, M. L., </w:t>
      </w:r>
      <w:proofErr w:type="spellStart"/>
      <w:r w:rsidRPr="007C72D3">
        <w:t>Ronau</w:t>
      </w:r>
      <w:proofErr w:type="spellEnd"/>
      <w:r w:rsidRPr="007C72D3">
        <w:t xml:space="preserve">, R. N., Bush, S. B., Fisher, M. H., Safi, F., ... </w:t>
      </w:r>
      <w:r>
        <w:t>and</w:t>
      </w:r>
      <w:r w:rsidRPr="007C72D3">
        <w:t xml:space="preserve"> </w:t>
      </w:r>
      <w:proofErr w:type="spellStart"/>
      <w:r w:rsidRPr="007C72D3">
        <w:t>Viera</w:t>
      </w:r>
      <w:proofErr w:type="spellEnd"/>
      <w:r w:rsidRPr="007C72D3">
        <w:t>, J. (2022). Teaching mathematics with technology: TPACK and effective teaching practices. </w:t>
      </w:r>
      <w:r w:rsidRPr="007C72D3">
        <w:rPr>
          <w:i/>
          <w:iCs/>
        </w:rPr>
        <w:t>Education Sciences</w:t>
      </w:r>
      <w:r w:rsidRPr="007C72D3">
        <w:t>, </w:t>
      </w:r>
      <w:r w:rsidRPr="007C72D3">
        <w:rPr>
          <w:i/>
          <w:iCs/>
        </w:rPr>
        <w:t>12</w:t>
      </w:r>
      <w:r w:rsidRPr="007C72D3">
        <w:t>(2), 133.</w:t>
      </w:r>
    </w:p>
    <w:p w14:paraId="1DCBD7C2" w14:textId="77777777" w:rsidR="00E94A76" w:rsidRDefault="00E94A76" w:rsidP="001E2E41">
      <w:pPr>
        <w:ind w:left="720" w:hanging="720"/>
      </w:pPr>
      <w:r w:rsidRPr="007C72D3">
        <w:lastRenderedPageBreak/>
        <w:t xml:space="preserve">Reeves, T. D., Hamilton, V., </w:t>
      </w:r>
      <w:r>
        <w:t>and</w:t>
      </w:r>
      <w:r w:rsidRPr="007C72D3">
        <w:t xml:space="preserve"> </w:t>
      </w:r>
      <w:proofErr w:type="spellStart"/>
      <w:r w:rsidRPr="007C72D3">
        <w:t>Onder</w:t>
      </w:r>
      <w:proofErr w:type="spellEnd"/>
      <w:r w:rsidRPr="007C72D3">
        <w:t>, Y. (2022). Which teacher induction practices work? Linking forms of induction to teacher practices, self-efficacy, and job satisfaction. </w:t>
      </w:r>
      <w:r w:rsidRPr="007C72D3">
        <w:rPr>
          <w:i/>
          <w:iCs/>
        </w:rPr>
        <w:t>Teaching and Teacher Education</w:t>
      </w:r>
      <w:r w:rsidRPr="007C72D3">
        <w:t>, </w:t>
      </w:r>
      <w:r w:rsidRPr="007C72D3">
        <w:rPr>
          <w:i/>
          <w:iCs/>
        </w:rPr>
        <w:t>109</w:t>
      </w:r>
      <w:r w:rsidRPr="007C72D3">
        <w:t>, 103546.</w:t>
      </w:r>
    </w:p>
    <w:p w14:paraId="3020F69C" w14:textId="77777777" w:rsidR="00E94A76" w:rsidRDefault="00E94A76" w:rsidP="001E2E41">
      <w:pPr>
        <w:ind w:left="720" w:hanging="720"/>
      </w:pPr>
      <w:r w:rsidRPr="007C72D3">
        <w:t xml:space="preserve">Rousseau, D. M., </w:t>
      </w:r>
      <w:r>
        <w:t>and</w:t>
      </w:r>
      <w:r w:rsidRPr="007C72D3">
        <w:t xml:space="preserve"> Ten Have, S. (2022). Evidence-based change management. </w:t>
      </w:r>
      <w:r w:rsidRPr="007C72D3">
        <w:rPr>
          <w:i/>
          <w:iCs/>
        </w:rPr>
        <w:t>Organizational Dynamics</w:t>
      </w:r>
      <w:r w:rsidRPr="007C72D3">
        <w:t>, </w:t>
      </w:r>
      <w:r w:rsidRPr="007C72D3">
        <w:rPr>
          <w:i/>
          <w:iCs/>
        </w:rPr>
        <w:t>51</w:t>
      </w:r>
      <w:r w:rsidRPr="007C72D3">
        <w:t>(3), 100899.</w:t>
      </w:r>
    </w:p>
    <w:p w14:paraId="7BA17CEF" w14:textId="77777777" w:rsidR="00E94A76" w:rsidRDefault="00E94A76" w:rsidP="001E2E41">
      <w:pPr>
        <w:ind w:left="720" w:hanging="720"/>
      </w:pPr>
      <w:r w:rsidRPr="004E0978">
        <w:t xml:space="preserve">Russell, B., </w:t>
      </w:r>
      <w:r>
        <w:t>and</w:t>
      </w:r>
      <w:r w:rsidRPr="004E0978">
        <w:t xml:space="preserve"> Baldwin, T. (2022). </w:t>
      </w:r>
      <w:r w:rsidRPr="004E0978">
        <w:rPr>
          <w:i/>
          <w:iCs/>
        </w:rPr>
        <w:t>The analysis of mind</w:t>
      </w:r>
      <w:r w:rsidRPr="004E0978">
        <w:t>. Routledge.</w:t>
      </w:r>
    </w:p>
    <w:p w14:paraId="7D42DADA" w14:textId="77777777" w:rsidR="00E94A76" w:rsidRPr="001A2EDD" w:rsidRDefault="00E94A76" w:rsidP="001E2E41">
      <w:pPr>
        <w:ind w:left="720" w:hanging="720"/>
      </w:pPr>
      <w:r w:rsidRPr="009606B6">
        <w:t>Sawyer, R. K. (2022). An introduction to the learning sciences. </w:t>
      </w:r>
      <w:r w:rsidRPr="009606B6">
        <w:rPr>
          <w:i/>
          <w:iCs/>
        </w:rPr>
        <w:t>The Cambridge handbook of the learning sciences</w:t>
      </w:r>
      <w:r w:rsidRPr="009606B6">
        <w:t>, </w:t>
      </w:r>
      <w:r w:rsidRPr="009606B6">
        <w:rPr>
          <w:i/>
          <w:iCs/>
        </w:rPr>
        <w:t>3</w:t>
      </w:r>
      <w:r w:rsidRPr="009606B6">
        <w:t>, 1-24.</w:t>
      </w:r>
    </w:p>
    <w:p w14:paraId="08D2CB1E" w14:textId="77777777" w:rsidR="00E94A76" w:rsidRDefault="00E94A76" w:rsidP="001E2E41">
      <w:pPr>
        <w:ind w:left="720" w:hanging="720"/>
      </w:pPr>
      <w:r w:rsidRPr="007C72D3">
        <w:t xml:space="preserve">Shank, M. K., </w:t>
      </w:r>
      <w:r>
        <w:t>and</w:t>
      </w:r>
      <w:r w:rsidRPr="007C72D3">
        <w:t xml:space="preserve"> </w:t>
      </w:r>
      <w:proofErr w:type="spellStart"/>
      <w:r w:rsidRPr="007C72D3">
        <w:t>Santiague</w:t>
      </w:r>
      <w:proofErr w:type="spellEnd"/>
      <w:r w:rsidRPr="007C72D3">
        <w:t>, L. (2022). Classroom management needs of novice teachers. </w:t>
      </w:r>
      <w:r w:rsidRPr="007C72D3">
        <w:rPr>
          <w:i/>
          <w:iCs/>
        </w:rPr>
        <w:t xml:space="preserve">The Clearing house: a Journal of </w:t>
      </w:r>
      <w:proofErr w:type="spellStart"/>
      <w:r w:rsidRPr="007C72D3">
        <w:rPr>
          <w:i/>
          <w:iCs/>
        </w:rPr>
        <w:t>eduCaTional</w:t>
      </w:r>
      <w:proofErr w:type="spellEnd"/>
      <w:r w:rsidRPr="007C72D3">
        <w:rPr>
          <w:i/>
          <w:iCs/>
        </w:rPr>
        <w:t xml:space="preserve"> </w:t>
      </w:r>
      <w:proofErr w:type="spellStart"/>
      <w:r w:rsidRPr="007C72D3">
        <w:rPr>
          <w:i/>
          <w:iCs/>
        </w:rPr>
        <w:t>sTraTegies</w:t>
      </w:r>
      <w:proofErr w:type="spellEnd"/>
      <w:r w:rsidRPr="007C72D3">
        <w:rPr>
          <w:i/>
          <w:iCs/>
        </w:rPr>
        <w:t>, issues and ideas</w:t>
      </w:r>
      <w:r w:rsidRPr="007C72D3">
        <w:t>, </w:t>
      </w:r>
      <w:r w:rsidRPr="007C72D3">
        <w:rPr>
          <w:i/>
          <w:iCs/>
        </w:rPr>
        <w:t>95</w:t>
      </w:r>
      <w:r w:rsidRPr="007C72D3">
        <w:t>(1), 26-34.</w:t>
      </w:r>
    </w:p>
    <w:p w14:paraId="19C7035C" w14:textId="77777777" w:rsidR="00E94A76" w:rsidRDefault="00E94A76" w:rsidP="001E2E41">
      <w:pPr>
        <w:ind w:left="720" w:hanging="720"/>
      </w:pPr>
      <w:proofErr w:type="spellStart"/>
      <w:r w:rsidRPr="007C72D3">
        <w:t>Wherfel</w:t>
      </w:r>
      <w:proofErr w:type="spellEnd"/>
      <w:r w:rsidRPr="007C72D3">
        <w:t xml:space="preserve">, Q. M., </w:t>
      </w:r>
      <w:proofErr w:type="spellStart"/>
      <w:r w:rsidRPr="007C72D3">
        <w:t>Monda</w:t>
      </w:r>
      <w:proofErr w:type="spellEnd"/>
      <w:r w:rsidRPr="007C72D3">
        <w:t xml:space="preserve">-Amaya, L., </w:t>
      </w:r>
      <w:r>
        <w:t>and</w:t>
      </w:r>
      <w:r w:rsidRPr="007C72D3">
        <w:t xml:space="preserve"> Shriner, J. G. (2022). General education teacher practices: Assessment, decision-making and the influence of co-teaching. </w:t>
      </w:r>
      <w:r w:rsidRPr="007C72D3">
        <w:rPr>
          <w:i/>
          <w:iCs/>
        </w:rPr>
        <w:t>Preventing School Failure: Alternative Education for Children and Youth</w:t>
      </w:r>
      <w:r w:rsidRPr="007C72D3">
        <w:t>, </w:t>
      </w:r>
      <w:r w:rsidRPr="007C72D3">
        <w:rPr>
          <w:i/>
          <w:iCs/>
        </w:rPr>
        <w:t>66</w:t>
      </w:r>
      <w:r w:rsidRPr="007C72D3">
        <w:t>(1), 42-51.</w:t>
      </w:r>
    </w:p>
    <w:p w14:paraId="02D8A283" w14:textId="77777777" w:rsidR="00E94A76" w:rsidRDefault="00E94A76" w:rsidP="001E2E41">
      <w:pPr>
        <w:ind w:left="720" w:hanging="720"/>
      </w:pPr>
      <w:r w:rsidRPr="00EC7ACF">
        <w:t>Willingham, D. T. (2021). </w:t>
      </w:r>
      <w:r w:rsidRPr="00EC7ACF">
        <w:rPr>
          <w:i/>
          <w:iCs/>
        </w:rPr>
        <w:t>Why don't students like school?: A cognitive scientist answers questions about how the mind works and what it means for the classroom</w:t>
      </w:r>
      <w:r w:rsidRPr="00EC7ACF">
        <w:t xml:space="preserve">. John Wiley </w:t>
      </w:r>
      <w:r>
        <w:t>and</w:t>
      </w:r>
      <w:r w:rsidRPr="00EC7ACF">
        <w:t xml:space="preserve"> Sons.</w:t>
      </w:r>
    </w:p>
    <w:p w14:paraId="4BDF3702" w14:textId="77777777" w:rsidR="00E94A76" w:rsidRDefault="00E94A76" w:rsidP="001E2E41">
      <w:pPr>
        <w:ind w:left="720" w:hanging="720"/>
      </w:pPr>
      <w:r w:rsidRPr="007C72D3">
        <w:t xml:space="preserve">Wyse, D., </w:t>
      </w:r>
      <w:r>
        <w:t>and</w:t>
      </w:r>
      <w:r w:rsidRPr="007C72D3">
        <w:t xml:space="preserve"> Bradbury, A. (2022). Reading wars or reading reconciliation? A critical examination of robust research evidence, curriculum policy and teachers' practices for teaching phonics and reading. </w:t>
      </w:r>
      <w:r w:rsidRPr="007C72D3">
        <w:rPr>
          <w:i/>
          <w:iCs/>
        </w:rPr>
        <w:t>Review of education</w:t>
      </w:r>
      <w:r w:rsidRPr="007C72D3">
        <w:t>, </w:t>
      </w:r>
      <w:r w:rsidRPr="007C72D3">
        <w:rPr>
          <w:i/>
          <w:iCs/>
        </w:rPr>
        <w:t>10</w:t>
      </w:r>
      <w:r w:rsidRPr="007C72D3">
        <w:t>(1), e3314.</w:t>
      </w:r>
    </w:p>
    <w:p w14:paraId="4D4E2324" w14:textId="77777777" w:rsidR="00E94A76" w:rsidRDefault="00E94A76" w:rsidP="001E2E41">
      <w:pPr>
        <w:ind w:left="720" w:hanging="720"/>
      </w:pPr>
      <w:r w:rsidRPr="007C72D3">
        <w:lastRenderedPageBreak/>
        <w:t xml:space="preserve">Yu, J., </w:t>
      </w:r>
      <w:proofErr w:type="spellStart"/>
      <w:r w:rsidRPr="007C72D3">
        <w:t>Kreijkes</w:t>
      </w:r>
      <w:proofErr w:type="spellEnd"/>
      <w:r w:rsidRPr="007C72D3">
        <w:t xml:space="preserve">, P., </w:t>
      </w:r>
      <w:r>
        <w:t>and</w:t>
      </w:r>
      <w:r w:rsidRPr="007C72D3">
        <w:t xml:space="preserve"> </w:t>
      </w:r>
      <w:proofErr w:type="spellStart"/>
      <w:r w:rsidRPr="007C72D3">
        <w:t>Salmela-Aro</w:t>
      </w:r>
      <w:proofErr w:type="spellEnd"/>
      <w:r w:rsidRPr="007C72D3">
        <w:t xml:space="preserve">, K. (2022). Students’ growth </w:t>
      </w:r>
      <w:proofErr w:type="spellStart"/>
      <w:r w:rsidRPr="007C72D3">
        <w:t>mindset</w:t>
      </w:r>
      <w:proofErr w:type="spellEnd"/>
      <w:r w:rsidRPr="007C72D3">
        <w:t>: Relation to teacher beliefs, teaching practices, and school climate. </w:t>
      </w:r>
      <w:r w:rsidRPr="007C72D3">
        <w:rPr>
          <w:i/>
          <w:iCs/>
        </w:rPr>
        <w:t>Learning and Instruction</w:t>
      </w:r>
      <w:r w:rsidRPr="007C72D3">
        <w:t>, </w:t>
      </w:r>
      <w:r w:rsidRPr="007C72D3">
        <w:rPr>
          <w:i/>
          <w:iCs/>
        </w:rPr>
        <w:t>80</w:t>
      </w:r>
      <w:r w:rsidRPr="007C72D3">
        <w:t>, 101616.</w:t>
      </w:r>
    </w:p>
    <w:p w14:paraId="49A6FDA2" w14:textId="77777777" w:rsidR="00E94A76" w:rsidRDefault="00E94A76" w:rsidP="001E2E41">
      <w:pPr>
        <w:ind w:left="720" w:hanging="720"/>
      </w:pPr>
      <w:r w:rsidRPr="007C72D3">
        <w:t xml:space="preserve">Zhu, Y., </w:t>
      </w:r>
      <w:r>
        <w:t>and</w:t>
      </w:r>
      <w:r w:rsidRPr="007C72D3">
        <w:t xml:space="preserve"> Kaiser, G. (2022). Impacts of classroom teaching practices on students’ mathematics learning interest, mathematics self-efficacy and mathematics test achievements: a secondary analysis of Shanghai data from the international video study Global Teaching </w:t>
      </w:r>
      <w:proofErr w:type="spellStart"/>
      <w:r w:rsidRPr="007C72D3">
        <w:t>InSights</w:t>
      </w:r>
      <w:proofErr w:type="spellEnd"/>
      <w:r w:rsidRPr="007C72D3">
        <w:t>. </w:t>
      </w:r>
      <w:r w:rsidRPr="007C72D3">
        <w:rPr>
          <w:i/>
          <w:iCs/>
        </w:rPr>
        <w:t>ZDM–Mathematics Education</w:t>
      </w:r>
      <w:r w:rsidRPr="007C72D3">
        <w:t>, </w:t>
      </w:r>
      <w:r w:rsidRPr="007C72D3">
        <w:rPr>
          <w:i/>
          <w:iCs/>
        </w:rPr>
        <w:t>54</w:t>
      </w:r>
      <w:r w:rsidRPr="007C72D3">
        <w:t>(3), 581-593.</w:t>
      </w:r>
    </w:p>
    <w:p w14:paraId="4FDAAD7E" w14:textId="77777777" w:rsidR="007C72D3" w:rsidRDefault="007C72D3" w:rsidP="001E2E41"/>
    <w:p w14:paraId="71BE6D58" w14:textId="1C52634B" w:rsidR="00581FA2" w:rsidRPr="00C1261E" w:rsidRDefault="00581FA2" w:rsidP="001E2E41">
      <w:pPr>
        <w:rPr>
          <w:rFonts w:cs="Arial"/>
          <w:b/>
          <w:bCs/>
          <w:szCs w:val="24"/>
        </w:rPr>
      </w:pPr>
    </w:p>
    <w:sectPr w:rsidR="00581FA2" w:rsidRPr="00C1261E" w:rsidSect="006B54CF">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DED31A" w14:textId="77777777" w:rsidR="002203DF" w:rsidRDefault="002203DF" w:rsidP="00B65018">
      <w:pPr>
        <w:spacing w:after="0" w:line="240" w:lineRule="auto"/>
      </w:pPr>
      <w:r>
        <w:separator/>
      </w:r>
    </w:p>
  </w:endnote>
  <w:endnote w:type="continuationSeparator" w:id="0">
    <w:p w14:paraId="6F53666F" w14:textId="77777777" w:rsidR="002203DF" w:rsidRDefault="002203DF" w:rsidP="00B650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FF6D1" w14:textId="77777777" w:rsidR="002203DF" w:rsidRDefault="002203DF" w:rsidP="00B65018">
      <w:pPr>
        <w:spacing w:after="0" w:line="240" w:lineRule="auto"/>
      </w:pPr>
      <w:r>
        <w:separator/>
      </w:r>
    </w:p>
  </w:footnote>
  <w:footnote w:type="continuationSeparator" w:id="0">
    <w:p w14:paraId="20E04490" w14:textId="77777777" w:rsidR="002203DF" w:rsidRDefault="002203DF" w:rsidP="00B650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9693426"/>
      <w:docPartObj>
        <w:docPartGallery w:val="Page Numbers (Top of Page)"/>
        <w:docPartUnique/>
      </w:docPartObj>
    </w:sdtPr>
    <w:sdtEndPr>
      <w:rPr>
        <w:noProof/>
      </w:rPr>
    </w:sdtEndPr>
    <w:sdtContent>
      <w:p w14:paraId="6EAA7258" w14:textId="1D89692F" w:rsidR="00B65018" w:rsidRDefault="00B65018">
        <w:pPr>
          <w:pStyle w:val="Intestazione"/>
          <w:jc w:val="right"/>
        </w:pPr>
        <w:r>
          <w:fldChar w:fldCharType="begin"/>
        </w:r>
        <w:r>
          <w:instrText xml:space="preserve"> PAGE   \* MERGEFORMAT </w:instrText>
        </w:r>
        <w:r>
          <w:fldChar w:fldCharType="separate"/>
        </w:r>
        <w:r>
          <w:rPr>
            <w:noProof/>
          </w:rPr>
          <w:t>2</w:t>
        </w:r>
        <w:r>
          <w:rPr>
            <w:noProof/>
          </w:rPr>
          <w:fldChar w:fldCharType="end"/>
        </w:r>
      </w:p>
    </w:sdtContent>
  </w:sdt>
  <w:p w14:paraId="4A96DCC4" w14:textId="77777777" w:rsidR="00B65018" w:rsidRDefault="00B65018">
    <w:pPr>
      <w:pStyle w:val="Intestazione"/>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proofState w:spelling="clean" w:grammar="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154"/>
    <w:rsid w:val="00011CBE"/>
    <w:rsid w:val="000A22BD"/>
    <w:rsid w:val="000B2452"/>
    <w:rsid w:val="000B56A4"/>
    <w:rsid w:val="000C0FEB"/>
    <w:rsid w:val="001542A3"/>
    <w:rsid w:val="00162B4C"/>
    <w:rsid w:val="00173C6E"/>
    <w:rsid w:val="0019414B"/>
    <w:rsid w:val="001A5C10"/>
    <w:rsid w:val="001E2E41"/>
    <w:rsid w:val="001E5467"/>
    <w:rsid w:val="001E7F27"/>
    <w:rsid w:val="001F4F38"/>
    <w:rsid w:val="002203DF"/>
    <w:rsid w:val="00230574"/>
    <w:rsid w:val="00293BA9"/>
    <w:rsid w:val="002B1B7F"/>
    <w:rsid w:val="002C1115"/>
    <w:rsid w:val="002C15F8"/>
    <w:rsid w:val="002C5DD3"/>
    <w:rsid w:val="002D4B40"/>
    <w:rsid w:val="002D6154"/>
    <w:rsid w:val="0030263C"/>
    <w:rsid w:val="00352A5D"/>
    <w:rsid w:val="003670DB"/>
    <w:rsid w:val="003706B2"/>
    <w:rsid w:val="003A0C53"/>
    <w:rsid w:val="003A0FE0"/>
    <w:rsid w:val="003D51BF"/>
    <w:rsid w:val="003F67EC"/>
    <w:rsid w:val="00427522"/>
    <w:rsid w:val="00441E92"/>
    <w:rsid w:val="004673E6"/>
    <w:rsid w:val="004A6025"/>
    <w:rsid w:val="004B4534"/>
    <w:rsid w:val="004D2839"/>
    <w:rsid w:val="004E0978"/>
    <w:rsid w:val="00516D2B"/>
    <w:rsid w:val="005232A9"/>
    <w:rsid w:val="005235E5"/>
    <w:rsid w:val="00530CFF"/>
    <w:rsid w:val="00563801"/>
    <w:rsid w:val="0056640B"/>
    <w:rsid w:val="00581FA2"/>
    <w:rsid w:val="005E1A64"/>
    <w:rsid w:val="006109D1"/>
    <w:rsid w:val="00612908"/>
    <w:rsid w:val="00654624"/>
    <w:rsid w:val="00654B19"/>
    <w:rsid w:val="00656749"/>
    <w:rsid w:val="00657221"/>
    <w:rsid w:val="00673925"/>
    <w:rsid w:val="006B54CF"/>
    <w:rsid w:val="007176AD"/>
    <w:rsid w:val="00736676"/>
    <w:rsid w:val="00742CDE"/>
    <w:rsid w:val="0075363E"/>
    <w:rsid w:val="007623E0"/>
    <w:rsid w:val="00766BE7"/>
    <w:rsid w:val="007C72D3"/>
    <w:rsid w:val="007D21E5"/>
    <w:rsid w:val="007F01F5"/>
    <w:rsid w:val="00851F19"/>
    <w:rsid w:val="00876A05"/>
    <w:rsid w:val="009046C1"/>
    <w:rsid w:val="009361F4"/>
    <w:rsid w:val="00950674"/>
    <w:rsid w:val="009606B6"/>
    <w:rsid w:val="00970AD9"/>
    <w:rsid w:val="009912A9"/>
    <w:rsid w:val="009B0754"/>
    <w:rsid w:val="009D7D27"/>
    <w:rsid w:val="00A16DD7"/>
    <w:rsid w:val="00A16E1D"/>
    <w:rsid w:val="00A903D5"/>
    <w:rsid w:val="00AC73BC"/>
    <w:rsid w:val="00AD02DE"/>
    <w:rsid w:val="00AF4278"/>
    <w:rsid w:val="00B25E56"/>
    <w:rsid w:val="00B60C62"/>
    <w:rsid w:val="00B65018"/>
    <w:rsid w:val="00BA1721"/>
    <w:rsid w:val="00BB003C"/>
    <w:rsid w:val="00BB17AD"/>
    <w:rsid w:val="00BB73B4"/>
    <w:rsid w:val="00BC035E"/>
    <w:rsid w:val="00BC24C3"/>
    <w:rsid w:val="00BE149C"/>
    <w:rsid w:val="00C1261E"/>
    <w:rsid w:val="00C25F5D"/>
    <w:rsid w:val="00C27EB7"/>
    <w:rsid w:val="00C35FC0"/>
    <w:rsid w:val="00C53755"/>
    <w:rsid w:val="00CE0C1E"/>
    <w:rsid w:val="00D11945"/>
    <w:rsid w:val="00D64E4E"/>
    <w:rsid w:val="00D84DAC"/>
    <w:rsid w:val="00D94EA1"/>
    <w:rsid w:val="00DA477C"/>
    <w:rsid w:val="00DB05C9"/>
    <w:rsid w:val="00DB174F"/>
    <w:rsid w:val="00DD0FD6"/>
    <w:rsid w:val="00DF06E6"/>
    <w:rsid w:val="00DF4406"/>
    <w:rsid w:val="00E11F33"/>
    <w:rsid w:val="00E44EA8"/>
    <w:rsid w:val="00E548E1"/>
    <w:rsid w:val="00E661A5"/>
    <w:rsid w:val="00E94A76"/>
    <w:rsid w:val="00EC49F7"/>
    <w:rsid w:val="00EE3C00"/>
    <w:rsid w:val="00EE62E0"/>
    <w:rsid w:val="00F272E3"/>
    <w:rsid w:val="00F613CD"/>
    <w:rsid w:val="00F76390"/>
    <w:rsid w:val="00FB0FF3"/>
    <w:rsid w:val="00FC1F79"/>
    <w:rsid w:val="00FE18BD"/>
    <w:rsid w:val="00FE2922"/>
    <w:rsid w:val="00FF0E52"/>
    <w:rsid w:val="00FF383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31326C"/>
  <w15:chartTrackingRefBased/>
  <w15:docId w15:val="{A73FB0FE-2D8B-4D15-B68D-92E260D95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BE149C"/>
    <w:pPr>
      <w:spacing w:before="120" w:after="120" w:line="480" w:lineRule="auto"/>
      <w:contextualSpacing/>
      <w:jc w:val="both"/>
    </w:pPr>
    <w:rPr>
      <w:rFonts w:ascii="Arial" w:hAnsi="Arial"/>
      <w:sz w:val="24"/>
    </w:rPr>
  </w:style>
  <w:style w:type="paragraph" w:styleId="Titolo1">
    <w:name w:val="heading 1"/>
    <w:basedOn w:val="Normale"/>
    <w:next w:val="Normale"/>
    <w:link w:val="Titolo1Carattere"/>
    <w:uiPriority w:val="9"/>
    <w:qFormat/>
    <w:rsid w:val="00736676"/>
    <w:pPr>
      <w:keepNext/>
      <w:keepLines/>
      <w:jc w:val="left"/>
      <w:outlineLvl w:val="0"/>
    </w:pPr>
    <w:rPr>
      <w:rFonts w:eastAsiaTheme="majorEastAsia" w:cstheme="majorBidi"/>
      <w:b/>
      <w:i/>
      <w:szCs w:val="40"/>
    </w:rPr>
  </w:style>
  <w:style w:type="paragraph" w:styleId="Titolo2">
    <w:name w:val="heading 2"/>
    <w:basedOn w:val="Titolo1"/>
    <w:next w:val="Normale"/>
    <w:link w:val="Titolo2Carattere"/>
    <w:uiPriority w:val="9"/>
    <w:unhideWhenUsed/>
    <w:qFormat/>
    <w:rsid w:val="00530CFF"/>
    <w:pPr>
      <w:outlineLvl w:val="1"/>
    </w:pPr>
    <w:rPr>
      <w:rFonts w:cs="Arial"/>
      <w:b w:val="0"/>
      <w:bCs/>
      <w:color w:val="000000" w:themeColor="text1"/>
      <w:szCs w:val="24"/>
    </w:rPr>
  </w:style>
  <w:style w:type="paragraph" w:styleId="Titolo3">
    <w:name w:val="heading 3"/>
    <w:basedOn w:val="Normale"/>
    <w:next w:val="Normale"/>
    <w:link w:val="Titolo3Carattere"/>
    <w:uiPriority w:val="9"/>
    <w:semiHidden/>
    <w:unhideWhenUsed/>
    <w:qFormat/>
    <w:rsid w:val="002D6154"/>
    <w:pPr>
      <w:keepNext/>
      <w:keepLines/>
      <w:spacing w:before="160" w:after="80"/>
      <w:outlineLvl w:val="2"/>
    </w:pPr>
    <w:rPr>
      <w:rFonts w:eastAsiaTheme="majorEastAsia" w:cstheme="majorBidi"/>
      <w:color w:val="0F4761" w:themeColor="accent1" w:themeShade="BF"/>
      <w:sz w:val="28"/>
      <w:szCs w:val="28"/>
    </w:rPr>
  </w:style>
  <w:style w:type="paragraph" w:styleId="Titolo4">
    <w:name w:val="heading 4"/>
    <w:basedOn w:val="Normale"/>
    <w:next w:val="Normale"/>
    <w:link w:val="Titolo4Carattere"/>
    <w:uiPriority w:val="9"/>
    <w:semiHidden/>
    <w:unhideWhenUsed/>
    <w:qFormat/>
    <w:rsid w:val="002D6154"/>
    <w:pPr>
      <w:keepNext/>
      <w:keepLines/>
      <w:spacing w:before="80" w:after="40"/>
      <w:outlineLvl w:val="3"/>
    </w:pPr>
    <w:rPr>
      <w:rFonts w:eastAsiaTheme="majorEastAsia" w:cstheme="majorBidi"/>
      <w:i/>
      <w:iCs/>
      <w:color w:val="0F4761" w:themeColor="accent1" w:themeShade="BF"/>
    </w:rPr>
  </w:style>
  <w:style w:type="paragraph" w:styleId="Titolo5">
    <w:name w:val="heading 5"/>
    <w:basedOn w:val="Normale"/>
    <w:next w:val="Normale"/>
    <w:link w:val="Titolo5Carattere"/>
    <w:uiPriority w:val="9"/>
    <w:semiHidden/>
    <w:unhideWhenUsed/>
    <w:qFormat/>
    <w:rsid w:val="002D6154"/>
    <w:pPr>
      <w:keepNext/>
      <w:keepLines/>
      <w:spacing w:before="80" w:after="40"/>
      <w:outlineLvl w:val="4"/>
    </w:pPr>
    <w:rPr>
      <w:rFonts w:eastAsiaTheme="majorEastAsia" w:cstheme="majorBidi"/>
      <w:color w:val="0F4761" w:themeColor="accent1" w:themeShade="BF"/>
    </w:rPr>
  </w:style>
  <w:style w:type="paragraph" w:styleId="Titolo6">
    <w:name w:val="heading 6"/>
    <w:basedOn w:val="Normale"/>
    <w:next w:val="Normale"/>
    <w:link w:val="Titolo6Carattere"/>
    <w:uiPriority w:val="9"/>
    <w:semiHidden/>
    <w:unhideWhenUsed/>
    <w:qFormat/>
    <w:rsid w:val="002D6154"/>
    <w:pPr>
      <w:keepNext/>
      <w:keepLines/>
      <w:spacing w:before="40" w:after="0"/>
      <w:outlineLvl w:val="5"/>
    </w:pPr>
    <w:rPr>
      <w:rFonts w:eastAsiaTheme="majorEastAsia" w:cstheme="majorBidi"/>
      <w:i/>
      <w:iCs/>
      <w:color w:val="595959" w:themeColor="text1" w:themeTint="A6"/>
    </w:rPr>
  </w:style>
  <w:style w:type="paragraph" w:styleId="Titolo7">
    <w:name w:val="heading 7"/>
    <w:basedOn w:val="Normale"/>
    <w:next w:val="Normale"/>
    <w:link w:val="Titolo7Carattere"/>
    <w:uiPriority w:val="9"/>
    <w:semiHidden/>
    <w:unhideWhenUsed/>
    <w:qFormat/>
    <w:rsid w:val="002D6154"/>
    <w:pPr>
      <w:keepNext/>
      <w:keepLines/>
      <w:spacing w:before="40" w:after="0"/>
      <w:outlineLvl w:val="6"/>
    </w:pPr>
    <w:rPr>
      <w:rFonts w:eastAsiaTheme="majorEastAsia" w:cstheme="majorBidi"/>
      <w:color w:val="595959" w:themeColor="text1" w:themeTint="A6"/>
    </w:rPr>
  </w:style>
  <w:style w:type="paragraph" w:styleId="Titolo8">
    <w:name w:val="heading 8"/>
    <w:basedOn w:val="Normale"/>
    <w:next w:val="Normale"/>
    <w:link w:val="Titolo8Carattere"/>
    <w:uiPriority w:val="9"/>
    <w:semiHidden/>
    <w:unhideWhenUsed/>
    <w:qFormat/>
    <w:rsid w:val="002D6154"/>
    <w:pPr>
      <w:keepNext/>
      <w:keepLines/>
      <w:spacing w:after="0"/>
      <w:outlineLvl w:val="7"/>
    </w:pPr>
    <w:rPr>
      <w:rFonts w:eastAsiaTheme="majorEastAsia" w:cstheme="majorBidi"/>
      <w:i/>
      <w:iCs/>
      <w:color w:val="272727" w:themeColor="text1" w:themeTint="D8"/>
    </w:rPr>
  </w:style>
  <w:style w:type="paragraph" w:styleId="Titolo9">
    <w:name w:val="heading 9"/>
    <w:basedOn w:val="Normale"/>
    <w:next w:val="Normale"/>
    <w:link w:val="Titolo9Carattere"/>
    <w:uiPriority w:val="9"/>
    <w:semiHidden/>
    <w:unhideWhenUsed/>
    <w:qFormat/>
    <w:rsid w:val="002D6154"/>
    <w:pPr>
      <w:keepNext/>
      <w:keepLines/>
      <w:spacing w:after="0"/>
      <w:outlineLvl w:val="8"/>
    </w:pPr>
    <w:rPr>
      <w:rFonts w:eastAsiaTheme="majorEastAsia" w:cstheme="majorBidi"/>
      <w:color w:val="272727" w:themeColor="text1" w:themeTint="D8"/>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basedOn w:val="Carpredefinitoparagrafo"/>
    <w:link w:val="Titolo1"/>
    <w:uiPriority w:val="9"/>
    <w:rsid w:val="00736676"/>
    <w:rPr>
      <w:rFonts w:ascii="Arial" w:eastAsiaTheme="majorEastAsia" w:hAnsi="Arial" w:cstheme="majorBidi"/>
      <w:b/>
      <w:i/>
      <w:sz w:val="24"/>
      <w:szCs w:val="40"/>
    </w:rPr>
  </w:style>
  <w:style w:type="character" w:customStyle="1" w:styleId="Titolo2Carattere">
    <w:name w:val="Titolo 2 Carattere"/>
    <w:basedOn w:val="Carpredefinitoparagrafo"/>
    <w:link w:val="Titolo2"/>
    <w:uiPriority w:val="9"/>
    <w:rsid w:val="00530CFF"/>
    <w:rPr>
      <w:rFonts w:ascii="Arial" w:eastAsiaTheme="majorEastAsia" w:hAnsi="Arial" w:cs="Arial"/>
      <w:bCs/>
      <w:i/>
      <w:color w:val="000000" w:themeColor="text1"/>
      <w:sz w:val="24"/>
      <w:szCs w:val="24"/>
    </w:rPr>
  </w:style>
  <w:style w:type="character" w:customStyle="1" w:styleId="Titolo3Carattere">
    <w:name w:val="Titolo 3 Carattere"/>
    <w:basedOn w:val="Carpredefinitoparagrafo"/>
    <w:link w:val="Titolo3"/>
    <w:uiPriority w:val="9"/>
    <w:semiHidden/>
    <w:rsid w:val="002D6154"/>
    <w:rPr>
      <w:rFonts w:eastAsiaTheme="majorEastAsia" w:cstheme="majorBidi"/>
      <w:color w:val="0F4761" w:themeColor="accent1" w:themeShade="BF"/>
      <w:sz w:val="28"/>
      <w:szCs w:val="28"/>
    </w:rPr>
  </w:style>
  <w:style w:type="character" w:customStyle="1" w:styleId="Titolo4Carattere">
    <w:name w:val="Titolo 4 Carattere"/>
    <w:basedOn w:val="Carpredefinitoparagrafo"/>
    <w:link w:val="Titolo4"/>
    <w:uiPriority w:val="9"/>
    <w:semiHidden/>
    <w:rsid w:val="002D6154"/>
    <w:rPr>
      <w:rFonts w:eastAsiaTheme="majorEastAsia" w:cstheme="majorBidi"/>
      <w:i/>
      <w:iCs/>
      <w:color w:val="0F4761" w:themeColor="accent1" w:themeShade="BF"/>
    </w:rPr>
  </w:style>
  <w:style w:type="character" w:customStyle="1" w:styleId="Titolo5Carattere">
    <w:name w:val="Titolo 5 Carattere"/>
    <w:basedOn w:val="Carpredefinitoparagrafo"/>
    <w:link w:val="Titolo5"/>
    <w:uiPriority w:val="9"/>
    <w:semiHidden/>
    <w:rsid w:val="002D6154"/>
    <w:rPr>
      <w:rFonts w:eastAsiaTheme="majorEastAsia" w:cstheme="majorBidi"/>
      <w:color w:val="0F4761" w:themeColor="accent1" w:themeShade="BF"/>
    </w:rPr>
  </w:style>
  <w:style w:type="character" w:customStyle="1" w:styleId="Titolo6Carattere">
    <w:name w:val="Titolo 6 Carattere"/>
    <w:basedOn w:val="Carpredefinitoparagrafo"/>
    <w:link w:val="Titolo6"/>
    <w:uiPriority w:val="9"/>
    <w:semiHidden/>
    <w:rsid w:val="002D6154"/>
    <w:rPr>
      <w:rFonts w:eastAsiaTheme="majorEastAsia" w:cstheme="majorBidi"/>
      <w:i/>
      <w:iCs/>
      <w:color w:val="595959" w:themeColor="text1" w:themeTint="A6"/>
    </w:rPr>
  </w:style>
  <w:style w:type="character" w:customStyle="1" w:styleId="Titolo7Carattere">
    <w:name w:val="Titolo 7 Carattere"/>
    <w:basedOn w:val="Carpredefinitoparagrafo"/>
    <w:link w:val="Titolo7"/>
    <w:uiPriority w:val="9"/>
    <w:semiHidden/>
    <w:rsid w:val="002D6154"/>
    <w:rPr>
      <w:rFonts w:eastAsiaTheme="majorEastAsia" w:cstheme="majorBidi"/>
      <w:color w:val="595959" w:themeColor="text1" w:themeTint="A6"/>
    </w:rPr>
  </w:style>
  <w:style w:type="character" w:customStyle="1" w:styleId="Titolo8Carattere">
    <w:name w:val="Titolo 8 Carattere"/>
    <w:basedOn w:val="Carpredefinitoparagrafo"/>
    <w:link w:val="Titolo8"/>
    <w:uiPriority w:val="9"/>
    <w:semiHidden/>
    <w:rsid w:val="002D6154"/>
    <w:rPr>
      <w:rFonts w:eastAsiaTheme="majorEastAsia" w:cstheme="majorBidi"/>
      <w:i/>
      <w:iCs/>
      <w:color w:val="272727" w:themeColor="text1" w:themeTint="D8"/>
    </w:rPr>
  </w:style>
  <w:style w:type="character" w:customStyle="1" w:styleId="Titolo9Carattere">
    <w:name w:val="Titolo 9 Carattere"/>
    <w:basedOn w:val="Carpredefinitoparagrafo"/>
    <w:link w:val="Titolo9"/>
    <w:uiPriority w:val="9"/>
    <w:semiHidden/>
    <w:rsid w:val="002D6154"/>
    <w:rPr>
      <w:rFonts w:eastAsiaTheme="majorEastAsia" w:cstheme="majorBidi"/>
      <w:color w:val="272727" w:themeColor="text1" w:themeTint="D8"/>
    </w:rPr>
  </w:style>
  <w:style w:type="paragraph" w:styleId="Titolo">
    <w:name w:val="Title"/>
    <w:basedOn w:val="Normale"/>
    <w:next w:val="Normale"/>
    <w:link w:val="TitoloCarattere"/>
    <w:uiPriority w:val="10"/>
    <w:qFormat/>
    <w:rsid w:val="002D6154"/>
    <w:pPr>
      <w:spacing w:after="80" w:line="240" w:lineRule="auto"/>
    </w:pPr>
    <w:rPr>
      <w:rFonts w:asciiTheme="majorHAnsi" w:eastAsiaTheme="majorEastAsia" w:hAnsiTheme="majorHAnsi" w:cstheme="majorBidi"/>
      <w:spacing w:val="-10"/>
      <w:kern w:val="28"/>
      <w:sz w:val="56"/>
      <w:szCs w:val="56"/>
    </w:rPr>
  </w:style>
  <w:style w:type="character" w:customStyle="1" w:styleId="TitoloCarattere">
    <w:name w:val="Titolo Carattere"/>
    <w:basedOn w:val="Carpredefinitoparagrafo"/>
    <w:link w:val="Titolo"/>
    <w:uiPriority w:val="10"/>
    <w:rsid w:val="002D6154"/>
    <w:rPr>
      <w:rFonts w:asciiTheme="majorHAnsi" w:eastAsiaTheme="majorEastAsia" w:hAnsiTheme="majorHAnsi" w:cstheme="majorBidi"/>
      <w:spacing w:val="-10"/>
      <w:kern w:val="28"/>
      <w:sz w:val="56"/>
      <w:szCs w:val="56"/>
    </w:rPr>
  </w:style>
  <w:style w:type="paragraph" w:styleId="Sottotitolo">
    <w:name w:val="Subtitle"/>
    <w:basedOn w:val="Normale"/>
    <w:next w:val="Normale"/>
    <w:link w:val="SottotitoloCarattere"/>
    <w:uiPriority w:val="11"/>
    <w:qFormat/>
    <w:rsid w:val="002D6154"/>
    <w:pPr>
      <w:numPr>
        <w:ilvl w:val="1"/>
      </w:numPr>
    </w:pPr>
    <w:rPr>
      <w:rFonts w:eastAsiaTheme="majorEastAsia" w:cstheme="majorBidi"/>
      <w:color w:val="595959" w:themeColor="text1" w:themeTint="A6"/>
      <w:spacing w:val="15"/>
      <w:sz w:val="28"/>
      <w:szCs w:val="28"/>
    </w:rPr>
  </w:style>
  <w:style w:type="character" w:customStyle="1" w:styleId="SottotitoloCarattere">
    <w:name w:val="Sottotitolo Carattere"/>
    <w:basedOn w:val="Carpredefinitoparagrafo"/>
    <w:link w:val="Sottotitolo"/>
    <w:uiPriority w:val="11"/>
    <w:rsid w:val="002D6154"/>
    <w:rPr>
      <w:rFonts w:eastAsiaTheme="majorEastAsia" w:cstheme="majorBidi"/>
      <w:color w:val="595959" w:themeColor="text1" w:themeTint="A6"/>
      <w:spacing w:val="15"/>
      <w:sz w:val="28"/>
      <w:szCs w:val="28"/>
    </w:rPr>
  </w:style>
  <w:style w:type="paragraph" w:styleId="Citazione">
    <w:name w:val="Quote"/>
    <w:basedOn w:val="Normale"/>
    <w:next w:val="Normale"/>
    <w:link w:val="CitazioneCarattere"/>
    <w:uiPriority w:val="29"/>
    <w:qFormat/>
    <w:rsid w:val="002D6154"/>
    <w:pPr>
      <w:spacing w:before="160"/>
      <w:jc w:val="center"/>
    </w:pPr>
    <w:rPr>
      <w:i/>
      <w:iCs/>
      <w:color w:val="404040" w:themeColor="text1" w:themeTint="BF"/>
    </w:rPr>
  </w:style>
  <w:style w:type="character" w:customStyle="1" w:styleId="CitazioneCarattere">
    <w:name w:val="Citazione Carattere"/>
    <w:basedOn w:val="Carpredefinitoparagrafo"/>
    <w:link w:val="Citazione"/>
    <w:uiPriority w:val="29"/>
    <w:rsid w:val="002D6154"/>
    <w:rPr>
      <w:i/>
      <w:iCs/>
      <w:color w:val="404040" w:themeColor="text1" w:themeTint="BF"/>
    </w:rPr>
  </w:style>
  <w:style w:type="paragraph" w:styleId="Paragrafoelenco">
    <w:name w:val="List Paragraph"/>
    <w:basedOn w:val="Normale"/>
    <w:uiPriority w:val="34"/>
    <w:qFormat/>
    <w:rsid w:val="002D6154"/>
    <w:pPr>
      <w:ind w:left="720"/>
    </w:pPr>
  </w:style>
  <w:style w:type="character" w:styleId="Enfasiintensa">
    <w:name w:val="Intense Emphasis"/>
    <w:basedOn w:val="Carpredefinitoparagrafo"/>
    <w:uiPriority w:val="21"/>
    <w:qFormat/>
    <w:rsid w:val="002D6154"/>
    <w:rPr>
      <w:i/>
      <w:iCs/>
      <w:color w:val="0F4761" w:themeColor="accent1" w:themeShade="BF"/>
    </w:rPr>
  </w:style>
  <w:style w:type="paragraph" w:styleId="Citazioneintensa">
    <w:name w:val="Intense Quote"/>
    <w:basedOn w:val="Normale"/>
    <w:next w:val="Normale"/>
    <w:link w:val="CitazioneintensaCarattere"/>
    <w:uiPriority w:val="30"/>
    <w:qFormat/>
    <w:rsid w:val="002D61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zioneintensaCarattere">
    <w:name w:val="Citazione intensa Carattere"/>
    <w:basedOn w:val="Carpredefinitoparagrafo"/>
    <w:link w:val="Citazioneintensa"/>
    <w:uiPriority w:val="30"/>
    <w:rsid w:val="002D6154"/>
    <w:rPr>
      <w:i/>
      <w:iCs/>
      <w:color w:val="0F4761" w:themeColor="accent1" w:themeShade="BF"/>
    </w:rPr>
  </w:style>
  <w:style w:type="character" w:styleId="Riferimentointenso">
    <w:name w:val="Intense Reference"/>
    <w:basedOn w:val="Carpredefinitoparagrafo"/>
    <w:uiPriority w:val="32"/>
    <w:qFormat/>
    <w:rsid w:val="002D6154"/>
    <w:rPr>
      <w:b/>
      <w:bCs/>
      <w:smallCaps/>
      <w:color w:val="0F4761" w:themeColor="accent1" w:themeShade="BF"/>
      <w:spacing w:val="5"/>
    </w:rPr>
  </w:style>
  <w:style w:type="paragraph" w:styleId="Intestazione">
    <w:name w:val="header"/>
    <w:basedOn w:val="Normale"/>
    <w:link w:val="IntestazioneCarattere"/>
    <w:uiPriority w:val="99"/>
    <w:unhideWhenUsed/>
    <w:rsid w:val="00B65018"/>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B65018"/>
  </w:style>
  <w:style w:type="paragraph" w:styleId="Pidipagina">
    <w:name w:val="footer"/>
    <w:basedOn w:val="Normale"/>
    <w:link w:val="PidipaginaCarattere"/>
    <w:uiPriority w:val="99"/>
    <w:unhideWhenUsed/>
    <w:rsid w:val="00B65018"/>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B65018"/>
  </w:style>
  <w:style w:type="paragraph" w:styleId="NormaleWeb">
    <w:name w:val="Normal (Web)"/>
    <w:basedOn w:val="Normale"/>
    <w:uiPriority w:val="99"/>
    <w:semiHidden/>
    <w:unhideWhenUsed/>
    <w:rsid w:val="00950674"/>
    <w:rPr>
      <w:rFonts w:ascii="Times New Roman" w:hAnsi="Times New Roman" w:cs="Times New Roman"/>
      <w:szCs w:val="24"/>
    </w:rPr>
  </w:style>
  <w:style w:type="character" w:styleId="Collegamentoipertestuale">
    <w:name w:val="Hyperlink"/>
    <w:basedOn w:val="Carpredefinitoparagrafo"/>
    <w:uiPriority w:val="99"/>
    <w:unhideWhenUsed/>
    <w:rsid w:val="00656749"/>
    <w:rPr>
      <w:color w:val="467886" w:themeColor="hyperlink"/>
      <w:u w:val="single"/>
    </w:rPr>
  </w:style>
  <w:style w:type="character" w:styleId="Menzionenonrisolta">
    <w:name w:val="Unresolved Mention"/>
    <w:basedOn w:val="Carpredefinitoparagrafo"/>
    <w:uiPriority w:val="99"/>
    <w:semiHidden/>
    <w:unhideWhenUsed/>
    <w:rsid w:val="00656749"/>
    <w:rPr>
      <w:color w:val="605E5C"/>
      <w:shd w:val="clear" w:color="auto" w:fill="E1DFDD"/>
    </w:rPr>
  </w:style>
  <w:style w:type="paragraph" w:styleId="Titolosommario">
    <w:name w:val="TOC Heading"/>
    <w:basedOn w:val="Titolo1"/>
    <w:next w:val="Normale"/>
    <w:uiPriority w:val="39"/>
    <w:unhideWhenUsed/>
    <w:qFormat/>
    <w:rsid w:val="00612908"/>
    <w:pPr>
      <w:spacing w:before="240" w:after="0" w:line="259" w:lineRule="auto"/>
      <w:contextualSpacing w:val="0"/>
      <w:outlineLvl w:val="9"/>
    </w:pPr>
    <w:rPr>
      <w:rFonts w:asciiTheme="majorHAnsi" w:hAnsiTheme="majorHAnsi"/>
      <w:b w:val="0"/>
      <w:i w:val="0"/>
      <w:color w:val="0F4761" w:themeColor="accent1" w:themeShade="BF"/>
      <w:sz w:val="32"/>
      <w:szCs w:val="32"/>
      <w:lang w:val="en-US"/>
      <w14:ligatures w14:val="none"/>
    </w:rPr>
  </w:style>
  <w:style w:type="paragraph" w:styleId="Sommario1">
    <w:name w:val="toc 1"/>
    <w:basedOn w:val="Normale"/>
    <w:next w:val="Normale"/>
    <w:autoRedefine/>
    <w:uiPriority w:val="39"/>
    <w:unhideWhenUsed/>
    <w:rsid w:val="00612908"/>
    <w:pPr>
      <w:spacing w:after="100"/>
    </w:pPr>
  </w:style>
  <w:style w:type="paragraph" w:styleId="Sommario2">
    <w:name w:val="toc 2"/>
    <w:basedOn w:val="Normale"/>
    <w:next w:val="Normale"/>
    <w:autoRedefine/>
    <w:uiPriority w:val="39"/>
    <w:unhideWhenUsed/>
    <w:rsid w:val="0061290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 /><Relationship Id="rId3" Type="http://schemas.openxmlformats.org/officeDocument/2006/relationships/settings" Target="settings.xml" /><Relationship Id="rId7" Type="http://schemas.openxmlformats.org/officeDocument/2006/relationships/hyperlink" Target="https://education.nsw.gov.au/content/dam/main-education/about-us/educational-data/cese/2017-cognitive-load-theory.pdf"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7FA610-7A3B-4A1A-9ECA-C4ED7FCDB61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4804</Words>
  <Characters>27384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basmah mian azhar</cp:lastModifiedBy>
  <cp:revision>4</cp:revision>
  <dcterms:created xsi:type="dcterms:W3CDTF">2026-01-14T18:13:00Z</dcterms:created>
  <dcterms:modified xsi:type="dcterms:W3CDTF">2026-01-14T18:16:00Z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a30b238b-fa46-4cca-9e2e-4c2cfbb219d8</vt:lpwstr>
  </property>
</Properties>
</file>