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0"/>
        <w:rPr>
          <w:sz w:val="13"/>
        </w:rPr>
      </w:pPr>
    </w:p>
    <w:p>
      <w:pPr>
        <w:spacing w:line="240" w:lineRule="auto"/>
        <w:ind w:left="129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326824" cy="103384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6824" cy="1033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68"/>
        <w:ind w:left="0" w:right="1131" w:firstLine="0"/>
        <w:jc w:val="center"/>
        <w:rPr>
          <w:b/>
          <w:sz w:val="28"/>
        </w:rPr>
      </w:pPr>
      <w:r>
        <w:rPr>
          <w:b/>
          <w:sz w:val="28"/>
        </w:rPr>
        <w:t>Master</w:t>
      </w:r>
      <w:r>
        <w:rPr>
          <w:b/>
          <w:spacing w:val="15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15"/>
          <w:sz w:val="28"/>
        </w:rPr>
        <w:t> </w:t>
      </w:r>
      <w:r>
        <w:rPr>
          <w:b/>
          <w:sz w:val="28"/>
        </w:rPr>
        <w:t>Business</w:t>
      </w:r>
      <w:r>
        <w:rPr>
          <w:b/>
          <w:spacing w:val="15"/>
          <w:sz w:val="28"/>
        </w:rPr>
        <w:t> </w:t>
      </w:r>
      <w:r>
        <w:rPr>
          <w:b/>
          <w:spacing w:val="-2"/>
          <w:sz w:val="28"/>
        </w:rPr>
        <w:t>Administration</w:t>
      </w:r>
    </w:p>
    <w:p>
      <w:pPr>
        <w:pStyle w:val="Heading3"/>
      </w:pPr>
      <w:r>
        <w:rPr/>
        <w:t>International</w:t>
      </w:r>
      <w:r>
        <w:rPr>
          <w:spacing w:val="-12"/>
        </w:rPr>
        <w:t> </w:t>
      </w:r>
      <w:r>
        <w:rPr/>
        <w:t>Business</w:t>
      </w:r>
      <w:r>
        <w:rPr>
          <w:spacing w:val="-12"/>
        </w:rPr>
        <w:t> </w:t>
      </w:r>
      <w:r>
        <w:rPr>
          <w:spacing w:val="-2"/>
        </w:rPr>
        <w:t>Pathway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213"/>
        <w:rPr>
          <w:i/>
          <w:sz w:val="20"/>
        </w:rPr>
      </w:pPr>
      <w:r>
        <w:rPr>
          <w:i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2969996</wp:posOffset>
            </wp:positionH>
            <wp:positionV relativeFrom="paragraph">
              <wp:posOffset>296982</wp:posOffset>
            </wp:positionV>
            <wp:extent cx="1603343" cy="1603343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343" cy="1603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56"/>
        <w:rPr>
          <w:i/>
          <w:sz w:val="41"/>
        </w:rPr>
      </w:pPr>
    </w:p>
    <w:p>
      <w:pPr>
        <w:pStyle w:val="Title"/>
      </w:pPr>
      <w:r>
        <w:rPr>
          <w:color w:val="0E2C59"/>
        </w:rPr>
        <w:t>Financial</w:t>
      </w:r>
      <w:r>
        <w:rPr>
          <w:color w:val="0E2C59"/>
          <w:spacing w:val="-7"/>
        </w:rPr>
        <w:t> </w:t>
      </w:r>
      <w:r>
        <w:rPr>
          <w:color w:val="0E2C59"/>
        </w:rPr>
        <w:t>Performance</w:t>
      </w:r>
      <w:r>
        <w:rPr>
          <w:color w:val="0E2C59"/>
          <w:spacing w:val="-7"/>
        </w:rPr>
        <w:t> </w:t>
      </w:r>
      <w:r>
        <w:rPr>
          <w:color w:val="0E2C59"/>
        </w:rPr>
        <w:t>and</w:t>
      </w:r>
      <w:r>
        <w:rPr>
          <w:color w:val="0E2C59"/>
          <w:spacing w:val="-6"/>
        </w:rPr>
        <w:t> </w:t>
      </w:r>
      <w:r>
        <w:rPr>
          <w:color w:val="0E2C59"/>
          <w:spacing w:val="-2"/>
        </w:rPr>
        <w:t>Management</w:t>
      </w:r>
    </w:p>
    <w:p>
      <w:pPr>
        <w:spacing w:before="288"/>
        <w:ind w:left="0" w:right="1131" w:firstLine="0"/>
        <w:jc w:val="center"/>
        <w:rPr>
          <w:sz w:val="28"/>
        </w:rPr>
      </w:pPr>
      <w:r>
        <w:rPr>
          <w:sz w:val="28"/>
        </w:rPr>
        <w:t>A</w:t>
      </w:r>
      <w:r>
        <w:rPr>
          <w:spacing w:val="14"/>
          <w:sz w:val="28"/>
        </w:rPr>
        <w:t> </w:t>
      </w:r>
      <w:r>
        <w:rPr>
          <w:sz w:val="28"/>
        </w:rPr>
        <w:t>Case</w:t>
      </w:r>
      <w:r>
        <w:rPr>
          <w:spacing w:val="15"/>
          <w:sz w:val="28"/>
        </w:rPr>
        <w:t> </w:t>
      </w:r>
      <w:r>
        <w:rPr>
          <w:sz w:val="28"/>
        </w:rPr>
        <w:t>Study</w:t>
      </w:r>
      <w:r>
        <w:rPr>
          <w:spacing w:val="14"/>
          <w:sz w:val="28"/>
        </w:rPr>
        <w:t> </w:t>
      </w:r>
      <w:r>
        <w:rPr>
          <w:sz w:val="28"/>
        </w:rPr>
        <w:t>of</w:t>
      </w:r>
      <w:r>
        <w:rPr>
          <w:spacing w:val="15"/>
          <w:sz w:val="28"/>
        </w:rPr>
        <w:t> </w:t>
      </w:r>
      <w:r>
        <w:rPr>
          <w:sz w:val="28"/>
        </w:rPr>
        <w:t>Marriott</w:t>
      </w:r>
      <w:r>
        <w:rPr>
          <w:spacing w:val="14"/>
          <w:sz w:val="28"/>
        </w:rPr>
        <w:t> </w:t>
      </w:r>
      <w:r>
        <w:rPr>
          <w:sz w:val="28"/>
        </w:rPr>
        <w:t>International,</w:t>
      </w:r>
      <w:r>
        <w:rPr>
          <w:spacing w:val="15"/>
          <w:sz w:val="28"/>
        </w:rPr>
        <w:t> </w:t>
      </w:r>
      <w:r>
        <w:rPr>
          <w:spacing w:val="-4"/>
          <w:sz w:val="28"/>
        </w:rPr>
        <w:t>Inc.</w:t>
      </w:r>
    </w:p>
    <w:p>
      <w:pPr>
        <w:pStyle w:val="Heading3"/>
        <w:spacing w:before="213"/>
      </w:pPr>
      <w:r>
        <w:rPr>
          <w:spacing w:val="-2"/>
        </w:rPr>
        <w:t>Assessment:</w:t>
      </w:r>
      <w:r>
        <w:rPr>
          <w:spacing w:val="14"/>
        </w:rPr>
        <w:t> </w:t>
      </w:r>
      <w:r>
        <w:rPr>
          <w:spacing w:val="-2"/>
        </w:rPr>
        <w:t>Financial</w:t>
      </w:r>
      <w:r>
        <w:rPr>
          <w:spacing w:val="-1"/>
        </w:rPr>
        <w:t> </w:t>
      </w:r>
      <w:r>
        <w:rPr>
          <w:spacing w:val="-2"/>
        </w:rPr>
        <w:t>Performance</w:t>
      </w:r>
      <w:r>
        <w:rPr>
          <w:spacing w:val="-1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2"/>
        </w:rPr>
        <w:t>Management</w:t>
      </w:r>
      <w:r>
        <w:rPr>
          <w:spacing w:val="-1"/>
        </w:rPr>
        <w:t> </w:t>
      </w:r>
      <w:r>
        <w:rPr>
          <w:spacing w:val="-2"/>
        </w:rPr>
        <w:t>Report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85"/>
        <w:rPr>
          <w:i/>
          <w:sz w:val="20"/>
        </w:rPr>
      </w:pPr>
    </w:p>
    <w:tbl>
      <w:tblPr>
        <w:tblW w:w="0" w:type="auto"/>
        <w:jc w:val="left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8"/>
        <w:gridCol w:w="5066"/>
      </w:tblGrid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bookmarkStart w:name="Executive Summary" w:id="1"/>
            <w:bookmarkEnd w:id="1"/>
            <w:r>
              <w:rPr/>
            </w:r>
            <w:bookmarkStart w:name="_bookmark0" w:id="2"/>
            <w:bookmarkEnd w:id="2"/>
            <w:r>
              <w:rPr/>
            </w:r>
            <w:r>
              <w:rPr>
                <w:b/>
                <w:sz w:val="22"/>
              </w:rPr>
              <w:t>Module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z w:val="22"/>
              </w:rPr>
              <w:t>Financial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Management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Module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Code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LCMB7002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Lecturers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z w:val="22"/>
              </w:rPr>
              <w:t>Shengfeng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Mei;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Patrick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Yeboah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Internal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Verifiers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Vasilios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Tavlaridis;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Hoang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Nguyen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Student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z w:val="22"/>
              </w:rPr>
              <w:t>Aryahans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Bipinchandra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Solanki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Student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ID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2536675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Word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Count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43"/>
              <w:ind w:left="122"/>
              <w:jc w:val="left"/>
              <w:rPr>
                <w:sz w:val="22"/>
              </w:rPr>
            </w:pPr>
            <w:r>
              <w:rPr>
                <w:sz w:val="22"/>
              </w:rPr>
              <w:t>5,000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(</w:t>
            </w:r>
            <w:r>
              <w:rPr>
                <w:rFonts w:ascii="Verdana" w:hAnsi="Verdana"/>
                <w:i/>
                <w:spacing w:val="-2"/>
                <w:sz w:val="22"/>
              </w:rPr>
              <w:t>±</w:t>
            </w:r>
            <w:r>
              <w:rPr>
                <w:spacing w:val="-2"/>
                <w:sz w:val="22"/>
              </w:rPr>
              <w:t>10%)</w:t>
            </w:r>
          </w:p>
        </w:tc>
      </w:tr>
      <w:tr>
        <w:trPr>
          <w:trHeight w:val="377" w:hRule="atLeast"/>
        </w:trPr>
        <w:tc>
          <w:tcPr>
            <w:tcW w:w="2628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Submission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Date</w:t>
            </w:r>
          </w:p>
        </w:tc>
        <w:tc>
          <w:tcPr>
            <w:tcW w:w="5066" w:type="dxa"/>
          </w:tcPr>
          <w:p>
            <w:pPr>
              <w:pStyle w:val="TableParagraph"/>
              <w:spacing w:line="240" w:lineRule="auto" w:before="59"/>
              <w:ind w:left="122"/>
              <w:jc w:val="left"/>
              <w:rPr>
                <w:sz w:val="22"/>
              </w:rPr>
            </w:pPr>
            <w:r>
              <w:rPr>
                <w:sz w:val="22"/>
              </w:rPr>
              <w:t>13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August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2026</w:t>
            </w: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94"/>
        <w:rPr>
          <w:i/>
          <w:sz w:val="20"/>
        </w:rPr>
      </w:pPr>
    </w:p>
    <w:p>
      <w:pPr>
        <w:spacing w:before="0"/>
        <w:ind w:left="997" w:right="0" w:firstLine="0"/>
        <w:jc w:val="left"/>
        <w:rPr>
          <w:sz w:val="20"/>
        </w:rPr>
      </w:pPr>
      <w:r>
        <w:rPr>
          <w:sz w:val="20"/>
        </w:rPr>
        <w:t>Submitted</w:t>
      </w:r>
      <w:r>
        <w:rPr>
          <w:spacing w:val="-7"/>
          <w:sz w:val="20"/>
        </w:rPr>
        <w:t> </w:t>
      </w:r>
      <w:r>
        <w:rPr>
          <w:sz w:val="20"/>
        </w:rPr>
        <w:t>in</w:t>
      </w:r>
      <w:r>
        <w:rPr>
          <w:spacing w:val="-6"/>
          <w:sz w:val="20"/>
        </w:rPr>
        <w:t> </w:t>
      </w:r>
      <w:r>
        <w:rPr>
          <w:sz w:val="20"/>
        </w:rPr>
        <w:t>partial</w:t>
      </w:r>
      <w:r>
        <w:rPr>
          <w:spacing w:val="-6"/>
          <w:sz w:val="20"/>
        </w:rPr>
        <w:t> </w:t>
      </w:r>
      <w:r>
        <w:rPr>
          <w:sz w:val="20"/>
        </w:rPr>
        <w:t>fulfilment</w:t>
      </w:r>
      <w:r>
        <w:rPr>
          <w:spacing w:val="-7"/>
          <w:sz w:val="20"/>
        </w:rPr>
        <w:t> </w:t>
      </w:r>
      <w:r>
        <w:rPr>
          <w:sz w:val="20"/>
        </w:rPr>
        <w:t>of</w:t>
      </w:r>
      <w:r>
        <w:rPr>
          <w:spacing w:val="-6"/>
          <w:sz w:val="20"/>
        </w:rPr>
        <w:t> </w:t>
      </w:r>
      <w:r>
        <w:rPr>
          <w:sz w:val="20"/>
        </w:rPr>
        <w:t>the</w:t>
      </w:r>
      <w:r>
        <w:rPr>
          <w:spacing w:val="-6"/>
          <w:sz w:val="20"/>
        </w:rPr>
        <w:t> </w:t>
      </w:r>
      <w:r>
        <w:rPr>
          <w:sz w:val="20"/>
        </w:rPr>
        <w:t>requirements</w:t>
      </w:r>
      <w:r>
        <w:rPr>
          <w:spacing w:val="-7"/>
          <w:sz w:val="20"/>
        </w:rPr>
        <w:t> </w:t>
      </w:r>
      <w:r>
        <w:rPr>
          <w:sz w:val="20"/>
        </w:rPr>
        <w:t>of</w:t>
      </w:r>
      <w:r>
        <w:rPr>
          <w:spacing w:val="-6"/>
          <w:sz w:val="20"/>
        </w:rPr>
        <w:t> </w:t>
      </w:r>
      <w:r>
        <w:rPr>
          <w:sz w:val="20"/>
        </w:rPr>
        <w:t>the</w:t>
      </w:r>
      <w:r>
        <w:rPr>
          <w:spacing w:val="-6"/>
          <w:sz w:val="20"/>
        </w:rPr>
        <w:t> </w:t>
      </w:r>
      <w:r>
        <w:rPr>
          <w:sz w:val="20"/>
        </w:rPr>
        <w:t>Master</w:t>
      </w:r>
      <w:r>
        <w:rPr>
          <w:spacing w:val="-7"/>
          <w:sz w:val="20"/>
        </w:rPr>
        <w:t> </w:t>
      </w:r>
      <w:r>
        <w:rPr>
          <w:sz w:val="20"/>
        </w:rPr>
        <w:t>of</w:t>
      </w:r>
      <w:r>
        <w:rPr>
          <w:spacing w:val="-6"/>
          <w:sz w:val="20"/>
        </w:rPr>
        <w:t> </w:t>
      </w:r>
      <w:r>
        <w:rPr>
          <w:sz w:val="20"/>
        </w:rPr>
        <w:t>Business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Administration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1920" w:bottom="280" w:left="1275" w:right="141"/>
        </w:sectPr>
      </w:pPr>
    </w:p>
    <w:p>
      <w:pPr>
        <w:spacing w:before="100"/>
        <w:ind w:left="165" w:right="0" w:firstLine="0"/>
        <w:jc w:val="left"/>
        <w:rPr>
          <w:b/>
          <w:sz w:val="28"/>
        </w:rPr>
      </w:pPr>
      <w:r>
        <w:rPr>
          <w:b/>
          <w:spacing w:val="-2"/>
          <w:sz w:val="28"/>
        </w:rPr>
        <w:t>Contents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9190" w:val="right" w:leader="none"/>
            </w:tabs>
            <w:spacing w:before="231"/>
            <w:ind w:left="165" w:firstLine="0"/>
          </w:pPr>
          <w:hyperlink w:history="true" w:anchor="_bookmark0">
            <w:r>
              <w:rPr>
                <w:color w:val="0E2C59"/>
                <w:spacing w:val="-2"/>
              </w:rPr>
              <w:t>Executive</w:t>
            </w:r>
            <w:r>
              <w:rPr>
                <w:color w:val="0E2C59"/>
                <w:spacing w:val="1"/>
              </w:rPr>
              <w:t> </w:t>
            </w:r>
            <w:r>
              <w:rPr>
                <w:color w:val="0E2C59"/>
                <w:spacing w:val="-2"/>
              </w:rPr>
              <w:t>Summary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10"/>
            </w:rPr>
            <w:t>2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7" w:after="0"/>
            <w:ind w:left="492" w:right="0" w:hanging="327"/>
            <w:jc w:val="left"/>
          </w:pPr>
          <w:hyperlink w:history="true" w:anchor="_bookmark1">
            <w:r>
              <w:rPr>
                <w:color w:val="0E2C59"/>
                <w:spacing w:val="-2"/>
              </w:rPr>
              <w:t>Introduction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10"/>
            </w:rPr>
            <w:t>3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8" w:after="0"/>
            <w:ind w:left="492" w:right="0" w:hanging="327"/>
            <w:jc w:val="left"/>
          </w:pPr>
          <w:hyperlink w:history="true" w:anchor="_bookmark2">
            <w:r>
              <w:rPr>
                <w:color w:val="0E2C59"/>
              </w:rPr>
              <w:t>Financial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</w:rPr>
              <w:t>Health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Check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10"/>
            </w:rPr>
            <w:t>3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">
            <w:r>
              <w:rPr>
                <w:color w:val="0E2C59"/>
                <w:spacing w:val="-2"/>
              </w:rPr>
              <w:t>Five-Year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Financial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Performance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3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5">
            <w:r>
              <w:rPr>
                <w:color w:val="0E2C59"/>
                <w:spacing w:val="-2"/>
              </w:rPr>
              <w:t>Profitability</w:t>
            </w:r>
            <w:r>
              <w:rPr>
                <w:color w:val="0E2C59"/>
                <w:spacing w:val="3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4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6">
            <w:r>
              <w:rPr>
                <w:color w:val="0E2C59"/>
              </w:rPr>
              <w:t>Liquidity</w:t>
            </w:r>
            <w:r>
              <w:rPr>
                <w:color w:val="0E2C59"/>
                <w:spacing w:val="-10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5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7">
            <w:r>
              <w:rPr>
                <w:color w:val="0E2C59"/>
                <w:spacing w:val="-4"/>
              </w:rPr>
              <w:t>Efficiency</w:t>
            </w:r>
            <w:r>
              <w:rPr>
                <w:color w:val="0E2C59"/>
                <w:spacing w:val="7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6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8">
            <w:r>
              <w:rPr>
                <w:color w:val="0E2C59"/>
              </w:rPr>
              <w:t>Gearing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</w:rPr>
              <w:t>Debt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6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9">
            <w:r>
              <w:rPr>
                <w:color w:val="0E2C59"/>
                <w:spacing w:val="-2"/>
              </w:rPr>
              <w:t>Investment</w:t>
            </w:r>
            <w:r>
              <w:rPr>
                <w:color w:val="0E2C59"/>
                <w:spacing w:val="-4"/>
              </w:rPr>
              <w:t> </w:t>
            </w:r>
            <w:r>
              <w:rPr>
                <w:color w:val="0E2C59"/>
                <w:spacing w:val="-2"/>
              </w:rPr>
              <w:t>Performance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7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0">
            <w:r>
              <w:rPr>
                <w:color w:val="0E2C59"/>
              </w:rPr>
              <w:t>Cash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</w:rPr>
              <w:t>Flow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7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1">
            <w:r>
              <w:rPr>
                <w:color w:val="0E2C59"/>
              </w:rPr>
              <w:t>Overall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</w:rPr>
              <w:t>Financial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</w:rPr>
              <w:t>Strengths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Threats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8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7" w:after="0"/>
            <w:ind w:left="492" w:right="0" w:hanging="327"/>
            <w:jc w:val="left"/>
          </w:pPr>
          <w:hyperlink w:history="true" w:anchor="_bookmark12">
            <w:r>
              <w:rPr>
                <w:color w:val="0E2C59"/>
                <w:spacing w:val="-2"/>
              </w:rPr>
              <w:t>Working</w:t>
            </w:r>
            <w:r>
              <w:rPr>
                <w:color w:val="0E2C59"/>
              </w:rPr>
              <w:t> </w:t>
            </w:r>
            <w:r>
              <w:rPr>
                <w:color w:val="0E2C59"/>
                <w:spacing w:val="-2"/>
              </w:rPr>
              <w:t>Capital</w:t>
            </w:r>
            <w:r>
              <w:rPr>
                <w:color w:val="0E2C59"/>
              </w:rPr>
              <w:t> </w:t>
            </w:r>
            <w:r>
              <w:rPr>
                <w:color w:val="0E2C59"/>
                <w:spacing w:val="-2"/>
              </w:rPr>
              <w:t>Management</w:t>
            </w:r>
            <w:r>
              <w:rPr>
                <w:color w:val="0E2C59"/>
              </w:rPr>
              <w:t> </w:t>
            </w:r>
            <w:r>
              <w:rPr>
                <w:color w:val="0E2C59"/>
                <w:spacing w:val="-2"/>
              </w:rPr>
              <w:t>Analysis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10"/>
            </w:rPr>
            <w:t>8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3">
            <w:r>
              <w:rPr>
                <w:color w:val="0E2C59"/>
              </w:rPr>
              <w:t>Cash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Operating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Cycle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8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4">
            <w:r>
              <w:rPr>
                <w:color w:val="0E2C59"/>
                <w:spacing w:val="-2"/>
              </w:rPr>
              <w:t>Recommended</w:t>
            </w:r>
            <w:r>
              <w:rPr>
                <w:color w:val="0E2C59"/>
              </w:rPr>
              <w:t> </w:t>
            </w:r>
            <w:r>
              <w:rPr>
                <w:color w:val="0E2C59"/>
                <w:spacing w:val="-2"/>
              </w:rPr>
              <w:t>Working</w:t>
            </w:r>
            <w:r>
              <w:rPr>
                <w:color w:val="0E2C59"/>
                <w:spacing w:val="1"/>
              </w:rPr>
              <w:t> </w:t>
            </w:r>
            <w:r>
              <w:rPr>
                <w:color w:val="0E2C59"/>
                <w:spacing w:val="-2"/>
              </w:rPr>
              <w:t>Capital</w:t>
            </w:r>
            <w:r>
              <w:rPr>
                <w:color w:val="0E2C59"/>
              </w:rPr>
              <w:t> </w:t>
            </w:r>
            <w:r>
              <w:rPr>
                <w:color w:val="0E2C59"/>
                <w:spacing w:val="-2"/>
              </w:rPr>
              <w:t>Reforms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8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5">
            <w:r>
              <w:rPr>
                <w:color w:val="0E2C59"/>
                <w:spacing w:val="-2"/>
              </w:rPr>
              <w:t>Short-Term</w:t>
            </w:r>
            <w:r>
              <w:rPr>
                <w:color w:val="0E2C59"/>
                <w:spacing w:val="-5"/>
              </w:rPr>
              <w:t> </w:t>
            </w:r>
            <w:r>
              <w:rPr>
                <w:color w:val="0E2C59"/>
                <w:spacing w:val="-2"/>
              </w:rPr>
              <w:t>versus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  <w:spacing w:val="-2"/>
              </w:rPr>
              <w:t>Long-Term</w:t>
            </w:r>
            <w:r>
              <w:rPr>
                <w:color w:val="0E2C59"/>
                <w:spacing w:val="-5"/>
              </w:rPr>
              <w:t> </w:t>
            </w:r>
            <w:r>
              <w:rPr>
                <w:color w:val="0E2C59"/>
                <w:spacing w:val="-2"/>
              </w:rPr>
              <w:t>Financing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9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8" w:after="0"/>
            <w:ind w:left="492" w:right="0" w:hanging="327"/>
            <w:jc w:val="left"/>
          </w:pPr>
          <w:hyperlink w:history="true" w:anchor="_bookmark16">
            <w:r>
              <w:rPr>
                <w:color w:val="0E2C59"/>
              </w:rPr>
              <w:t>Strategic</w:t>
            </w:r>
            <w:r>
              <w:rPr>
                <w:color w:val="0E2C59"/>
                <w:spacing w:val="-12"/>
              </w:rPr>
              <w:t> </w:t>
            </w:r>
            <w:r>
              <w:rPr>
                <w:color w:val="0E2C59"/>
              </w:rPr>
              <w:t>Financial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</w:rPr>
              <w:t>Restructuring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  <w:spacing w:val="-4"/>
              </w:rPr>
              <w:t>Plan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10"/>
            </w:rPr>
            <w:t>9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7">
            <w:r>
              <w:rPr>
                <w:color w:val="0E2C59"/>
              </w:rPr>
              <w:t>Financial</w:t>
            </w:r>
            <w:r>
              <w:rPr>
                <w:color w:val="0E2C59"/>
                <w:spacing w:val="-10"/>
              </w:rPr>
              <w:t> </w:t>
            </w:r>
            <w:r>
              <w:rPr>
                <w:color w:val="0E2C59"/>
                <w:spacing w:val="-2"/>
              </w:rPr>
              <w:t>Challenge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9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8">
            <w:r>
              <w:rPr>
                <w:color w:val="0E2C59"/>
                <w:spacing w:val="-2"/>
              </w:rPr>
              <w:t>Recommended</w:t>
            </w:r>
            <w:r>
              <w:rPr>
                <w:color w:val="0E2C59"/>
                <w:spacing w:val="7"/>
              </w:rPr>
              <w:t> </w:t>
            </w:r>
            <w:r>
              <w:rPr>
                <w:color w:val="0E2C59"/>
                <w:spacing w:val="-2"/>
              </w:rPr>
              <w:t>Strategy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9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19">
            <w:r>
              <w:rPr>
                <w:color w:val="0E2C59"/>
              </w:rPr>
              <w:t>Impact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on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</w:rPr>
              <w:t>Shareholder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  <w:spacing w:val="-4"/>
              </w:rPr>
              <w:t>Value</w:t>
            </w:r>
          </w:hyperlink>
          <w:r>
            <w:rPr>
              <w:color w:val="0E2C59"/>
            </w:rPr>
            <w:tab/>
          </w:r>
          <w:r>
            <w:rPr>
              <w:spacing w:val="-10"/>
            </w:rPr>
            <w:t>9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0">
            <w:r>
              <w:rPr>
                <w:color w:val="0E2C59"/>
              </w:rPr>
              <w:t>International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Ethical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Considerations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10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7" w:after="0"/>
            <w:ind w:left="492" w:right="0" w:hanging="327"/>
            <w:jc w:val="left"/>
          </w:pPr>
          <w:hyperlink w:history="true" w:anchor="_bookmark21">
            <w:r>
              <w:rPr>
                <w:color w:val="0E2C59"/>
              </w:rPr>
              <w:t>Investment</w:t>
            </w:r>
            <w:r>
              <w:rPr>
                <w:color w:val="0E2C59"/>
                <w:spacing w:val="-14"/>
              </w:rPr>
              <w:t> </w:t>
            </w:r>
            <w:r>
              <w:rPr>
                <w:color w:val="0E2C59"/>
              </w:rPr>
              <w:t>Appraisal</w:t>
            </w:r>
            <w:r>
              <w:rPr>
                <w:color w:val="0E2C59"/>
                <w:spacing w:val="-13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13"/>
              </w:rPr>
              <w:t> </w:t>
            </w:r>
            <w:r>
              <w:rPr>
                <w:color w:val="0E2C59"/>
              </w:rPr>
              <w:t>Capital</w:t>
            </w:r>
            <w:r>
              <w:rPr>
                <w:color w:val="0E2C59"/>
                <w:spacing w:val="-13"/>
              </w:rPr>
              <w:t> </w:t>
            </w:r>
            <w:r>
              <w:rPr>
                <w:color w:val="0E2C59"/>
                <w:spacing w:val="-2"/>
              </w:rPr>
              <w:t>Budgeting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5"/>
            </w:rPr>
            <w:t>10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2">
            <w:r>
              <w:rPr>
                <w:color w:val="0E2C59"/>
              </w:rPr>
              <w:t>Proposed</w:t>
            </w:r>
            <w:r>
              <w:rPr>
                <w:color w:val="0E2C59"/>
                <w:spacing w:val="-10"/>
              </w:rPr>
              <w:t> </w:t>
            </w:r>
            <w:r>
              <w:rPr>
                <w:color w:val="0E2C59"/>
                <w:spacing w:val="-2"/>
              </w:rPr>
              <w:t>Projects</w:t>
            </w:r>
          </w:hyperlink>
          <w:r>
            <w:rPr>
              <w:color w:val="0E2C59"/>
            </w:rPr>
            <w:tab/>
          </w:r>
          <w:r>
            <w:rPr>
              <w:spacing w:val="-7"/>
            </w:rPr>
            <w:t>10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3">
            <w:r>
              <w:rPr>
                <w:color w:val="0E2C59"/>
              </w:rPr>
              <w:t>Payback</w:t>
            </w:r>
            <w:r>
              <w:rPr>
                <w:color w:val="0E2C59"/>
                <w:spacing w:val="-13"/>
              </w:rPr>
              <w:t> </w:t>
            </w:r>
            <w:r>
              <w:rPr>
                <w:color w:val="0E2C59"/>
                <w:spacing w:val="-2"/>
              </w:rPr>
              <w:t>Period</w:t>
            </w:r>
          </w:hyperlink>
          <w:r>
            <w:rPr>
              <w:color w:val="0E2C59"/>
            </w:rPr>
            <w:tab/>
          </w:r>
          <w:r>
            <w:rPr>
              <w:spacing w:val="-7"/>
            </w:rPr>
            <w:t>10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4">
            <w:r>
              <w:rPr>
                <w:color w:val="0E2C59"/>
              </w:rPr>
              <w:t>Accounting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</w:rPr>
              <w:t>Rate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</w:rPr>
              <w:t>of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  <w:spacing w:val="-2"/>
              </w:rPr>
              <w:t>Return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11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5">
            <w:r>
              <w:rPr>
                <w:color w:val="0E2C59"/>
              </w:rPr>
              <w:t>Net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</w:rPr>
              <w:t>Present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  <w:spacing w:val="-2"/>
              </w:rPr>
              <w:t>Value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11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6">
            <w:r>
              <w:rPr>
                <w:color w:val="0E2C59"/>
                <w:spacing w:val="-2"/>
              </w:rPr>
              <w:t>Profitability</w:t>
            </w:r>
            <w:r>
              <w:rPr>
                <w:color w:val="0E2C59"/>
                <w:spacing w:val="3"/>
              </w:rPr>
              <w:t> </w:t>
            </w:r>
            <w:r>
              <w:rPr>
                <w:color w:val="0E2C59"/>
                <w:spacing w:val="-2"/>
              </w:rPr>
              <w:t>Index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12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7">
            <w:r>
              <w:rPr>
                <w:color w:val="0E2C59"/>
              </w:rPr>
              <w:t>Internal</w:t>
            </w:r>
            <w:r>
              <w:rPr>
                <w:color w:val="0E2C59"/>
                <w:spacing w:val="-6"/>
              </w:rPr>
              <w:t> </w:t>
            </w:r>
            <w:r>
              <w:rPr>
                <w:color w:val="0E2C59"/>
              </w:rPr>
              <w:t>Rate</w:t>
            </w:r>
            <w:r>
              <w:rPr>
                <w:color w:val="0E2C59"/>
                <w:spacing w:val="-5"/>
              </w:rPr>
              <w:t> </w:t>
            </w:r>
            <w:r>
              <w:rPr>
                <w:color w:val="0E2C59"/>
              </w:rPr>
              <w:t>of</w:t>
            </w:r>
            <w:r>
              <w:rPr>
                <w:color w:val="0E2C59"/>
                <w:spacing w:val="-5"/>
              </w:rPr>
              <w:t> </w:t>
            </w:r>
            <w:r>
              <w:rPr>
                <w:color w:val="0E2C59"/>
                <w:spacing w:val="-2"/>
              </w:rPr>
              <w:t>Return</w:t>
            </w:r>
          </w:hyperlink>
          <w:r>
            <w:rPr>
              <w:color w:val="0E2C59"/>
            </w:rPr>
            <w:tab/>
          </w:r>
          <w:r>
            <w:rPr>
              <w:spacing w:val="-7"/>
            </w:rPr>
            <w:t>12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8">
            <w:r>
              <w:rPr>
                <w:color w:val="0E2C59"/>
              </w:rPr>
              <w:t>Overall</w:t>
            </w:r>
            <w:r>
              <w:rPr>
                <w:color w:val="0E2C59"/>
                <w:spacing w:val="-10"/>
              </w:rPr>
              <w:t> </w:t>
            </w:r>
            <w:r>
              <w:rPr>
                <w:color w:val="0E2C59"/>
              </w:rPr>
              <w:t>Project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Comparison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12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29">
            <w:r>
              <w:rPr>
                <w:color w:val="0E2C59"/>
              </w:rPr>
              <w:t>Recommendation</w:t>
            </w:r>
            <w:r>
              <w:rPr>
                <w:color w:val="0E2C59"/>
                <w:spacing w:val="-12"/>
              </w:rPr>
              <w:t> </w:t>
            </w:r>
            <w:r>
              <w:rPr>
                <w:color w:val="0E2C59"/>
              </w:rPr>
              <w:t>Based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</w:rPr>
              <w:t>on</w:t>
            </w:r>
            <w:r>
              <w:rPr>
                <w:color w:val="0E2C59"/>
                <w:spacing w:val="-12"/>
              </w:rPr>
              <w:t> </w:t>
            </w:r>
            <w:r>
              <w:rPr>
                <w:color w:val="0E2C59"/>
              </w:rPr>
              <w:t>Marriott’s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</w:rPr>
              <w:t>Financial</w:t>
            </w:r>
            <w:r>
              <w:rPr>
                <w:color w:val="0E2C59"/>
                <w:spacing w:val="-12"/>
              </w:rPr>
              <w:t> </w:t>
            </w:r>
            <w:r>
              <w:rPr>
                <w:color w:val="0E2C59"/>
                <w:spacing w:val="-2"/>
              </w:rPr>
              <w:t>Position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12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0">
            <w:r>
              <w:rPr>
                <w:color w:val="0E2C59"/>
              </w:rPr>
              <w:t>Capital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Rationing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13</w:t>
          </w:r>
        </w:p>
        <w:p>
          <w:pPr>
            <w:pStyle w:val="TOC2"/>
            <w:numPr>
              <w:ilvl w:val="1"/>
              <w:numId w:val="1"/>
            </w:numPr>
            <w:tabs>
              <w:tab w:pos="993" w:val="left" w:leader="none"/>
              <w:tab w:pos="9190" w:val="right" w:leader="dot"/>
            </w:tabs>
            <w:spacing w:line="240" w:lineRule="auto" w:before="18" w:after="0"/>
            <w:ind w:left="993" w:right="0" w:hanging="501"/>
            <w:jc w:val="left"/>
          </w:pPr>
          <w:hyperlink w:history="true" w:anchor="_bookmark31">
            <w:r>
              <w:rPr>
                <w:color w:val="0E2C59"/>
              </w:rPr>
              <w:t>Non-Financial</w:t>
            </w:r>
            <w:r>
              <w:rPr>
                <w:color w:val="0E2C59"/>
                <w:spacing w:val="-14"/>
              </w:rPr>
              <w:t> </w:t>
            </w:r>
            <w:r>
              <w:rPr>
                <w:color w:val="0E2C59"/>
                <w:spacing w:val="-2"/>
              </w:rPr>
              <w:t>Risks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13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8" w:after="0"/>
            <w:ind w:left="492" w:right="0" w:hanging="327"/>
            <w:jc w:val="left"/>
          </w:pPr>
          <w:hyperlink w:history="true" w:anchor="_bookmark32">
            <w:r>
              <w:rPr>
                <w:color w:val="0E2C59"/>
              </w:rPr>
              <w:t>Critical</w:t>
            </w:r>
            <w:r>
              <w:rPr>
                <w:color w:val="0E2C59"/>
                <w:spacing w:val="-12"/>
              </w:rPr>
              <w:t> </w:t>
            </w:r>
            <w:r>
              <w:rPr>
                <w:color w:val="0E2C59"/>
              </w:rPr>
              <w:t>Reflection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</w:rPr>
              <w:t>on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</w:rPr>
              <w:t>AI</w:t>
            </w:r>
            <w:r>
              <w:rPr>
                <w:color w:val="0E2C59"/>
                <w:spacing w:val="-11"/>
              </w:rPr>
              <w:t> </w:t>
            </w:r>
            <w:r>
              <w:rPr>
                <w:color w:val="0E2C59"/>
                <w:spacing w:val="-2"/>
              </w:rPr>
              <w:t>Usage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5"/>
            </w:rPr>
            <w:t>14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3">
            <w:r>
              <w:rPr>
                <w:color w:val="0E2C59"/>
              </w:rPr>
              <w:t>AI</w:t>
            </w:r>
            <w:r>
              <w:rPr>
                <w:color w:val="0E2C59"/>
                <w:spacing w:val="-14"/>
              </w:rPr>
              <w:t> </w:t>
            </w:r>
            <w:r>
              <w:rPr>
                <w:color w:val="0E2C59"/>
              </w:rPr>
              <w:t>Tool</w:t>
            </w:r>
            <w:r>
              <w:rPr>
                <w:color w:val="0E2C59"/>
                <w:spacing w:val="-13"/>
              </w:rPr>
              <w:t> </w:t>
            </w:r>
            <w:r>
              <w:rPr>
                <w:color w:val="0E2C59"/>
                <w:spacing w:val="-2"/>
              </w:rPr>
              <w:t>Disclosure</w:t>
            </w:r>
          </w:hyperlink>
          <w:r>
            <w:rPr>
              <w:color w:val="0E2C59"/>
            </w:rPr>
            <w:tab/>
          </w:r>
          <w:r>
            <w:rPr>
              <w:spacing w:val="-7"/>
            </w:rPr>
            <w:t>14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4">
            <w:r>
              <w:rPr>
                <w:color w:val="0E2C59"/>
                <w:spacing w:val="-2"/>
              </w:rPr>
              <w:t>Verification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of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AI</w:t>
            </w:r>
            <w:r>
              <w:rPr>
                <w:color w:val="0E2C59"/>
                <w:spacing w:val="-9"/>
              </w:rPr>
              <w:t> </w:t>
            </w:r>
            <w:r>
              <w:rPr>
                <w:color w:val="0E2C59"/>
                <w:spacing w:val="-2"/>
              </w:rPr>
              <w:t>Output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14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5">
            <w:r>
              <w:rPr>
                <w:color w:val="0E2C59"/>
              </w:rPr>
              <w:t>AI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Contribution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</w:rPr>
              <w:t>My</w:t>
            </w:r>
            <w:r>
              <w:rPr>
                <w:color w:val="0E2C59"/>
                <w:spacing w:val="-7"/>
              </w:rPr>
              <w:t> </w:t>
            </w:r>
            <w:r>
              <w:rPr>
                <w:color w:val="0E2C59"/>
                <w:spacing w:val="-2"/>
              </w:rPr>
              <w:t>Contribution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14</w:t>
          </w:r>
        </w:p>
        <w:p>
          <w:pPr>
            <w:pStyle w:val="TOC2"/>
            <w:numPr>
              <w:ilvl w:val="1"/>
              <w:numId w:val="1"/>
            </w:numPr>
            <w:tabs>
              <w:tab w:pos="994" w:val="left" w:leader="none"/>
              <w:tab w:pos="9190" w:val="right" w:leader="dot"/>
            </w:tabs>
            <w:spacing w:line="240" w:lineRule="auto" w:before="18" w:after="0"/>
            <w:ind w:left="994" w:right="0" w:hanging="502"/>
            <w:jc w:val="left"/>
          </w:pPr>
          <w:hyperlink w:history="true" w:anchor="_bookmark36">
            <w:r>
              <w:rPr>
                <w:color w:val="0E2C59"/>
              </w:rPr>
              <w:t>Ethical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and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</w:rPr>
              <w:t>Professional</w:t>
            </w:r>
            <w:r>
              <w:rPr>
                <w:color w:val="0E2C59"/>
                <w:spacing w:val="-8"/>
              </w:rPr>
              <w:t> </w:t>
            </w:r>
            <w:r>
              <w:rPr>
                <w:color w:val="0E2C59"/>
                <w:spacing w:val="-2"/>
              </w:rPr>
              <w:t>Reflection</w:t>
            </w:r>
          </w:hyperlink>
          <w:r>
            <w:rPr>
              <w:color w:val="0E2C59"/>
            </w:rPr>
            <w:tab/>
          </w:r>
          <w:r>
            <w:rPr>
              <w:spacing w:val="-5"/>
            </w:rPr>
            <w:t>14</w:t>
          </w:r>
        </w:p>
        <w:p>
          <w:pPr>
            <w:pStyle w:val="TOC1"/>
            <w:numPr>
              <w:ilvl w:val="0"/>
              <w:numId w:val="1"/>
            </w:numPr>
            <w:tabs>
              <w:tab w:pos="492" w:val="left" w:leader="none"/>
              <w:tab w:pos="9190" w:val="right" w:leader="none"/>
            </w:tabs>
            <w:spacing w:line="240" w:lineRule="auto" w:before="138" w:after="0"/>
            <w:ind w:left="492" w:right="0" w:hanging="327"/>
            <w:jc w:val="left"/>
          </w:pPr>
          <w:hyperlink w:history="true" w:anchor="_bookmark37">
            <w:r>
              <w:rPr>
                <w:color w:val="0E2C59"/>
                <w:spacing w:val="-2"/>
              </w:rPr>
              <w:t>Conclusion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5"/>
            </w:rPr>
            <w:t>15</w:t>
          </w:r>
        </w:p>
        <w:p>
          <w:pPr>
            <w:pStyle w:val="TOC1"/>
            <w:tabs>
              <w:tab w:pos="9190" w:val="right" w:leader="none"/>
            </w:tabs>
            <w:ind w:left="164" w:firstLine="0"/>
          </w:pPr>
          <w:hyperlink w:history="true" w:anchor="_bookmark37">
            <w:r>
              <w:rPr>
                <w:color w:val="0E2C59"/>
                <w:spacing w:val="-2"/>
              </w:rPr>
              <w:t>References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5"/>
            </w:rPr>
            <w:t>16</w:t>
          </w:r>
        </w:p>
        <w:p>
          <w:pPr>
            <w:pStyle w:val="TOC1"/>
            <w:tabs>
              <w:tab w:pos="9190" w:val="right" w:leader="none"/>
            </w:tabs>
            <w:spacing w:before="138"/>
            <w:ind w:left="164" w:firstLine="0"/>
          </w:pPr>
          <w:hyperlink w:history="true" w:anchor="_bookmark37">
            <w:r>
              <w:rPr>
                <w:color w:val="0E2C59"/>
                <w:spacing w:val="-2"/>
              </w:rPr>
              <w:t>Appendices</w:t>
            </w:r>
          </w:hyperlink>
          <w:r>
            <w:rPr>
              <w:b w:val="0"/>
              <w:color w:val="0E2C59"/>
            </w:rPr>
            <w:tab/>
          </w:r>
          <w:r>
            <w:rPr>
              <w:spacing w:val="-5"/>
            </w:rPr>
            <w:t>17</w:t>
          </w:r>
        </w:p>
      </w:sdtContent>
    </w:sdt>
    <w:p>
      <w:pPr>
        <w:pStyle w:val="TOC1"/>
        <w:spacing w:after="0"/>
        <w:sectPr>
          <w:pgSz w:w="11910" w:h="16840"/>
          <w:pgMar w:top="1280" w:bottom="280" w:left="1275" w:right="141"/>
        </w:sectPr>
      </w:pPr>
    </w:p>
    <w:p>
      <w:pPr>
        <w:pStyle w:val="Heading1"/>
        <w:ind w:left="165" w:firstLine="0"/>
        <w:jc w:val="both"/>
      </w:pPr>
      <w:r>
        <w:rPr>
          <w:color w:val="0E2C59"/>
        </w:rPr>
        <w:t>Executive</w:t>
      </w:r>
      <w:r>
        <w:rPr>
          <w:color w:val="0E2C59"/>
          <w:spacing w:val="18"/>
        </w:rPr>
        <w:t> </w:t>
      </w:r>
      <w:r>
        <w:rPr>
          <w:color w:val="0E2C59"/>
          <w:spacing w:val="-2"/>
        </w:rPr>
        <w:t>Summary</w:t>
      </w:r>
    </w:p>
    <w:p>
      <w:pPr>
        <w:pStyle w:val="BodyText"/>
        <w:spacing w:line="256" w:lineRule="auto" w:before="230"/>
        <w:ind w:left="165" w:right="1296"/>
        <w:jc w:val="both"/>
      </w:pPr>
      <w:r>
        <w:rPr/>
        <w:t>This report evaluates the financial performance and financial management of Marriott </w:t>
      </w:r>
      <w:r>
        <w:rPr/>
        <w:t>International, Inc. over the five-year period from 2021 to 2025.</w:t>
      </w:r>
      <w:r>
        <w:rPr>
          <w:spacing w:val="40"/>
        </w:rPr>
        <w:t> </w:t>
      </w:r>
      <w:r>
        <w:rPr/>
        <w:t>Marriott International is one of the world’s leading hospitality companies.</w:t>
      </w:r>
      <w:r>
        <w:rPr>
          <w:spacing w:val="40"/>
        </w:rPr>
        <w:t> </w:t>
      </w:r>
      <w:r>
        <w:rPr/>
        <w:t>The company operates, manages, franchises and licenses a large portfolio of hotel and lodging brands across international markets.</w:t>
      </w:r>
      <w:r>
        <w:rPr>
          <w:spacing w:val="40"/>
        </w:rPr>
        <w:t> </w:t>
      </w:r>
      <w:r>
        <w:rPr/>
        <w:t>Marriott states that its portfolio includes more than</w:t>
      </w:r>
      <w:r>
        <w:rPr>
          <w:spacing w:val="-12"/>
        </w:rPr>
        <w:t> </w:t>
      </w:r>
      <w:r>
        <w:rPr/>
        <w:t>30</w:t>
      </w:r>
      <w:r>
        <w:rPr>
          <w:spacing w:val="-12"/>
        </w:rPr>
        <w:t> </w:t>
      </w:r>
      <w:r>
        <w:rPr/>
        <w:t>brands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more</w:t>
      </w:r>
      <w:r>
        <w:rPr>
          <w:spacing w:val="-12"/>
        </w:rPr>
        <w:t> </w:t>
      </w:r>
      <w:r>
        <w:rPr/>
        <w:t>than</w:t>
      </w:r>
      <w:r>
        <w:rPr>
          <w:spacing w:val="-12"/>
        </w:rPr>
        <w:t> </w:t>
      </w:r>
      <w:r>
        <w:rPr/>
        <w:t>9,900</w:t>
      </w:r>
      <w:r>
        <w:rPr>
          <w:spacing w:val="-12"/>
        </w:rPr>
        <w:t> </w:t>
      </w:r>
      <w:r>
        <w:rPr/>
        <w:t>properties</w:t>
      </w:r>
      <w:r>
        <w:rPr>
          <w:spacing w:val="-12"/>
        </w:rPr>
        <w:t> </w:t>
      </w:r>
      <w:r>
        <w:rPr/>
        <w:t>across</w:t>
      </w:r>
      <w:r>
        <w:rPr>
          <w:spacing w:val="-12"/>
        </w:rPr>
        <w:t> </w:t>
      </w:r>
      <w:r>
        <w:rPr/>
        <w:t>146</w:t>
      </w:r>
      <w:r>
        <w:rPr>
          <w:spacing w:val="-12"/>
        </w:rPr>
        <w:t> </w:t>
      </w:r>
      <w:r>
        <w:rPr/>
        <w:t>countries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territories. Its</w:t>
      </w:r>
      <w:r>
        <w:rPr>
          <w:spacing w:val="-12"/>
        </w:rPr>
        <w:t> </w:t>
      </w:r>
      <w:r>
        <w:rPr/>
        <w:t>business</w:t>
      </w:r>
      <w:r>
        <w:rPr>
          <w:spacing w:val="-12"/>
        </w:rPr>
        <w:t> </w:t>
      </w:r>
      <w:r>
        <w:rPr/>
        <w:t>model</w:t>
      </w:r>
      <w:r>
        <w:rPr>
          <w:spacing w:val="-12"/>
        </w:rPr>
        <w:t> </w:t>
      </w:r>
      <w:r>
        <w:rPr/>
        <w:t>is mainly</w:t>
      </w:r>
      <w:r>
        <w:rPr>
          <w:spacing w:val="-6"/>
        </w:rPr>
        <w:t> </w:t>
      </w:r>
      <w:r>
        <w:rPr/>
        <w:t>asset-light,</w:t>
      </w:r>
      <w:r>
        <w:rPr>
          <w:spacing w:val="-5"/>
        </w:rPr>
        <w:t> </w:t>
      </w:r>
      <w:r>
        <w:rPr/>
        <w:t>with</w:t>
      </w:r>
      <w:r>
        <w:rPr>
          <w:spacing w:val="-6"/>
        </w:rPr>
        <w:t> </w:t>
      </w:r>
      <w:r>
        <w:rPr/>
        <w:t>most</w:t>
      </w:r>
      <w:r>
        <w:rPr>
          <w:spacing w:val="-6"/>
        </w:rPr>
        <w:t> </w:t>
      </w:r>
      <w:r>
        <w:rPr/>
        <w:t>properties</w:t>
      </w:r>
      <w:r>
        <w:rPr>
          <w:spacing w:val="-6"/>
        </w:rPr>
        <w:t> </w:t>
      </w:r>
      <w:r>
        <w:rPr/>
        <w:t>owned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independent</w:t>
      </w:r>
      <w:r>
        <w:rPr>
          <w:spacing w:val="-6"/>
        </w:rPr>
        <w:t> </w:t>
      </w:r>
      <w:r>
        <w:rPr/>
        <w:t>hotel</w:t>
      </w:r>
      <w:r>
        <w:rPr>
          <w:spacing w:val="-6"/>
        </w:rPr>
        <w:t> </w:t>
      </w:r>
      <w:r>
        <w:rPr/>
        <w:t>owners</w:t>
      </w:r>
      <w:r>
        <w:rPr>
          <w:spacing w:val="-6"/>
        </w:rPr>
        <w:t> </w:t>
      </w:r>
      <w:r>
        <w:rPr/>
        <w:t>rather</w:t>
      </w:r>
      <w:r>
        <w:rPr>
          <w:spacing w:val="-6"/>
        </w:rPr>
        <w:t> </w:t>
      </w:r>
      <w:r>
        <w:rPr/>
        <w:t>than</w:t>
      </w:r>
      <w:r>
        <w:rPr>
          <w:spacing w:val="-6"/>
        </w:rPr>
        <w:t> </w:t>
      </w:r>
      <w:r>
        <w:rPr/>
        <w:t>Marriott</w:t>
      </w:r>
      <w:r>
        <w:rPr>
          <w:spacing w:val="-6"/>
        </w:rPr>
        <w:t> </w:t>
      </w:r>
      <w:r>
        <w:rPr/>
        <w:t>itself. This</w:t>
      </w:r>
      <w:r>
        <w:rPr>
          <w:spacing w:val="-5"/>
        </w:rPr>
        <w:t> </w:t>
      </w:r>
      <w:r>
        <w:rPr/>
        <w:t>model</w:t>
      </w:r>
      <w:r>
        <w:rPr>
          <w:spacing w:val="-5"/>
        </w:rPr>
        <w:t> </w:t>
      </w:r>
      <w:r>
        <w:rPr/>
        <w:t>allows</w:t>
      </w:r>
      <w:r>
        <w:rPr>
          <w:spacing w:val="-5"/>
        </w:rPr>
        <w:t> </w:t>
      </w:r>
      <w:r>
        <w:rPr/>
        <w:t>Marriott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generate</w:t>
      </w:r>
      <w:r>
        <w:rPr>
          <w:spacing w:val="-5"/>
        </w:rPr>
        <w:t> </w:t>
      </w:r>
      <w:r>
        <w:rPr/>
        <w:t>significant</w:t>
      </w:r>
      <w:r>
        <w:rPr>
          <w:spacing w:val="-5"/>
        </w:rPr>
        <w:t> </w:t>
      </w:r>
      <w:r>
        <w:rPr/>
        <w:t>fee</w:t>
      </w:r>
      <w:r>
        <w:rPr>
          <w:spacing w:val="-5"/>
        </w:rPr>
        <w:t> </w:t>
      </w:r>
      <w:r>
        <w:rPr/>
        <w:t>income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having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invest</w:t>
      </w:r>
      <w:r>
        <w:rPr>
          <w:spacing w:val="-5"/>
        </w:rPr>
        <w:t> </w:t>
      </w:r>
      <w:r>
        <w:rPr/>
        <w:t>heavily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hotel property ownership </w:t>
      </w:r>
      <w:hyperlink w:history="true" w:anchor="_bookmark40">
        <w:r>
          <w:rPr>
            <w:color w:val="0E2C59"/>
          </w:rPr>
          <w:t>[5]</w:t>
        </w:r>
      </w:hyperlink>
      <w:r>
        <w:rPr/>
        <w:t>.</w:t>
      </w:r>
    </w:p>
    <w:p>
      <w:pPr>
        <w:pStyle w:val="BodyText"/>
        <w:spacing w:line="256" w:lineRule="auto" w:before="138"/>
        <w:ind w:left="165" w:right="1296"/>
        <w:jc w:val="both"/>
      </w:pPr>
      <w:r>
        <w:rPr/>
        <w:t>The</w:t>
      </w:r>
      <w:r>
        <w:rPr>
          <w:spacing w:val="-9"/>
        </w:rPr>
        <w:t> </w:t>
      </w:r>
      <w:r>
        <w:rPr/>
        <w:t>financial</w:t>
      </w:r>
      <w:r>
        <w:rPr>
          <w:spacing w:val="-9"/>
        </w:rPr>
        <w:t> </w:t>
      </w:r>
      <w:r>
        <w:rPr/>
        <w:t>analysis</w:t>
      </w:r>
      <w:r>
        <w:rPr>
          <w:spacing w:val="-9"/>
        </w:rPr>
        <w:t> </w:t>
      </w:r>
      <w:r>
        <w:rPr/>
        <w:t>shows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strong</w:t>
      </w:r>
      <w:r>
        <w:rPr>
          <w:spacing w:val="-9"/>
        </w:rPr>
        <w:t> </w:t>
      </w:r>
      <w:r>
        <w:rPr/>
        <w:t>recovery</w:t>
      </w:r>
      <w:r>
        <w:rPr>
          <w:spacing w:val="-9"/>
        </w:rPr>
        <w:t> </w:t>
      </w:r>
      <w:r>
        <w:rPr/>
        <w:t>after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disruption</w:t>
      </w:r>
      <w:r>
        <w:rPr>
          <w:spacing w:val="-9"/>
        </w:rPr>
        <w:t> </w:t>
      </w:r>
      <w:r>
        <w:rPr/>
        <w:t>caused</w:t>
      </w:r>
      <w:r>
        <w:rPr>
          <w:spacing w:val="-9"/>
        </w:rPr>
        <w:t> </w:t>
      </w:r>
      <w:r>
        <w:rPr/>
        <w:t>by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COVID-19</w:t>
      </w:r>
      <w:r>
        <w:rPr>
          <w:spacing w:val="-9"/>
        </w:rPr>
        <w:t> </w:t>
      </w:r>
      <w:r>
        <w:rPr/>
        <w:t>pandemic. Revenue</w:t>
      </w:r>
      <w:r>
        <w:rPr>
          <w:spacing w:val="-5"/>
        </w:rPr>
        <w:t> </w:t>
      </w:r>
      <w:r>
        <w:rPr/>
        <w:t>increased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$13.857</w:t>
      </w:r>
      <w:r>
        <w:rPr>
          <w:spacing w:val="-5"/>
        </w:rPr>
        <w:t> </w:t>
      </w:r>
      <w:r>
        <w:rPr/>
        <w:t>billion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2021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$26.186</w:t>
      </w:r>
      <w:r>
        <w:rPr>
          <w:spacing w:val="-5"/>
        </w:rPr>
        <w:t> </w:t>
      </w:r>
      <w:r>
        <w:rPr/>
        <w:t>billion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2025. Net</w:t>
      </w:r>
      <w:r>
        <w:rPr>
          <w:spacing w:val="-5"/>
        </w:rPr>
        <w:t> </w:t>
      </w:r>
      <w:r>
        <w:rPr/>
        <w:t>income</w:t>
      </w:r>
      <w:r>
        <w:rPr>
          <w:spacing w:val="-5"/>
        </w:rPr>
        <w:t> </w:t>
      </w:r>
      <w:r>
        <w:rPr/>
        <w:t>also</w:t>
      </w:r>
      <w:r>
        <w:rPr>
          <w:spacing w:val="-5"/>
        </w:rPr>
        <w:t> </w:t>
      </w:r>
      <w:r>
        <w:rPr/>
        <w:t>improved significantly,</w:t>
      </w:r>
      <w:r>
        <w:rPr>
          <w:spacing w:val="4"/>
        </w:rPr>
        <w:t> </w:t>
      </w:r>
      <w:r>
        <w:rPr/>
        <w:t>from</w:t>
      </w:r>
      <w:r>
        <w:rPr>
          <w:spacing w:val="2"/>
        </w:rPr>
        <w:t> </w:t>
      </w:r>
      <w:r>
        <w:rPr/>
        <w:t>$1.099</w:t>
      </w:r>
      <w:r>
        <w:rPr>
          <w:spacing w:val="2"/>
        </w:rPr>
        <w:t> </w:t>
      </w:r>
      <w:r>
        <w:rPr/>
        <w:t>billion</w:t>
      </w:r>
      <w:r>
        <w:rPr>
          <w:spacing w:val="2"/>
        </w:rPr>
        <w:t> </w:t>
      </w:r>
      <w:r>
        <w:rPr/>
        <w:t>in</w:t>
      </w:r>
      <w:r>
        <w:rPr>
          <w:spacing w:val="2"/>
        </w:rPr>
        <w:t> </w:t>
      </w:r>
      <w:r>
        <w:rPr/>
        <w:t>2021</w:t>
      </w:r>
      <w:r>
        <w:rPr>
          <w:spacing w:val="2"/>
        </w:rPr>
        <w:t> </w:t>
      </w:r>
      <w:r>
        <w:rPr/>
        <w:t>to</w:t>
      </w:r>
      <w:r>
        <w:rPr>
          <w:spacing w:val="1"/>
        </w:rPr>
        <w:t> </w:t>
      </w:r>
      <w:r>
        <w:rPr/>
        <w:t>$2.601</w:t>
      </w:r>
      <w:r>
        <w:rPr>
          <w:spacing w:val="2"/>
        </w:rPr>
        <w:t> </w:t>
      </w:r>
      <w:r>
        <w:rPr/>
        <w:t>billion</w:t>
      </w:r>
      <w:r>
        <w:rPr>
          <w:spacing w:val="2"/>
        </w:rPr>
        <w:t> </w:t>
      </w:r>
      <w:r>
        <w:rPr/>
        <w:t>in</w:t>
      </w:r>
      <w:r>
        <w:rPr>
          <w:spacing w:val="2"/>
        </w:rPr>
        <w:t> </w:t>
      </w:r>
      <w:r>
        <w:rPr/>
        <w:t>2025.</w:t>
      </w:r>
      <w:r>
        <w:rPr>
          <w:spacing w:val="32"/>
        </w:rPr>
        <w:t> </w:t>
      </w:r>
      <w:r>
        <w:rPr/>
        <w:t>Operating</w:t>
      </w:r>
      <w:r>
        <w:rPr>
          <w:spacing w:val="2"/>
        </w:rPr>
        <w:t> </w:t>
      </w:r>
      <w:r>
        <w:rPr/>
        <w:t>income</w:t>
      </w:r>
      <w:r>
        <w:rPr>
          <w:spacing w:val="2"/>
        </w:rPr>
        <w:t> </w:t>
      </w:r>
      <w:r>
        <w:rPr/>
        <w:t>increased</w:t>
      </w:r>
      <w:r>
        <w:rPr>
          <w:spacing w:val="2"/>
        </w:rPr>
        <w:t> </w:t>
      </w:r>
      <w:r>
        <w:rPr>
          <w:spacing w:val="-4"/>
        </w:rPr>
        <w:t>from</w:t>
      </w:r>
    </w:p>
    <w:p>
      <w:pPr>
        <w:pStyle w:val="BodyText"/>
        <w:spacing w:line="256" w:lineRule="auto" w:before="1"/>
        <w:ind w:left="165" w:right="1296"/>
        <w:jc w:val="both"/>
      </w:pPr>
      <w:r>
        <w:rPr/>
        <w:t>$1.750 billion to $4.141 billion over the same period.</w:t>
      </w:r>
      <w:r>
        <w:rPr>
          <w:spacing w:val="40"/>
        </w:rPr>
        <w:t> </w:t>
      </w:r>
      <w:r>
        <w:rPr/>
        <w:t>However, the company has a weak short-term liquidity</w:t>
      </w:r>
      <w:r>
        <w:rPr>
          <w:spacing w:val="-14"/>
        </w:rPr>
        <w:t> </w:t>
      </w:r>
      <w:r>
        <w:rPr/>
        <w:t>position:</w:t>
      </w:r>
      <w:r>
        <w:rPr>
          <w:spacing w:val="-6"/>
        </w:rPr>
        <w:t> </w:t>
      </w:r>
      <w:r>
        <w:rPr/>
        <w:t>the</w:t>
      </w:r>
      <w:r>
        <w:rPr>
          <w:spacing w:val="-13"/>
        </w:rPr>
        <w:t> </w:t>
      </w:r>
      <w:r>
        <w:rPr/>
        <w:t>current</w:t>
      </w:r>
      <w:r>
        <w:rPr>
          <w:spacing w:val="-14"/>
        </w:rPr>
        <w:t> </w:t>
      </w:r>
      <w:r>
        <w:rPr/>
        <w:t>ratio</w:t>
      </w:r>
      <w:r>
        <w:rPr>
          <w:spacing w:val="-14"/>
        </w:rPr>
        <w:t> </w:t>
      </w:r>
      <w:r>
        <w:rPr/>
        <w:t>fell</w:t>
      </w:r>
      <w:r>
        <w:rPr>
          <w:spacing w:val="-14"/>
        </w:rPr>
        <w:t> </w:t>
      </w:r>
      <w:r>
        <w:rPr/>
        <w:t>from</w:t>
      </w:r>
      <w:r>
        <w:rPr>
          <w:spacing w:val="-13"/>
        </w:rPr>
        <w:t> </w:t>
      </w:r>
      <w:r>
        <w:rPr/>
        <w:t>0.57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2021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around</w:t>
      </w:r>
      <w:r>
        <w:rPr>
          <w:spacing w:val="-14"/>
        </w:rPr>
        <w:t> </w:t>
      </w:r>
      <w:r>
        <w:rPr/>
        <w:t>0.43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2025.</w:t>
      </w:r>
      <w:r>
        <w:rPr>
          <w:spacing w:val="3"/>
        </w:rPr>
        <w:t> </w:t>
      </w:r>
      <w:r>
        <w:rPr/>
        <w:t>Marriott</w:t>
      </w:r>
      <w:r>
        <w:rPr>
          <w:spacing w:val="-14"/>
        </w:rPr>
        <w:t> </w:t>
      </w:r>
      <w:r>
        <w:rPr/>
        <w:t>itself</w:t>
      </w:r>
      <w:r>
        <w:rPr>
          <w:spacing w:val="-14"/>
        </w:rPr>
        <w:t> </w:t>
      </w:r>
      <w:r>
        <w:rPr/>
        <w:t>reported a current ratio of 0.4 to 1.0 at both year-end 2024 and 2025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 analysis also shows increasing financial leverage.</w:t>
      </w:r>
      <w:r>
        <w:rPr>
          <w:spacing w:val="33"/>
        </w:rPr>
        <w:t> </w:t>
      </w:r>
      <w:r>
        <w:rPr/>
        <w:t>Total debt increased substantially, while share-holders’ equity became negative because of the company’s large treasury stock purchases, meaning traditional</w:t>
      </w:r>
      <w:r>
        <w:rPr>
          <w:spacing w:val="-5"/>
        </w:rPr>
        <w:t> </w:t>
      </w:r>
      <w:r>
        <w:rPr/>
        <w:t>debt-to-equity</w:t>
      </w:r>
      <w:r>
        <w:rPr>
          <w:spacing w:val="-5"/>
        </w:rPr>
        <w:t> </w:t>
      </w:r>
      <w:r>
        <w:rPr/>
        <w:t>analysis</w:t>
      </w:r>
      <w:r>
        <w:rPr>
          <w:spacing w:val="-5"/>
        </w:rPr>
        <w:t> </w:t>
      </w:r>
      <w:r>
        <w:rPr/>
        <w:t>becomes</w:t>
      </w:r>
      <w:r>
        <w:rPr>
          <w:spacing w:val="-5"/>
        </w:rPr>
        <w:t> </w:t>
      </w:r>
      <w:r>
        <w:rPr/>
        <w:t>less</w:t>
      </w:r>
      <w:r>
        <w:rPr>
          <w:spacing w:val="-5"/>
        </w:rPr>
        <w:t> </w:t>
      </w:r>
      <w:r>
        <w:rPr/>
        <w:t>meaningful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latest</w:t>
      </w:r>
      <w:r>
        <w:rPr>
          <w:spacing w:val="-5"/>
        </w:rPr>
        <w:t> </w:t>
      </w:r>
      <w:r>
        <w:rPr/>
        <w:t>years.</w:t>
      </w:r>
      <w:r>
        <w:rPr>
          <w:spacing w:val="15"/>
        </w:rPr>
        <w:t> </w:t>
      </w:r>
      <w:r>
        <w:rPr/>
        <w:t>However,</w:t>
      </w:r>
      <w:r>
        <w:rPr>
          <w:spacing w:val="-4"/>
        </w:rPr>
        <w:t> </w:t>
      </w:r>
      <w:r>
        <w:rPr/>
        <w:t>Marriott</w:t>
      </w:r>
      <w:r>
        <w:rPr>
          <w:spacing w:val="-5"/>
        </w:rPr>
        <w:t> </w:t>
      </w:r>
      <w:r>
        <w:rPr/>
        <w:t>con-tinues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generate</w:t>
      </w:r>
      <w:r>
        <w:rPr>
          <w:spacing w:val="-12"/>
        </w:rPr>
        <w:t> </w:t>
      </w:r>
      <w:r>
        <w:rPr/>
        <w:t>strong</w:t>
      </w:r>
      <w:r>
        <w:rPr>
          <w:spacing w:val="-12"/>
        </w:rPr>
        <w:t> </w:t>
      </w:r>
      <w:r>
        <w:rPr/>
        <w:t>operating</w:t>
      </w:r>
      <w:r>
        <w:rPr>
          <w:spacing w:val="-12"/>
        </w:rPr>
        <w:t> </w:t>
      </w:r>
      <w:r>
        <w:rPr/>
        <w:t>cash</w:t>
      </w:r>
      <w:r>
        <w:rPr>
          <w:spacing w:val="-12"/>
        </w:rPr>
        <w:t> </w:t>
      </w:r>
      <w:r>
        <w:rPr/>
        <w:t>flow</w:t>
      </w:r>
      <w:r>
        <w:rPr>
          <w:spacing w:val="-12"/>
        </w:rPr>
        <w:t> </w:t>
      </w:r>
      <w:r>
        <w:rPr/>
        <w:t>—</w:t>
      </w:r>
      <w:r>
        <w:rPr>
          <w:spacing w:val="-12"/>
        </w:rPr>
        <w:t> </w:t>
      </w:r>
      <w:r>
        <w:rPr/>
        <w:t>$3.212</w:t>
      </w:r>
      <w:r>
        <w:rPr>
          <w:spacing w:val="-12"/>
        </w:rPr>
        <w:t> </w:t>
      </w:r>
      <w:r>
        <w:rPr/>
        <w:t>billion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2025,</w:t>
      </w:r>
      <w:r>
        <w:rPr>
          <w:spacing w:val="-12"/>
        </w:rPr>
        <w:t> </w:t>
      </w:r>
      <w:r>
        <w:rPr/>
        <w:t>compared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$2.749</w:t>
      </w:r>
      <w:r>
        <w:rPr>
          <w:spacing w:val="-12"/>
        </w:rPr>
        <w:t> </w:t>
      </w:r>
      <w:r>
        <w:rPr/>
        <w:t>billion</w:t>
      </w:r>
      <w:r>
        <w:rPr>
          <w:spacing w:val="-12"/>
        </w:rPr>
        <w:t> </w:t>
      </w:r>
      <w:r>
        <w:rPr/>
        <w:t>in 2024 and $3.170 billion in 2023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 report recommends improving liquidity through tighter working capital control, maintaining </w:t>
      </w:r>
      <w:r>
        <w:rPr/>
        <w:t>ad-equate committed credit facilities, carefully managing debt maturities and reducing unnecessary cash distributions</w:t>
      </w:r>
      <w:r>
        <w:rPr>
          <w:spacing w:val="-12"/>
        </w:rPr>
        <w:t> </w:t>
      </w:r>
      <w:r>
        <w:rPr/>
        <w:t>when</w:t>
      </w:r>
      <w:r>
        <w:rPr>
          <w:spacing w:val="-12"/>
        </w:rPr>
        <w:t> </w:t>
      </w:r>
      <w:r>
        <w:rPr/>
        <w:t>liquidity</w:t>
      </w:r>
      <w:r>
        <w:rPr>
          <w:spacing w:val="-12"/>
        </w:rPr>
        <w:t> </w:t>
      </w:r>
      <w:r>
        <w:rPr/>
        <w:t>conditions</w:t>
      </w:r>
      <w:r>
        <w:rPr>
          <w:spacing w:val="-12"/>
        </w:rPr>
        <w:t> </w:t>
      </w:r>
      <w:r>
        <w:rPr/>
        <w:t>become</w:t>
      </w:r>
      <w:r>
        <w:rPr>
          <w:spacing w:val="-12"/>
        </w:rPr>
        <w:t> </w:t>
      </w:r>
      <w:r>
        <w:rPr/>
        <w:t>weaker. Marriott</w:t>
      </w:r>
      <w:r>
        <w:rPr>
          <w:spacing w:val="-12"/>
        </w:rPr>
        <w:t> </w:t>
      </w:r>
      <w:r>
        <w:rPr/>
        <w:t>should</w:t>
      </w:r>
      <w:r>
        <w:rPr>
          <w:spacing w:val="-12"/>
        </w:rPr>
        <w:t> </w:t>
      </w:r>
      <w:r>
        <w:rPr/>
        <w:t>continue</w:t>
      </w:r>
      <w:r>
        <w:rPr>
          <w:spacing w:val="-12"/>
        </w:rPr>
        <w:t> </w:t>
      </w:r>
      <w:r>
        <w:rPr/>
        <w:t>its</w:t>
      </w:r>
      <w:r>
        <w:rPr>
          <w:spacing w:val="-12"/>
        </w:rPr>
        <w:t> </w:t>
      </w:r>
      <w:r>
        <w:rPr/>
        <w:t>asset-light</w:t>
      </w:r>
      <w:r>
        <w:rPr>
          <w:spacing w:val="-12"/>
        </w:rPr>
        <w:t> </w:t>
      </w:r>
      <w:r>
        <w:rPr/>
        <w:t>strategy but should avoid excessive financial leverage.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For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investment</w:t>
      </w:r>
      <w:r>
        <w:rPr>
          <w:spacing w:val="-14"/>
        </w:rPr>
        <w:t> </w:t>
      </w:r>
      <w:r>
        <w:rPr/>
        <w:t>appraisal,</w:t>
      </w:r>
      <w:r>
        <w:rPr>
          <w:spacing w:val="-13"/>
        </w:rPr>
        <w:t> </w:t>
      </w:r>
      <w:r>
        <w:rPr/>
        <w:t>Project</w:t>
      </w:r>
      <w:r>
        <w:rPr>
          <w:spacing w:val="-14"/>
        </w:rPr>
        <w:t> </w:t>
      </w:r>
      <w:r>
        <w:rPr/>
        <w:t>C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strongest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three</w:t>
      </w:r>
      <w:r>
        <w:rPr>
          <w:spacing w:val="-13"/>
        </w:rPr>
        <w:t> </w:t>
      </w:r>
      <w:r>
        <w:rPr/>
        <w:t>proposed</w:t>
      </w:r>
      <w:r>
        <w:rPr>
          <w:spacing w:val="-14"/>
        </w:rPr>
        <w:t> </w:t>
      </w:r>
      <w:r>
        <w:rPr/>
        <w:t>projects.</w:t>
      </w:r>
      <w:r>
        <w:rPr>
          <w:spacing w:val="-7"/>
        </w:rPr>
        <w:t> </w:t>
      </w:r>
      <w:r>
        <w:rPr/>
        <w:t>At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8%</w:t>
      </w:r>
      <w:r>
        <w:rPr>
          <w:spacing w:val="-13"/>
        </w:rPr>
        <w:t> </w:t>
      </w:r>
      <w:r>
        <w:rPr/>
        <w:t>discount rate, Project C produces a positive NPV of approximately £0.86 million, a profitability index of 1.017 and an IRR of approximately 8.59%.</w:t>
      </w:r>
      <w:r>
        <w:rPr>
          <w:spacing w:val="40"/>
        </w:rPr>
        <w:t> </w:t>
      </w:r>
      <w:r>
        <w:rPr/>
        <w:t>Projects A and B have negative NPVs and IRRs below the 8% required</w:t>
      </w:r>
      <w:r>
        <w:rPr>
          <w:spacing w:val="7"/>
        </w:rPr>
        <w:t> </w:t>
      </w:r>
      <w:r>
        <w:rPr/>
        <w:t>return.</w:t>
      </w:r>
      <w:r>
        <w:rPr>
          <w:spacing w:val="46"/>
        </w:rPr>
        <w:t> </w:t>
      </w:r>
      <w:r>
        <w:rPr/>
        <w:t>Therefore,</w:t>
      </w:r>
      <w:r>
        <w:rPr>
          <w:spacing w:val="11"/>
        </w:rPr>
        <w:t> </w:t>
      </w:r>
      <w:r>
        <w:rPr/>
        <w:t>Project</w:t>
      </w:r>
      <w:r>
        <w:rPr>
          <w:spacing w:val="8"/>
        </w:rPr>
        <w:t> </w:t>
      </w:r>
      <w:r>
        <w:rPr/>
        <w:t>C</w:t>
      </w:r>
      <w:r>
        <w:rPr>
          <w:spacing w:val="7"/>
        </w:rPr>
        <w:t> </w:t>
      </w:r>
      <w:r>
        <w:rPr/>
        <w:t>should</w:t>
      </w:r>
      <w:r>
        <w:rPr>
          <w:spacing w:val="8"/>
        </w:rPr>
        <w:t> </w:t>
      </w:r>
      <w:r>
        <w:rPr/>
        <w:t>be</w:t>
      </w:r>
      <w:r>
        <w:rPr>
          <w:spacing w:val="7"/>
        </w:rPr>
        <w:t> </w:t>
      </w:r>
      <w:r>
        <w:rPr/>
        <w:t>selected.</w:t>
      </w:r>
      <w:r>
        <w:rPr>
          <w:spacing w:val="46"/>
        </w:rPr>
        <w:t> </w:t>
      </w:r>
      <w:r>
        <w:rPr/>
        <w:t>If</w:t>
      </w:r>
      <w:r>
        <w:rPr>
          <w:spacing w:val="8"/>
        </w:rPr>
        <w:t> </w:t>
      </w:r>
      <w:r>
        <w:rPr/>
        <w:t>management</w:t>
      </w:r>
      <w:r>
        <w:rPr>
          <w:spacing w:val="7"/>
        </w:rPr>
        <w:t> </w:t>
      </w:r>
      <w:r>
        <w:rPr/>
        <w:t>is</w:t>
      </w:r>
      <w:r>
        <w:rPr>
          <w:spacing w:val="8"/>
        </w:rPr>
        <w:t> </w:t>
      </w:r>
      <w:r>
        <w:rPr/>
        <w:t>required</w:t>
      </w:r>
      <w:r>
        <w:rPr>
          <w:spacing w:val="7"/>
        </w:rPr>
        <w:t> </w:t>
      </w:r>
      <w:r>
        <w:rPr/>
        <w:t>to</w:t>
      </w:r>
      <w:r>
        <w:rPr>
          <w:spacing w:val="8"/>
        </w:rPr>
        <w:t> </w:t>
      </w:r>
      <w:r>
        <w:rPr/>
        <w:t>invest</w:t>
      </w:r>
      <w:r>
        <w:rPr>
          <w:spacing w:val="7"/>
        </w:rPr>
        <w:t> </w:t>
      </w:r>
      <w:r>
        <w:rPr/>
        <w:t>the</w:t>
      </w:r>
      <w:r>
        <w:rPr>
          <w:spacing w:val="8"/>
        </w:rPr>
        <w:t> </w:t>
      </w:r>
      <w:r>
        <w:rPr>
          <w:spacing w:val="-4"/>
        </w:rPr>
        <w:t>full</w:t>
      </w:r>
    </w:p>
    <w:p>
      <w:pPr>
        <w:pStyle w:val="BodyText"/>
        <w:spacing w:line="256" w:lineRule="auto" w:before="1"/>
        <w:ind w:left="165" w:right="1296"/>
        <w:jc w:val="both"/>
      </w:pPr>
      <w:r>
        <w:rPr/>
        <w:t>£100</w:t>
      </w:r>
      <w:r>
        <w:rPr>
          <w:spacing w:val="-14"/>
        </w:rPr>
        <w:t> </w:t>
      </w:r>
      <w:r>
        <w:rPr/>
        <w:t>million,</w:t>
      </w:r>
      <w:r>
        <w:rPr>
          <w:spacing w:val="-14"/>
        </w:rPr>
        <w:t> </w:t>
      </w:r>
      <w:r>
        <w:rPr/>
        <w:t>Projects</w:t>
      </w:r>
      <w:r>
        <w:rPr>
          <w:spacing w:val="-14"/>
        </w:rPr>
        <w:t> </w:t>
      </w:r>
      <w:r>
        <w:rPr/>
        <w:t>B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C</w:t>
      </w:r>
      <w:r>
        <w:rPr>
          <w:spacing w:val="-14"/>
        </w:rPr>
        <w:t> </w:t>
      </w:r>
      <w:r>
        <w:rPr/>
        <w:t>provide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best</w:t>
      </w:r>
      <w:r>
        <w:rPr>
          <w:spacing w:val="-14"/>
        </w:rPr>
        <w:t> </w:t>
      </w:r>
      <w:r>
        <w:rPr/>
        <w:t>combination</w:t>
      </w:r>
      <w:r>
        <w:rPr>
          <w:spacing w:val="-14"/>
        </w:rPr>
        <w:t> </w:t>
      </w:r>
      <w:r>
        <w:rPr/>
        <w:t>because</w:t>
      </w:r>
      <w:r>
        <w:rPr>
          <w:spacing w:val="-14"/>
        </w:rPr>
        <w:t> </w:t>
      </w:r>
      <w:r>
        <w:rPr/>
        <w:t>they</w:t>
      </w:r>
      <w:r>
        <w:rPr>
          <w:spacing w:val="-13"/>
        </w:rPr>
        <w:t> </w:t>
      </w:r>
      <w:r>
        <w:rPr/>
        <w:t>produce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highest</w:t>
      </w:r>
      <w:r>
        <w:rPr>
          <w:spacing w:val="-14"/>
        </w:rPr>
        <w:t> </w:t>
      </w:r>
      <w:r>
        <w:rPr/>
        <w:t>combined NPV</w:t>
      </w:r>
      <w:r>
        <w:rPr>
          <w:spacing w:val="-1"/>
        </w:rPr>
        <w:t> </w:t>
      </w:r>
      <w:r>
        <w:rPr/>
        <w:t>among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available</w:t>
      </w:r>
      <w:r>
        <w:rPr>
          <w:spacing w:val="-1"/>
        </w:rPr>
        <w:t> </w:t>
      </w:r>
      <w:r>
        <w:rPr/>
        <w:t>pairs.</w:t>
      </w:r>
      <w:r>
        <w:rPr>
          <w:spacing w:val="26"/>
        </w:rPr>
        <w:t> </w:t>
      </w:r>
      <w:r>
        <w:rPr/>
        <w:t>However, if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£100</w:t>
      </w:r>
      <w:r>
        <w:rPr>
          <w:spacing w:val="-1"/>
        </w:rPr>
        <w:t> </w:t>
      </w:r>
      <w:r>
        <w:rPr/>
        <w:t>million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maximum</w:t>
      </w:r>
      <w:r>
        <w:rPr>
          <w:spacing w:val="-1"/>
        </w:rPr>
        <w:t> </w:t>
      </w:r>
      <w:r>
        <w:rPr/>
        <w:t>rather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compulsory investment amount, Project C alone is financially preferable because Project B destroys value.</w:t>
      </w:r>
    </w:p>
    <w:p>
      <w:pPr>
        <w:pStyle w:val="BodyText"/>
        <w:spacing w:after="0" w:line="256" w:lineRule="auto"/>
        <w:jc w:val="both"/>
        <w:sectPr>
          <w:headerReference w:type="default" r:id="rId7"/>
          <w:pgSz w:w="11910" w:h="16840"/>
          <w:pgMar w:header="686" w:footer="0" w:top="1280" w:bottom="280" w:left="1275" w:right="141"/>
          <w:pgNumType w:start="2"/>
        </w:sectPr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132" w:after="0"/>
        <w:ind w:left="595" w:right="0" w:hanging="430"/>
        <w:jc w:val="left"/>
      </w:pPr>
      <w:bookmarkStart w:name="Introduction" w:id="3"/>
      <w:bookmarkEnd w:id="3"/>
      <w:r>
        <w:rPr>
          <w:b w:val="0"/>
        </w:rPr>
      </w:r>
      <w:bookmarkStart w:name="_bookmark1" w:id="4"/>
      <w:bookmarkEnd w:id="4"/>
      <w:r>
        <w:rPr>
          <w:b w:val="0"/>
        </w:rPr>
      </w:r>
      <w:r>
        <w:rPr>
          <w:color w:val="0E2C59"/>
          <w:spacing w:val="-2"/>
        </w:rPr>
        <w:t>Introduction</w:t>
      </w:r>
    </w:p>
    <w:p>
      <w:pPr>
        <w:pStyle w:val="BodyText"/>
        <w:spacing w:line="256" w:lineRule="auto" w:before="230"/>
        <w:ind w:left="165" w:right="1296"/>
        <w:jc w:val="both"/>
      </w:pPr>
      <w:r>
        <w:rPr/>
        <w:t>Marriott International, Inc. is a major international hospitality company with a large portfolio of hotel brands.</w:t>
      </w:r>
      <w:r>
        <w:rPr>
          <w:spacing w:val="40"/>
        </w:rPr>
        <w:t> </w:t>
      </w:r>
      <w:r>
        <w:rPr/>
        <w:t>The company operates through management agreements, franchise agreements and </w:t>
      </w:r>
      <w:r>
        <w:rPr/>
        <w:t>licensing arrangements, together with a smaller number of owned and leased properties.</w:t>
      </w:r>
      <w:r>
        <w:rPr>
          <w:spacing w:val="26"/>
        </w:rPr>
        <w:t> </w:t>
      </w:r>
      <w:r>
        <w:rPr/>
        <w:t>This business structure is</w:t>
      </w:r>
      <w:r>
        <w:rPr>
          <w:spacing w:val="-6"/>
        </w:rPr>
        <w:t> </w:t>
      </w:r>
      <w:r>
        <w:rPr/>
        <w:t>important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analysing</w:t>
      </w:r>
      <w:r>
        <w:rPr>
          <w:spacing w:val="-6"/>
        </w:rPr>
        <w:t> </w:t>
      </w:r>
      <w:r>
        <w:rPr/>
        <w:t>Marriott</w:t>
      </w:r>
      <w:r>
        <w:rPr>
          <w:spacing w:val="-6"/>
        </w:rPr>
        <w:t> </w:t>
      </w:r>
      <w:r>
        <w:rPr/>
        <w:t>because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different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traditional</w:t>
      </w:r>
      <w:r>
        <w:rPr>
          <w:spacing w:val="-6"/>
        </w:rPr>
        <w:t> </w:t>
      </w:r>
      <w:r>
        <w:rPr/>
        <w:t>hotel</w:t>
      </w:r>
      <w:r>
        <w:rPr>
          <w:spacing w:val="-6"/>
        </w:rPr>
        <w:t> </w:t>
      </w:r>
      <w:r>
        <w:rPr/>
        <w:t>company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owns most of its buildings.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Marriott’s current corporate strategy, known as “Growing Forward”, focuses on expanding its global portfolio,</w:t>
      </w:r>
      <w:r>
        <w:rPr>
          <w:spacing w:val="-7"/>
        </w:rPr>
        <w:t> </w:t>
      </w:r>
      <w:r>
        <w:rPr/>
        <w:t>strengthening</w:t>
      </w:r>
      <w:r>
        <w:rPr>
          <w:spacing w:val="-8"/>
        </w:rPr>
        <w:t> </w:t>
      </w:r>
      <w:r>
        <w:rPr/>
        <w:t>its</w:t>
      </w:r>
      <w:r>
        <w:rPr>
          <w:spacing w:val="-8"/>
        </w:rPr>
        <w:t> </w:t>
      </w:r>
      <w:r>
        <w:rPr/>
        <w:t>brands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increasing</w:t>
      </w:r>
      <w:r>
        <w:rPr>
          <w:spacing w:val="-8"/>
        </w:rPr>
        <w:t> </w:t>
      </w:r>
      <w:r>
        <w:rPr/>
        <w:t>opportunities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different</w:t>
      </w:r>
      <w:r>
        <w:rPr>
          <w:spacing w:val="-8"/>
        </w:rPr>
        <w:t> </w:t>
      </w:r>
      <w:r>
        <w:rPr/>
        <w:t>market</w:t>
      </w:r>
      <w:r>
        <w:rPr>
          <w:spacing w:val="-8"/>
        </w:rPr>
        <w:t> </w:t>
      </w:r>
      <w:r>
        <w:rPr/>
        <w:t>segments. The</w:t>
      </w:r>
      <w:r>
        <w:rPr>
          <w:spacing w:val="-8"/>
        </w:rPr>
        <w:t> </w:t>
      </w:r>
      <w:r>
        <w:rPr/>
        <w:t>com-pany’s portfolio has expanded considerably in recent years.</w:t>
      </w:r>
      <w:r>
        <w:rPr>
          <w:spacing w:val="40"/>
        </w:rPr>
        <w:t> </w:t>
      </w:r>
      <w:r>
        <w:rPr/>
        <w:t>Marriott entered the affordable midscale segment</w:t>
      </w:r>
      <w:r>
        <w:rPr>
          <w:spacing w:val="-2"/>
        </w:rPr>
        <w:t> </w:t>
      </w:r>
      <w:r>
        <w:rPr/>
        <w:t>through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acquisition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City</w:t>
      </w:r>
      <w:r>
        <w:rPr>
          <w:spacing w:val="-2"/>
        </w:rPr>
        <w:t> </w:t>
      </w:r>
      <w:r>
        <w:rPr/>
        <w:t>Express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later</w:t>
      </w:r>
      <w:r>
        <w:rPr>
          <w:spacing w:val="-2"/>
        </w:rPr>
        <w:t> </w:t>
      </w:r>
      <w:r>
        <w:rPr/>
        <w:t>expanded</w:t>
      </w:r>
      <w:r>
        <w:rPr>
          <w:spacing w:val="-2"/>
        </w:rPr>
        <w:t> </w:t>
      </w:r>
      <w:r>
        <w:rPr/>
        <w:t>its</w:t>
      </w:r>
      <w:r>
        <w:rPr>
          <w:spacing w:val="-3"/>
        </w:rPr>
        <w:t> </w:t>
      </w:r>
      <w:r>
        <w:rPr/>
        <w:t>midscale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extended-stay</w:t>
      </w:r>
      <w:r>
        <w:rPr>
          <w:spacing w:val="-2"/>
        </w:rPr>
        <w:t> </w:t>
      </w:r>
      <w:r>
        <w:rPr/>
        <w:t>of-ferings. In 2025, Marriott also acquired the citizenM lifestyle brand </w:t>
      </w:r>
      <w:hyperlink w:history="true" w:anchor="_bookmark41">
        <w:r>
          <w:rPr>
            <w:color w:val="0E2C59"/>
          </w:rPr>
          <w:t>[6]</w:t>
        </w:r>
      </w:hyperlink>
      <w:r>
        <w:rPr/>
        <w:t>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 purpose of this report is to evaluate Marriott’s financial performance and management from </w:t>
      </w:r>
      <w:r>
        <w:rPr/>
        <w:t>2021 to 2025 from the perspective of the Chief Financial Officer (CFO). The report analyses profitability, liquidity,</w:t>
      </w:r>
      <w:r>
        <w:rPr>
          <w:spacing w:val="-3"/>
        </w:rPr>
        <w:t> </w:t>
      </w:r>
      <w:r>
        <w:rPr/>
        <w:t>efficiency,</w:t>
      </w:r>
      <w:r>
        <w:rPr>
          <w:spacing w:val="-3"/>
        </w:rPr>
        <w:t> </w:t>
      </w:r>
      <w:r>
        <w:rPr/>
        <w:t>gearing,</w:t>
      </w:r>
      <w:r>
        <w:rPr>
          <w:spacing w:val="-3"/>
        </w:rPr>
        <w:t> </w:t>
      </w:r>
      <w:r>
        <w:rPr/>
        <w:t>investment</w:t>
      </w:r>
      <w:r>
        <w:rPr>
          <w:spacing w:val="-5"/>
        </w:rPr>
        <w:t> </w:t>
      </w:r>
      <w:r>
        <w:rPr/>
        <w:t>performance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cash</w:t>
      </w:r>
      <w:r>
        <w:rPr>
          <w:spacing w:val="-5"/>
        </w:rPr>
        <w:t> </w:t>
      </w:r>
      <w:r>
        <w:rPr/>
        <w:t>flow.</w:t>
      </w:r>
      <w:r>
        <w:rPr>
          <w:spacing w:val="22"/>
        </w:rPr>
        <w:t> </w:t>
      </w:r>
      <w:r>
        <w:rPr/>
        <w:t>It</w:t>
      </w:r>
      <w:r>
        <w:rPr>
          <w:spacing w:val="-5"/>
        </w:rPr>
        <w:t> </w:t>
      </w:r>
      <w:r>
        <w:rPr/>
        <w:t>then</w:t>
      </w:r>
      <w:r>
        <w:rPr>
          <w:spacing w:val="-5"/>
        </w:rPr>
        <w:t> </w:t>
      </w:r>
      <w:r>
        <w:rPr/>
        <w:t>examines</w:t>
      </w:r>
      <w:r>
        <w:rPr>
          <w:spacing w:val="-5"/>
        </w:rPr>
        <w:t> </w:t>
      </w:r>
      <w:r>
        <w:rPr/>
        <w:t>working</w:t>
      </w:r>
      <w:r>
        <w:rPr>
          <w:spacing w:val="-5"/>
        </w:rPr>
        <w:t> </w:t>
      </w:r>
      <w:r>
        <w:rPr/>
        <w:t>capital management and recommends financial restructuring measures.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</w:t>
      </w:r>
      <w:r>
        <w:rPr>
          <w:spacing w:val="-3"/>
        </w:rPr>
        <w:t> </w:t>
      </w:r>
      <w:r>
        <w:rPr/>
        <w:t>report</w:t>
      </w:r>
      <w:r>
        <w:rPr>
          <w:spacing w:val="-3"/>
        </w:rPr>
        <w:t> </w:t>
      </w:r>
      <w:r>
        <w:rPr/>
        <w:t>also</w:t>
      </w:r>
      <w:r>
        <w:rPr>
          <w:spacing w:val="-4"/>
        </w:rPr>
        <w:t> </w:t>
      </w:r>
      <w:r>
        <w:rPr/>
        <w:t>evaluates</w:t>
      </w:r>
      <w:r>
        <w:rPr>
          <w:spacing w:val="-3"/>
        </w:rPr>
        <w:t> </w:t>
      </w:r>
      <w:r>
        <w:rPr/>
        <w:t>three</w:t>
      </w:r>
      <w:r>
        <w:rPr>
          <w:spacing w:val="-3"/>
        </w:rPr>
        <w:t> </w:t>
      </w:r>
      <w:r>
        <w:rPr/>
        <w:t>proposed</w:t>
      </w:r>
      <w:r>
        <w:rPr>
          <w:spacing w:val="-3"/>
        </w:rPr>
        <w:t> </w:t>
      </w:r>
      <w:r>
        <w:rPr/>
        <w:t>investment</w:t>
      </w:r>
      <w:r>
        <w:rPr>
          <w:spacing w:val="-4"/>
        </w:rPr>
        <w:t> </w:t>
      </w:r>
      <w:r>
        <w:rPr/>
        <w:t>projects</w:t>
      </w:r>
      <w:r>
        <w:rPr>
          <w:spacing w:val="-3"/>
        </w:rPr>
        <w:t> </w:t>
      </w:r>
      <w:r>
        <w:rPr/>
        <w:t>using</w:t>
      </w:r>
      <w:r>
        <w:rPr>
          <w:spacing w:val="-3"/>
        </w:rPr>
        <w:t> </w:t>
      </w:r>
      <w:r>
        <w:rPr/>
        <w:t>Payback</w:t>
      </w:r>
      <w:r>
        <w:rPr>
          <w:spacing w:val="-3"/>
        </w:rPr>
        <w:t> </w:t>
      </w:r>
      <w:r>
        <w:rPr/>
        <w:t>Period</w:t>
      </w:r>
      <w:r>
        <w:rPr>
          <w:spacing w:val="-4"/>
        </w:rPr>
        <w:t> </w:t>
      </w:r>
      <w:r>
        <w:rPr/>
        <w:t>(PBP),</w:t>
      </w:r>
      <w:r>
        <w:rPr>
          <w:spacing w:val="-3"/>
        </w:rPr>
        <w:t> </w:t>
      </w:r>
      <w:r>
        <w:rPr/>
        <w:t>Accounting Rate of Return (ARR), Net Present Value (NPV), Profitability Index (PI) and Internal Rate of Return (IRR).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discount</w:t>
      </w:r>
      <w:r>
        <w:rPr>
          <w:spacing w:val="-2"/>
        </w:rPr>
        <w:t> </w:t>
      </w:r>
      <w:r>
        <w:rPr/>
        <w:t>rate</w:t>
      </w:r>
      <w:r>
        <w:rPr>
          <w:spacing w:val="-2"/>
        </w:rPr>
        <w:t> </w:t>
      </w:r>
      <w:r>
        <w:rPr/>
        <w:t>provided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assessment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8%,</w:t>
      </w:r>
      <w:r>
        <w:rPr>
          <w:spacing w:val="-1"/>
        </w:rPr>
        <w:t> </w:t>
      </w:r>
      <w:r>
        <w:rPr/>
        <w:t>with</w:t>
      </w:r>
      <w:r>
        <w:rPr>
          <w:spacing w:val="-2"/>
        </w:rPr>
        <w:t> </w:t>
      </w:r>
      <w:r>
        <w:rPr/>
        <w:t>straight-line</w:t>
      </w:r>
      <w:r>
        <w:rPr>
          <w:spacing w:val="-2"/>
        </w:rPr>
        <w:t> </w:t>
      </w:r>
      <w:r>
        <w:rPr/>
        <w:t>depreciation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zero.</w:t>
      </w:r>
      <w:r>
        <w:rPr>
          <w:spacing w:val="19"/>
        </w:rPr>
        <w:t> </w:t>
      </w:r>
      <w:r>
        <w:rPr/>
        <w:t>The </w:t>
      </w:r>
      <w:r>
        <w:rPr>
          <w:spacing w:val="-2"/>
        </w:rPr>
        <w:t>final</w:t>
      </w:r>
      <w:r>
        <w:rPr>
          <w:spacing w:val="-9"/>
        </w:rPr>
        <w:t> </w:t>
      </w:r>
      <w:r>
        <w:rPr>
          <w:spacing w:val="-2"/>
        </w:rPr>
        <w:t>part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report</w:t>
      </w:r>
      <w:r>
        <w:rPr>
          <w:spacing w:val="-8"/>
        </w:rPr>
        <w:t> </w:t>
      </w:r>
      <w:r>
        <w:rPr>
          <w:spacing w:val="-2"/>
        </w:rPr>
        <w:t>critically</w:t>
      </w:r>
      <w:r>
        <w:rPr>
          <w:spacing w:val="-9"/>
        </w:rPr>
        <w:t> </w:t>
      </w:r>
      <w:r>
        <w:rPr>
          <w:spacing w:val="-2"/>
        </w:rPr>
        <w:t>reflects</w:t>
      </w:r>
      <w:r>
        <w:rPr>
          <w:spacing w:val="-8"/>
        </w:rPr>
        <w:t> </w:t>
      </w:r>
      <w:r>
        <w:rPr>
          <w:spacing w:val="-2"/>
        </w:rPr>
        <w:t>on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use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Artificial</w:t>
      </w:r>
      <w:r>
        <w:rPr>
          <w:spacing w:val="-8"/>
        </w:rPr>
        <w:t> </w:t>
      </w:r>
      <w:r>
        <w:rPr>
          <w:spacing w:val="-2"/>
        </w:rPr>
        <w:t>Intelligence</w:t>
      </w:r>
      <w:r>
        <w:rPr>
          <w:spacing w:val="-9"/>
        </w:rPr>
        <w:t> </w:t>
      </w:r>
      <w:r>
        <w:rPr>
          <w:spacing w:val="-2"/>
        </w:rPr>
        <w:t>(AI)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preparing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analysis.</w:t>
      </w:r>
    </w:p>
    <w:p>
      <w:pPr>
        <w:pStyle w:val="BodyText"/>
        <w:spacing w:before="123"/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1" w:after="0"/>
        <w:ind w:left="595" w:right="0" w:hanging="430"/>
        <w:jc w:val="left"/>
      </w:pPr>
      <w:bookmarkStart w:name="Financial Health Check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color w:val="0E2C59"/>
        </w:rPr>
        <w:t>Financial</w:t>
      </w:r>
      <w:r>
        <w:rPr>
          <w:color w:val="0E2C59"/>
          <w:spacing w:val="20"/>
        </w:rPr>
        <w:t> </w:t>
      </w:r>
      <w:r>
        <w:rPr>
          <w:color w:val="0E2C59"/>
        </w:rPr>
        <w:t>Health</w:t>
      </w:r>
      <w:r>
        <w:rPr>
          <w:color w:val="0E2C59"/>
          <w:spacing w:val="20"/>
        </w:rPr>
        <w:t> </w:t>
      </w:r>
      <w:r>
        <w:rPr>
          <w:color w:val="0E2C59"/>
          <w:spacing w:val="-2"/>
        </w:rPr>
        <w:t>Check</w:t>
      </w: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264" w:after="0"/>
        <w:ind w:left="702" w:right="0" w:hanging="537"/>
        <w:jc w:val="left"/>
      </w:pPr>
      <w:bookmarkStart w:name="Five-Year Financial Performance" w:id="7"/>
      <w:bookmarkEnd w:id="7"/>
      <w:r>
        <w:rPr>
          <w:b w:val="0"/>
        </w:rPr>
      </w:r>
      <w:bookmarkStart w:name="_bookmark3" w:id="8"/>
      <w:bookmarkEnd w:id="8"/>
      <w:r>
        <w:rPr>
          <w:b w:val="0"/>
        </w:rPr>
      </w:r>
      <w:r>
        <w:rPr>
          <w:color w:val="0E2C59"/>
          <w:spacing w:val="-2"/>
        </w:rPr>
        <w:t>Five-Year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Financial</w:t>
      </w:r>
      <w:r>
        <w:rPr>
          <w:color w:val="0E2C59"/>
          <w:spacing w:val="-9"/>
        </w:rPr>
        <w:t> </w:t>
      </w:r>
      <w:r>
        <w:rPr>
          <w:color w:val="0E2C59"/>
          <w:spacing w:val="-2"/>
        </w:rPr>
        <w:t>Performance</w:t>
      </w:r>
    </w:p>
    <w:p>
      <w:pPr>
        <w:pStyle w:val="BodyText"/>
        <w:spacing w:line="256" w:lineRule="auto" w:before="160"/>
        <w:ind w:left="165" w:right="1296"/>
        <w:jc w:val="both"/>
      </w:pPr>
      <w:r>
        <w:rPr/>
        <w:t>Table </w:t>
      </w:r>
      <w:hyperlink w:history="true" w:anchor="_bookmark4">
        <w:r>
          <w:rPr>
            <w:color w:val="0E2C59"/>
          </w:rPr>
          <w:t>1</w:t>
        </w:r>
      </w:hyperlink>
      <w:r>
        <w:rPr>
          <w:color w:val="0E2C59"/>
        </w:rPr>
        <w:t> </w:t>
      </w:r>
      <w:r>
        <w:rPr/>
        <w:t>presents selected financial information for Marriott from 2021 to 2025.</w:t>
      </w:r>
      <w:r>
        <w:rPr>
          <w:spacing w:val="39"/>
        </w:rPr>
        <w:t> </w:t>
      </w:r>
      <w:r>
        <w:rPr/>
        <w:t>The figures are </w:t>
      </w:r>
      <w:r>
        <w:rPr/>
        <w:t>taken from Marriott’s audited annual financial statements and are presented in US$ millions.</w:t>
      </w:r>
    </w:p>
    <w:p>
      <w:pPr>
        <w:pStyle w:val="BodyText"/>
        <w:spacing w:before="206"/>
        <w:ind w:left="1412"/>
      </w:pPr>
      <w:bookmarkStart w:name="_bookmark4" w:id="9"/>
      <w:bookmarkEnd w:id="9"/>
      <w:r>
        <w:rPr/>
      </w:r>
      <w:r>
        <w:rPr/>
        <w:t>Table</w:t>
      </w:r>
      <w:r>
        <w:rPr>
          <w:spacing w:val="-10"/>
        </w:rPr>
        <w:t> </w:t>
      </w:r>
      <w:r>
        <w:rPr/>
        <w:t>1:</w:t>
      </w:r>
      <w:r>
        <w:rPr>
          <w:spacing w:val="1"/>
        </w:rPr>
        <w:t> </w:t>
      </w:r>
      <w:r>
        <w:rPr/>
        <w:t>Marriott</w:t>
      </w:r>
      <w:r>
        <w:rPr>
          <w:spacing w:val="-10"/>
        </w:rPr>
        <w:t> </w:t>
      </w:r>
      <w:r>
        <w:rPr/>
        <w:t>International</w:t>
      </w:r>
      <w:r>
        <w:rPr>
          <w:spacing w:val="-10"/>
        </w:rPr>
        <w:t> </w:t>
      </w:r>
      <w:r>
        <w:rPr/>
        <w:t>—</w:t>
      </w:r>
      <w:r>
        <w:rPr>
          <w:spacing w:val="-10"/>
        </w:rPr>
        <w:t> </w:t>
      </w:r>
      <w:r>
        <w:rPr/>
        <w:t>Key</w:t>
      </w:r>
      <w:r>
        <w:rPr>
          <w:spacing w:val="-10"/>
        </w:rPr>
        <w:t> </w:t>
      </w:r>
      <w:r>
        <w:rPr/>
        <w:t>Financial</w:t>
      </w:r>
      <w:r>
        <w:rPr>
          <w:spacing w:val="-10"/>
        </w:rPr>
        <w:t> </w:t>
      </w:r>
      <w:r>
        <w:rPr/>
        <w:t>Data,</w:t>
      </w:r>
      <w:r>
        <w:rPr>
          <w:spacing w:val="-10"/>
        </w:rPr>
        <w:t> </w:t>
      </w:r>
      <w:r>
        <w:rPr/>
        <w:t>2021–2025</w:t>
      </w:r>
      <w:r>
        <w:rPr>
          <w:spacing w:val="-9"/>
        </w:rPr>
        <w:t> </w:t>
      </w:r>
      <w:r>
        <w:rPr>
          <w:spacing w:val="-2"/>
        </w:rPr>
        <w:t>(US$m)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15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1"/>
        <w:gridCol w:w="839"/>
        <w:gridCol w:w="839"/>
        <w:gridCol w:w="839"/>
        <w:gridCol w:w="839"/>
        <w:gridCol w:w="839"/>
      </w:tblGrid>
      <w:tr>
        <w:trPr>
          <w:trHeight w:val="370" w:hRule="atLeast"/>
        </w:trPr>
        <w:tc>
          <w:tcPr>
            <w:tcW w:w="199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Financial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measure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2021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2022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2023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2024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2025</w:t>
            </w:r>
          </w:p>
        </w:tc>
      </w:tr>
      <w:tr>
        <w:trPr>
          <w:trHeight w:val="316" w:hRule="atLeast"/>
        </w:trPr>
        <w:tc>
          <w:tcPr>
            <w:tcW w:w="199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Revenue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13,857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20,773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23,713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25,100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26,186</w:t>
            </w:r>
          </w:p>
        </w:tc>
      </w:tr>
      <w:tr>
        <w:trPr>
          <w:trHeight w:val="270" w:hRule="atLeast"/>
        </w:trPr>
        <w:tc>
          <w:tcPr>
            <w:tcW w:w="199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Operating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income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1,750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3,462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3,864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3,767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4,141</w:t>
            </w:r>
          </w:p>
        </w:tc>
      </w:tr>
      <w:tr>
        <w:trPr>
          <w:trHeight w:val="270" w:hRule="atLeast"/>
        </w:trPr>
        <w:tc>
          <w:tcPr>
            <w:tcW w:w="199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Net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income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1,099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2,358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3,083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2,375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2,601</w:t>
            </w:r>
          </w:p>
        </w:tc>
      </w:tr>
      <w:tr>
        <w:trPr>
          <w:trHeight w:val="270" w:hRule="atLeast"/>
        </w:trPr>
        <w:tc>
          <w:tcPr>
            <w:tcW w:w="199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assets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3,626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3,313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3,311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3,485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3,584</w:t>
            </w:r>
          </w:p>
        </w:tc>
      </w:tr>
      <w:tr>
        <w:trPr>
          <w:trHeight w:val="270" w:hRule="atLeast"/>
        </w:trPr>
        <w:tc>
          <w:tcPr>
            <w:tcW w:w="199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liabilities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6,407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7,339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7,762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8,649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8,398</w:t>
            </w:r>
          </w:p>
        </w:tc>
      </w:tr>
      <w:tr>
        <w:trPr>
          <w:trHeight w:val="270" w:hRule="atLeast"/>
        </w:trPr>
        <w:tc>
          <w:tcPr>
            <w:tcW w:w="199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Total </w:t>
            </w:r>
            <w:r>
              <w:rPr>
                <w:spacing w:val="-2"/>
                <w:sz w:val="22"/>
              </w:rPr>
              <w:t>assets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25,553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24,815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25,674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26,182</w:t>
            </w:r>
          </w:p>
        </w:tc>
        <w:tc>
          <w:tcPr>
            <w:tcW w:w="8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27,540</w:t>
            </w:r>
          </w:p>
        </w:tc>
      </w:tr>
      <w:tr>
        <w:trPr>
          <w:trHeight w:val="324" w:hRule="atLeast"/>
        </w:trPr>
        <w:tc>
          <w:tcPr>
            <w:tcW w:w="199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Operating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cash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flow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1,177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2,363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3,170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2,749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3,212</w:t>
            </w:r>
          </w:p>
        </w:tc>
      </w:tr>
    </w:tbl>
    <w:p>
      <w:pPr>
        <w:pStyle w:val="BodyText"/>
      </w:pPr>
    </w:p>
    <w:p>
      <w:pPr>
        <w:pStyle w:val="BodyText"/>
        <w:ind w:left="165"/>
        <w:jc w:val="both"/>
      </w:pPr>
      <w:r>
        <w:rPr/>
        <w:t>Marriott</w:t>
      </w:r>
      <w:r>
        <w:rPr>
          <w:spacing w:val="-11"/>
        </w:rPr>
        <w:t> </w:t>
      </w:r>
      <w:r>
        <w:rPr/>
        <w:t>International</w:t>
      </w:r>
      <w:r>
        <w:rPr>
          <w:spacing w:val="-10"/>
        </w:rPr>
        <w:t> </w:t>
      </w:r>
      <w:r>
        <w:rPr/>
        <w:t>annual</w:t>
      </w:r>
      <w:r>
        <w:rPr>
          <w:spacing w:val="-11"/>
        </w:rPr>
        <w:t> </w:t>
      </w:r>
      <w:r>
        <w:rPr/>
        <w:t>Form</w:t>
      </w:r>
      <w:r>
        <w:rPr>
          <w:spacing w:val="-10"/>
        </w:rPr>
        <w:t> </w:t>
      </w:r>
      <w:r>
        <w:rPr/>
        <w:t>10-K</w:t>
      </w:r>
      <w:r>
        <w:rPr>
          <w:spacing w:val="-11"/>
        </w:rPr>
        <w:t> </w:t>
      </w:r>
      <w:r>
        <w:rPr/>
        <w:t>filings,</w:t>
      </w:r>
      <w:r>
        <w:rPr>
          <w:spacing w:val="-10"/>
        </w:rPr>
        <w:t> </w:t>
      </w:r>
      <w:r>
        <w:rPr/>
        <w:t>2021–2025</w:t>
      </w:r>
      <w:r>
        <w:rPr>
          <w:spacing w:val="-11"/>
        </w:rPr>
        <w:t> </w:t>
      </w:r>
      <w:r>
        <w:rPr>
          <w:spacing w:val="-2"/>
        </w:rPr>
        <w:t>[1,2,3,4].</w:t>
      </w:r>
    </w:p>
    <w:p>
      <w:pPr>
        <w:pStyle w:val="BodyText"/>
        <w:spacing w:before="140"/>
      </w:pPr>
    </w:p>
    <w:p>
      <w:pPr>
        <w:pStyle w:val="BodyText"/>
        <w:ind w:left="165"/>
        <w:jc w:val="both"/>
      </w:pPr>
      <w:r>
        <w:rPr>
          <w:spacing w:val="-2"/>
        </w:rPr>
        <w:t>Revenue</w:t>
      </w:r>
      <w:r>
        <w:rPr>
          <w:spacing w:val="-4"/>
        </w:rPr>
        <w:t> </w:t>
      </w:r>
      <w:r>
        <w:rPr>
          <w:spacing w:val="-2"/>
        </w:rPr>
        <w:t>increased</w:t>
      </w:r>
      <w:r>
        <w:rPr>
          <w:spacing w:val="-4"/>
        </w:rPr>
        <w:t> </w:t>
      </w:r>
      <w:r>
        <w:rPr>
          <w:spacing w:val="-2"/>
        </w:rPr>
        <w:t>strongly during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3"/>
        </w:rPr>
        <w:t> </w:t>
      </w:r>
      <w:r>
        <w:rPr>
          <w:spacing w:val="-2"/>
        </w:rPr>
        <w:t>five-year</w:t>
      </w:r>
      <w:r>
        <w:rPr>
          <w:spacing w:val="-4"/>
        </w:rPr>
        <w:t> </w:t>
      </w:r>
      <w:r>
        <w:rPr>
          <w:spacing w:val="-2"/>
        </w:rPr>
        <w:t>period.</w:t>
      </w:r>
      <w:r>
        <w:rPr>
          <w:spacing w:val="15"/>
        </w:rPr>
        <w:t> </w:t>
      </w:r>
      <w:r>
        <w:rPr>
          <w:spacing w:val="-2"/>
        </w:rPr>
        <w:t>Revenue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3"/>
        </w:rPr>
        <w:t> </w:t>
      </w:r>
      <w:r>
        <w:rPr>
          <w:spacing w:val="-2"/>
        </w:rPr>
        <w:t>$13.857</w:t>
      </w:r>
      <w:r>
        <w:rPr>
          <w:spacing w:val="-4"/>
        </w:rPr>
        <w:t> </w:t>
      </w:r>
      <w:r>
        <w:rPr>
          <w:spacing w:val="-2"/>
        </w:rPr>
        <w:t>billion</w:t>
      </w:r>
      <w:r>
        <w:rPr>
          <w:spacing w:val="-4"/>
        </w:rPr>
        <w:t> </w:t>
      </w:r>
      <w:r>
        <w:rPr>
          <w:spacing w:val="-2"/>
        </w:rPr>
        <w:t>in 2021</w:t>
      </w:r>
      <w:r>
        <w:rPr>
          <w:spacing w:val="-4"/>
        </w:rPr>
        <w:t> </w:t>
      </w:r>
      <w:r>
        <w:rPr>
          <w:spacing w:val="-2"/>
        </w:rPr>
        <w:t>increased</w:t>
      </w:r>
      <w:r>
        <w:rPr>
          <w:spacing w:val="-3"/>
        </w:rPr>
        <w:t> </w:t>
      </w:r>
      <w:r>
        <w:rPr>
          <w:spacing w:val="-5"/>
        </w:rPr>
        <w:t>to</w:t>
      </w:r>
    </w:p>
    <w:p>
      <w:pPr>
        <w:pStyle w:val="BodyText"/>
        <w:spacing w:line="256" w:lineRule="auto" w:before="18"/>
        <w:ind w:left="165" w:right="1296"/>
        <w:jc w:val="both"/>
      </w:pPr>
      <w:r>
        <w:rPr/>
        <w:t>$20.773</w:t>
      </w:r>
      <w:r>
        <w:rPr>
          <w:spacing w:val="-12"/>
        </w:rPr>
        <w:t> </w:t>
      </w:r>
      <w:r>
        <w:rPr/>
        <w:t>billion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2022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continued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rise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$26.186</w:t>
      </w:r>
      <w:r>
        <w:rPr>
          <w:spacing w:val="-12"/>
        </w:rPr>
        <w:t> </w:t>
      </w:r>
      <w:r>
        <w:rPr/>
        <w:t>billion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2025</w:t>
      </w:r>
      <w:r>
        <w:rPr>
          <w:spacing w:val="-12"/>
        </w:rPr>
        <w:t> </w:t>
      </w:r>
      <w:r>
        <w:rPr/>
        <w:t>—</w:t>
      </w:r>
      <w:r>
        <w:rPr>
          <w:spacing w:val="-12"/>
        </w:rPr>
        <w:t> </w:t>
      </w:r>
      <w:r>
        <w:rPr/>
        <w:t>an</w:t>
      </w:r>
      <w:r>
        <w:rPr>
          <w:spacing w:val="-12"/>
        </w:rPr>
        <w:t> </w:t>
      </w:r>
      <w:r>
        <w:rPr/>
        <w:t>increase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approximately 89% between 2021 and 2025.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The</w:t>
      </w:r>
      <w:r>
        <w:rPr>
          <w:spacing w:val="-14"/>
        </w:rPr>
        <w:t> </w:t>
      </w:r>
      <w:r>
        <w:rPr/>
        <w:t>main</w:t>
      </w:r>
      <w:r>
        <w:rPr>
          <w:spacing w:val="-14"/>
        </w:rPr>
        <w:t> </w:t>
      </w:r>
      <w:r>
        <w:rPr/>
        <w:t>reason</w:t>
      </w:r>
      <w:r>
        <w:rPr>
          <w:spacing w:val="-13"/>
        </w:rPr>
        <w:t> </w:t>
      </w:r>
      <w:r>
        <w:rPr/>
        <w:t>for</w:t>
      </w:r>
      <w:r>
        <w:rPr>
          <w:spacing w:val="-14"/>
        </w:rPr>
        <w:t> </w:t>
      </w:r>
      <w:r>
        <w:rPr/>
        <w:t>this</w:t>
      </w:r>
      <w:r>
        <w:rPr>
          <w:spacing w:val="-14"/>
        </w:rPr>
        <w:t> </w:t>
      </w:r>
      <w:r>
        <w:rPr/>
        <w:t>improvement</w:t>
      </w:r>
      <w:r>
        <w:rPr>
          <w:spacing w:val="-13"/>
        </w:rPr>
        <w:t> </w:t>
      </w:r>
      <w:r>
        <w:rPr/>
        <w:t>was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recovery</w:t>
      </w:r>
      <w:r>
        <w:rPr>
          <w:spacing w:val="-13"/>
        </w:rPr>
        <w:t> </w:t>
      </w:r>
      <w:r>
        <w:rPr/>
        <w:t>in</w:t>
      </w:r>
      <w:r>
        <w:rPr>
          <w:spacing w:val="-14"/>
        </w:rPr>
        <w:t> </w:t>
      </w:r>
      <w:r>
        <w:rPr/>
        <w:t>international</w:t>
      </w:r>
      <w:r>
        <w:rPr>
          <w:spacing w:val="-14"/>
        </w:rPr>
        <w:t> </w:t>
      </w:r>
      <w:r>
        <w:rPr/>
        <w:t>travel</w:t>
      </w:r>
      <w:r>
        <w:rPr>
          <w:spacing w:val="-13"/>
        </w:rPr>
        <w:t> </w:t>
      </w:r>
      <w:r>
        <w:rPr/>
        <w:t>and</w:t>
      </w:r>
      <w:r>
        <w:rPr>
          <w:spacing w:val="-14"/>
        </w:rPr>
        <w:t> </w:t>
      </w:r>
      <w:r>
        <w:rPr/>
        <w:t>hotel</w:t>
      </w:r>
      <w:r>
        <w:rPr>
          <w:spacing w:val="-14"/>
        </w:rPr>
        <w:t> </w:t>
      </w:r>
      <w:r>
        <w:rPr/>
        <w:t>demand</w:t>
      </w:r>
      <w:r>
        <w:rPr>
          <w:spacing w:val="-13"/>
        </w:rPr>
        <w:t> </w:t>
      </w:r>
      <w:r>
        <w:rPr/>
        <w:t>follow-ing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pandemic. Marriott</w:t>
      </w:r>
      <w:r>
        <w:rPr>
          <w:spacing w:val="-5"/>
        </w:rPr>
        <w:t> </w:t>
      </w:r>
      <w:r>
        <w:rPr/>
        <w:t>also</w:t>
      </w:r>
      <w:r>
        <w:rPr>
          <w:spacing w:val="-5"/>
        </w:rPr>
        <w:t> </w:t>
      </w:r>
      <w:r>
        <w:rPr/>
        <w:t>continued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increase</w:t>
      </w:r>
      <w:r>
        <w:rPr>
          <w:spacing w:val="-5"/>
        </w:rPr>
        <w:t> </w:t>
      </w:r>
      <w:r>
        <w:rPr/>
        <w:t>its</w:t>
      </w:r>
      <w:r>
        <w:rPr>
          <w:spacing w:val="-6"/>
        </w:rPr>
        <w:t> </w:t>
      </w:r>
      <w:r>
        <w:rPr/>
        <w:t>global</w:t>
      </w:r>
      <w:r>
        <w:rPr>
          <w:spacing w:val="-5"/>
        </w:rPr>
        <w:t> </w:t>
      </w:r>
      <w:r>
        <w:rPr/>
        <w:t>room</w:t>
      </w:r>
      <w:r>
        <w:rPr>
          <w:spacing w:val="-5"/>
        </w:rPr>
        <w:t> </w:t>
      </w:r>
      <w:r>
        <w:rPr/>
        <w:t>portfolio. At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end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2024,</w:t>
      </w:r>
      <w:r>
        <w:rPr>
          <w:spacing w:val="-5"/>
        </w:rPr>
        <w:t> </w:t>
      </w:r>
      <w:r>
        <w:rPr/>
        <w:t>the company had 9,361 properties and 1.706 million rooms, compared with 8,785 properties and approxi-mately 1.597 million rooms at the end of 2023 </w:t>
      </w:r>
      <w:hyperlink w:history="true" w:anchor="_bookmark39">
        <w:r>
          <w:rPr>
            <w:color w:val="0E2C59"/>
          </w:rPr>
          <w:t>[2]</w:t>
        </w:r>
      </w:hyperlink>
      <w:r>
        <w:rPr/>
        <w:t>.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BodyText"/>
        <w:spacing w:line="256" w:lineRule="auto" w:before="156"/>
        <w:ind w:left="165" w:right="1296"/>
        <w:jc w:val="both"/>
      </w:pPr>
      <w:r>
        <w:rPr/>
        <w:t>The</w:t>
      </w:r>
      <w:r>
        <w:rPr>
          <w:spacing w:val="-4"/>
        </w:rPr>
        <w:t> </w:t>
      </w:r>
      <w:r>
        <w:rPr/>
        <w:t>increase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revenue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accompanied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stronger</w:t>
      </w:r>
      <w:r>
        <w:rPr>
          <w:spacing w:val="-4"/>
        </w:rPr>
        <w:t> </w:t>
      </w:r>
      <w:r>
        <w:rPr/>
        <w:t>profitability.</w:t>
      </w:r>
      <w:r>
        <w:rPr>
          <w:spacing w:val="17"/>
        </w:rPr>
        <w:t> </w:t>
      </w:r>
      <w:r>
        <w:rPr/>
        <w:t>Net</w:t>
      </w:r>
      <w:r>
        <w:rPr>
          <w:spacing w:val="-4"/>
        </w:rPr>
        <w:t> </w:t>
      </w:r>
      <w:r>
        <w:rPr/>
        <w:t>income</w:t>
      </w:r>
      <w:r>
        <w:rPr>
          <w:spacing w:val="-4"/>
        </w:rPr>
        <w:t> </w:t>
      </w:r>
      <w:r>
        <w:rPr/>
        <w:t>increased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$1.099 billion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2021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$3.083</w:t>
      </w:r>
      <w:r>
        <w:rPr>
          <w:spacing w:val="-5"/>
        </w:rPr>
        <w:t> </w:t>
      </w:r>
      <w:r>
        <w:rPr/>
        <w:t>billion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2023,</w:t>
      </w:r>
      <w:r>
        <w:rPr>
          <w:spacing w:val="-5"/>
        </w:rPr>
        <w:t> </w:t>
      </w:r>
      <w:r>
        <w:rPr/>
        <w:t>then</w:t>
      </w:r>
      <w:r>
        <w:rPr>
          <w:spacing w:val="-5"/>
        </w:rPr>
        <w:t> </w:t>
      </w:r>
      <w:r>
        <w:rPr/>
        <w:t>fell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$2.375</w:t>
      </w:r>
      <w:r>
        <w:rPr>
          <w:spacing w:val="-5"/>
        </w:rPr>
        <w:t> </w:t>
      </w:r>
      <w:r>
        <w:rPr/>
        <w:t>billion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2024</w:t>
      </w:r>
      <w:r>
        <w:rPr>
          <w:spacing w:val="-5"/>
        </w:rPr>
        <w:t> </w:t>
      </w:r>
      <w:r>
        <w:rPr/>
        <w:t>before</w:t>
      </w:r>
      <w:r>
        <w:rPr>
          <w:spacing w:val="-5"/>
        </w:rPr>
        <w:t> </w:t>
      </w:r>
      <w:r>
        <w:rPr/>
        <w:t>increasing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$2.601 billion in 2025.</w:t>
      </w:r>
      <w:r>
        <w:rPr>
          <w:spacing w:val="40"/>
        </w:rPr>
        <w:t> </w:t>
      </w:r>
      <w:r>
        <w:rPr/>
        <w:t>The 2024 reduction therefore did not represent a collapse in the business, because operating income remained strong and net income recovered in 2025.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Marriott’s</w:t>
      </w:r>
      <w:r>
        <w:rPr>
          <w:spacing w:val="-9"/>
        </w:rPr>
        <w:t> </w:t>
      </w:r>
      <w:r>
        <w:rPr/>
        <w:t>2025</w:t>
      </w:r>
      <w:r>
        <w:rPr>
          <w:spacing w:val="-9"/>
        </w:rPr>
        <w:t> </w:t>
      </w:r>
      <w:r>
        <w:rPr/>
        <w:t>results</w:t>
      </w:r>
      <w:r>
        <w:rPr>
          <w:spacing w:val="-9"/>
        </w:rPr>
        <w:t> </w:t>
      </w:r>
      <w:r>
        <w:rPr/>
        <w:t>were</w:t>
      </w:r>
      <w:r>
        <w:rPr>
          <w:spacing w:val="-10"/>
        </w:rPr>
        <w:t> </w:t>
      </w:r>
      <w:r>
        <w:rPr/>
        <w:t>supported</w:t>
      </w:r>
      <w:r>
        <w:rPr>
          <w:spacing w:val="-9"/>
        </w:rPr>
        <w:t> </w:t>
      </w:r>
      <w:r>
        <w:rPr/>
        <w:t>by</w:t>
      </w:r>
      <w:r>
        <w:rPr>
          <w:spacing w:val="-9"/>
        </w:rPr>
        <w:t> </w:t>
      </w:r>
      <w:r>
        <w:rPr/>
        <w:t>continued</w:t>
      </w:r>
      <w:r>
        <w:rPr>
          <w:spacing w:val="-9"/>
        </w:rPr>
        <w:t> </w:t>
      </w:r>
      <w:r>
        <w:rPr/>
        <w:t>room</w:t>
      </w:r>
      <w:r>
        <w:rPr>
          <w:spacing w:val="-9"/>
        </w:rPr>
        <w:t> </w:t>
      </w:r>
      <w:r>
        <w:rPr/>
        <w:t>growth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higher</w:t>
      </w:r>
      <w:r>
        <w:rPr>
          <w:spacing w:val="-10"/>
        </w:rPr>
        <w:t> </w:t>
      </w:r>
      <w:r>
        <w:rPr/>
        <w:t>RevPAR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most</w:t>
      </w:r>
      <w:r>
        <w:rPr>
          <w:spacing w:val="-9"/>
        </w:rPr>
        <w:t> </w:t>
      </w:r>
      <w:r>
        <w:rPr/>
        <w:t>regions. Global</w:t>
      </w:r>
      <w:r>
        <w:rPr>
          <w:spacing w:val="-6"/>
        </w:rPr>
        <w:t> </w:t>
      </w:r>
      <w:r>
        <w:rPr/>
        <w:t>RevPAR</w:t>
      </w:r>
      <w:r>
        <w:rPr>
          <w:spacing w:val="-6"/>
        </w:rPr>
        <w:t> </w:t>
      </w:r>
      <w:r>
        <w:rPr/>
        <w:t>increased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4.3%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2024</w:t>
      </w:r>
      <w:r>
        <w:rPr>
          <w:spacing w:val="-6"/>
        </w:rPr>
        <w:t> </w:t>
      </w:r>
      <w:r>
        <w:rPr/>
        <w:t>compared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2023.</w:t>
      </w:r>
      <w:r>
        <w:rPr>
          <w:spacing w:val="15"/>
        </w:rPr>
        <w:t> </w:t>
      </w:r>
      <w:r>
        <w:rPr/>
        <w:t>In</w:t>
      </w:r>
      <w:r>
        <w:rPr>
          <w:spacing w:val="-6"/>
        </w:rPr>
        <w:t> </w:t>
      </w:r>
      <w:r>
        <w:rPr/>
        <w:t>2024,</w:t>
      </w:r>
      <w:r>
        <w:rPr>
          <w:spacing w:val="-5"/>
        </w:rPr>
        <w:t> </w:t>
      </w:r>
      <w:r>
        <w:rPr/>
        <w:t>RevPAR</w:t>
      </w:r>
      <w:r>
        <w:rPr>
          <w:spacing w:val="-6"/>
        </w:rPr>
        <w:t> </w:t>
      </w:r>
      <w:r>
        <w:rPr/>
        <w:t>increased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3.0% in the US and Canada, 9.1% in EMEA and 12.9% in APEC. However, Greater China experienced a 2.3% decline in RevPAR because of weaker domestic demand and wider economic conditions </w:t>
      </w:r>
      <w:hyperlink w:history="true" w:anchor="_bookmark39">
        <w:r>
          <w:rPr>
            <w:color w:val="0E2C59"/>
          </w:rPr>
          <w:t>[2]</w:t>
        </w:r>
      </w:hyperlink>
      <w:r>
        <w:rPr/>
        <w:t>.</w:t>
      </w:r>
    </w:p>
    <w:p>
      <w:pPr>
        <w:pStyle w:val="BodyText"/>
        <w:spacing w:before="4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Profitability Analysis" w:id="10"/>
      <w:bookmarkEnd w:id="10"/>
      <w:r>
        <w:rPr>
          <w:b w:val="0"/>
        </w:rPr>
      </w:r>
      <w:bookmarkStart w:name="_bookmark5" w:id="11"/>
      <w:bookmarkEnd w:id="11"/>
      <w:r>
        <w:rPr>
          <w:b w:val="0"/>
        </w:rPr>
      </w:r>
      <w:r>
        <w:rPr>
          <w:color w:val="0E2C59"/>
          <w:spacing w:val="-2"/>
        </w:rPr>
        <w:t>Profitability</w:t>
      </w:r>
      <w:r>
        <w:rPr>
          <w:color w:val="0E2C59"/>
          <w:spacing w:val="-3"/>
        </w:rPr>
        <w:t> </w:t>
      </w:r>
      <w:r>
        <w:rPr>
          <w:color w:val="0E2C59"/>
          <w:spacing w:val="-2"/>
        </w:rPr>
        <w:t>Analysis</w:t>
      </w:r>
    </w:p>
    <w:p>
      <w:pPr>
        <w:pStyle w:val="Heading4"/>
        <w:spacing w:before="183"/>
        <w:jc w:val="both"/>
      </w:pPr>
      <w:r>
        <w:rPr>
          <w:spacing w:val="-2"/>
        </w:rPr>
        <w:t>Operating Profit Margin</w:t>
      </w:r>
    </w:p>
    <w:p>
      <w:pPr>
        <w:pStyle w:val="BodyText"/>
        <w:spacing w:before="15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before="202"/>
        <w:ind w:left="2123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3906316</wp:posOffset>
                </wp:positionH>
                <wp:positionV relativeFrom="paragraph">
                  <wp:posOffset>226586</wp:posOffset>
                </wp:positionV>
                <wp:extent cx="1103630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103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3630" h="0">
                              <a:moveTo>
                                <a:pt x="0" y="0"/>
                              </a:moveTo>
                              <a:lnTo>
                                <a:pt x="1103503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307.584015pt,17.841492pt" to="394.474015pt,17.841492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spacing w:val="6"/>
          <w:w w:val="110"/>
          <w:sz w:val="22"/>
        </w:rPr>
        <w:t>OperatingProfitMargin</w:t>
      </w:r>
      <w:r>
        <w:rPr>
          <w:rFonts w:ascii="Calibri"/>
          <w:i/>
          <w:spacing w:val="39"/>
          <w:w w:val="130"/>
          <w:sz w:val="22"/>
        </w:rPr>
        <w:t> </w:t>
      </w:r>
      <w:r>
        <w:rPr>
          <w:rFonts w:ascii="Calibri"/>
          <w:spacing w:val="-10"/>
          <w:w w:val="130"/>
          <w:sz w:val="22"/>
        </w:rPr>
        <w:t>=</w:t>
      </w:r>
    </w:p>
    <w:p>
      <w:pPr>
        <w:spacing w:line="266" w:lineRule="auto" w:before="54"/>
        <w:ind w:left="492" w:right="0" w:hanging="449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i/>
          <w:spacing w:val="-2"/>
          <w:sz w:val="22"/>
        </w:rPr>
        <w:t>OperatingIncome</w:t>
      </w:r>
      <w:r>
        <w:rPr>
          <w:rFonts w:ascii="Calibri"/>
          <w:i/>
          <w:spacing w:val="-2"/>
          <w:w w:val="110"/>
          <w:sz w:val="22"/>
        </w:rPr>
        <w:t> Revenue</w:t>
      </w:r>
    </w:p>
    <w:p>
      <w:pPr>
        <w:spacing w:before="190"/>
        <w:ind w:left="32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Verdana" w:hAnsi="Verdana"/>
          <w:i/>
          <w:w w:val="90"/>
          <w:sz w:val="22"/>
        </w:rPr>
        <w:t>×</w:t>
      </w:r>
      <w:r>
        <w:rPr>
          <w:rFonts w:ascii="Verdana" w:hAnsi="Verdana"/>
          <w:i/>
          <w:spacing w:val="-15"/>
          <w:w w:val="90"/>
          <w:sz w:val="22"/>
        </w:rPr>
        <w:t> </w:t>
      </w:r>
      <w:r>
        <w:rPr>
          <w:rFonts w:ascii="Calibri" w:hAnsi="Calibri"/>
          <w:spacing w:val="-5"/>
          <w:sz w:val="22"/>
        </w:rPr>
        <w:t>100</w:t>
      </w:r>
    </w:p>
    <w:p>
      <w:pPr>
        <w:spacing w:after="0"/>
        <w:jc w:val="left"/>
        <w:rPr>
          <w:rFonts w:ascii="Calibri" w:hAnsi="Calibri"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3" w:equalWidth="0">
            <w:col w:w="4793" w:space="40"/>
            <w:col w:w="1783" w:space="39"/>
            <w:col w:w="3839"/>
          </w:cols>
        </w:sectPr>
      </w:pPr>
    </w:p>
    <w:p>
      <w:pPr>
        <w:pStyle w:val="BodyText"/>
        <w:spacing w:before="3"/>
        <w:rPr>
          <w:rFonts w:ascii="Calibri"/>
        </w:rPr>
      </w:pPr>
    </w:p>
    <w:p>
      <w:pPr>
        <w:pStyle w:val="BodyText"/>
        <w:ind w:right="1131"/>
        <w:jc w:val="center"/>
      </w:pPr>
      <w:r>
        <w:rPr/>
        <w:t>Table</w:t>
      </w:r>
      <w:r>
        <w:rPr>
          <w:spacing w:val="-14"/>
        </w:rPr>
        <w:t> </w:t>
      </w:r>
      <w:r>
        <w:rPr/>
        <w:t>2:</w:t>
      </w:r>
      <w:r>
        <w:rPr>
          <w:spacing w:val="-7"/>
        </w:rPr>
        <w:t> </w:t>
      </w:r>
      <w:r>
        <w:rPr/>
        <w:t>Operating</w:t>
      </w:r>
      <w:r>
        <w:rPr>
          <w:spacing w:val="-14"/>
        </w:rPr>
        <w:t> </w:t>
      </w:r>
      <w:r>
        <w:rPr/>
        <w:t>Profit</w:t>
      </w:r>
      <w:r>
        <w:rPr>
          <w:spacing w:val="-14"/>
        </w:rPr>
        <w:t> </w:t>
      </w:r>
      <w:r>
        <w:rPr/>
        <w:t>Margin,</w:t>
      </w:r>
      <w:r>
        <w:rPr>
          <w:spacing w:val="-14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2953461</wp:posOffset>
                </wp:positionH>
                <wp:positionV relativeFrom="paragraph">
                  <wp:posOffset>153838</wp:posOffset>
                </wp:positionV>
                <wp:extent cx="1653539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16535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3539" h="0">
                              <a:moveTo>
                                <a:pt x="0" y="0"/>
                              </a:moveTo>
                              <a:lnTo>
                                <a:pt x="1653082" y="0"/>
                              </a:lnTo>
                            </a:path>
                          </a:pathLst>
                        </a:custGeom>
                        <a:ln w="110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2.556pt;margin-top:12.113262pt;width:130.2pt;height:.1pt;mso-position-horizontal-relative:page;mso-position-vertical-relative:paragraph;z-index:-15728128;mso-wrap-distance-left:0;mso-wrap-distance-right:0" id="docshape3" coordorigin="4651,242" coordsize="2604,0" path="m4651,242l7254,242e" filled="false" stroked="true" strokeweight=".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4"/>
        <w:tabs>
          <w:tab w:pos="675" w:val="left" w:leader="none"/>
        </w:tabs>
        <w:spacing w:before="48"/>
        <w:ind w:left="0" w:right="1131"/>
        <w:jc w:val="center"/>
      </w:pPr>
      <w:r>
        <w:rPr>
          <w:spacing w:val="-4"/>
        </w:rPr>
        <w:t>Year</w:t>
      </w:r>
      <w:r>
        <w:rPr/>
        <w:tab/>
        <w:t>Operating</w:t>
      </w:r>
      <w:r>
        <w:rPr>
          <w:spacing w:val="-11"/>
        </w:rPr>
        <w:t> </w:t>
      </w:r>
      <w:r>
        <w:rPr>
          <w:spacing w:val="-2"/>
        </w:rPr>
        <w:t>margin</w:t>
      </w:r>
    </w:p>
    <w:p>
      <w:pPr>
        <w:pStyle w:val="BodyText"/>
        <w:spacing w:before="9"/>
        <w:rPr>
          <w:b/>
          <w:sz w:val="6"/>
        </w:rPr>
      </w:pPr>
    </w:p>
    <w:tbl>
      <w:tblPr>
        <w:tblW w:w="0" w:type="auto"/>
        <w:jc w:val="left"/>
        <w:tblInd w:w="3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420"/>
      </w:tblGrid>
      <w:tr>
        <w:trPr>
          <w:trHeight w:val="316" w:hRule="atLeast"/>
        </w:trPr>
        <w:tc>
          <w:tcPr>
            <w:tcW w:w="118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42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12.63%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42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16.67%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42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16.29%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42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15.01%</w:t>
            </w:r>
          </w:p>
        </w:tc>
      </w:tr>
      <w:tr>
        <w:trPr>
          <w:trHeight w:val="324" w:hRule="atLeast"/>
        </w:trPr>
        <w:tc>
          <w:tcPr>
            <w:tcW w:w="118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42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15.81%</w:t>
            </w:r>
          </w:p>
        </w:tc>
      </w:tr>
    </w:tbl>
    <w:p>
      <w:pPr>
        <w:pStyle w:val="BodyText"/>
        <w:spacing w:line="256" w:lineRule="auto" w:before="177"/>
        <w:ind w:left="165" w:right="1296"/>
        <w:jc w:val="both"/>
      </w:pPr>
      <w:r>
        <w:rPr/>
        <w:t>Marriott’s</w:t>
      </w:r>
      <w:r>
        <w:rPr>
          <w:spacing w:val="-3"/>
        </w:rPr>
        <w:t> </w:t>
      </w:r>
      <w:r>
        <w:rPr/>
        <w:t>operating</w:t>
      </w:r>
      <w:r>
        <w:rPr>
          <w:spacing w:val="-3"/>
        </w:rPr>
        <w:t> </w:t>
      </w:r>
      <w:r>
        <w:rPr/>
        <w:t>margin</w:t>
      </w:r>
      <w:r>
        <w:rPr>
          <w:spacing w:val="-3"/>
        </w:rPr>
        <w:t> </w:t>
      </w:r>
      <w:r>
        <w:rPr/>
        <w:t>improved</w:t>
      </w:r>
      <w:r>
        <w:rPr>
          <w:spacing w:val="-3"/>
        </w:rPr>
        <w:t> </w:t>
      </w:r>
      <w:r>
        <w:rPr/>
        <w:t>significantly</w:t>
      </w:r>
      <w:r>
        <w:rPr>
          <w:spacing w:val="-3"/>
        </w:rPr>
        <w:t> </w:t>
      </w:r>
      <w:r>
        <w:rPr/>
        <w:t>after</w:t>
      </w:r>
      <w:r>
        <w:rPr>
          <w:spacing w:val="-3"/>
        </w:rPr>
        <w:t> </w:t>
      </w:r>
      <w:r>
        <w:rPr/>
        <w:t>2021,</w:t>
      </w:r>
      <w:r>
        <w:rPr>
          <w:spacing w:val="-1"/>
        </w:rPr>
        <w:t> </w:t>
      </w:r>
      <w:r>
        <w:rPr/>
        <w:t>rising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12.63%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16.67%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2022, mainly</w:t>
      </w:r>
      <w:r>
        <w:rPr>
          <w:spacing w:val="-14"/>
        </w:rPr>
        <w:t> </w:t>
      </w:r>
      <w:r>
        <w:rPr/>
        <w:t>related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strong</w:t>
      </w:r>
      <w:r>
        <w:rPr>
          <w:spacing w:val="-14"/>
        </w:rPr>
        <w:t> </w:t>
      </w:r>
      <w:r>
        <w:rPr/>
        <w:t>recovery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hospitality</w:t>
      </w:r>
      <w:r>
        <w:rPr>
          <w:spacing w:val="-13"/>
        </w:rPr>
        <w:t> </w:t>
      </w:r>
      <w:r>
        <w:rPr/>
        <w:t>demand.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margin</w:t>
      </w:r>
      <w:r>
        <w:rPr>
          <w:spacing w:val="-14"/>
        </w:rPr>
        <w:t> </w:t>
      </w:r>
      <w:r>
        <w:rPr/>
        <w:t>remained</w:t>
      </w:r>
      <w:r>
        <w:rPr>
          <w:spacing w:val="-13"/>
        </w:rPr>
        <w:t> </w:t>
      </w:r>
      <w:r>
        <w:rPr/>
        <w:t>above</w:t>
      </w:r>
      <w:r>
        <w:rPr>
          <w:spacing w:val="-14"/>
        </w:rPr>
        <w:t> </w:t>
      </w:r>
      <w:r>
        <w:rPr/>
        <w:t>15%</w:t>
      </w:r>
      <w:r>
        <w:rPr>
          <w:spacing w:val="-14"/>
        </w:rPr>
        <w:t> </w:t>
      </w:r>
      <w:r>
        <w:rPr/>
        <w:t>from</w:t>
      </w:r>
      <w:r>
        <w:rPr>
          <w:spacing w:val="-14"/>
        </w:rPr>
        <w:t> </w:t>
      </w:r>
      <w:r>
        <w:rPr/>
        <w:t>2022 onwards. The</w:t>
      </w:r>
      <w:r>
        <w:rPr>
          <w:spacing w:val="-5"/>
        </w:rPr>
        <w:t> </w:t>
      </w:r>
      <w:r>
        <w:rPr/>
        <w:t>decline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2024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15.01%</w:t>
      </w:r>
      <w:r>
        <w:rPr>
          <w:spacing w:val="-6"/>
        </w:rPr>
        <w:t> </w:t>
      </w:r>
      <w:r>
        <w:rPr/>
        <w:t>should</w:t>
      </w:r>
      <w:r>
        <w:rPr>
          <w:spacing w:val="-6"/>
        </w:rPr>
        <w:t> </w:t>
      </w:r>
      <w:r>
        <w:rPr/>
        <w:t>be</w:t>
      </w:r>
      <w:r>
        <w:rPr>
          <w:spacing w:val="-6"/>
        </w:rPr>
        <w:t> </w:t>
      </w:r>
      <w:r>
        <w:rPr/>
        <w:t>monitored,</w:t>
      </w:r>
      <w:r>
        <w:rPr>
          <w:spacing w:val="-5"/>
        </w:rPr>
        <w:t> </w:t>
      </w:r>
      <w:r>
        <w:rPr/>
        <w:t>but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improvement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15.81%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2025 is</w:t>
      </w:r>
      <w:r>
        <w:rPr>
          <w:spacing w:val="-3"/>
        </w:rPr>
        <w:t> </w:t>
      </w:r>
      <w:r>
        <w:rPr/>
        <w:t>positive.</w:t>
      </w:r>
      <w:r>
        <w:rPr>
          <w:spacing w:val="21"/>
        </w:rPr>
        <w:t> </w:t>
      </w:r>
      <w:r>
        <w:rPr/>
        <w:t>Marriott</w:t>
      </w:r>
      <w:r>
        <w:rPr>
          <w:spacing w:val="-3"/>
        </w:rPr>
        <w:t> </w:t>
      </w:r>
      <w:r>
        <w:rPr/>
        <w:t>also</w:t>
      </w:r>
      <w:r>
        <w:rPr>
          <w:spacing w:val="-4"/>
        </w:rPr>
        <w:t> </w:t>
      </w:r>
      <w:r>
        <w:rPr/>
        <w:t>introduced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cost-efficiency</w:t>
      </w:r>
      <w:r>
        <w:rPr>
          <w:spacing w:val="-3"/>
        </w:rPr>
        <w:t> </w:t>
      </w:r>
      <w:r>
        <w:rPr/>
        <w:t>programme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2024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expected</w:t>
      </w:r>
      <w:r>
        <w:rPr>
          <w:spacing w:val="-4"/>
        </w:rPr>
        <w:t> </w:t>
      </w:r>
      <w:r>
        <w:rPr/>
        <w:t>annual</w:t>
      </w:r>
      <w:r>
        <w:rPr>
          <w:spacing w:val="-3"/>
        </w:rPr>
        <w:t> </w:t>
      </w:r>
      <w:r>
        <w:rPr/>
        <w:t>general and administrative cost reductions of $80–90 million beginning in 2025 </w:t>
      </w:r>
      <w:hyperlink w:history="true" w:anchor="_bookmark39">
        <w:r>
          <w:rPr>
            <w:color w:val="0E2C59"/>
          </w:rPr>
          <w:t>[2]</w:t>
        </w:r>
      </w:hyperlink>
      <w:r>
        <w:rPr/>
        <w:t>.</w:t>
      </w:r>
    </w:p>
    <w:p>
      <w:pPr>
        <w:pStyle w:val="BodyText"/>
        <w:spacing w:before="58"/>
      </w:pPr>
    </w:p>
    <w:p>
      <w:pPr>
        <w:pStyle w:val="Heading4"/>
        <w:jc w:val="both"/>
      </w:pPr>
      <w:r>
        <w:rPr>
          <w:spacing w:val="-2"/>
        </w:rPr>
        <w:t>Net</w:t>
      </w:r>
      <w:r>
        <w:rPr>
          <w:spacing w:val="-5"/>
        </w:rPr>
        <w:t> </w:t>
      </w:r>
      <w:r>
        <w:rPr>
          <w:spacing w:val="-2"/>
        </w:rPr>
        <w:t>Profit</w:t>
      </w:r>
      <w:r>
        <w:rPr>
          <w:spacing w:val="-5"/>
        </w:rPr>
        <w:t> </w:t>
      </w:r>
      <w:r>
        <w:rPr>
          <w:spacing w:val="-2"/>
        </w:rPr>
        <w:t>Margin</w:t>
      </w:r>
    </w:p>
    <w:p>
      <w:pPr>
        <w:pStyle w:val="BodyText"/>
        <w:spacing w:before="1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spacing w:before="202"/>
        <w:ind w:left="2744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3906316</wp:posOffset>
                </wp:positionH>
                <wp:positionV relativeFrom="paragraph">
                  <wp:posOffset>227079</wp:posOffset>
                </wp:positionV>
                <wp:extent cx="709295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709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0">
                              <a:moveTo>
                                <a:pt x="0" y="0"/>
                              </a:moveTo>
                              <a:lnTo>
                                <a:pt x="709168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307.584015pt,17.880239pt" to="363.424015pt,17.880239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spacing w:val="4"/>
          <w:w w:val="115"/>
          <w:sz w:val="22"/>
        </w:rPr>
        <w:t>NetProfitMargin</w:t>
      </w:r>
      <w:r>
        <w:rPr>
          <w:rFonts w:ascii="Calibri"/>
          <w:i/>
          <w:spacing w:val="50"/>
          <w:w w:val="135"/>
          <w:sz w:val="22"/>
        </w:rPr>
        <w:t> </w:t>
      </w:r>
      <w:r>
        <w:rPr>
          <w:rFonts w:ascii="Calibri"/>
          <w:spacing w:val="-10"/>
          <w:w w:val="135"/>
          <w:sz w:val="22"/>
        </w:rPr>
        <w:t>=</w:t>
      </w:r>
    </w:p>
    <w:p>
      <w:pPr>
        <w:spacing w:line="266" w:lineRule="auto" w:before="55"/>
        <w:ind w:left="182" w:right="0" w:hanging="138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i/>
          <w:spacing w:val="-2"/>
          <w:w w:val="110"/>
          <w:sz w:val="22"/>
        </w:rPr>
        <w:t>NetIncome Revenue</w:t>
      </w:r>
    </w:p>
    <w:p>
      <w:pPr>
        <w:spacing w:before="191"/>
        <w:ind w:left="32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Verdana" w:hAnsi="Verdana"/>
          <w:i/>
          <w:w w:val="90"/>
          <w:sz w:val="22"/>
        </w:rPr>
        <w:t>×</w:t>
      </w:r>
      <w:r>
        <w:rPr>
          <w:rFonts w:ascii="Verdana" w:hAnsi="Verdana"/>
          <w:i/>
          <w:spacing w:val="-15"/>
          <w:w w:val="90"/>
          <w:sz w:val="22"/>
        </w:rPr>
        <w:t> </w:t>
      </w:r>
      <w:r>
        <w:rPr>
          <w:rFonts w:ascii="Calibri" w:hAnsi="Calibri"/>
          <w:spacing w:val="-5"/>
          <w:sz w:val="22"/>
        </w:rPr>
        <w:t>100</w:t>
      </w:r>
    </w:p>
    <w:p>
      <w:pPr>
        <w:spacing w:after="0"/>
        <w:jc w:val="left"/>
        <w:rPr>
          <w:rFonts w:ascii="Calibri" w:hAnsi="Calibri"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3" w:equalWidth="0">
            <w:col w:w="4792" w:space="40"/>
            <w:col w:w="1162" w:space="39"/>
            <w:col w:w="4461"/>
          </w:cols>
        </w:sectPr>
      </w:pPr>
    </w:p>
    <w:p>
      <w:pPr>
        <w:pStyle w:val="BodyText"/>
        <w:spacing w:before="3"/>
        <w:rPr>
          <w:rFonts w:ascii="Calibri"/>
        </w:rPr>
      </w:pPr>
    </w:p>
    <w:p>
      <w:pPr>
        <w:pStyle w:val="BodyText"/>
        <w:ind w:left="2972"/>
      </w:pPr>
      <w:r>
        <w:rPr/>
        <w:t>Table</w:t>
      </w:r>
      <w:r>
        <w:rPr>
          <w:spacing w:val="-14"/>
        </w:rPr>
        <w:t> </w:t>
      </w:r>
      <w:r>
        <w:rPr/>
        <w:t>3:</w:t>
      </w:r>
      <w:r>
        <w:rPr>
          <w:spacing w:val="-3"/>
        </w:rPr>
        <w:t> </w:t>
      </w:r>
      <w:r>
        <w:rPr/>
        <w:t>Net</w:t>
      </w:r>
      <w:r>
        <w:rPr>
          <w:spacing w:val="-13"/>
        </w:rPr>
        <w:t> </w:t>
      </w:r>
      <w:r>
        <w:rPr/>
        <w:t>Profit</w:t>
      </w:r>
      <w:r>
        <w:rPr>
          <w:spacing w:val="-14"/>
        </w:rPr>
        <w:t> </w:t>
      </w:r>
      <w:r>
        <w:rPr/>
        <w:t>Margin,</w:t>
      </w:r>
      <w:r>
        <w:rPr>
          <w:spacing w:val="-13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297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Net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margin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2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7.93%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297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11.35%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297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13.00%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297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9.46%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29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9.93%</w:t>
            </w:r>
          </w:p>
        </w:tc>
      </w:tr>
    </w:tbl>
    <w:p>
      <w:pPr>
        <w:pStyle w:val="BodyText"/>
        <w:spacing w:line="256" w:lineRule="auto" w:before="175"/>
        <w:ind w:left="165" w:right="1296"/>
        <w:jc w:val="both"/>
      </w:pPr>
      <w:r>
        <w:rPr/>
        <w:t>The net margin shows a similar pattern, peaking in 2023.</w:t>
      </w:r>
      <w:r>
        <w:rPr>
          <w:spacing w:val="27"/>
        </w:rPr>
        <w:t> </w:t>
      </w:r>
      <w:r>
        <w:rPr/>
        <w:t>The reduction in 2024 was partly associated with</w:t>
      </w:r>
      <w:r>
        <w:rPr>
          <w:spacing w:val="-10"/>
        </w:rPr>
        <w:t> </w:t>
      </w:r>
      <w:r>
        <w:rPr/>
        <w:t>higher</w:t>
      </w:r>
      <w:r>
        <w:rPr>
          <w:spacing w:val="-10"/>
        </w:rPr>
        <w:t> </w:t>
      </w:r>
      <w:r>
        <w:rPr/>
        <w:t>costs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other</w:t>
      </w:r>
      <w:r>
        <w:rPr>
          <w:spacing w:val="-10"/>
        </w:rPr>
        <w:t> </w:t>
      </w:r>
      <w:r>
        <w:rPr/>
        <w:t>financial</w:t>
      </w:r>
      <w:r>
        <w:rPr>
          <w:spacing w:val="-10"/>
        </w:rPr>
        <w:t> </w:t>
      </w:r>
      <w:r>
        <w:rPr/>
        <w:t>effects. In</w:t>
      </w:r>
      <w:r>
        <w:rPr>
          <w:spacing w:val="-10"/>
        </w:rPr>
        <w:t> </w:t>
      </w:r>
      <w:r>
        <w:rPr/>
        <w:t>2025,</w:t>
      </w:r>
      <w:r>
        <w:rPr>
          <w:spacing w:val="-10"/>
        </w:rPr>
        <w:t> </w:t>
      </w:r>
      <w:r>
        <w:rPr/>
        <w:t>net</w:t>
      </w:r>
      <w:r>
        <w:rPr>
          <w:spacing w:val="-10"/>
        </w:rPr>
        <w:t> </w:t>
      </w:r>
      <w:r>
        <w:rPr/>
        <w:t>income</w:t>
      </w:r>
      <w:r>
        <w:rPr>
          <w:spacing w:val="-10"/>
        </w:rPr>
        <w:t> </w:t>
      </w:r>
      <w:r>
        <w:rPr/>
        <w:t>increased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$2.601</w:t>
      </w:r>
      <w:r>
        <w:rPr>
          <w:spacing w:val="-10"/>
        </w:rPr>
        <w:t> </w:t>
      </w:r>
      <w:r>
        <w:rPr/>
        <w:t>billion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net margin</w:t>
      </w:r>
      <w:r>
        <w:rPr>
          <w:spacing w:val="-3"/>
        </w:rPr>
        <w:t> </w:t>
      </w:r>
      <w:r>
        <w:rPr/>
        <w:t>improved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approximately</w:t>
      </w:r>
      <w:r>
        <w:rPr>
          <w:spacing w:val="-3"/>
        </w:rPr>
        <w:t> </w:t>
      </w:r>
      <w:r>
        <w:rPr/>
        <w:t>9.93%.</w:t>
      </w:r>
      <w:r>
        <w:rPr>
          <w:spacing w:val="22"/>
        </w:rPr>
        <w:t> </w:t>
      </w:r>
      <w:r>
        <w:rPr/>
        <w:t>Overall,</w:t>
      </w:r>
      <w:r>
        <w:rPr>
          <w:spacing w:val="-1"/>
        </w:rPr>
        <w:t> </w:t>
      </w:r>
      <w:r>
        <w:rPr/>
        <w:t>Marriott</w:t>
      </w:r>
      <w:r>
        <w:rPr>
          <w:spacing w:val="-3"/>
        </w:rPr>
        <w:t> </w:t>
      </w:r>
      <w:r>
        <w:rPr/>
        <w:t>has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strong</w:t>
      </w:r>
      <w:r>
        <w:rPr>
          <w:spacing w:val="-3"/>
        </w:rPr>
        <w:t> </w:t>
      </w:r>
      <w:r>
        <w:rPr/>
        <w:t>profitability</w:t>
      </w:r>
      <w:r>
        <w:rPr>
          <w:spacing w:val="-3"/>
        </w:rPr>
        <w:t> </w:t>
      </w:r>
      <w:r>
        <w:rPr/>
        <w:t>position,</w:t>
      </w:r>
      <w:r>
        <w:rPr>
          <w:spacing w:val="-1"/>
        </w:rPr>
        <w:t> </w:t>
      </w:r>
      <w:r>
        <w:rPr/>
        <w:t>having </w:t>
      </w:r>
      <w:r>
        <w:rPr>
          <w:spacing w:val="-2"/>
        </w:rPr>
        <w:t>recovered successfully from the pandemic period while generating substantial profits from its asset-light </w:t>
      </w:r>
      <w:r>
        <w:rPr/>
        <w:t>business model.</w:t>
      </w:r>
    </w:p>
    <w:p>
      <w:pPr>
        <w:pStyle w:val="BodyText"/>
        <w:spacing w:after="0" w:line="256" w:lineRule="auto"/>
        <w:jc w:val="both"/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137" w:after="0"/>
        <w:ind w:left="702" w:right="0" w:hanging="537"/>
        <w:jc w:val="left"/>
      </w:pPr>
      <w:bookmarkStart w:name="Liquidity Analysis" w:id="12"/>
      <w:bookmarkEnd w:id="12"/>
      <w:r>
        <w:rPr>
          <w:b w:val="0"/>
        </w:rPr>
      </w:r>
      <w:bookmarkStart w:name="_bookmark6" w:id="13"/>
      <w:bookmarkEnd w:id="13"/>
      <w:r>
        <w:rPr>
          <w:b w:val="0"/>
        </w:rPr>
      </w:r>
      <w:r>
        <w:rPr>
          <w:color w:val="0E2C59"/>
        </w:rPr>
        <w:t>Liquidity</w:t>
      </w:r>
      <w:r>
        <w:rPr>
          <w:color w:val="0E2C59"/>
          <w:spacing w:val="-11"/>
        </w:rPr>
        <w:t> </w:t>
      </w:r>
      <w:r>
        <w:rPr>
          <w:color w:val="0E2C59"/>
          <w:spacing w:val="-2"/>
        </w:rPr>
        <w:t>Analysis</w:t>
      </w:r>
    </w:p>
    <w:p>
      <w:pPr>
        <w:pStyle w:val="BodyText"/>
        <w:spacing w:before="161"/>
        <w:ind w:left="165"/>
      </w:pPr>
      <w:r>
        <w:rPr/>
        <w:t>Liquidity</w:t>
      </w:r>
      <w:r>
        <w:rPr>
          <w:spacing w:val="-6"/>
        </w:rPr>
        <w:t> </w:t>
      </w:r>
      <w:r>
        <w:rPr/>
        <w:t>is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major</w:t>
      </w:r>
      <w:r>
        <w:rPr>
          <w:spacing w:val="-5"/>
        </w:rPr>
        <w:t> </w:t>
      </w:r>
      <w:r>
        <w:rPr/>
        <w:t>weakness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2"/>
        </w:rPr>
        <w:t>Marriott.</w:t>
      </w:r>
    </w:p>
    <w:p>
      <w:pPr>
        <w:pStyle w:val="BodyText"/>
        <w:spacing w:before="84"/>
      </w:pPr>
    </w:p>
    <w:p>
      <w:pPr>
        <w:pStyle w:val="Heading4"/>
      </w:pPr>
      <w:r>
        <w:rPr/>
        <w:t>Current</w:t>
      </w:r>
      <w:r>
        <w:rPr>
          <w:spacing w:val="-13"/>
        </w:rPr>
        <w:t> </w:t>
      </w:r>
      <w:r>
        <w:rPr>
          <w:spacing w:val="-2"/>
        </w:rPr>
        <w:t>Ratio</w:t>
      </w:r>
    </w:p>
    <w:p>
      <w:pPr>
        <w:pStyle w:val="BodyText"/>
        <w:spacing w:before="75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before="202"/>
        <w:ind w:left="2915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3723843</wp:posOffset>
                </wp:positionH>
                <wp:positionV relativeFrom="paragraph">
                  <wp:posOffset>227106</wp:posOffset>
                </wp:positionV>
                <wp:extent cx="1160145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160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0145" h="0">
                              <a:moveTo>
                                <a:pt x="0" y="0"/>
                              </a:moveTo>
                              <a:lnTo>
                                <a:pt x="1160106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293.216003pt,17.882372pt" to="384.563003pt,17.882372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w w:val="115"/>
          <w:sz w:val="22"/>
        </w:rPr>
        <w:t>CurrentRatio</w:t>
      </w:r>
      <w:r>
        <w:rPr>
          <w:rFonts w:ascii="Calibri"/>
          <w:i/>
          <w:spacing w:val="29"/>
          <w:w w:val="135"/>
          <w:sz w:val="22"/>
        </w:rPr>
        <w:t> </w:t>
      </w:r>
      <w:r>
        <w:rPr>
          <w:rFonts w:ascii="Calibri"/>
          <w:spacing w:val="-10"/>
          <w:w w:val="135"/>
          <w:sz w:val="22"/>
        </w:rPr>
        <w:t>=</w:t>
      </w:r>
    </w:p>
    <w:p>
      <w:pPr>
        <w:spacing w:line="266" w:lineRule="auto" w:before="55"/>
        <w:ind w:left="44" w:right="4071" w:firstLine="179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i/>
          <w:spacing w:val="-2"/>
          <w:w w:val="115"/>
          <w:sz w:val="22"/>
        </w:rPr>
        <w:t>CurrentAssets CurrentLiabilities</w:t>
      </w:r>
    </w:p>
    <w:p>
      <w:pPr>
        <w:spacing w:after="0" w:line="266" w:lineRule="auto"/>
        <w:jc w:val="left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2" w:equalWidth="0">
            <w:col w:w="4505" w:space="40"/>
            <w:col w:w="5949"/>
          </w:cols>
        </w:sectPr>
      </w:pPr>
    </w:p>
    <w:p>
      <w:pPr>
        <w:pStyle w:val="BodyText"/>
        <w:spacing w:before="84"/>
        <w:rPr>
          <w:rFonts w:ascii="Calibri"/>
          <w:i/>
        </w:rPr>
      </w:pPr>
    </w:p>
    <w:p>
      <w:pPr>
        <w:pStyle w:val="BodyText"/>
        <w:ind w:left="3149"/>
      </w:pPr>
      <w:r>
        <w:rPr/>
        <w:t>Table</w:t>
      </w:r>
      <w:r>
        <w:rPr>
          <w:spacing w:val="-11"/>
        </w:rPr>
        <w:t> </w:t>
      </w:r>
      <w:r>
        <w:rPr/>
        <w:t>4:</w:t>
      </w:r>
      <w:r>
        <w:rPr>
          <w:spacing w:val="-1"/>
        </w:rPr>
        <w:t> </w:t>
      </w:r>
      <w:r>
        <w:rPr/>
        <w:t>Current</w:t>
      </w:r>
      <w:r>
        <w:rPr>
          <w:spacing w:val="-11"/>
        </w:rPr>
        <w:t> </w:t>
      </w:r>
      <w:r>
        <w:rPr/>
        <w:t>Ratio,</w:t>
      </w:r>
      <w:r>
        <w:rPr>
          <w:spacing w:val="-11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501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50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Current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ratio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5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0.57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50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0.45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50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0.43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50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0.40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50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0.43</w:t>
            </w:r>
          </w:p>
        </w:tc>
      </w:tr>
    </w:tbl>
    <w:p>
      <w:pPr>
        <w:pStyle w:val="BodyText"/>
        <w:spacing w:line="256" w:lineRule="auto" w:before="195"/>
        <w:ind w:left="165" w:right="1296"/>
        <w:jc w:val="both"/>
      </w:pPr>
      <w:r>
        <w:rPr/>
        <w:t>The</w:t>
      </w:r>
      <w:r>
        <w:rPr>
          <w:spacing w:val="-14"/>
        </w:rPr>
        <w:t> </w:t>
      </w:r>
      <w:r>
        <w:rPr/>
        <w:t>current</w:t>
      </w:r>
      <w:r>
        <w:rPr>
          <w:spacing w:val="-14"/>
        </w:rPr>
        <w:t> </w:t>
      </w:r>
      <w:r>
        <w:rPr/>
        <w:t>ratio</w:t>
      </w:r>
      <w:r>
        <w:rPr>
          <w:spacing w:val="-14"/>
        </w:rPr>
        <w:t> </w:t>
      </w:r>
      <w:r>
        <w:rPr/>
        <w:t>declined</w:t>
      </w:r>
      <w:r>
        <w:rPr>
          <w:spacing w:val="-13"/>
        </w:rPr>
        <w:t> </w:t>
      </w:r>
      <w:r>
        <w:rPr/>
        <w:t>from</w:t>
      </w:r>
      <w:r>
        <w:rPr>
          <w:spacing w:val="-14"/>
        </w:rPr>
        <w:t> </w:t>
      </w:r>
      <w:r>
        <w:rPr/>
        <w:t>0.57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2021</w:t>
      </w:r>
      <w:r>
        <w:rPr>
          <w:spacing w:val="-13"/>
        </w:rPr>
        <w:t> </w:t>
      </w:r>
      <w:r>
        <w:rPr/>
        <w:t>to</w:t>
      </w:r>
      <w:r>
        <w:rPr>
          <w:spacing w:val="-14"/>
        </w:rPr>
        <w:t> </w:t>
      </w:r>
      <w:r>
        <w:rPr/>
        <w:t>0.40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2024</w:t>
      </w:r>
      <w:r>
        <w:rPr>
          <w:spacing w:val="-13"/>
        </w:rPr>
        <w:t> </w:t>
      </w:r>
      <w:r>
        <w:rPr/>
        <w:t>before</w:t>
      </w:r>
      <w:r>
        <w:rPr>
          <w:spacing w:val="-14"/>
        </w:rPr>
        <w:t> </w:t>
      </w:r>
      <w:r>
        <w:rPr/>
        <w:t>slightly</w:t>
      </w:r>
      <w:r>
        <w:rPr>
          <w:spacing w:val="-14"/>
        </w:rPr>
        <w:t> </w:t>
      </w:r>
      <w:r>
        <w:rPr/>
        <w:t>improving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0.43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2025.</w:t>
      </w:r>
      <w:r>
        <w:rPr>
          <w:spacing w:val="-14"/>
        </w:rPr>
        <w:t> </w:t>
      </w:r>
      <w:r>
        <w:rPr/>
        <w:t>A </w:t>
      </w:r>
      <w:r>
        <w:rPr>
          <w:spacing w:val="-2"/>
        </w:rPr>
        <w:t>ratio</w:t>
      </w:r>
      <w:r>
        <w:rPr>
          <w:spacing w:val="-8"/>
        </w:rPr>
        <w:t> </w:t>
      </w:r>
      <w:r>
        <w:rPr>
          <w:spacing w:val="-2"/>
        </w:rPr>
        <w:t>below</w:t>
      </w:r>
      <w:r>
        <w:rPr>
          <w:spacing w:val="-8"/>
        </w:rPr>
        <w:t> </w:t>
      </w:r>
      <w:r>
        <w:rPr>
          <w:spacing w:val="-2"/>
        </w:rPr>
        <w:t>1</w:t>
      </w:r>
      <w:r>
        <w:rPr>
          <w:spacing w:val="-8"/>
        </w:rPr>
        <w:t> </w:t>
      </w:r>
      <w:r>
        <w:rPr>
          <w:spacing w:val="-2"/>
        </w:rPr>
        <w:t>means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current</w:t>
      </w:r>
      <w:r>
        <w:rPr>
          <w:spacing w:val="-8"/>
        </w:rPr>
        <w:t> </w:t>
      </w:r>
      <w:r>
        <w:rPr>
          <w:spacing w:val="-2"/>
        </w:rPr>
        <w:t>liabilities</w:t>
      </w:r>
      <w:r>
        <w:rPr>
          <w:spacing w:val="-8"/>
        </w:rPr>
        <w:t> </w:t>
      </w:r>
      <w:r>
        <w:rPr>
          <w:spacing w:val="-2"/>
        </w:rPr>
        <w:t>are</w:t>
      </w:r>
      <w:r>
        <w:rPr>
          <w:spacing w:val="-8"/>
        </w:rPr>
        <w:t> </w:t>
      </w:r>
      <w:r>
        <w:rPr>
          <w:spacing w:val="-2"/>
        </w:rPr>
        <w:t>higher</w:t>
      </w:r>
      <w:r>
        <w:rPr>
          <w:spacing w:val="-8"/>
        </w:rPr>
        <w:t> </w:t>
      </w:r>
      <w:r>
        <w:rPr>
          <w:spacing w:val="-2"/>
        </w:rPr>
        <w:t>than</w:t>
      </w:r>
      <w:r>
        <w:rPr>
          <w:spacing w:val="-8"/>
        </w:rPr>
        <w:t> </w:t>
      </w:r>
      <w:r>
        <w:rPr>
          <w:spacing w:val="-2"/>
        </w:rPr>
        <w:t>current</w:t>
      </w:r>
      <w:r>
        <w:rPr>
          <w:spacing w:val="-8"/>
        </w:rPr>
        <w:t> </w:t>
      </w:r>
      <w:r>
        <w:rPr>
          <w:spacing w:val="-2"/>
        </w:rPr>
        <w:t>assets,</w:t>
      </w:r>
      <w:r>
        <w:rPr>
          <w:spacing w:val="-5"/>
        </w:rPr>
        <w:t> </w:t>
      </w:r>
      <w:r>
        <w:rPr>
          <w:spacing w:val="-2"/>
        </w:rPr>
        <w:t>so</w:t>
      </w:r>
      <w:r>
        <w:rPr>
          <w:spacing w:val="-8"/>
        </w:rPr>
        <w:t> </w:t>
      </w:r>
      <w:r>
        <w:rPr>
          <w:spacing w:val="-2"/>
        </w:rPr>
        <w:t>Marriott’s</w:t>
      </w:r>
      <w:r>
        <w:rPr>
          <w:spacing w:val="-8"/>
        </w:rPr>
        <w:t> </w:t>
      </w:r>
      <w:r>
        <w:rPr>
          <w:spacing w:val="-2"/>
        </w:rPr>
        <w:t>ratio</w:t>
      </w:r>
      <w:r>
        <w:rPr>
          <w:spacing w:val="-8"/>
        </w:rPr>
        <w:t> </w:t>
      </w:r>
      <w:r>
        <w:rPr>
          <w:spacing w:val="-2"/>
        </w:rPr>
        <w:t>is</w:t>
      </w:r>
      <w:r>
        <w:rPr>
          <w:spacing w:val="-8"/>
        </w:rPr>
        <w:t> </w:t>
      </w:r>
      <w:r>
        <w:rPr>
          <w:spacing w:val="-2"/>
        </w:rPr>
        <w:t>weak</w:t>
      </w:r>
      <w:r>
        <w:rPr>
          <w:spacing w:val="-8"/>
        </w:rPr>
        <w:t> </w:t>
      </w:r>
      <w:r>
        <w:rPr>
          <w:spacing w:val="-2"/>
        </w:rPr>
        <w:t>when </w:t>
      </w:r>
      <w:r>
        <w:rPr/>
        <w:t>viewed using the traditional liquidity measure.</w:t>
      </w:r>
      <w:r>
        <w:rPr>
          <w:spacing w:val="40"/>
        </w:rPr>
        <w:t> </w:t>
      </w:r>
      <w:r>
        <w:rPr/>
        <w:t>A third-party historical dataset also reports </w:t>
      </w:r>
      <w:r>
        <w:rPr/>
        <w:t>Marriott’s 2025 current ratio at approximately 0.43 and its 2025 quick ratio at approximately 0.39 </w:t>
      </w:r>
      <w:hyperlink w:history="true" w:anchor="_bookmark44">
        <w:r>
          <w:rPr>
            <w:color w:val="0E2C59"/>
          </w:rPr>
          <w:t>[9]</w:t>
        </w:r>
      </w:hyperlink>
      <w:r>
        <w:rPr/>
        <w:t>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However, the low ratio needs to be interpreted carefully.</w:t>
      </w:r>
      <w:r>
        <w:rPr>
          <w:spacing w:val="40"/>
        </w:rPr>
        <w:t> </w:t>
      </w:r>
      <w:r>
        <w:rPr/>
        <w:t>Marriott’s asset-light business model means it does not need to hold large amounts of inventory or physical current assets in the same way as a manufacturing business, and Marriott has significant access to financing.</w:t>
      </w:r>
      <w:r>
        <w:rPr>
          <w:spacing w:val="32"/>
        </w:rPr>
        <w:t> </w:t>
      </w:r>
      <w:r>
        <w:rPr/>
        <w:t>Marriott reported a $4.5 bil-lion multicurrency revolving credit facility and stated that it currently satisfies its financial covenants; the</w:t>
      </w:r>
      <w:r>
        <w:rPr>
          <w:spacing w:val="-1"/>
        </w:rPr>
        <w:t> </w:t>
      </w:r>
      <w:r>
        <w:rPr/>
        <w:t>company</w:t>
      </w:r>
      <w:r>
        <w:rPr>
          <w:spacing w:val="-1"/>
        </w:rPr>
        <w:t> </w:t>
      </w:r>
      <w:r>
        <w:rPr/>
        <w:t>also</w:t>
      </w:r>
      <w:r>
        <w:rPr>
          <w:spacing w:val="-1"/>
        </w:rPr>
        <w:t> </w:t>
      </w:r>
      <w:r>
        <w:rPr/>
        <w:t>stated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its</w:t>
      </w:r>
      <w:r>
        <w:rPr>
          <w:spacing w:val="-1"/>
        </w:rPr>
        <w:t> </w:t>
      </w:r>
      <w:r>
        <w:rPr/>
        <w:t>credit</w:t>
      </w:r>
      <w:r>
        <w:rPr>
          <w:spacing w:val="-1"/>
        </w:rPr>
        <w:t> </w:t>
      </w:r>
      <w:r>
        <w:rPr/>
        <w:t>facility, capital-market</w:t>
      </w:r>
      <w:r>
        <w:rPr>
          <w:spacing w:val="-1"/>
        </w:rPr>
        <w:t> </w:t>
      </w:r>
      <w:r>
        <w:rPr/>
        <w:t>access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operating</w:t>
      </w:r>
      <w:r>
        <w:rPr>
          <w:spacing w:val="-1"/>
        </w:rPr>
        <w:t> </w:t>
      </w:r>
      <w:r>
        <w:rPr/>
        <w:t>cash</w:t>
      </w:r>
      <w:r>
        <w:rPr>
          <w:spacing w:val="-1"/>
        </w:rPr>
        <w:t> </w:t>
      </w:r>
      <w:r>
        <w:rPr/>
        <w:t>generation</w:t>
      </w:r>
      <w:r>
        <w:rPr>
          <w:spacing w:val="-1"/>
        </w:rPr>
        <w:t> </w:t>
      </w:r>
      <w:r>
        <w:rPr/>
        <w:t>are expected to be adequate for its liquidity requirements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before="68"/>
      </w:pPr>
    </w:p>
    <w:p>
      <w:pPr>
        <w:pStyle w:val="Heading4"/>
        <w:jc w:val="both"/>
      </w:pPr>
      <w:r>
        <w:rPr/>
        <w:t>Quick</w:t>
      </w:r>
      <w:r>
        <w:rPr>
          <w:spacing w:val="-7"/>
        </w:rPr>
        <w:t> </w:t>
      </w:r>
      <w:r>
        <w:rPr>
          <w:spacing w:val="-2"/>
        </w:rPr>
        <w:t>Ratio</w:t>
      </w:r>
    </w:p>
    <w:p>
      <w:pPr>
        <w:pStyle w:val="BodyText"/>
        <w:spacing w:before="165"/>
        <w:ind w:left="165"/>
        <w:jc w:val="both"/>
      </w:pPr>
      <w:r>
        <w:rPr/>
        <w:t>Because</w:t>
      </w:r>
      <w:r>
        <w:rPr>
          <w:spacing w:val="-10"/>
        </w:rPr>
        <w:t> </w:t>
      </w:r>
      <w:r>
        <w:rPr/>
        <w:t>Marriott</w:t>
      </w:r>
      <w:r>
        <w:rPr>
          <w:spacing w:val="-10"/>
        </w:rPr>
        <w:t> </w:t>
      </w:r>
      <w:r>
        <w:rPr/>
        <w:t>does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report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large</w:t>
      </w:r>
      <w:r>
        <w:rPr>
          <w:spacing w:val="-10"/>
        </w:rPr>
        <w:t> </w:t>
      </w:r>
      <w:r>
        <w:rPr/>
        <w:t>traditional</w:t>
      </w:r>
      <w:r>
        <w:rPr>
          <w:spacing w:val="-10"/>
        </w:rPr>
        <w:t> </w:t>
      </w:r>
      <w:r>
        <w:rPr/>
        <w:t>inventory</w:t>
      </w:r>
      <w:r>
        <w:rPr>
          <w:spacing w:val="-10"/>
        </w:rPr>
        <w:t> </w:t>
      </w:r>
      <w:r>
        <w:rPr/>
        <w:t>balance,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useful</w:t>
      </w:r>
      <w:r>
        <w:rPr>
          <w:spacing w:val="-10"/>
        </w:rPr>
        <w:t> </w:t>
      </w:r>
      <w:r>
        <w:rPr/>
        <w:t>simplified</w:t>
      </w:r>
      <w:r>
        <w:rPr>
          <w:spacing w:val="-10"/>
        </w:rPr>
        <w:t> </w:t>
      </w:r>
      <w:r>
        <w:rPr/>
        <w:t>quick</w:t>
      </w:r>
      <w:r>
        <w:rPr>
          <w:spacing w:val="-10"/>
        </w:rPr>
        <w:t> </w:t>
      </w:r>
      <w:r>
        <w:rPr/>
        <w:t>ratio</w:t>
      </w:r>
      <w:r>
        <w:rPr>
          <w:spacing w:val="-9"/>
        </w:rPr>
        <w:t> </w:t>
      </w:r>
      <w:r>
        <w:rPr>
          <w:spacing w:val="-5"/>
        </w:rPr>
        <w:t>is:</w:t>
      </w:r>
    </w:p>
    <w:p>
      <w:pPr>
        <w:spacing w:line="193" w:lineRule="exact" w:before="181"/>
        <w:ind w:left="1418" w:right="1132" w:firstLine="0"/>
        <w:jc w:val="center"/>
        <w:rPr>
          <w:rFonts w:ascii="Calibri"/>
          <w:i/>
          <w:sz w:val="22"/>
        </w:rPr>
      </w:pPr>
      <w:r>
        <w:rPr>
          <w:rFonts w:ascii="Calibri"/>
          <w:i/>
          <w:w w:val="120"/>
          <w:sz w:val="22"/>
        </w:rPr>
        <w:t>Cash</w:t>
      </w:r>
      <w:r>
        <w:rPr>
          <w:rFonts w:ascii="Calibri"/>
          <w:i/>
          <w:w w:val="125"/>
          <w:sz w:val="22"/>
        </w:rPr>
        <w:t> </w:t>
      </w:r>
      <w:r>
        <w:rPr>
          <w:rFonts w:ascii="Calibri"/>
          <w:w w:val="125"/>
          <w:sz w:val="22"/>
        </w:rPr>
        <w:t>+ </w:t>
      </w:r>
      <w:r>
        <w:rPr>
          <w:rFonts w:ascii="Calibri"/>
          <w:i/>
          <w:spacing w:val="-2"/>
          <w:w w:val="120"/>
          <w:sz w:val="22"/>
        </w:rPr>
        <w:t>AccountsReceivable</w:t>
      </w:r>
    </w:p>
    <w:p>
      <w:pPr>
        <w:spacing w:after="0" w:line="193" w:lineRule="exact"/>
        <w:jc w:val="center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spacing w:line="223" w:lineRule="exact" w:before="0"/>
        <w:ind w:left="2588" w:right="0" w:firstLine="0"/>
        <w:jc w:val="left"/>
        <w:rPr>
          <w:rFonts w:ascii="Calibri"/>
          <w:sz w:val="22"/>
        </w:rPr>
      </w:pPr>
      <w:r>
        <w:rPr>
          <w:rFonts w:ascii="Calibri"/>
          <w:i/>
          <w:w w:val="115"/>
          <w:sz w:val="22"/>
        </w:rPr>
        <w:t>QuickRatio</w:t>
      </w:r>
      <w:r>
        <w:rPr>
          <w:rFonts w:ascii="Calibri"/>
          <w:i/>
          <w:spacing w:val="-1"/>
          <w:w w:val="130"/>
          <w:sz w:val="22"/>
        </w:rPr>
        <w:t> </w:t>
      </w:r>
      <w:r>
        <w:rPr>
          <w:rFonts w:ascii="Calibri"/>
          <w:spacing w:val="-10"/>
          <w:w w:val="130"/>
          <w:sz w:val="22"/>
        </w:rPr>
        <w:t>=</w:t>
      </w:r>
    </w:p>
    <w:p>
      <w:pPr>
        <w:pStyle w:val="BodyText"/>
        <w:spacing w:after="24"/>
        <w:rPr>
          <w:rFonts w:ascii="Calibri"/>
          <w:sz w:val="7"/>
        </w:rPr>
      </w:pPr>
      <w:r>
        <w:rPr/>
        <w:br w:type="column"/>
      </w:r>
      <w:r>
        <w:rPr>
          <w:rFonts w:ascii="Calibri"/>
          <w:sz w:val="7"/>
        </w:rPr>
      </w:r>
    </w:p>
    <w:p>
      <w:pPr>
        <w:spacing w:line="20" w:lineRule="exact"/>
        <w:ind w:left="44" w:right="0" w:firstLine="0"/>
        <w:rPr>
          <w:rFonts w:ascii="Calibri"/>
          <w:sz w:val="2"/>
        </w:rPr>
      </w:pPr>
      <w:r>
        <w:rPr>
          <w:rFonts w:ascii="Calibri"/>
          <w:sz w:val="2"/>
        </w:rPr>
        <mc:AlternateContent>
          <mc:Choice Requires="wps">
            <w:drawing>
              <wp:inline distT="0" distB="0" distL="0" distR="0">
                <wp:extent cx="1721485" cy="5080"/>
                <wp:effectExtent l="9525" t="0" r="0" b="4445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1721485" cy="5080"/>
                          <a:chExt cx="1721485" cy="508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2527"/>
                            <a:ext cx="1721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1485" h="0">
                                <a:moveTo>
                                  <a:pt x="0" y="0"/>
                                </a:moveTo>
                                <a:lnTo>
                                  <a:pt x="1721053" y="0"/>
                                </a:lnTo>
                              </a:path>
                            </a:pathLst>
                          </a:custGeom>
                          <a:ln w="50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5.550pt;height:.4pt;mso-position-horizontal-relative:char;mso-position-vertical-relative:line" id="docshapegroup4" coordorigin="0,0" coordsize="2711,8">
                <v:line style="position:absolute" from="0,4" to="2710,4" stroked="true" strokeweight=".398pt" strokecolor="#000000">
                  <v:stroke dashstyle="solid"/>
                </v:line>
              </v:group>
            </w:pict>
          </mc:Fallback>
        </mc:AlternateContent>
      </w:r>
      <w:r>
        <w:rPr>
          <w:rFonts w:ascii="Calibri"/>
          <w:sz w:val="2"/>
        </w:rPr>
      </w:r>
    </w:p>
    <w:p>
      <w:pPr>
        <w:spacing w:before="0"/>
        <w:ind w:left="486" w:right="0" w:firstLine="0"/>
        <w:jc w:val="left"/>
        <w:rPr>
          <w:rFonts w:ascii="Calibri"/>
          <w:i/>
          <w:sz w:val="22"/>
        </w:rPr>
      </w:pPr>
      <w:r>
        <w:rPr>
          <w:rFonts w:ascii="Calibri"/>
          <w:i/>
          <w:spacing w:val="-2"/>
          <w:w w:val="120"/>
          <w:sz w:val="22"/>
        </w:rPr>
        <w:t>CurrentLiabilities</w:t>
      </w:r>
    </w:p>
    <w:p>
      <w:pPr>
        <w:spacing w:after="0"/>
        <w:jc w:val="left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2" w:equalWidth="0">
            <w:col w:w="3949" w:space="40"/>
            <w:col w:w="6505"/>
          </w:cols>
        </w:sectPr>
      </w:pPr>
    </w:p>
    <w:p>
      <w:pPr>
        <w:pStyle w:val="BodyText"/>
        <w:spacing w:before="89"/>
        <w:rPr>
          <w:rFonts w:ascii="Calibri"/>
          <w:i/>
        </w:rPr>
      </w:pPr>
    </w:p>
    <w:p>
      <w:pPr>
        <w:pStyle w:val="BodyText"/>
        <w:ind w:left="3216"/>
      </w:pPr>
      <w:r>
        <w:rPr/>
        <w:t>Table</w:t>
      </w:r>
      <w:r>
        <w:rPr>
          <w:spacing w:val="-11"/>
        </w:rPr>
        <w:t> </w:t>
      </w:r>
      <w:r>
        <w:rPr/>
        <w:t>5: Quick</w:t>
      </w:r>
      <w:r>
        <w:rPr>
          <w:spacing w:val="-11"/>
        </w:rPr>
        <w:t> </w:t>
      </w:r>
      <w:r>
        <w:rPr/>
        <w:t>Ratio,</w:t>
      </w:r>
      <w:r>
        <w:rPr>
          <w:spacing w:val="-10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311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3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Quick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ratio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3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0.53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3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0.42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3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0.39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3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0.37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3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0.39</w:t>
            </w:r>
          </w:p>
        </w:tc>
      </w:tr>
    </w:tbl>
    <w:p>
      <w:pPr>
        <w:pStyle w:val="BodyText"/>
        <w:spacing w:line="256" w:lineRule="auto" w:before="195"/>
        <w:ind w:left="165" w:right="1296"/>
        <w:jc w:val="both"/>
      </w:pPr>
      <w:r>
        <w:rPr/>
        <w:t>This</w:t>
      </w:r>
      <w:r>
        <w:rPr>
          <w:spacing w:val="-10"/>
        </w:rPr>
        <w:t> </w:t>
      </w:r>
      <w:r>
        <w:rPr/>
        <w:t>confirms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Marriott</w:t>
      </w:r>
      <w:r>
        <w:rPr>
          <w:spacing w:val="-10"/>
        </w:rPr>
        <w:t> </w:t>
      </w:r>
      <w:r>
        <w:rPr/>
        <w:t>depends</w:t>
      </w:r>
      <w:r>
        <w:rPr>
          <w:spacing w:val="-10"/>
        </w:rPr>
        <w:t> </w:t>
      </w:r>
      <w:r>
        <w:rPr/>
        <w:t>significantly</w:t>
      </w:r>
      <w:r>
        <w:rPr>
          <w:spacing w:val="-10"/>
        </w:rPr>
        <w:t> </w:t>
      </w:r>
      <w:r>
        <w:rPr/>
        <w:t>on</w:t>
      </w:r>
      <w:r>
        <w:rPr>
          <w:spacing w:val="-10"/>
        </w:rPr>
        <w:t> </w:t>
      </w:r>
      <w:r>
        <w:rPr/>
        <w:t>operating</w:t>
      </w:r>
      <w:r>
        <w:rPr>
          <w:spacing w:val="-10"/>
        </w:rPr>
        <w:t> </w:t>
      </w:r>
      <w:r>
        <w:rPr/>
        <w:t>cash</w:t>
      </w:r>
      <w:r>
        <w:rPr>
          <w:spacing w:val="-10"/>
        </w:rPr>
        <w:t> </w:t>
      </w:r>
      <w:r>
        <w:rPr/>
        <w:t>flow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external</w:t>
      </w:r>
      <w:r>
        <w:rPr>
          <w:spacing w:val="-10"/>
        </w:rPr>
        <w:t> </w:t>
      </w:r>
      <w:r>
        <w:rPr/>
        <w:t>financing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meet short-term obligations.</w:t>
      </w:r>
      <w:r>
        <w:rPr>
          <w:spacing w:val="40"/>
        </w:rPr>
        <w:t> </w:t>
      </w:r>
      <w:r>
        <w:rPr/>
        <w:t>Liquidity should therefore be considered a key financial risk, even though the company is profitable.</w:t>
      </w:r>
    </w:p>
    <w:p>
      <w:pPr>
        <w:pStyle w:val="BodyText"/>
        <w:spacing w:after="0" w:line="256" w:lineRule="auto"/>
        <w:jc w:val="both"/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137" w:after="0"/>
        <w:ind w:left="702" w:right="0" w:hanging="537"/>
        <w:jc w:val="left"/>
      </w:pPr>
      <w:bookmarkStart w:name="Efficiency Analysis" w:id="14"/>
      <w:bookmarkEnd w:id="14"/>
      <w:r>
        <w:rPr>
          <w:b w:val="0"/>
        </w:rPr>
      </w:r>
      <w:bookmarkStart w:name="_bookmark7" w:id="15"/>
      <w:bookmarkEnd w:id="15"/>
      <w:r>
        <w:rPr>
          <w:b w:val="0"/>
        </w:rPr>
      </w:r>
      <w:r>
        <w:rPr>
          <w:color w:val="0E2C59"/>
          <w:spacing w:val="-2"/>
        </w:rPr>
        <w:t>Efficiency Analysis</w:t>
      </w:r>
    </w:p>
    <w:p>
      <w:pPr>
        <w:pStyle w:val="BodyText"/>
        <w:spacing w:before="161"/>
        <w:ind w:left="165"/>
      </w:pPr>
      <w:r>
        <w:rPr>
          <w:spacing w:val="-2"/>
        </w:rPr>
        <w:t>Marriott’s accounts</w:t>
      </w:r>
      <w:r>
        <w:rPr>
          <w:spacing w:val="-1"/>
        </w:rPr>
        <w:t> </w:t>
      </w:r>
      <w:r>
        <w:rPr>
          <w:spacing w:val="-2"/>
        </w:rPr>
        <w:t>receivable days</w:t>
      </w:r>
      <w:r>
        <w:rPr>
          <w:spacing w:val="-1"/>
        </w:rPr>
        <w:t> </w:t>
      </w:r>
      <w:r>
        <w:rPr>
          <w:spacing w:val="-2"/>
        </w:rPr>
        <w:t>improved</w:t>
      </w:r>
      <w:r>
        <w:rPr>
          <w:spacing w:val="-1"/>
        </w:rPr>
        <w:t> </w:t>
      </w:r>
      <w:r>
        <w:rPr>
          <w:spacing w:val="-2"/>
        </w:rPr>
        <w:t>over the</w:t>
      </w:r>
      <w:r>
        <w:rPr>
          <w:spacing w:val="-1"/>
        </w:rPr>
        <w:t> </w:t>
      </w:r>
      <w:r>
        <w:rPr>
          <w:spacing w:val="-2"/>
        </w:rPr>
        <w:t>five-year</w:t>
      </w:r>
      <w:r>
        <w:rPr>
          <w:spacing w:val="-1"/>
        </w:rPr>
        <w:t> </w:t>
      </w:r>
      <w:r>
        <w:rPr>
          <w:spacing w:val="-2"/>
        </w:rPr>
        <w:t>period.</w:t>
      </w:r>
    </w:p>
    <w:p>
      <w:pPr>
        <w:spacing w:line="185" w:lineRule="exact" w:before="181"/>
        <w:ind w:left="1247" w:right="1132" w:firstLine="0"/>
        <w:jc w:val="center"/>
        <w:rPr>
          <w:rFonts w:ascii="Calibri"/>
          <w:i/>
          <w:sz w:val="22"/>
        </w:rPr>
      </w:pPr>
      <w:r>
        <w:rPr>
          <w:rFonts w:ascii="Calibri"/>
          <w:i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3564394</wp:posOffset>
                </wp:positionH>
                <wp:positionV relativeFrom="paragraph">
                  <wp:posOffset>307076</wp:posOffset>
                </wp:positionV>
                <wp:extent cx="1224915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1224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4915" h="0">
                              <a:moveTo>
                                <a:pt x="0" y="0"/>
                              </a:moveTo>
                              <a:lnTo>
                                <a:pt x="1224788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712" from="280.661011pt,24.179247pt" to="377.101011pt,24.179247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spacing w:val="-2"/>
          <w:w w:val="110"/>
          <w:sz w:val="22"/>
        </w:rPr>
        <w:t>AccountsReceivable</w:t>
      </w:r>
    </w:p>
    <w:p>
      <w:pPr>
        <w:spacing w:after="0" w:line="185" w:lineRule="exact"/>
        <w:jc w:val="center"/>
        <w:rPr>
          <w:rFonts w:ascii="Calibri"/>
          <w:i/>
          <w:sz w:val="22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line="231" w:lineRule="exact" w:before="0"/>
        <w:ind w:left="2470" w:right="0" w:firstLine="0"/>
        <w:jc w:val="left"/>
        <w:rPr>
          <w:rFonts w:ascii="Calibri"/>
          <w:sz w:val="22"/>
        </w:rPr>
      </w:pPr>
      <w:r>
        <w:rPr>
          <w:rFonts w:ascii="Calibri"/>
          <w:i/>
          <w:w w:val="110"/>
          <w:sz w:val="22"/>
        </w:rPr>
        <w:t>ReceivableDays</w:t>
      </w:r>
      <w:r>
        <w:rPr>
          <w:rFonts w:ascii="Calibri"/>
          <w:i/>
          <w:spacing w:val="18"/>
          <w:w w:val="130"/>
          <w:sz w:val="22"/>
        </w:rPr>
        <w:t> </w:t>
      </w:r>
      <w:r>
        <w:rPr>
          <w:rFonts w:ascii="Calibri"/>
          <w:spacing w:val="-10"/>
          <w:w w:val="130"/>
          <w:sz w:val="22"/>
        </w:rPr>
        <w:t>=</w:t>
      </w:r>
    </w:p>
    <w:p>
      <w:pPr>
        <w:spacing w:before="112"/>
        <w:ind w:left="588" w:right="0" w:firstLine="0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i/>
          <w:spacing w:val="-2"/>
          <w:sz w:val="22"/>
        </w:rPr>
        <w:t>Revenue</w:t>
      </w:r>
    </w:p>
    <w:p>
      <w:pPr>
        <w:spacing w:line="231" w:lineRule="exact" w:before="0"/>
        <w:ind w:left="575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Verdana" w:hAnsi="Verdana"/>
          <w:i/>
          <w:w w:val="90"/>
          <w:sz w:val="22"/>
        </w:rPr>
        <w:t>×</w:t>
      </w:r>
      <w:r>
        <w:rPr>
          <w:rFonts w:ascii="Verdana" w:hAnsi="Verdana"/>
          <w:i/>
          <w:spacing w:val="-15"/>
          <w:w w:val="90"/>
          <w:sz w:val="22"/>
        </w:rPr>
        <w:t> </w:t>
      </w:r>
      <w:r>
        <w:rPr>
          <w:rFonts w:ascii="Calibri" w:hAnsi="Calibri"/>
          <w:spacing w:val="-5"/>
          <w:sz w:val="22"/>
        </w:rPr>
        <w:t>365</w:t>
      </w:r>
    </w:p>
    <w:p>
      <w:pPr>
        <w:spacing w:after="0" w:line="231" w:lineRule="exact"/>
        <w:jc w:val="left"/>
        <w:rPr>
          <w:rFonts w:ascii="Calibri" w:hAnsi="Calibri"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3" w:equalWidth="0">
            <w:col w:w="4254" w:space="40"/>
            <w:col w:w="1430" w:space="39"/>
            <w:col w:w="4731"/>
          </w:cols>
        </w:sectPr>
      </w:pPr>
    </w:p>
    <w:p>
      <w:pPr>
        <w:pStyle w:val="BodyText"/>
        <w:spacing w:before="115"/>
        <w:rPr>
          <w:rFonts w:ascii="Calibri"/>
        </w:rPr>
      </w:pPr>
    </w:p>
    <w:p>
      <w:pPr>
        <w:pStyle w:val="BodyText"/>
        <w:ind w:left="3015"/>
      </w:pPr>
      <w:r>
        <w:rPr/>
        <w:t>Table</w:t>
      </w:r>
      <w:r>
        <w:rPr>
          <w:spacing w:val="-14"/>
        </w:rPr>
        <w:t> </w:t>
      </w:r>
      <w:r>
        <w:rPr/>
        <w:t>6:</w:t>
      </w:r>
      <w:r>
        <w:rPr>
          <w:spacing w:val="-7"/>
        </w:rPr>
        <w:t> </w:t>
      </w:r>
      <w:r>
        <w:rPr/>
        <w:t>Receivable</w:t>
      </w:r>
      <w:r>
        <w:rPr>
          <w:spacing w:val="-14"/>
        </w:rPr>
        <w:t> </w:t>
      </w:r>
      <w:r>
        <w:rPr/>
        <w:t>Days,</w:t>
      </w:r>
      <w:r>
        <w:rPr>
          <w:spacing w:val="-14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719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71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Receivable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days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7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52.2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719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45.2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719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41.7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719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40.6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71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40.5</w:t>
            </w:r>
          </w:p>
        </w:tc>
      </w:tr>
    </w:tbl>
    <w:p>
      <w:pPr>
        <w:pStyle w:val="BodyText"/>
        <w:spacing w:line="256" w:lineRule="auto" w:before="195"/>
        <w:ind w:left="165" w:right="1296"/>
        <w:jc w:val="both"/>
      </w:pPr>
      <w:r>
        <w:rPr/>
        <w:t>The</w:t>
      </w:r>
      <w:r>
        <w:rPr>
          <w:spacing w:val="-7"/>
        </w:rPr>
        <w:t> </w:t>
      </w:r>
      <w:r>
        <w:rPr/>
        <w:t>reduction</w:t>
      </w:r>
      <w:r>
        <w:rPr>
          <w:spacing w:val="-7"/>
        </w:rPr>
        <w:t> </w:t>
      </w:r>
      <w:r>
        <w:rPr/>
        <w:t>from</w:t>
      </w:r>
      <w:r>
        <w:rPr>
          <w:spacing w:val="-7"/>
        </w:rPr>
        <w:t> </w:t>
      </w:r>
      <w:r>
        <w:rPr/>
        <w:t>approximately</w:t>
      </w:r>
      <w:r>
        <w:rPr>
          <w:spacing w:val="-7"/>
        </w:rPr>
        <w:t> </w:t>
      </w:r>
      <w:r>
        <w:rPr/>
        <w:t>52</w:t>
      </w:r>
      <w:r>
        <w:rPr>
          <w:spacing w:val="-7"/>
        </w:rPr>
        <w:t> </w:t>
      </w:r>
      <w:r>
        <w:rPr/>
        <w:t>days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40</w:t>
      </w:r>
      <w:r>
        <w:rPr>
          <w:spacing w:val="-7"/>
        </w:rPr>
        <w:t> </w:t>
      </w:r>
      <w:r>
        <w:rPr/>
        <w:t>days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positive,</w:t>
      </w:r>
      <w:r>
        <w:rPr>
          <w:spacing w:val="-7"/>
        </w:rPr>
        <w:t> </w:t>
      </w:r>
      <w:r>
        <w:rPr/>
        <w:t>indicating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Marriott</w:t>
      </w:r>
      <w:r>
        <w:rPr>
          <w:spacing w:val="-7"/>
        </w:rPr>
        <w:t> </w:t>
      </w:r>
      <w:r>
        <w:rPr/>
        <w:t>has</w:t>
      </w:r>
      <w:r>
        <w:rPr>
          <w:spacing w:val="-7"/>
        </w:rPr>
        <w:t> </w:t>
      </w:r>
      <w:r>
        <w:rPr/>
        <w:t>improved its ability to convert receivables into cash.</w:t>
      </w:r>
      <w:r>
        <w:rPr>
          <w:spacing w:val="40"/>
        </w:rPr>
        <w:t> </w:t>
      </w:r>
      <w:r>
        <w:rPr/>
        <w:t>Marriott’s accounts payable days were approximately 22 days in 2021 and around 13–14 days in the later years when calculated against operating expenditure, </w:t>
      </w:r>
      <w:r>
        <w:rPr>
          <w:spacing w:val="-2"/>
        </w:rPr>
        <w:t>indicating</w:t>
      </w:r>
      <w:r>
        <w:rPr>
          <w:spacing w:val="-7"/>
        </w:rPr>
        <w:t> </w:t>
      </w:r>
      <w:r>
        <w:rPr>
          <w:spacing w:val="-2"/>
        </w:rPr>
        <w:t>relatively</w:t>
      </w:r>
      <w:r>
        <w:rPr>
          <w:spacing w:val="-7"/>
        </w:rPr>
        <w:t> </w:t>
      </w:r>
      <w:r>
        <w:rPr>
          <w:spacing w:val="-2"/>
        </w:rPr>
        <w:t>quick</w:t>
      </w:r>
      <w:r>
        <w:rPr>
          <w:spacing w:val="-7"/>
        </w:rPr>
        <w:t> </w:t>
      </w:r>
      <w:r>
        <w:rPr>
          <w:spacing w:val="-2"/>
        </w:rPr>
        <w:t>supplier</w:t>
      </w:r>
      <w:r>
        <w:rPr>
          <w:spacing w:val="-7"/>
        </w:rPr>
        <w:t> </w:t>
      </w:r>
      <w:r>
        <w:rPr>
          <w:spacing w:val="-2"/>
        </w:rPr>
        <w:t>payments.</w:t>
      </w:r>
      <w:r>
        <w:rPr>
          <w:spacing w:val="19"/>
        </w:rPr>
        <w:t> </w:t>
      </w:r>
      <w:r>
        <w:rPr>
          <w:spacing w:val="-2"/>
        </w:rPr>
        <w:t>Marriott</w:t>
      </w:r>
      <w:r>
        <w:rPr>
          <w:spacing w:val="-7"/>
        </w:rPr>
        <w:t> </w:t>
      </w:r>
      <w:r>
        <w:rPr>
          <w:spacing w:val="-2"/>
        </w:rPr>
        <w:t>should</w:t>
      </w:r>
      <w:r>
        <w:rPr>
          <w:spacing w:val="-7"/>
        </w:rPr>
        <w:t> </w:t>
      </w:r>
      <w:r>
        <w:rPr>
          <w:spacing w:val="-2"/>
        </w:rPr>
        <w:t>therefore</w:t>
      </w:r>
      <w:r>
        <w:rPr>
          <w:spacing w:val="-7"/>
        </w:rPr>
        <w:t> </w:t>
      </w:r>
      <w:r>
        <w:rPr>
          <w:spacing w:val="-2"/>
        </w:rPr>
        <w:t>continue</w:t>
      </w:r>
      <w:r>
        <w:rPr>
          <w:spacing w:val="-7"/>
        </w:rPr>
        <w:t> </w:t>
      </w:r>
      <w:r>
        <w:rPr>
          <w:spacing w:val="-2"/>
        </w:rPr>
        <w:t>negotiating</w:t>
      </w:r>
      <w:r>
        <w:rPr>
          <w:spacing w:val="-7"/>
        </w:rPr>
        <w:t> </w:t>
      </w:r>
      <w:r>
        <w:rPr>
          <w:spacing w:val="-2"/>
        </w:rPr>
        <w:t>appropriate </w:t>
      </w:r>
      <w:r>
        <w:rPr/>
        <w:t>supplier terms where possible without damaging supplier relationships.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Traditional inventory turnover analysis is less useful because Marriott’s financial statements do not present inventory as a major separate current-asset category, consistent with its asset-light hospitality </w:t>
      </w:r>
      <w:r>
        <w:rPr>
          <w:spacing w:val="-2"/>
        </w:rPr>
        <w:t>model.</w:t>
      </w:r>
    </w:p>
    <w:p>
      <w:pPr>
        <w:pStyle w:val="BodyText"/>
        <w:spacing w:before="161"/>
        <w:ind w:right="1131"/>
        <w:jc w:val="center"/>
      </w:pPr>
      <w:r>
        <w:rPr>
          <w:spacing w:val="-2"/>
        </w:rPr>
        <w:t>Table</w:t>
      </w:r>
      <w:r>
        <w:rPr>
          <w:spacing w:val="-6"/>
        </w:rPr>
        <w:t> </w:t>
      </w:r>
      <w:r>
        <w:rPr>
          <w:spacing w:val="-2"/>
        </w:rPr>
        <w:t>7:</w:t>
      </w:r>
      <w:r>
        <w:rPr>
          <w:spacing w:val="7"/>
        </w:rPr>
        <w:t> </w:t>
      </w:r>
      <w:r>
        <w:rPr>
          <w:spacing w:val="-2"/>
        </w:rPr>
        <w:t>Asset</w:t>
      </w:r>
      <w:r>
        <w:rPr>
          <w:spacing w:val="-6"/>
        </w:rPr>
        <w:t> </w:t>
      </w:r>
      <w:r>
        <w:rPr>
          <w:spacing w:val="-2"/>
        </w:rPr>
        <w:t>Turnover,</w:t>
      </w:r>
      <w:r>
        <w:rPr>
          <w:spacing w:val="-5"/>
        </w:rPr>
        <w:t> </w:t>
      </w:r>
      <w:r>
        <w:rPr>
          <w:spacing w:val="-2"/>
        </w:rPr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606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60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Asset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turnover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60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0.54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606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0.84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606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0.92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606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0.96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60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0.95</w:t>
            </w:r>
          </w:p>
        </w:tc>
      </w:tr>
    </w:tbl>
    <w:p>
      <w:pPr>
        <w:pStyle w:val="BodyText"/>
        <w:spacing w:before="43"/>
      </w:pPr>
    </w:p>
    <w:p>
      <w:pPr>
        <w:pStyle w:val="BodyText"/>
        <w:spacing w:line="256" w:lineRule="auto"/>
        <w:ind w:left="165" w:right="1258"/>
      </w:pPr>
      <w:r>
        <w:rPr/>
        <w:t>The improvement in asset turnover shows that Marriott is generating substantially more revenue from its asset base than it did during the recovery period in 2021.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Gearing and Debt Analysis" w:id="16"/>
      <w:bookmarkEnd w:id="16"/>
      <w:r>
        <w:rPr>
          <w:b w:val="0"/>
        </w:rPr>
      </w:r>
      <w:bookmarkStart w:name="_bookmark8" w:id="17"/>
      <w:bookmarkEnd w:id="17"/>
      <w:r>
        <w:rPr>
          <w:b w:val="0"/>
        </w:rPr>
      </w:r>
      <w:r>
        <w:rPr>
          <w:color w:val="0E2C59"/>
        </w:rPr>
        <w:t>Gearing</w:t>
      </w:r>
      <w:r>
        <w:rPr>
          <w:color w:val="0E2C59"/>
          <w:spacing w:val="-7"/>
        </w:rPr>
        <w:t> </w:t>
      </w:r>
      <w:r>
        <w:rPr>
          <w:color w:val="0E2C59"/>
        </w:rPr>
        <w:t>and</w:t>
      </w:r>
      <w:r>
        <w:rPr>
          <w:color w:val="0E2C59"/>
          <w:spacing w:val="-7"/>
        </w:rPr>
        <w:t> </w:t>
      </w:r>
      <w:r>
        <w:rPr>
          <w:color w:val="0E2C59"/>
        </w:rPr>
        <w:t>Debt</w:t>
      </w:r>
      <w:r>
        <w:rPr>
          <w:color w:val="0E2C59"/>
          <w:spacing w:val="-7"/>
        </w:rPr>
        <w:t> </w:t>
      </w:r>
      <w:r>
        <w:rPr>
          <w:color w:val="0E2C59"/>
          <w:spacing w:val="-2"/>
        </w:rPr>
        <w:t>Analysis</w:t>
      </w:r>
    </w:p>
    <w:p>
      <w:pPr>
        <w:pStyle w:val="BodyText"/>
        <w:spacing w:line="256" w:lineRule="auto" w:before="161"/>
        <w:ind w:left="165" w:right="1258"/>
      </w:pPr>
      <w:r>
        <w:rPr/>
        <w:t>Marriott’s total debt increased over the period.</w:t>
      </w:r>
      <w:r>
        <w:rPr>
          <w:spacing w:val="31"/>
        </w:rPr>
        <w:t> </w:t>
      </w:r>
      <w:r>
        <w:rPr/>
        <w:t>Approximate debt-to-total-assets increased from about 39.7% in 2021 to 58.8% in 2025.</w:t>
      </w:r>
    </w:p>
    <w:p>
      <w:pPr>
        <w:pStyle w:val="BodyText"/>
        <w:spacing w:before="164"/>
        <w:ind w:right="1131"/>
        <w:jc w:val="center"/>
      </w:pPr>
      <w:r>
        <w:rPr/>
        <w:t>Table</w:t>
      </w:r>
      <w:r>
        <w:rPr>
          <w:spacing w:val="-12"/>
        </w:rPr>
        <w:t> </w:t>
      </w:r>
      <w:r>
        <w:rPr/>
        <w:t>8:</w:t>
      </w:r>
      <w:r>
        <w:rPr>
          <w:spacing w:val="-1"/>
        </w:rPr>
        <w:t> </w:t>
      </w:r>
      <w:r>
        <w:rPr/>
        <w:t>Debt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Total</w:t>
      </w:r>
      <w:r>
        <w:rPr>
          <w:spacing w:val="-11"/>
        </w:rPr>
        <w:t> </w:t>
      </w:r>
      <w:r>
        <w:rPr/>
        <w:t>Assets,</w:t>
      </w:r>
      <w:r>
        <w:rPr>
          <w:spacing w:val="-12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33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970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97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Debt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/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Total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Assets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9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39.7%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970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40.6%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970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46.2%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970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55.2%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97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58.8%</w:t>
            </w:r>
          </w:p>
        </w:tc>
      </w:tr>
    </w:tbl>
    <w:p>
      <w:pPr>
        <w:pStyle w:val="TableParagraph"/>
        <w:spacing w:after="0" w:line="240" w:lineRule="auto"/>
        <w:rPr>
          <w:sz w:val="22"/>
        </w:rPr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BodyText"/>
        <w:spacing w:line="256" w:lineRule="auto" w:before="156"/>
        <w:ind w:left="165" w:right="1296"/>
        <w:jc w:val="both"/>
      </w:pPr>
      <w:r>
        <w:rPr/>
        <w:t>This represents an important financial risk.</w:t>
      </w:r>
      <w:r>
        <w:rPr>
          <w:spacing w:val="40"/>
        </w:rPr>
        <w:t> </w:t>
      </w:r>
      <w:r>
        <w:rPr/>
        <w:t>The company has used debt to support its activities </w:t>
      </w:r>
      <w:r>
        <w:rPr/>
        <w:t>while also returning large amounts of cash to shareholders.</w:t>
      </w:r>
      <w:r>
        <w:rPr>
          <w:spacing w:val="40"/>
        </w:rPr>
        <w:t> </w:t>
      </w:r>
      <w:r>
        <w:rPr/>
        <w:t>In 2025, Marriott issued $3.436 billion of long-term debt and repaid $1.309 billion.</w:t>
      </w:r>
      <w:r>
        <w:rPr>
          <w:spacing w:val="40"/>
        </w:rPr>
        <w:t> </w:t>
      </w:r>
      <w:r>
        <w:rPr/>
        <w:t>It also paid $718 million in dividends and spent $3.3 billion on treasury stock purchases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The company reported $14.995 billion of long-term debt at the end of 2025, compared with $13.138 billion in 2024.</w:t>
      </w:r>
      <w:r>
        <w:rPr>
          <w:spacing w:val="40"/>
        </w:rPr>
        <w:t> </w:t>
      </w:r>
      <w:r>
        <w:rPr/>
        <w:t>Interest expense also increased from $695 million in 2024 to $809 million in 2025. Interest coverage remained above 5 times in 2025 when operating income is compared with interest expense, indicating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Marriott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currently</w:t>
      </w:r>
      <w:r>
        <w:rPr>
          <w:spacing w:val="-1"/>
        </w:rPr>
        <w:t> </w:t>
      </w:r>
      <w:r>
        <w:rPr/>
        <w:t>cover</w:t>
      </w:r>
      <w:r>
        <w:rPr>
          <w:spacing w:val="-1"/>
        </w:rPr>
        <w:t> </w:t>
      </w:r>
      <w:r>
        <w:rPr/>
        <w:t>its</w:t>
      </w:r>
      <w:r>
        <w:rPr>
          <w:spacing w:val="-1"/>
        </w:rPr>
        <w:t> </w:t>
      </w:r>
      <w:r>
        <w:rPr/>
        <w:t>interest</w:t>
      </w:r>
      <w:r>
        <w:rPr>
          <w:spacing w:val="-1"/>
        </w:rPr>
        <w:t> </w:t>
      </w:r>
      <w:r>
        <w:rPr/>
        <w:t>costs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operating</w:t>
      </w:r>
      <w:r>
        <w:rPr>
          <w:spacing w:val="-1"/>
        </w:rPr>
        <w:t> </w:t>
      </w:r>
      <w:r>
        <w:rPr/>
        <w:t>profit.</w:t>
      </w:r>
      <w:r>
        <w:rPr>
          <w:spacing w:val="28"/>
        </w:rPr>
        <w:t> </w:t>
      </w:r>
      <w:r>
        <w:rPr/>
        <w:t>However, the downward movement from over 8 times in 2022 to approximately 5.1 times in 2025 suggests </w:t>
      </w:r>
      <w:r>
        <w:rPr/>
        <w:t>that debt costs should be monitored.</w:t>
      </w:r>
    </w:p>
    <w:p>
      <w:pPr>
        <w:pStyle w:val="BodyText"/>
        <w:spacing w:line="256" w:lineRule="auto" w:before="138"/>
        <w:ind w:left="165" w:right="1296"/>
        <w:jc w:val="both"/>
      </w:pPr>
      <w:r>
        <w:rPr/>
        <w:t>A conventional debt-to-equity ratio is difficult to interpret for Marriott because shareholders’ </w:t>
      </w:r>
      <w:r>
        <w:rPr/>
        <w:t>equity </w:t>
      </w:r>
      <w:r>
        <w:rPr>
          <w:spacing w:val="-2"/>
        </w:rPr>
        <w:t>became</w:t>
      </w:r>
      <w:r>
        <w:rPr>
          <w:spacing w:val="-10"/>
        </w:rPr>
        <w:t> </w:t>
      </w:r>
      <w:r>
        <w:rPr>
          <w:spacing w:val="-2"/>
        </w:rPr>
        <w:t>negative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2023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remained</w:t>
      </w:r>
      <w:r>
        <w:rPr>
          <w:spacing w:val="-10"/>
        </w:rPr>
        <w:t> </w:t>
      </w:r>
      <w:r>
        <w:rPr>
          <w:spacing w:val="-2"/>
        </w:rPr>
        <w:t>negative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2024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2025,</w:t>
      </w:r>
      <w:r>
        <w:rPr>
          <w:spacing w:val="-7"/>
        </w:rPr>
        <w:t> </w:t>
      </w:r>
      <w:r>
        <w:rPr>
          <w:spacing w:val="-2"/>
        </w:rPr>
        <w:t>largely</w:t>
      </w:r>
      <w:r>
        <w:rPr>
          <w:spacing w:val="-10"/>
        </w:rPr>
        <w:t> </w:t>
      </w:r>
      <w:r>
        <w:rPr>
          <w:spacing w:val="-2"/>
        </w:rPr>
        <w:t>associated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company’s </w:t>
      </w:r>
      <w:r>
        <w:rPr/>
        <w:t>significant</w:t>
      </w:r>
      <w:r>
        <w:rPr>
          <w:spacing w:val="-9"/>
        </w:rPr>
        <w:t> </w:t>
      </w:r>
      <w:r>
        <w:rPr/>
        <w:t>treasury</w:t>
      </w:r>
      <w:r>
        <w:rPr>
          <w:spacing w:val="-10"/>
        </w:rPr>
        <w:t> </w:t>
      </w:r>
      <w:r>
        <w:rPr/>
        <w:t>stock</w:t>
      </w:r>
      <w:r>
        <w:rPr>
          <w:spacing w:val="-9"/>
        </w:rPr>
        <w:t> </w:t>
      </w:r>
      <w:r>
        <w:rPr/>
        <w:t>purchases. Therefore,</w:t>
      </w:r>
      <w:r>
        <w:rPr>
          <w:spacing w:val="-9"/>
        </w:rPr>
        <w:t> </w:t>
      </w:r>
      <w:r>
        <w:rPr/>
        <w:t>debt-to-assets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debt-to-EBITDA</w:t>
      </w:r>
      <w:r>
        <w:rPr>
          <w:spacing w:val="-9"/>
        </w:rPr>
        <w:t> </w:t>
      </w:r>
      <w:r>
        <w:rPr/>
        <w:t>measures</w:t>
      </w:r>
      <w:r>
        <w:rPr>
          <w:spacing w:val="-10"/>
        </w:rPr>
        <w:t> </w:t>
      </w:r>
      <w:r>
        <w:rPr/>
        <w:t>are</w:t>
      </w:r>
      <w:r>
        <w:rPr>
          <w:spacing w:val="-9"/>
        </w:rPr>
        <w:t> </w:t>
      </w:r>
      <w:r>
        <w:rPr/>
        <w:t>more useful for assessing the company’s financial leverage.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Investment Performance" w:id="18"/>
      <w:bookmarkEnd w:id="18"/>
      <w:r>
        <w:rPr>
          <w:b w:val="0"/>
        </w:rPr>
      </w:r>
      <w:bookmarkStart w:name="_bookmark9" w:id="19"/>
      <w:bookmarkEnd w:id="19"/>
      <w:r>
        <w:rPr>
          <w:b w:val="0"/>
        </w:rPr>
      </w:r>
      <w:r>
        <w:rPr>
          <w:color w:val="0E2C59"/>
          <w:spacing w:val="-2"/>
        </w:rPr>
        <w:t>Investment</w:t>
      </w:r>
      <w:r>
        <w:rPr>
          <w:color w:val="0E2C59"/>
          <w:spacing w:val="-6"/>
        </w:rPr>
        <w:t> </w:t>
      </w:r>
      <w:r>
        <w:rPr>
          <w:color w:val="0E2C59"/>
          <w:spacing w:val="-2"/>
        </w:rPr>
        <w:t>Performance</w:t>
      </w:r>
    </w:p>
    <w:p>
      <w:pPr>
        <w:pStyle w:val="BodyText"/>
        <w:spacing w:before="267"/>
        <w:ind w:left="2555"/>
      </w:pPr>
      <w:r>
        <w:rPr/>
        <w:t>Table</w:t>
      </w:r>
      <w:r>
        <w:rPr>
          <w:spacing w:val="-10"/>
        </w:rPr>
        <w:t> </w:t>
      </w:r>
      <w:r>
        <w:rPr/>
        <w:t>9:</w:t>
      </w:r>
      <w:r>
        <w:rPr>
          <w:spacing w:val="1"/>
        </w:rPr>
        <w:t> </w:t>
      </w:r>
      <w:r>
        <w:rPr/>
        <w:t>Diluted</w:t>
      </w:r>
      <w:r>
        <w:rPr>
          <w:spacing w:val="-9"/>
        </w:rPr>
        <w:t> </w:t>
      </w:r>
      <w:r>
        <w:rPr/>
        <w:t>Earnings</w:t>
      </w:r>
      <w:r>
        <w:rPr>
          <w:spacing w:val="-10"/>
        </w:rPr>
        <w:t> </w:t>
      </w:r>
      <w:r>
        <w:rPr/>
        <w:t>Per</w:t>
      </w:r>
      <w:r>
        <w:rPr>
          <w:spacing w:val="-9"/>
        </w:rPr>
        <w:t> </w:t>
      </w:r>
      <w:r>
        <w:rPr/>
        <w:t>Share,</w:t>
      </w:r>
      <w:r>
        <w:rPr>
          <w:spacing w:val="-10"/>
        </w:rPr>
        <w:t> </w:t>
      </w:r>
      <w:r>
        <w:rPr/>
        <w:t>2021–</w:t>
      </w:r>
      <w:r>
        <w:rPr>
          <w:spacing w:val="-4"/>
        </w:rPr>
        <w:t>2025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384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Diluted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EPS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138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$3.34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138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$7.24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138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$10.18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138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$8.33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$9.51</w:t>
            </w:r>
          </w:p>
        </w:tc>
      </w:tr>
    </w:tbl>
    <w:p>
      <w:pPr>
        <w:pStyle w:val="BodyText"/>
        <w:spacing w:line="256" w:lineRule="auto" w:before="215"/>
        <w:ind w:left="165" w:right="1296"/>
        <w:jc w:val="both"/>
      </w:pPr>
      <w:r>
        <w:rPr/>
        <w:t>EPS increased strongly from 2021 to 2023, declined in 2024 and recovered in 2025.</w:t>
      </w:r>
      <w:r>
        <w:rPr>
          <w:spacing w:val="27"/>
        </w:rPr>
        <w:t> </w:t>
      </w:r>
      <w:r>
        <w:rPr/>
        <w:t>The 2025 diluted EPS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$9.51</w:t>
      </w:r>
      <w:r>
        <w:rPr>
          <w:spacing w:val="-11"/>
        </w:rPr>
        <w:t> </w:t>
      </w:r>
      <w:r>
        <w:rPr/>
        <w:t>demonstrates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strong</w:t>
      </w:r>
      <w:r>
        <w:rPr>
          <w:spacing w:val="-11"/>
        </w:rPr>
        <w:t> </w:t>
      </w:r>
      <w:r>
        <w:rPr/>
        <w:t>earnings-generating</w:t>
      </w:r>
      <w:r>
        <w:rPr>
          <w:spacing w:val="-11"/>
        </w:rPr>
        <w:t> </w:t>
      </w:r>
      <w:r>
        <w:rPr/>
        <w:t>position</w:t>
      </w:r>
      <w:r>
        <w:rPr>
          <w:spacing w:val="-11"/>
        </w:rPr>
        <w:t> </w:t>
      </w:r>
      <w:hyperlink w:history="true" w:anchor="_bookmark38">
        <w:r>
          <w:rPr>
            <w:color w:val="0E2C59"/>
          </w:rPr>
          <w:t>[1]</w:t>
        </w:r>
      </w:hyperlink>
      <w:r>
        <w:rPr/>
        <w:t>. The</w:t>
      </w:r>
      <w:r>
        <w:rPr>
          <w:spacing w:val="-11"/>
        </w:rPr>
        <w:t> </w:t>
      </w:r>
      <w:r>
        <w:rPr/>
        <w:t>reduction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2023</w:t>
      </w:r>
      <w:r>
        <w:rPr>
          <w:spacing w:val="-11"/>
        </w:rPr>
        <w:t> </w:t>
      </w:r>
      <w:r>
        <w:rPr/>
        <w:t>peak should nevertheless be monitored, because investors expect continued earnings growth from a leading global hospitality company.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Cash Flow Analysis" w:id="20"/>
      <w:bookmarkEnd w:id="20"/>
      <w:r>
        <w:rPr>
          <w:b w:val="0"/>
        </w:rPr>
      </w:r>
      <w:bookmarkStart w:name="_bookmark10" w:id="21"/>
      <w:bookmarkEnd w:id="21"/>
      <w:r>
        <w:rPr>
          <w:b w:val="0"/>
        </w:rPr>
      </w:r>
      <w:r>
        <w:rPr>
          <w:color w:val="0E2C59"/>
        </w:rPr>
        <w:t>Cash</w:t>
      </w:r>
      <w:r>
        <w:rPr>
          <w:color w:val="0E2C59"/>
          <w:spacing w:val="-8"/>
        </w:rPr>
        <w:t> </w:t>
      </w:r>
      <w:r>
        <w:rPr>
          <w:color w:val="0E2C59"/>
        </w:rPr>
        <w:t>Flow</w:t>
      </w:r>
      <w:r>
        <w:rPr>
          <w:color w:val="0E2C59"/>
          <w:spacing w:val="-8"/>
        </w:rPr>
        <w:t> </w:t>
      </w:r>
      <w:r>
        <w:rPr>
          <w:color w:val="0E2C59"/>
          <w:spacing w:val="-2"/>
        </w:rPr>
        <w:t>Analysis</w:t>
      </w:r>
    </w:p>
    <w:p>
      <w:pPr>
        <w:pStyle w:val="BodyText"/>
        <w:spacing w:before="161"/>
        <w:ind w:left="165"/>
        <w:jc w:val="both"/>
      </w:pPr>
      <w:r>
        <w:rPr/>
        <w:t>Operating</w:t>
      </w:r>
      <w:r>
        <w:rPr>
          <w:spacing w:val="-9"/>
        </w:rPr>
        <w:t> </w:t>
      </w:r>
      <w:r>
        <w:rPr/>
        <w:t>cash</w:t>
      </w:r>
      <w:r>
        <w:rPr>
          <w:spacing w:val="-8"/>
        </w:rPr>
        <w:t> </w:t>
      </w:r>
      <w:r>
        <w:rPr/>
        <w:t>flow</w:t>
      </w:r>
      <w:r>
        <w:rPr>
          <w:spacing w:val="-8"/>
        </w:rPr>
        <w:t> </w:t>
      </w:r>
      <w:r>
        <w:rPr/>
        <w:t>is</w:t>
      </w:r>
      <w:r>
        <w:rPr>
          <w:spacing w:val="-8"/>
        </w:rPr>
        <w:t> </w:t>
      </w:r>
      <w:r>
        <w:rPr/>
        <w:t>particularly</w:t>
      </w:r>
      <w:r>
        <w:rPr>
          <w:spacing w:val="-8"/>
        </w:rPr>
        <w:t> </w:t>
      </w:r>
      <w:r>
        <w:rPr/>
        <w:t>important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Marriott</w:t>
      </w:r>
      <w:r>
        <w:rPr>
          <w:spacing w:val="-8"/>
        </w:rPr>
        <w:t> </w:t>
      </w:r>
      <w:r>
        <w:rPr/>
        <w:t>because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its</w:t>
      </w:r>
      <w:r>
        <w:rPr>
          <w:spacing w:val="-8"/>
        </w:rPr>
        <w:t> </w:t>
      </w:r>
      <w:r>
        <w:rPr/>
        <w:t>asset-light</w:t>
      </w:r>
      <w:r>
        <w:rPr>
          <w:spacing w:val="-8"/>
        </w:rPr>
        <w:t> </w:t>
      </w:r>
      <w:r>
        <w:rPr>
          <w:spacing w:val="-2"/>
        </w:rPr>
        <w:t>model.</w:t>
      </w:r>
    </w:p>
    <w:p>
      <w:pPr>
        <w:pStyle w:val="BodyText"/>
        <w:spacing w:before="223"/>
        <w:ind w:left="2529"/>
      </w:pPr>
      <w:r>
        <w:rPr/>
        <w:t>Table</w:t>
      </w:r>
      <w:r>
        <w:rPr>
          <w:spacing w:val="-14"/>
        </w:rPr>
        <w:t> </w:t>
      </w:r>
      <w:r>
        <w:rPr/>
        <w:t>10:</w:t>
      </w:r>
      <w:r>
        <w:rPr>
          <w:spacing w:val="-2"/>
        </w:rPr>
        <w:t> </w:t>
      </w:r>
      <w:r>
        <w:rPr/>
        <w:t>Operating</w:t>
      </w:r>
      <w:r>
        <w:rPr>
          <w:spacing w:val="-13"/>
        </w:rPr>
        <w:t> </w:t>
      </w:r>
      <w:r>
        <w:rPr/>
        <w:t>Cash</w:t>
      </w:r>
      <w:r>
        <w:rPr>
          <w:spacing w:val="-13"/>
        </w:rPr>
        <w:t> </w:t>
      </w:r>
      <w:r>
        <w:rPr/>
        <w:t>Flow,</w:t>
      </w:r>
      <w:r>
        <w:rPr>
          <w:spacing w:val="-13"/>
        </w:rPr>
        <w:t> </w:t>
      </w:r>
      <w:r>
        <w:rPr/>
        <w:t>2021–2025</w:t>
      </w:r>
      <w:r>
        <w:rPr>
          <w:spacing w:val="-13"/>
        </w:rPr>
        <w:t> </w:t>
      </w:r>
      <w:r>
        <w:rPr>
          <w:spacing w:val="-4"/>
        </w:rPr>
        <w:t>($m)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2594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259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z w:val="22"/>
              </w:rPr>
              <w:t>Operating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cash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flow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($m)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2021</w:t>
            </w:r>
          </w:p>
        </w:tc>
        <w:tc>
          <w:tcPr>
            <w:tcW w:w="259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1,177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2022</w:t>
            </w:r>
          </w:p>
        </w:tc>
        <w:tc>
          <w:tcPr>
            <w:tcW w:w="259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2,363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2023</w:t>
            </w:r>
          </w:p>
        </w:tc>
        <w:tc>
          <w:tcPr>
            <w:tcW w:w="259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3,170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2594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2,749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2025</w:t>
            </w:r>
          </w:p>
        </w:tc>
        <w:tc>
          <w:tcPr>
            <w:tcW w:w="259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3,212</w:t>
            </w:r>
          </w:p>
        </w:tc>
      </w:tr>
    </w:tbl>
    <w:p>
      <w:pPr>
        <w:pStyle w:val="BodyText"/>
        <w:spacing w:line="256" w:lineRule="auto" w:before="251"/>
        <w:ind w:left="165" w:right="1296"/>
        <w:jc w:val="both"/>
      </w:pPr>
      <w:r>
        <w:rPr/>
        <w:t>Operating cash flow increased significantly from 2021 to 2023 and recovered again in 2025.</w:t>
      </w:r>
      <w:r>
        <w:rPr>
          <w:spacing w:val="36"/>
        </w:rPr>
        <w:t> </w:t>
      </w:r>
      <w:r>
        <w:rPr/>
        <w:t>In 2025, Marriott</w:t>
      </w:r>
      <w:r>
        <w:rPr>
          <w:spacing w:val="-8"/>
        </w:rPr>
        <w:t> </w:t>
      </w:r>
      <w:r>
        <w:rPr/>
        <w:t>generated</w:t>
      </w:r>
      <w:r>
        <w:rPr>
          <w:spacing w:val="-7"/>
        </w:rPr>
        <w:t> </w:t>
      </w:r>
      <w:r>
        <w:rPr/>
        <w:t>$3.212</w:t>
      </w:r>
      <w:r>
        <w:rPr>
          <w:spacing w:val="-7"/>
        </w:rPr>
        <w:t> </w:t>
      </w:r>
      <w:r>
        <w:rPr/>
        <w:t>billion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operating</w:t>
      </w:r>
      <w:r>
        <w:rPr>
          <w:spacing w:val="-7"/>
        </w:rPr>
        <w:t> </w:t>
      </w:r>
      <w:r>
        <w:rPr/>
        <w:t>cash</w:t>
      </w:r>
      <w:r>
        <w:rPr>
          <w:spacing w:val="-7"/>
        </w:rPr>
        <w:t> </w:t>
      </w:r>
      <w:r>
        <w:rPr/>
        <w:t>flow,</w:t>
      </w:r>
      <w:r>
        <w:rPr>
          <w:spacing w:val="-6"/>
        </w:rPr>
        <w:t> </w:t>
      </w:r>
      <w:r>
        <w:rPr/>
        <w:t>while</w:t>
      </w:r>
      <w:r>
        <w:rPr>
          <w:spacing w:val="-7"/>
        </w:rPr>
        <w:t> </w:t>
      </w:r>
      <w:r>
        <w:rPr/>
        <w:t>capital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technology</w:t>
      </w:r>
      <w:r>
        <w:rPr>
          <w:spacing w:val="-7"/>
        </w:rPr>
        <w:t> </w:t>
      </w:r>
      <w:r>
        <w:rPr/>
        <w:t>expenditure</w:t>
      </w:r>
      <w:r>
        <w:rPr>
          <w:spacing w:val="-7"/>
        </w:rPr>
        <w:t> </w:t>
      </w:r>
      <w:r>
        <w:rPr>
          <w:spacing w:val="-5"/>
        </w:rPr>
        <w:t>was</w:t>
      </w:r>
    </w:p>
    <w:p>
      <w:pPr>
        <w:pStyle w:val="BodyText"/>
        <w:spacing w:before="1"/>
        <w:ind w:left="165"/>
        <w:jc w:val="both"/>
      </w:pPr>
      <w:r>
        <w:rPr/>
        <w:t>$604</w:t>
      </w:r>
      <w:r>
        <w:rPr>
          <w:spacing w:val="-7"/>
        </w:rPr>
        <w:t> </w:t>
      </w:r>
      <w:r>
        <w:rPr/>
        <w:t>million</w:t>
      </w:r>
      <w:r>
        <w:rPr>
          <w:spacing w:val="-6"/>
        </w:rPr>
        <w:t> </w:t>
      </w:r>
      <w:hyperlink w:history="true" w:anchor="_bookmark38">
        <w:r>
          <w:rPr>
            <w:color w:val="0E2C59"/>
            <w:spacing w:val="-4"/>
          </w:rPr>
          <w:t>[1]</w:t>
        </w:r>
      </w:hyperlink>
      <w:r>
        <w:rPr>
          <w:spacing w:val="-4"/>
        </w:rPr>
        <w:t>.</w:t>
      </w:r>
    </w:p>
    <w:p>
      <w:pPr>
        <w:pStyle w:val="BodyText"/>
        <w:spacing w:line="256" w:lineRule="auto" w:before="153"/>
        <w:ind w:left="165" w:right="1296"/>
        <w:jc w:val="both"/>
      </w:pPr>
      <w:r>
        <w:rPr/>
        <w:t>This suggests strong internal cash generation.</w:t>
      </w:r>
      <w:r>
        <w:rPr>
          <w:spacing w:val="40"/>
        </w:rPr>
        <w:t> </w:t>
      </w:r>
      <w:r>
        <w:rPr/>
        <w:t>However, financing cash flows were negative because Marriott</w:t>
      </w:r>
      <w:r>
        <w:rPr>
          <w:spacing w:val="14"/>
        </w:rPr>
        <w:t> </w:t>
      </w:r>
      <w:r>
        <w:rPr/>
        <w:t>paid</w:t>
      </w:r>
      <w:r>
        <w:rPr>
          <w:spacing w:val="15"/>
        </w:rPr>
        <w:t> </w:t>
      </w:r>
      <w:r>
        <w:rPr/>
        <w:t>dividends</w:t>
      </w:r>
      <w:r>
        <w:rPr>
          <w:spacing w:val="14"/>
        </w:rPr>
        <w:t> </w:t>
      </w:r>
      <w:r>
        <w:rPr/>
        <w:t>and</w:t>
      </w:r>
      <w:r>
        <w:rPr>
          <w:spacing w:val="15"/>
        </w:rPr>
        <w:t> </w:t>
      </w:r>
      <w:r>
        <w:rPr/>
        <w:t>repurchased</w:t>
      </w:r>
      <w:r>
        <w:rPr>
          <w:spacing w:val="15"/>
        </w:rPr>
        <w:t> </w:t>
      </w:r>
      <w:r>
        <w:rPr/>
        <w:t>shares;</w:t>
      </w:r>
      <w:r>
        <w:rPr>
          <w:spacing w:val="24"/>
        </w:rPr>
        <w:t> </w:t>
      </w:r>
      <w:r>
        <w:rPr/>
        <w:t>in</w:t>
      </w:r>
      <w:r>
        <w:rPr>
          <w:spacing w:val="15"/>
        </w:rPr>
        <w:t> </w:t>
      </w:r>
      <w:r>
        <w:rPr/>
        <w:t>2025,</w:t>
      </w:r>
      <w:r>
        <w:rPr>
          <w:spacing w:val="19"/>
        </w:rPr>
        <w:t> </w:t>
      </w:r>
      <w:r>
        <w:rPr/>
        <w:t>treasury</w:t>
      </w:r>
      <w:r>
        <w:rPr>
          <w:spacing w:val="15"/>
        </w:rPr>
        <w:t> </w:t>
      </w:r>
      <w:r>
        <w:rPr/>
        <w:t>stock</w:t>
      </w:r>
      <w:r>
        <w:rPr>
          <w:spacing w:val="15"/>
        </w:rPr>
        <w:t> </w:t>
      </w:r>
      <w:r>
        <w:rPr/>
        <w:t>purchases</w:t>
      </w:r>
      <w:r>
        <w:rPr>
          <w:spacing w:val="14"/>
        </w:rPr>
        <w:t> </w:t>
      </w:r>
      <w:r>
        <w:rPr/>
        <w:t>amounted</w:t>
      </w:r>
      <w:r>
        <w:rPr>
          <w:spacing w:val="15"/>
        </w:rPr>
        <w:t> </w:t>
      </w:r>
      <w:r>
        <w:rPr/>
        <w:t>to</w:t>
      </w:r>
      <w:r>
        <w:rPr>
          <w:spacing w:val="14"/>
        </w:rPr>
        <w:t> </w:t>
      </w:r>
      <w:r>
        <w:rPr>
          <w:spacing w:val="-4"/>
        </w:rPr>
        <w:t>$3.3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BodyText"/>
        <w:spacing w:line="256" w:lineRule="auto" w:before="156"/>
        <w:ind w:left="165" w:right="1258"/>
      </w:pPr>
      <w:r>
        <w:rPr/>
        <w:t>billion. Therefore,</w:t>
      </w:r>
      <w:r>
        <w:rPr>
          <w:spacing w:val="-7"/>
        </w:rPr>
        <w:t> </w:t>
      </w:r>
      <w:r>
        <w:rPr/>
        <w:t>Marriott’s</w:t>
      </w:r>
      <w:r>
        <w:rPr>
          <w:spacing w:val="-7"/>
        </w:rPr>
        <w:t> </w:t>
      </w:r>
      <w:r>
        <w:rPr/>
        <w:t>key</w:t>
      </w:r>
      <w:r>
        <w:rPr>
          <w:spacing w:val="-7"/>
        </w:rPr>
        <w:t> </w:t>
      </w:r>
      <w:r>
        <w:rPr/>
        <w:t>financial</w:t>
      </w:r>
      <w:r>
        <w:rPr>
          <w:spacing w:val="-7"/>
        </w:rPr>
        <w:t> </w:t>
      </w:r>
      <w:r>
        <w:rPr/>
        <w:t>issue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not</w:t>
      </w:r>
      <w:r>
        <w:rPr>
          <w:spacing w:val="-7"/>
        </w:rPr>
        <w:t> </w:t>
      </w:r>
      <w:r>
        <w:rPr/>
        <w:t>lack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profitability. Instead,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key</w:t>
      </w:r>
      <w:r>
        <w:rPr>
          <w:spacing w:val="-7"/>
        </w:rPr>
        <w:t> </w:t>
      </w:r>
      <w:r>
        <w:rPr/>
        <w:t>issue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the balance between strong cash generation, shareholder distributions, debt levels and liquidity.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Overall Financial Strengths and Threats" w:id="22"/>
      <w:bookmarkEnd w:id="22"/>
      <w:r>
        <w:rPr>
          <w:b w:val="0"/>
        </w:rPr>
      </w:r>
      <w:bookmarkStart w:name="_bookmark11" w:id="23"/>
      <w:bookmarkEnd w:id="23"/>
      <w:r>
        <w:rPr>
          <w:b w:val="0"/>
        </w:rPr>
      </w:r>
      <w:r>
        <w:rPr>
          <w:color w:val="0E2C59"/>
        </w:rPr>
        <w:t>Overall</w:t>
      </w:r>
      <w:r>
        <w:rPr>
          <w:color w:val="0E2C59"/>
          <w:spacing w:val="-11"/>
        </w:rPr>
        <w:t> </w:t>
      </w:r>
      <w:r>
        <w:rPr>
          <w:color w:val="0E2C59"/>
        </w:rPr>
        <w:t>Financial</w:t>
      </w:r>
      <w:r>
        <w:rPr>
          <w:color w:val="0E2C59"/>
          <w:spacing w:val="-11"/>
        </w:rPr>
        <w:t> </w:t>
      </w:r>
      <w:r>
        <w:rPr>
          <w:color w:val="0E2C59"/>
        </w:rPr>
        <w:t>Strengths</w:t>
      </w:r>
      <w:r>
        <w:rPr>
          <w:color w:val="0E2C59"/>
          <w:spacing w:val="-11"/>
        </w:rPr>
        <w:t> </w:t>
      </w:r>
      <w:r>
        <w:rPr>
          <w:color w:val="0E2C59"/>
        </w:rPr>
        <w:t>and</w:t>
      </w:r>
      <w:r>
        <w:rPr>
          <w:color w:val="0E2C59"/>
          <w:spacing w:val="-11"/>
        </w:rPr>
        <w:t> </w:t>
      </w:r>
      <w:r>
        <w:rPr>
          <w:color w:val="0E2C59"/>
          <w:spacing w:val="-2"/>
        </w:rPr>
        <w:t>Threats</w:t>
      </w:r>
    </w:p>
    <w:p>
      <w:pPr>
        <w:pStyle w:val="Heading2"/>
        <w:spacing w:after="0" w:line="240" w:lineRule="auto"/>
        <w:jc w:val="left"/>
        <w:sectPr>
          <w:pgSz w:w="11910" w:h="16840"/>
          <w:pgMar w:header="686" w:footer="0" w:top="1280" w:bottom="280" w:left="1275" w:right="141"/>
        </w:sectPr>
      </w:pPr>
    </w:p>
    <w:p>
      <w:pPr>
        <w:pStyle w:val="Heading4"/>
        <w:spacing w:before="161"/>
      </w:pPr>
      <w:r>
        <w:rPr>
          <w:spacing w:val="-2"/>
        </w:rPr>
        <w:t>Strengths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18" w:after="0"/>
        <w:ind w:left="426" w:right="0" w:hanging="272"/>
        <w:jc w:val="left"/>
        <w:rPr>
          <w:sz w:val="22"/>
        </w:rPr>
      </w:pPr>
      <w:r>
        <w:rPr>
          <w:sz w:val="22"/>
        </w:rPr>
        <w:t>Strong</w:t>
      </w:r>
      <w:r>
        <w:rPr>
          <w:spacing w:val="-10"/>
          <w:sz w:val="22"/>
        </w:rPr>
        <w:t> </w:t>
      </w:r>
      <w:r>
        <w:rPr>
          <w:sz w:val="22"/>
        </w:rPr>
        <w:t>revenue</w:t>
      </w:r>
      <w:r>
        <w:rPr>
          <w:spacing w:val="-9"/>
          <w:sz w:val="22"/>
        </w:rPr>
        <w:t> </w:t>
      </w:r>
      <w:r>
        <w:rPr>
          <w:sz w:val="22"/>
        </w:rPr>
        <w:t>growth</w:t>
      </w:r>
      <w:r>
        <w:rPr>
          <w:spacing w:val="-10"/>
          <w:sz w:val="22"/>
        </w:rPr>
        <w:t> </w:t>
      </w:r>
      <w:r>
        <w:rPr>
          <w:sz w:val="22"/>
        </w:rPr>
        <w:t>after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pandemic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High</w:t>
      </w:r>
      <w:r>
        <w:rPr>
          <w:spacing w:val="-8"/>
          <w:sz w:val="22"/>
        </w:rPr>
        <w:t> </w:t>
      </w:r>
      <w:r>
        <w:rPr>
          <w:sz w:val="22"/>
        </w:rPr>
        <w:t>operating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profitability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Strong</w:t>
      </w:r>
      <w:r>
        <w:rPr>
          <w:spacing w:val="-8"/>
          <w:sz w:val="22"/>
        </w:rPr>
        <w:t> </w:t>
      </w:r>
      <w:r>
        <w:rPr>
          <w:sz w:val="22"/>
        </w:rPr>
        <w:t>operating</w:t>
      </w:r>
      <w:r>
        <w:rPr>
          <w:spacing w:val="-7"/>
          <w:sz w:val="22"/>
        </w:rPr>
        <w:t> </w:t>
      </w:r>
      <w:r>
        <w:rPr>
          <w:sz w:val="22"/>
        </w:rPr>
        <w:t>cash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flow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7" w:after="0"/>
        <w:ind w:left="426" w:right="0" w:hanging="272"/>
        <w:jc w:val="left"/>
        <w:rPr>
          <w:sz w:val="22"/>
        </w:rPr>
      </w:pPr>
      <w:r>
        <w:rPr>
          <w:spacing w:val="-2"/>
          <w:sz w:val="22"/>
        </w:rPr>
        <w:t>Improving</w:t>
      </w:r>
      <w:r>
        <w:rPr>
          <w:sz w:val="22"/>
        </w:rPr>
        <w:t> </w:t>
      </w:r>
      <w:r>
        <w:rPr>
          <w:spacing w:val="-2"/>
          <w:sz w:val="22"/>
        </w:rPr>
        <w:t>receivable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collection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Large</w:t>
      </w:r>
      <w:r>
        <w:rPr>
          <w:spacing w:val="-8"/>
          <w:sz w:val="22"/>
        </w:rPr>
        <w:t> </w:t>
      </w:r>
      <w:r>
        <w:rPr>
          <w:sz w:val="22"/>
        </w:rPr>
        <w:t>global</w:t>
      </w:r>
      <w:r>
        <w:rPr>
          <w:spacing w:val="-8"/>
          <w:sz w:val="22"/>
        </w:rPr>
        <w:t> </w:t>
      </w:r>
      <w:r>
        <w:rPr>
          <w:sz w:val="22"/>
        </w:rPr>
        <w:t>brand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portfolio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Asset-light</w:t>
      </w:r>
      <w:r>
        <w:rPr>
          <w:spacing w:val="-13"/>
          <w:sz w:val="22"/>
        </w:rPr>
        <w:t> </w:t>
      </w:r>
      <w:r>
        <w:rPr>
          <w:sz w:val="22"/>
        </w:rPr>
        <w:t>business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model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Strong</w:t>
      </w:r>
      <w:r>
        <w:rPr>
          <w:spacing w:val="-11"/>
          <w:sz w:val="22"/>
        </w:rPr>
        <w:t> </w:t>
      </w:r>
      <w:r>
        <w:rPr>
          <w:sz w:val="22"/>
        </w:rPr>
        <w:t>international</w:t>
      </w:r>
      <w:r>
        <w:rPr>
          <w:spacing w:val="-11"/>
          <w:sz w:val="22"/>
        </w:rPr>
        <w:t> </w:t>
      </w:r>
      <w:r>
        <w:rPr>
          <w:sz w:val="22"/>
        </w:rPr>
        <w:t>expansion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opportunities</w:t>
      </w:r>
    </w:p>
    <w:p>
      <w:pPr>
        <w:pStyle w:val="ListParagraph"/>
        <w:numPr>
          <w:ilvl w:val="0"/>
          <w:numId w:val="3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Large</w:t>
      </w:r>
      <w:r>
        <w:rPr>
          <w:spacing w:val="-11"/>
          <w:sz w:val="22"/>
        </w:rPr>
        <w:t> </w:t>
      </w:r>
      <w:r>
        <w:rPr>
          <w:sz w:val="22"/>
        </w:rPr>
        <w:t>loyalty</w:t>
      </w:r>
      <w:r>
        <w:rPr>
          <w:spacing w:val="-10"/>
          <w:sz w:val="22"/>
        </w:rPr>
        <w:t> </w:t>
      </w:r>
      <w:r>
        <w:rPr>
          <w:sz w:val="22"/>
        </w:rPr>
        <w:t>programme</w:t>
      </w:r>
      <w:r>
        <w:rPr>
          <w:spacing w:val="-10"/>
          <w:sz w:val="22"/>
        </w:rPr>
        <w:t> </w:t>
      </w:r>
      <w:r>
        <w:rPr>
          <w:sz w:val="22"/>
        </w:rPr>
        <w:t>(Marriott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Bonvoy)</w:t>
      </w:r>
    </w:p>
    <w:p>
      <w:pPr>
        <w:pStyle w:val="Heading4"/>
        <w:spacing w:before="161"/>
      </w:pPr>
      <w:r>
        <w:rPr>
          <w:b w:val="0"/>
        </w:rPr>
        <w:br w:type="column"/>
      </w:r>
      <w:r>
        <w:rPr>
          <w:spacing w:val="-2"/>
        </w:rPr>
        <w:t>Threats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18" w:after="0"/>
        <w:ind w:left="426" w:right="0" w:hanging="272"/>
        <w:jc w:val="left"/>
        <w:rPr>
          <w:sz w:val="22"/>
        </w:rPr>
      </w:pPr>
      <w:r>
        <w:rPr>
          <w:spacing w:val="-2"/>
          <w:sz w:val="22"/>
        </w:rPr>
        <w:t>Weak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current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ratio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Increasing</w:t>
      </w:r>
      <w:r>
        <w:rPr>
          <w:spacing w:val="-11"/>
          <w:sz w:val="22"/>
        </w:rPr>
        <w:t> </w:t>
      </w:r>
      <w:r>
        <w:rPr>
          <w:spacing w:val="-4"/>
          <w:sz w:val="22"/>
        </w:rPr>
        <w:t>debt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Rising</w:t>
      </w:r>
      <w:r>
        <w:rPr>
          <w:spacing w:val="-8"/>
          <w:sz w:val="22"/>
        </w:rPr>
        <w:t> </w:t>
      </w:r>
      <w:r>
        <w:rPr>
          <w:sz w:val="22"/>
        </w:rPr>
        <w:t>interest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expense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37" w:after="0"/>
        <w:ind w:left="426" w:right="0" w:hanging="272"/>
        <w:jc w:val="left"/>
        <w:rPr>
          <w:sz w:val="22"/>
        </w:rPr>
      </w:pPr>
      <w:r>
        <w:rPr>
          <w:spacing w:val="-2"/>
          <w:sz w:val="22"/>
        </w:rPr>
        <w:t>Negative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shareholders’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equity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38" w:after="0"/>
        <w:ind w:left="426" w:right="0" w:hanging="272"/>
        <w:jc w:val="left"/>
        <w:rPr>
          <w:sz w:val="22"/>
        </w:rPr>
      </w:pPr>
      <w:r>
        <w:rPr>
          <w:sz w:val="22"/>
        </w:rPr>
        <w:t>Currency</w:t>
      </w:r>
      <w:r>
        <w:rPr>
          <w:spacing w:val="-9"/>
          <w:sz w:val="22"/>
        </w:rPr>
        <w:t> </w:t>
      </w:r>
      <w:r>
        <w:rPr>
          <w:sz w:val="22"/>
        </w:rPr>
        <w:t>risk</w:t>
      </w:r>
      <w:r>
        <w:rPr>
          <w:spacing w:val="-9"/>
          <w:sz w:val="22"/>
        </w:rPr>
        <w:t> </w:t>
      </w:r>
      <w:r>
        <w:rPr>
          <w:sz w:val="22"/>
        </w:rPr>
        <w:t>from</w:t>
      </w:r>
      <w:r>
        <w:rPr>
          <w:spacing w:val="-9"/>
          <w:sz w:val="22"/>
        </w:rPr>
        <w:t> </w:t>
      </w:r>
      <w:r>
        <w:rPr>
          <w:sz w:val="22"/>
        </w:rPr>
        <w:t>international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operations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56" w:lineRule="auto" w:before="38" w:after="0"/>
        <w:ind w:left="426" w:right="1296" w:hanging="273"/>
        <w:jc w:val="left"/>
        <w:rPr>
          <w:sz w:val="22"/>
        </w:rPr>
      </w:pPr>
      <w:r>
        <w:rPr>
          <w:sz w:val="22"/>
        </w:rPr>
        <w:t>Economic</w:t>
      </w:r>
      <w:r>
        <w:rPr>
          <w:spacing w:val="34"/>
          <w:sz w:val="22"/>
        </w:rPr>
        <w:t> </w:t>
      </w:r>
      <w:r>
        <w:rPr>
          <w:sz w:val="22"/>
        </w:rPr>
        <w:t>slowdown</w:t>
      </w:r>
      <w:r>
        <w:rPr>
          <w:spacing w:val="34"/>
          <w:sz w:val="22"/>
        </w:rPr>
        <w:t> </w:t>
      </w:r>
      <w:r>
        <w:rPr>
          <w:sz w:val="22"/>
        </w:rPr>
        <w:t>and</w:t>
      </w:r>
      <w:r>
        <w:rPr>
          <w:spacing w:val="34"/>
          <w:sz w:val="22"/>
        </w:rPr>
        <w:t> </w:t>
      </w:r>
      <w:r>
        <w:rPr>
          <w:sz w:val="22"/>
        </w:rPr>
        <w:t>reduced</w:t>
      </w:r>
      <w:r>
        <w:rPr>
          <w:spacing w:val="34"/>
          <w:sz w:val="22"/>
        </w:rPr>
        <w:t> </w:t>
      </w:r>
      <w:r>
        <w:rPr>
          <w:sz w:val="22"/>
        </w:rPr>
        <w:t>travel</w:t>
      </w:r>
      <w:r>
        <w:rPr>
          <w:spacing w:val="34"/>
          <w:sz w:val="22"/>
        </w:rPr>
        <w:t> </w:t>
      </w:r>
      <w:r>
        <w:rPr>
          <w:sz w:val="22"/>
        </w:rPr>
        <w:t>de-</w:t>
      </w:r>
      <w:r>
        <w:rPr>
          <w:spacing w:val="-4"/>
          <w:sz w:val="22"/>
        </w:rPr>
        <w:t>mand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40" w:lineRule="auto" w:before="21" w:after="0"/>
        <w:ind w:left="426" w:right="0" w:hanging="272"/>
        <w:jc w:val="left"/>
        <w:rPr>
          <w:sz w:val="22"/>
        </w:rPr>
      </w:pPr>
      <w:r>
        <w:rPr>
          <w:sz w:val="22"/>
        </w:rPr>
        <w:t>Geopolitical</w:t>
      </w:r>
      <w:r>
        <w:rPr>
          <w:spacing w:val="-8"/>
          <w:sz w:val="22"/>
        </w:rPr>
        <w:t> </w:t>
      </w:r>
      <w:r>
        <w:rPr>
          <w:sz w:val="22"/>
        </w:rPr>
        <w:t>risks</w:t>
      </w:r>
      <w:r>
        <w:rPr>
          <w:spacing w:val="-8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international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markets</w:t>
      </w:r>
    </w:p>
    <w:p>
      <w:pPr>
        <w:pStyle w:val="ListParagraph"/>
        <w:numPr>
          <w:ilvl w:val="0"/>
          <w:numId w:val="4"/>
        </w:numPr>
        <w:tabs>
          <w:tab w:pos="426" w:val="left" w:leader="none"/>
        </w:tabs>
        <w:spacing w:line="256" w:lineRule="auto" w:before="38" w:after="0"/>
        <w:ind w:left="426" w:right="1296" w:hanging="273"/>
        <w:jc w:val="left"/>
        <w:rPr>
          <w:sz w:val="22"/>
        </w:rPr>
      </w:pPr>
      <w:r>
        <w:rPr>
          <w:sz w:val="22"/>
        </w:rPr>
        <w:t>Weak</w:t>
      </w:r>
      <w:r>
        <w:rPr>
          <w:spacing w:val="40"/>
          <w:sz w:val="22"/>
        </w:rPr>
        <w:t> </w:t>
      </w:r>
      <w:r>
        <w:rPr>
          <w:sz w:val="22"/>
        </w:rPr>
        <w:t>performance</w:t>
      </w:r>
      <w:r>
        <w:rPr>
          <w:spacing w:val="40"/>
          <w:sz w:val="22"/>
        </w:rPr>
        <w:t> </w:t>
      </w:r>
      <w:r>
        <w:rPr>
          <w:sz w:val="22"/>
        </w:rPr>
        <w:t>in</w:t>
      </w:r>
      <w:r>
        <w:rPr>
          <w:spacing w:val="40"/>
          <w:sz w:val="22"/>
        </w:rPr>
        <w:t> </w:t>
      </w:r>
      <w:r>
        <w:rPr>
          <w:sz w:val="22"/>
        </w:rPr>
        <w:t>certain</w:t>
      </w:r>
      <w:r>
        <w:rPr>
          <w:spacing w:val="40"/>
          <w:sz w:val="22"/>
        </w:rPr>
        <w:t> </w:t>
      </w:r>
      <w:r>
        <w:rPr>
          <w:sz w:val="22"/>
        </w:rPr>
        <w:t>regions</w:t>
      </w:r>
      <w:r>
        <w:rPr>
          <w:spacing w:val="40"/>
          <w:sz w:val="22"/>
        </w:rPr>
        <w:t> </w:t>
      </w:r>
      <w:r>
        <w:rPr>
          <w:sz w:val="22"/>
        </w:rPr>
        <w:t>(e.g. Greater China)</w:t>
      </w:r>
    </w:p>
    <w:p>
      <w:pPr>
        <w:pStyle w:val="ListParagraph"/>
        <w:spacing w:after="0" w:line="256" w:lineRule="auto"/>
        <w:jc w:val="left"/>
        <w:rPr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2" w:equalWidth="0">
            <w:col w:w="4349" w:space="345"/>
            <w:col w:w="5800"/>
          </w:cols>
        </w:sectPr>
      </w:pPr>
    </w:p>
    <w:p>
      <w:pPr>
        <w:pStyle w:val="BodyText"/>
        <w:spacing w:before="5"/>
        <w:rPr>
          <w:sz w:val="28"/>
        </w:rPr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0" w:after="0"/>
        <w:ind w:left="595" w:right="0" w:hanging="430"/>
        <w:jc w:val="left"/>
      </w:pPr>
      <w:bookmarkStart w:name="Working Capital Management Analysis" w:id="24"/>
      <w:bookmarkEnd w:id="24"/>
      <w:r>
        <w:rPr>
          <w:b w:val="0"/>
        </w:rPr>
      </w:r>
      <w:bookmarkStart w:name="_bookmark12" w:id="25"/>
      <w:bookmarkEnd w:id="25"/>
      <w:r>
        <w:rPr>
          <w:b w:val="0"/>
        </w:rPr>
      </w:r>
      <w:r>
        <w:rPr>
          <w:color w:val="0E2C59"/>
        </w:rPr>
        <w:t>Working</w:t>
      </w:r>
      <w:r>
        <w:rPr>
          <w:color w:val="0E2C59"/>
          <w:spacing w:val="17"/>
        </w:rPr>
        <w:t> </w:t>
      </w:r>
      <w:r>
        <w:rPr>
          <w:color w:val="0E2C59"/>
        </w:rPr>
        <w:t>Capital</w:t>
      </w:r>
      <w:r>
        <w:rPr>
          <w:color w:val="0E2C59"/>
          <w:spacing w:val="17"/>
        </w:rPr>
        <w:t> </w:t>
      </w:r>
      <w:r>
        <w:rPr>
          <w:color w:val="0E2C59"/>
        </w:rPr>
        <w:t>Management</w:t>
      </w:r>
      <w:r>
        <w:rPr>
          <w:color w:val="0E2C59"/>
          <w:spacing w:val="17"/>
        </w:rPr>
        <w:t> </w:t>
      </w:r>
      <w:r>
        <w:rPr>
          <w:color w:val="0E2C59"/>
          <w:spacing w:val="-2"/>
        </w:rPr>
        <w:t>Analysis</w:t>
      </w: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264" w:after="0"/>
        <w:ind w:left="702" w:right="0" w:hanging="537"/>
        <w:jc w:val="left"/>
      </w:pPr>
      <w:bookmarkStart w:name="Cash Operating Cycle" w:id="26"/>
      <w:bookmarkEnd w:id="26"/>
      <w:r>
        <w:rPr>
          <w:b w:val="0"/>
        </w:rPr>
      </w:r>
      <w:bookmarkStart w:name="_bookmark13" w:id="27"/>
      <w:bookmarkEnd w:id="27"/>
      <w:r>
        <w:rPr>
          <w:b w:val="0"/>
        </w:rPr>
      </w:r>
      <w:r>
        <w:rPr>
          <w:color w:val="0E2C59"/>
        </w:rPr>
        <w:t>Cash</w:t>
      </w:r>
      <w:r>
        <w:rPr>
          <w:color w:val="0E2C59"/>
          <w:spacing w:val="-9"/>
        </w:rPr>
        <w:t> </w:t>
      </w:r>
      <w:r>
        <w:rPr>
          <w:color w:val="0E2C59"/>
        </w:rPr>
        <w:t>Operating</w:t>
      </w:r>
      <w:r>
        <w:rPr>
          <w:color w:val="0E2C59"/>
          <w:spacing w:val="-9"/>
        </w:rPr>
        <w:t> </w:t>
      </w:r>
      <w:r>
        <w:rPr>
          <w:color w:val="0E2C59"/>
          <w:spacing w:val="-2"/>
        </w:rPr>
        <w:t>Cycle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The working capital cycle describes the time between paying suppliers and receiving cash from </w:t>
      </w:r>
      <w:r>
        <w:rPr/>
        <w:t>cus-tomers. For a traditional company, the cash operating cycle is generally:</w:t>
      </w:r>
    </w:p>
    <w:p>
      <w:pPr>
        <w:spacing w:before="204"/>
        <w:ind w:left="2228" w:right="0" w:firstLine="0"/>
        <w:jc w:val="left"/>
        <w:rPr>
          <w:rFonts w:ascii="Calibri" w:hAnsi="Calibri"/>
          <w:i/>
          <w:sz w:val="22"/>
        </w:rPr>
      </w:pPr>
      <w:r>
        <w:rPr>
          <w:rFonts w:ascii="Calibri" w:hAnsi="Calibri"/>
          <w:i/>
          <w:w w:val="110"/>
          <w:sz w:val="22"/>
        </w:rPr>
        <w:t>InventoryDays</w:t>
      </w:r>
      <w:r>
        <w:rPr>
          <w:rFonts w:ascii="Calibri" w:hAnsi="Calibri"/>
          <w:i/>
          <w:spacing w:val="26"/>
          <w:w w:val="110"/>
          <w:sz w:val="22"/>
        </w:rPr>
        <w:t> </w:t>
      </w:r>
      <w:r>
        <w:rPr>
          <w:rFonts w:ascii="Calibri" w:hAnsi="Calibri"/>
          <w:w w:val="110"/>
          <w:sz w:val="22"/>
        </w:rPr>
        <w:t>+</w:t>
      </w:r>
      <w:r>
        <w:rPr>
          <w:rFonts w:ascii="Calibri" w:hAnsi="Calibri"/>
          <w:spacing w:val="27"/>
          <w:w w:val="110"/>
          <w:sz w:val="22"/>
        </w:rPr>
        <w:t> </w:t>
      </w:r>
      <w:r>
        <w:rPr>
          <w:rFonts w:ascii="Calibri" w:hAnsi="Calibri"/>
          <w:i/>
          <w:w w:val="110"/>
          <w:sz w:val="22"/>
        </w:rPr>
        <w:t>ReceivableDays</w:t>
      </w:r>
      <w:r>
        <w:rPr>
          <w:rFonts w:ascii="Calibri" w:hAnsi="Calibri"/>
          <w:i/>
          <w:spacing w:val="27"/>
          <w:w w:val="110"/>
          <w:sz w:val="22"/>
        </w:rPr>
        <w:t> </w:t>
      </w:r>
      <w:r>
        <w:rPr>
          <w:rFonts w:ascii="Verdana" w:hAnsi="Verdana"/>
          <w:i/>
          <w:w w:val="110"/>
          <w:sz w:val="22"/>
        </w:rPr>
        <w:t>−</w:t>
      </w:r>
      <w:r>
        <w:rPr>
          <w:rFonts w:ascii="Verdana" w:hAnsi="Verdana"/>
          <w:i/>
          <w:spacing w:val="-2"/>
          <w:w w:val="110"/>
          <w:sz w:val="22"/>
        </w:rPr>
        <w:t> </w:t>
      </w:r>
      <w:r>
        <w:rPr>
          <w:rFonts w:ascii="Calibri" w:hAnsi="Calibri"/>
          <w:i/>
          <w:spacing w:val="-2"/>
          <w:w w:val="110"/>
          <w:sz w:val="22"/>
        </w:rPr>
        <w:t>PayableDays</w:t>
      </w:r>
    </w:p>
    <w:p>
      <w:pPr>
        <w:pStyle w:val="BodyText"/>
        <w:spacing w:before="92"/>
        <w:rPr>
          <w:rFonts w:ascii="Calibri"/>
          <w:i/>
        </w:rPr>
      </w:pPr>
    </w:p>
    <w:p>
      <w:pPr>
        <w:pStyle w:val="BodyText"/>
        <w:spacing w:line="256" w:lineRule="auto" w:before="1"/>
        <w:ind w:left="165" w:right="1296"/>
        <w:jc w:val="both"/>
      </w:pPr>
      <w:r>
        <w:rPr/>
        <w:t>For Marriott, inventory is not a major balance-sheet item.</w:t>
      </w:r>
      <w:r>
        <w:rPr>
          <w:spacing w:val="40"/>
        </w:rPr>
        <w:t> </w:t>
      </w:r>
      <w:r>
        <w:rPr/>
        <w:t>Therefore, the most useful working capital indicators are receivable days, payable management and cash availability.</w:t>
      </w:r>
      <w:r>
        <w:rPr>
          <w:spacing w:val="40"/>
        </w:rPr>
        <w:t> </w:t>
      </w:r>
      <w:r>
        <w:rPr/>
        <w:t>Marriott’s receivable days declined</w:t>
      </w:r>
      <w:r>
        <w:rPr>
          <w:spacing w:val="-12"/>
        </w:rPr>
        <w:t> </w:t>
      </w:r>
      <w:r>
        <w:rPr/>
        <w:t>from</w:t>
      </w:r>
      <w:r>
        <w:rPr>
          <w:spacing w:val="-12"/>
        </w:rPr>
        <w:t> </w:t>
      </w:r>
      <w:r>
        <w:rPr/>
        <w:t>approximately</w:t>
      </w:r>
      <w:r>
        <w:rPr>
          <w:spacing w:val="-12"/>
        </w:rPr>
        <w:t> </w:t>
      </w:r>
      <w:r>
        <w:rPr/>
        <w:t>52</w:t>
      </w:r>
      <w:r>
        <w:rPr>
          <w:spacing w:val="-12"/>
        </w:rPr>
        <w:t> </w:t>
      </w:r>
      <w:r>
        <w:rPr/>
        <w:t>days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2021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approximately</w:t>
      </w:r>
      <w:r>
        <w:rPr>
          <w:spacing w:val="-12"/>
        </w:rPr>
        <w:t> </w:t>
      </w:r>
      <w:r>
        <w:rPr/>
        <w:t>40</w:t>
      </w:r>
      <w:r>
        <w:rPr>
          <w:spacing w:val="-12"/>
        </w:rPr>
        <w:t> </w:t>
      </w:r>
      <w:r>
        <w:rPr/>
        <w:t>days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2025,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positive</w:t>
      </w:r>
      <w:r>
        <w:rPr>
          <w:spacing w:val="-12"/>
        </w:rPr>
        <w:t> </w:t>
      </w:r>
      <w:r>
        <w:rPr/>
        <w:t>development because faster collection improves cash availability.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However,</w:t>
      </w:r>
      <w:r>
        <w:rPr>
          <w:spacing w:val="-2"/>
        </w:rPr>
        <w:t> </w:t>
      </w:r>
      <w:r>
        <w:rPr/>
        <w:t>Marriott’s</w:t>
      </w:r>
      <w:r>
        <w:rPr>
          <w:spacing w:val="-3"/>
        </w:rPr>
        <w:t> </w:t>
      </w:r>
      <w:r>
        <w:rPr/>
        <w:t>current</w:t>
      </w:r>
      <w:r>
        <w:rPr>
          <w:spacing w:val="-3"/>
        </w:rPr>
        <w:t> </w:t>
      </w:r>
      <w:r>
        <w:rPr/>
        <w:t>liabilities</w:t>
      </w:r>
      <w:r>
        <w:rPr>
          <w:spacing w:val="-3"/>
        </w:rPr>
        <w:t> </w:t>
      </w:r>
      <w:r>
        <w:rPr/>
        <w:t>remain</w:t>
      </w:r>
      <w:r>
        <w:rPr>
          <w:spacing w:val="-3"/>
        </w:rPr>
        <w:t> </w:t>
      </w:r>
      <w:r>
        <w:rPr/>
        <w:t>significantly</w:t>
      </w:r>
      <w:r>
        <w:rPr>
          <w:spacing w:val="-3"/>
        </w:rPr>
        <w:t> </w:t>
      </w:r>
      <w:r>
        <w:rPr/>
        <w:t>higher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its</w:t>
      </w:r>
      <w:r>
        <w:rPr>
          <w:spacing w:val="-3"/>
        </w:rPr>
        <w:t> </w:t>
      </w:r>
      <w:r>
        <w:rPr/>
        <w:t>current</w:t>
      </w:r>
      <w:r>
        <w:rPr>
          <w:spacing w:val="-3"/>
        </w:rPr>
        <w:t> </w:t>
      </w:r>
      <w:r>
        <w:rPr/>
        <w:t>assets.</w:t>
      </w:r>
      <w:r>
        <w:rPr>
          <w:spacing w:val="21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end</w:t>
      </w:r>
      <w:r>
        <w:rPr>
          <w:spacing w:val="-3"/>
        </w:rPr>
        <w:t> </w:t>
      </w:r>
      <w:r>
        <w:rPr/>
        <w:t>of 2025,</w:t>
      </w:r>
      <w:r>
        <w:rPr>
          <w:spacing w:val="-14"/>
        </w:rPr>
        <w:t> </w:t>
      </w:r>
      <w:r>
        <w:rPr/>
        <w:t>current</w:t>
      </w:r>
      <w:r>
        <w:rPr>
          <w:spacing w:val="-14"/>
        </w:rPr>
        <w:t> </w:t>
      </w:r>
      <w:r>
        <w:rPr/>
        <w:t>assets</w:t>
      </w:r>
      <w:r>
        <w:rPr>
          <w:spacing w:val="-14"/>
        </w:rPr>
        <w:t> </w:t>
      </w:r>
      <w:r>
        <w:rPr/>
        <w:t>were</w:t>
      </w:r>
      <w:r>
        <w:rPr>
          <w:spacing w:val="-13"/>
        </w:rPr>
        <w:t> </w:t>
      </w:r>
      <w:r>
        <w:rPr/>
        <w:t>$3.584</w:t>
      </w:r>
      <w:r>
        <w:rPr>
          <w:spacing w:val="-14"/>
        </w:rPr>
        <w:t> </w:t>
      </w:r>
      <w:r>
        <w:rPr/>
        <w:t>billion</w:t>
      </w:r>
      <w:r>
        <w:rPr>
          <w:spacing w:val="-14"/>
        </w:rPr>
        <w:t> </w:t>
      </w:r>
      <w:r>
        <w:rPr/>
        <w:t>while</w:t>
      </w:r>
      <w:r>
        <w:rPr>
          <w:spacing w:val="-14"/>
        </w:rPr>
        <w:t> </w:t>
      </w:r>
      <w:r>
        <w:rPr/>
        <w:t>current</w:t>
      </w:r>
      <w:r>
        <w:rPr>
          <w:spacing w:val="-13"/>
        </w:rPr>
        <w:t> </w:t>
      </w:r>
      <w:r>
        <w:rPr/>
        <w:t>liabilities</w:t>
      </w:r>
      <w:r>
        <w:rPr>
          <w:spacing w:val="-14"/>
        </w:rPr>
        <w:t> </w:t>
      </w:r>
      <w:r>
        <w:rPr/>
        <w:t>were</w:t>
      </w:r>
      <w:r>
        <w:rPr>
          <w:spacing w:val="-14"/>
        </w:rPr>
        <w:t> </w:t>
      </w:r>
      <w:r>
        <w:rPr/>
        <w:t>$8.398</w:t>
      </w:r>
      <w:r>
        <w:rPr>
          <w:spacing w:val="-14"/>
        </w:rPr>
        <w:t> </w:t>
      </w:r>
      <w:r>
        <w:rPr/>
        <w:t>billion</w:t>
      </w:r>
      <w:r>
        <w:rPr>
          <w:spacing w:val="-13"/>
        </w:rPr>
        <w:t>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  <w:r>
        <w:rPr>
          <w:spacing w:val="-10"/>
        </w:rPr>
        <w:t> </w:t>
      </w:r>
      <w:r>
        <w:rPr/>
        <w:t>This</w:t>
      </w:r>
      <w:r>
        <w:rPr>
          <w:spacing w:val="-14"/>
        </w:rPr>
        <w:t> </w:t>
      </w:r>
      <w:r>
        <w:rPr/>
        <w:t>means</w:t>
      </w:r>
      <w:r>
        <w:rPr>
          <w:spacing w:val="-14"/>
        </w:rPr>
        <w:t> </w:t>
      </w:r>
      <w:r>
        <w:rPr/>
        <w:t>that Marriott</w:t>
      </w:r>
      <w:r>
        <w:rPr>
          <w:spacing w:val="-3"/>
        </w:rPr>
        <w:t> </w:t>
      </w:r>
      <w:r>
        <w:rPr/>
        <w:t>cannot</w:t>
      </w:r>
      <w:r>
        <w:rPr>
          <w:spacing w:val="-3"/>
        </w:rPr>
        <w:t> </w:t>
      </w:r>
      <w:r>
        <w:rPr/>
        <w:t>depend</w:t>
      </w:r>
      <w:r>
        <w:rPr>
          <w:spacing w:val="-3"/>
        </w:rPr>
        <w:t> </w:t>
      </w:r>
      <w:r>
        <w:rPr/>
        <w:t>only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current</w:t>
      </w:r>
      <w:r>
        <w:rPr>
          <w:spacing w:val="-3"/>
        </w:rPr>
        <w:t> </w:t>
      </w:r>
      <w:r>
        <w:rPr/>
        <w:t>assets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meet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short-term</w:t>
      </w:r>
      <w:r>
        <w:rPr>
          <w:spacing w:val="-3"/>
        </w:rPr>
        <w:t> </w:t>
      </w:r>
      <w:r>
        <w:rPr/>
        <w:t>liabilities;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depends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operating cash flow, credit facilities and capital-market access.</w:t>
      </w:r>
    </w:p>
    <w:p>
      <w:pPr>
        <w:pStyle w:val="BodyText"/>
        <w:spacing w:before="5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Recommended Working Capital Reforms" w:id="28"/>
      <w:bookmarkEnd w:id="28"/>
      <w:r>
        <w:rPr>
          <w:b w:val="0"/>
        </w:rPr>
      </w:r>
      <w:bookmarkStart w:name="_bookmark14" w:id="29"/>
      <w:bookmarkEnd w:id="29"/>
      <w:r>
        <w:rPr>
          <w:b w:val="0"/>
        </w:rPr>
      </w:r>
      <w:r>
        <w:rPr>
          <w:color w:val="0E2C59"/>
          <w:spacing w:val="-2"/>
        </w:rPr>
        <w:t>Recommended</w:t>
      </w:r>
      <w:r>
        <w:rPr>
          <w:color w:val="0E2C59"/>
          <w:spacing w:val="-1"/>
        </w:rPr>
        <w:t> </w:t>
      </w:r>
      <w:r>
        <w:rPr>
          <w:color w:val="0E2C59"/>
          <w:spacing w:val="-2"/>
        </w:rPr>
        <w:t>Working</w:t>
      </w:r>
      <w:r>
        <w:rPr>
          <w:color w:val="0E2C59"/>
          <w:spacing w:val="-1"/>
        </w:rPr>
        <w:t> </w:t>
      </w:r>
      <w:r>
        <w:rPr>
          <w:color w:val="0E2C59"/>
          <w:spacing w:val="-2"/>
        </w:rPr>
        <w:t>Capital</w:t>
      </w:r>
      <w:r>
        <w:rPr>
          <w:color w:val="0E2C59"/>
          <w:spacing w:val="-1"/>
        </w:rPr>
        <w:t> </w:t>
      </w:r>
      <w:r>
        <w:rPr>
          <w:color w:val="0E2C59"/>
          <w:spacing w:val="-2"/>
        </w:rPr>
        <w:t>Reforms</w:t>
      </w:r>
    </w:p>
    <w:p>
      <w:pPr>
        <w:pStyle w:val="ListParagraph"/>
        <w:numPr>
          <w:ilvl w:val="0"/>
          <w:numId w:val="5"/>
        </w:numPr>
        <w:tabs>
          <w:tab w:pos="470" w:val="left" w:leader="none"/>
        </w:tabs>
        <w:spacing w:line="256" w:lineRule="auto" w:before="161" w:after="0"/>
        <w:ind w:left="470" w:right="1298" w:hanging="273"/>
        <w:jc w:val="left"/>
        <w:rPr>
          <w:sz w:val="22"/>
        </w:rPr>
      </w:pPr>
      <w:r>
        <w:rPr>
          <w:b/>
          <w:sz w:val="22"/>
        </w:rPr>
        <w:t>Improve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receivables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collection.</w:t>
      </w:r>
      <w:r>
        <w:rPr>
          <w:b/>
          <w:spacing w:val="-1"/>
          <w:sz w:val="22"/>
        </w:rPr>
        <w:t> </w:t>
      </w:r>
      <w:r>
        <w:rPr>
          <w:sz w:val="22"/>
        </w:rPr>
        <w:t>Management</w:t>
      </w:r>
      <w:r>
        <w:rPr>
          <w:spacing w:val="-13"/>
          <w:sz w:val="22"/>
        </w:rPr>
        <w:t> </w:t>
      </w:r>
      <w:r>
        <w:rPr>
          <w:sz w:val="22"/>
        </w:rPr>
        <w:t>should</w:t>
      </w:r>
      <w:r>
        <w:rPr>
          <w:spacing w:val="-13"/>
          <w:sz w:val="22"/>
        </w:rPr>
        <w:t> </w:t>
      </w:r>
      <w:r>
        <w:rPr>
          <w:sz w:val="22"/>
        </w:rPr>
        <w:t>use</w:t>
      </w:r>
      <w:r>
        <w:rPr>
          <w:spacing w:val="-13"/>
          <w:sz w:val="22"/>
        </w:rPr>
        <w:t> </w:t>
      </w:r>
      <w:r>
        <w:rPr>
          <w:sz w:val="22"/>
        </w:rPr>
        <w:t>digital</w:t>
      </w:r>
      <w:r>
        <w:rPr>
          <w:spacing w:val="-13"/>
          <w:sz w:val="22"/>
        </w:rPr>
        <w:t> </w:t>
      </w:r>
      <w:r>
        <w:rPr>
          <w:sz w:val="22"/>
        </w:rPr>
        <w:t>invoicing,</w:t>
      </w:r>
      <w:r>
        <w:rPr>
          <w:spacing w:val="-13"/>
          <w:sz w:val="22"/>
        </w:rPr>
        <w:t> </w:t>
      </w:r>
      <w:r>
        <w:rPr>
          <w:sz w:val="22"/>
        </w:rPr>
        <w:t>automatic</w:t>
      </w:r>
      <w:r>
        <w:rPr>
          <w:spacing w:val="-13"/>
          <w:sz w:val="22"/>
        </w:rPr>
        <w:t> </w:t>
      </w:r>
      <w:r>
        <w:rPr>
          <w:sz w:val="22"/>
        </w:rPr>
        <w:t>payment</w:t>
      </w:r>
      <w:r>
        <w:rPr>
          <w:spacing w:val="-13"/>
          <w:sz w:val="22"/>
        </w:rPr>
        <w:t> </w:t>
      </w:r>
      <w:r>
        <w:rPr>
          <w:sz w:val="22"/>
        </w:rPr>
        <w:t>sys-tems and clear credit policies for corporate and group customers.</w:t>
      </w:r>
    </w:p>
    <w:p>
      <w:pPr>
        <w:pStyle w:val="ListParagraph"/>
        <w:numPr>
          <w:ilvl w:val="0"/>
          <w:numId w:val="5"/>
        </w:numPr>
        <w:tabs>
          <w:tab w:pos="470" w:val="left" w:leader="none"/>
        </w:tabs>
        <w:spacing w:line="256" w:lineRule="auto" w:before="136" w:after="0"/>
        <w:ind w:left="470" w:right="1298" w:hanging="273"/>
        <w:jc w:val="left"/>
        <w:rPr>
          <w:sz w:val="22"/>
        </w:rPr>
      </w:pPr>
      <w:r>
        <w:rPr>
          <w:b/>
          <w:sz w:val="22"/>
        </w:rPr>
        <w:t>Review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supplier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payment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terms.</w:t>
      </w:r>
      <w:r>
        <w:rPr>
          <w:b/>
          <w:spacing w:val="11"/>
          <w:sz w:val="22"/>
        </w:rPr>
        <w:t> </w:t>
      </w:r>
      <w:r>
        <w:rPr>
          <w:sz w:val="22"/>
        </w:rPr>
        <w:t>Marriott</w:t>
      </w:r>
      <w:r>
        <w:rPr>
          <w:spacing w:val="-7"/>
          <w:sz w:val="22"/>
        </w:rPr>
        <w:t> </w:t>
      </w:r>
      <w:r>
        <w:rPr>
          <w:sz w:val="22"/>
        </w:rPr>
        <w:t>should</w:t>
      </w:r>
      <w:r>
        <w:rPr>
          <w:spacing w:val="-7"/>
          <w:sz w:val="22"/>
        </w:rPr>
        <w:t> </w:t>
      </w:r>
      <w:r>
        <w:rPr>
          <w:sz w:val="22"/>
        </w:rPr>
        <w:t>negotiate</w:t>
      </w:r>
      <w:r>
        <w:rPr>
          <w:spacing w:val="-7"/>
          <w:sz w:val="22"/>
        </w:rPr>
        <w:t> </w:t>
      </w:r>
      <w:r>
        <w:rPr>
          <w:sz w:val="22"/>
        </w:rPr>
        <w:t>longer</w:t>
      </w:r>
      <w:r>
        <w:rPr>
          <w:spacing w:val="-7"/>
          <w:sz w:val="22"/>
        </w:rPr>
        <w:t> </w:t>
      </w:r>
      <w:r>
        <w:rPr>
          <w:sz w:val="22"/>
        </w:rPr>
        <w:t>payment</w:t>
      </w:r>
      <w:r>
        <w:rPr>
          <w:spacing w:val="-7"/>
          <w:sz w:val="22"/>
        </w:rPr>
        <w:t> </w:t>
      </w:r>
      <w:r>
        <w:rPr>
          <w:sz w:val="22"/>
        </w:rPr>
        <w:t>terms</w:t>
      </w:r>
      <w:r>
        <w:rPr>
          <w:spacing w:val="-7"/>
          <w:sz w:val="22"/>
        </w:rPr>
        <w:t> </w:t>
      </w:r>
      <w:r>
        <w:rPr>
          <w:sz w:val="22"/>
        </w:rPr>
        <w:t>where</w:t>
      </w:r>
      <w:r>
        <w:rPr>
          <w:spacing w:val="-7"/>
          <w:sz w:val="22"/>
        </w:rPr>
        <w:t> </w:t>
      </w:r>
      <w:r>
        <w:rPr>
          <w:sz w:val="22"/>
        </w:rPr>
        <w:t>commer-cially reasonable, without becoming excessive, since suppliers are important to service quality.</w:t>
      </w:r>
    </w:p>
    <w:p>
      <w:pPr>
        <w:pStyle w:val="ListParagraph"/>
        <w:numPr>
          <w:ilvl w:val="0"/>
          <w:numId w:val="5"/>
        </w:numPr>
        <w:tabs>
          <w:tab w:pos="470" w:val="left" w:leader="none"/>
        </w:tabs>
        <w:spacing w:line="256" w:lineRule="auto" w:before="136" w:after="0"/>
        <w:ind w:left="470" w:right="1298" w:hanging="273"/>
        <w:jc w:val="left"/>
        <w:rPr>
          <w:sz w:val="22"/>
        </w:rPr>
      </w:pPr>
      <w:r>
        <w:rPr>
          <w:b/>
          <w:sz w:val="22"/>
        </w:rPr>
        <w:t>Improve cash forecasting.</w:t>
      </w:r>
      <w:r>
        <w:rPr>
          <w:b/>
          <w:spacing w:val="36"/>
          <w:sz w:val="22"/>
        </w:rPr>
        <w:t> </w:t>
      </w:r>
      <w:r>
        <w:rPr>
          <w:sz w:val="22"/>
        </w:rPr>
        <w:t>A rolling 12-month cash forecast should be maintained for major cur-rencies and regions.</w:t>
      </w:r>
    </w:p>
    <w:p>
      <w:pPr>
        <w:pStyle w:val="ListParagraph"/>
        <w:numPr>
          <w:ilvl w:val="0"/>
          <w:numId w:val="5"/>
        </w:numPr>
        <w:tabs>
          <w:tab w:pos="470" w:val="left" w:leader="none"/>
        </w:tabs>
        <w:spacing w:line="256" w:lineRule="auto" w:before="136" w:after="0"/>
        <w:ind w:left="470" w:right="1298" w:hanging="273"/>
        <w:jc w:val="left"/>
        <w:rPr>
          <w:sz w:val="22"/>
        </w:rPr>
      </w:pPr>
      <w:r>
        <w:rPr>
          <w:b/>
          <w:sz w:val="22"/>
        </w:rPr>
        <w:t>Maintain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minimum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liquidity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reserve.</w:t>
      </w:r>
      <w:r>
        <w:rPr>
          <w:b/>
          <w:spacing w:val="12"/>
          <w:sz w:val="22"/>
        </w:rPr>
        <w:t> </w:t>
      </w:r>
      <w:r>
        <w:rPr>
          <w:sz w:val="22"/>
        </w:rPr>
        <w:t>Because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current</w:t>
      </w:r>
      <w:r>
        <w:rPr>
          <w:spacing w:val="-5"/>
          <w:sz w:val="22"/>
        </w:rPr>
        <w:t> </w:t>
      </w:r>
      <w:r>
        <w:rPr>
          <w:sz w:val="22"/>
        </w:rPr>
        <w:t>ratio</w:t>
      </w:r>
      <w:r>
        <w:rPr>
          <w:spacing w:val="-5"/>
          <w:sz w:val="22"/>
        </w:rPr>
        <w:t> </w:t>
      </w:r>
      <w:r>
        <w:rPr>
          <w:sz w:val="22"/>
        </w:rPr>
        <w:t>is</w:t>
      </w:r>
      <w:r>
        <w:rPr>
          <w:spacing w:val="-5"/>
          <w:sz w:val="22"/>
        </w:rPr>
        <w:t> </w:t>
      </w:r>
      <w:r>
        <w:rPr>
          <w:sz w:val="22"/>
        </w:rPr>
        <w:t>below</w:t>
      </w:r>
      <w:r>
        <w:rPr>
          <w:spacing w:val="-5"/>
          <w:sz w:val="22"/>
        </w:rPr>
        <w:t> </w:t>
      </w:r>
      <w:r>
        <w:rPr>
          <w:sz w:val="22"/>
        </w:rPr>
        <w:t>1,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company</w:t>
      </w:r>
      <w:r>
        <w:rPr>
          <w:spacing w:val="-5"/>
          <w:sz w:val="22"/>
        </w:rPr>
        <w:t> </w:t>
      </w:r>
      <w:r>
        <w:rPr>
          <w:sz w:val="22"/>
        </w:rPr>
        <w:t>should avoid allowing cash balances to fall too low.</w:t>
      </w:r>
    </w:p>
    <w:p>
      <w:pPr>
        <w:pStyle w:val="ListParagraph"/>
        <w:numPr>
          <w:ilvl w:val="0"/>
          <w:numId w:val="5"/>
        </w:numPr>
        <w:tabs>
          <w:tab w:pos="470" w:val="left" w:leader="none"/>
        </w:tabs>
        <w:spacing w:line="256" w:lineRule="auto" w:before="136" w:after="0"/>
        <w:ind w:left="470" w:right="1298" w:hanging="273"/>
        <w:jc w:val="left"/>
        <w:rPr>
          <w:sz w:val="22"/>
        </w:rPr>
      </w:pPr>
      <w:r>
        <w:rPr>
          <w:b/>
          <w:sz w:val="22"/>
        </w:rPr>
        <w:t>Link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distributions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free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cash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flow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leverage. </w:t>
      </w:r>
      <w:r>
        <w:rPr>
          <w:sz w:val="22"/>
        </w:rPr>
        <w:t>When</w:t>
      </w:r>
      <w:r>
        <w:rPr>
          <w:spacing w:val="-10"/>
          <w:sz w:val="22"/>
        </w:rPr>
        <w:t> </w:t>
      </w:r>
      <w:r>
        <w:rPr>
          <w:sz w:val="22"/>
        </w:rPr>
        <w:t>debt</w:t>
      </w:r>
      <w:r>
        <w:rPr>
          <w:spacing w:val="-10"/>
          <w:sz w:val="22"/>
        </w:rPr>
        <w:t> </w:t>
      </w:r>
      <w:r>
        <w:rPr>
          <w:sz w:val="22"/>
        </w:rPr>
        <w:t>increases</w:t>
      </w:r>
      <w:r>
        <w:rPr>
          <w:spacing w:val="-10"/>
          <w:sz w:val="22"/>
        </w:rPr>
        <w:t> </w:t>
      </w:r>
      <w:r>
        <w:rPr>
          <w:sz w:val="22"/>
        </w:rPr>
        <w:t>significantly,</w:t>
      </w:r>
      <w:r>
        <w:rPr>
          <w:spacing w:val="-9"/>
          <w:sz w:val="22"/>
        </w:rPr>
        <w:t> </w:t>
      </w:r>
      <w:r>
        <w:rPr>
          <w:sz w:val="22"/>
        </w:rPr>
        <w:t>share</w:t>
      </w:r>
      <w:r>
        <w:rPr>
          <w:spacing w:val="-10"/>
          <w:sz w:val="22"/>
        </w:rPr>
        <w:t> </w:t>
      </w:r>
      <w:r>
        <w:rPr>
          <w:sz w:val="22"/>
        </w:rPr>
        <w:t>repur-chases could be reduced temporarily.</w:t>
      </w:r>
    </w:p>
    <w:p>
      <w:pPr>
        <w:pStyle w:val="ListParagraph"/>
        <w:spacing w:after="0" w:line="256" w:lineRule="auto"/>
        <w:jc w:val="left"/>
        <w:rPr>
          <w:sz w:val="22"/>
        </w:rPr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137" w:after="0"/>
        <w:ind w:left="702" w:right="0" w:hanging="537"/>
        <w:jc w:val="left"/>
      </w:pPr>
      <w:bookmarkStart w:name="Short-Term versus Long-Term Financing" w:id="30"/>
      <w:bookmarkEnd w:id="30"/>
      <w:r>
        <w:rPr>
          <w:b w:val="0"/>
        </w:rPr>
      </w:r>
      <w:bookmarkStart w:name="_bookmark15" w:id="31"/>
      <w:bookmarkEnd w:id="31"/>
      <w:r>
        <w:rPr>
          <w:b w:val="0"/>
        </w:rPr>
      </w:r>
      <w:r>
        <w:rPr>
          <w:color w:val="0E2C59"/>
          <w:spacing w:val="-2"/>
        </w:rPr>
        <w:t>Short-Term</w:t>
      </w:r>
      <w:r>
        <w:rPr>
          <w:color w:val="0E2C59"/>
          <w:spacing w:val="-11"/>
        </w:rPr>
        <w:t> </w:t>
      </w:r>
      <w:r>
        <w:rPr>
          <w:color w:val="0E2C59"/>
          <w:spacing w:val="-2"/>
        </w:rPr>
        <w:t>versus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Long-Term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Financing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Short-term financing such as commercial paper and revolving credit facilities provides flexibility and can</w:t>
      </w:r>
      <w:r>
        <w:rPr>
          <w:spacing w:val="-10"/>
        </w:rPr>
        <w:t> </w:t>
      </w:r>
      <w:r>
        <w:rPr/>
        <w:t>be</w:t>
      </w:r>
      <w:r>
        <w:rPr>
          <w:spacing w:val="-11"/>
        </w:rPr>
        <w:t> </w:t>
      </w:r>
      <w:r>
        <w:rPr/>
        <w:t>useful</w:t>
      </w:r>
      <w:r>
        <w:rPr>
          <w:spacing w:val="-10"/>
        </w:rPr>
        <w:t> </w:t>
      </w:r>
      <w:r>
        <w:rPr/>
        <w:t>for</w:t>
      </w:r>
      <w:r>
        <w:rPr>
          <w:spacing w:val="-11"/>
        </w:rPr>
        <w:t> </w:t>
      </w:r>
      <w:r>
        <w:rPr/>
        <w:t>temporary</w:t>
      </w:r>
      <w:r>
        <w:rPr>
          <w:spacing w:val="-10"/>
        </w:rPr>
        <w:t> </w:t>
      </w:r>
      <w:r>
        <w:rPr/>
        <w:t>working</w:t>
      </w:r>
      <w:r>
        <w:rPr>
          <w:spacing w:val="-11"/>
        </w:rPr>
        <w:t> </w:t>
      </w:r>
      <w:r>
        <w:rPr/>
        <w:t>capital</w:t>
      </w:r>
      <w:r>
        <w:rPr>
          <w:spacing w:val="-10"/>
        </w:rPr>
        <w:t> </w:t>
      </w:r>
      <w:r>
        <w:rPr/>
        <w:t>needs;</w:t>
      </w:r>
      <w:r>
        <w:rPr>
          <w:spacing w:val="-10"/>
        </w:rPr>
        <w:t> </w:t>
      </w:r>
      <w:r>
        <w:rPr/>
        <w:t>however,</w:t>
      </w:r>
      <w:r>
        <w:rPr>
          <w:spacing w:val="-10"/>
        </w:rPr>
        <w:t> </w:t>
      </w:r>
      <w:r>
        <w:rPr/>
        <w:t>it</w:t>
      </w:r>
      <w:r>
        <w:rPr>
          <w:spacing w:val="-10"/>
        </w:rPr>
        <w:t> </w:t>
      </w:r>
      <w:r>
        <w:rPr/>
        <w:t>creates</w:t>
      </w:r>
      <w:r>
        <w:rPr>
          <w:spacing w:val="-11"/>
        </w:rPr>
        <w:t> </w:t>
      </w:r>
      <w:r>
        <w:rPr/>
        <w:t>refinancing</w:t>
      </w:r>
      <w:r>
        <w:rPr>
          <w:spacing w:val="-10"/>
        </w:rPr>
        <w:t> </w:t>
      </w:r>
      <w:r>
        <w:rPr/>
        <w:t>risk. Long-term</w:t>
      </w:r>
      <w:r>
        <w:rPr>
          <w:spacing w:val="-10"/>
        </w:rPr>
        <w:t> </w:t>
      </w:r>
      <w:r>
        <w:rPr/>
        <w:t>debt is</w:t>
      </w:r>
      <w:r>
        <w:rPr>
          <w:spacing w:val="-6"/>
        </w:rPr>
        <w:t> </w:t>
      </w:r>
      <w:r>
        <w:rPr/>
        <w:t>more</w:t>
      </w:r>
      <w:r>
        <w:rPr>
          <w:spacing w:val="-6"/>
        </w:rPr>
        <w:t> </w:t>
      </w:r>
      <w:r>
        <w:rPr/>
        <w:t>appropriate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long-term</w:t>
      </w:r>
      <w:r>
        <w:rPr>
          <w:spacing w:val="-6"/>
        </w:rPr>
        <w:t> </w:t>
      </w:r>
      <w:r>
        <w:rPr/>
        <w:t>investments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acquisitions</w:t>
      </w:r>
      <w:r>
        <w:rPr>
          <w:spacing w:val="-6"/>
        </w:rPr>
        <w:t> </w:t>
      </w:r>
      <w:r>
        <w:rPr/>
        <w:t>because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matches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financing</w:t>
      </w:r>
      <w:r>
        <w:rPr>
          <w:spacing w:val="-6"/>
        </w:rPr>
        <w:t> </w:t>
      </w:r>
      <w:r>
        <w:rPr/>
        <w:t>period with the expected benefits from the investment.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Marriott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$4.5</w:t>
      </w:r>
      <w:r>
        <w:rPr>
          <w:spacing w:val="-2"/>
        </w:rPr>
        <w:t> </w:t>
      </w:r>
      <w:r>
        <w:rPr/>
        <w:t>billion</w:t>
      </w:r>
      <w:r>
        <w:rPr>
          <w:spacing w:val="-2"/>
        </w:rPr>
        <w:t> </w:t>
      </w:r>
      <w:r>
        <w:rPr/>
        <w:t>revolving</w:t>
      </w:r>
      <w:r>
        <w:rPr>
          <w:spacing w:val="-2"/>
        </w:rPr>
        <w:t> </w:t>
      </w:r>
      <w:r>
        <w:rPr/>
        <w:t>credit</w:t>
      </w:r>
      <w:r>
        <w:rPr>
          <w:spacing w:val="-2"/>
        </w:rPr>
        <w:t> </w:t>
      </w:r>
      <w:r>
        <w:rPr/>
        <w:t>facility, which</w:t>
      </w:r>
      <w:r>
        <w:rPr>
          <w:spacing w:val="-2"/>
        </w:rPr>
        <w:t> </w:t>
      </w:r>
      <w:r>
        <w:rPr/>
        <w:t>provides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important</w:t>
      </w:r>
      <w:r>
        <w:rPr>
          <w:spacing w:val="-2"/>
        </w:rPr>
        <w:t> </w:t>
      </w:r>
      <w:r>
        <w:rPr/>
        <w:t>liquidity</w:t>
      </w:r>
      <w:r>
        <w:rPr>
          <w:spacing w:val="-2"/>
        </w:rPr>
        <w:t> </w:t>
      </w:r>
      <w:r>
        <w:rPr/>
        <w:t>back-up</w:t>
      </w:r>
      <w:r>
        <w:rPr>
          <w:spacing w:val="-2"/>
        </w:rPr>
        <w:t> </w:t>
      </w:r>
      <w:r>
        <w:rPr/>
        <w:t>and </w:t>
      </w:r>
      <w:r>
        <w:rPr>
          <w:spacing w:val="-2"/>
        </w:rPr>
        <w:t>expires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December</w:t>
      </w:r>
      <w:r>
        <w:rPr>
          <w:spacing w:val="-8"/>
        </w:rPr>
        <w:t> </w:t>
      </w:r>
      <w:r>
        <w:rPr>
          <w:spacing w:val="-2"/>
        </w:rPr>
        <w:t>2027</w:t>
      </w:r>
      <w:r>
        <w:rPr>
          <w:spacing w:val="-8"/>
        </w:rPr>
        <w:t> </w:t>
      </w:r>
      <w:hyperlink w:history="true" w:anchor="_bookmark38">
        <w:r>
          <w:rPr>
            <w:color w:val="0E2C59"/>
            <w:spacing w:val="-2"/>
          </w:rPr>
          <w:t>[1]</w:t>
        </w:r>
      </w:hyperlink>
      <w:r>
        <w:rPr>
          <w:spacing w:val="-2"/>
        </w:rPr>
        <w:t>.</w:t>
      </w:r>
      <w:r>
        <w:rPr>
          <w:spacing w:val="14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CFO,</w:t>
      </w:r>
      <w:r>
        <w:rPr>
          <w:spacing w:val="-8"/>
        </w:rPr>
        <w:t> </w:t>
      </w:r>
      <w:r>
        <w:rPr>
          <w:spacing w:val="-2"/>
        </w:rPr>
        <w:t>I</w:t>
      </w:r>
      <w:r>
        <w:rPr>
          <w:spacing w:val="-8"/>
        </w:rPr>
        <w:t> </w:t>
      </w:r>
      <w:r>
        <w:rPr>
          <w:spacing w:val="-2"/>
        </w:rPr>
        <w:t>would</w:t>
      </w:r>
      <w:r>
        <w:rPr>
          <w:spacing w:val="-8"/>
        </w:rPr>
        <w:t> </w:t>
      </w:r>
      <w:r>
        <w:rPr>
          <w:spacing w:val="-2"/>
        </w:rPr>
        <w:t>therefore</w:t>
      </w:r>
      <w:r>
        <w:rPr>
          <w:spacing w:val="-8"/>
        </w:rPr>
        <w:t> </w:t>
      </w:r>
      <w:r>
        <w:rPr>
          <w:spacing w:val="-2"/>
        </w:rPr>
        <w:t>recommend</w:t>
      </w:r>
      <w:r>
        <w:rPr>
          <w:spacing w:val="-8"/>
        </w:rPr>
        <w:t> </w:t>
      </w:r>
      <w:r>
        <w:rPr>
          <w:spacing w:val="-2"/>
        </w:rPr>
        <w:t>using</w:t>
      </w:r>
      <w:r>
        <w:rPr>
          <w:spacing w:val="-8"/>
        </w:rPr>
        <w:t> </w:t>
      </w:r>
      <w:r>
        <w:rPr>
          <w:spacing w:val="-2"/>
        </w:rPr>
        <w:t>short-term</w:t>
      </w:r>
      <w:r>
        <w:rPr>
          <w:spacing w:val="-8"/>
        </w:rPr>
        <w:t> </w:t>
      </w:r>
      <w:r>
        <w:rPr>
          <w:spacing w:val="-2"/>
        </w:rPr>
        <w:t>financing</w:t>
      </w:r>
      <w:r>
        <w:rPr>
          <w:spacing w:val="-8"/>
        </w:rPr>
        <w:t> </w:t>
      </w:r>
      <w:r>
        <w:rPr>
          <w:spacing w:val="-2"/>
        </w:rPr>
        <w:t>mainly </w:t>
      </w:r>
      <w:r>
        <w:rPr/>
        <w:t>for temporary cash-flow requirements and long-term fixed-rate debt for strategic investment.</w:t>
      </w:r>
      <w:r>
        <w:rPr>
          <w:spacing w:val="33"/>
        </w:rPr>
        <w:t> </w:t>
      </w:r>
      <w:r>
        <w:rPr/>
        <w:t>Marriott should avoid using short-term borrowing to finance permanent long-term requirements.</w:t>
      </w:r>
    </w:p>
    <w:p>
      <w:pPr>
        <w:pStyle w:val="BodyText"/>
        <w:spacing w:before="123"/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0" w:after="0"/>
        <w:ind w:left="595" w:right="0" w:hanging="430"/>
        <w:jc w:val="left"/>
      </w:pPr>
      <w:bookmarkStart w:name="Strategic Financial Restructuring Plan" w:id="32"/>
      <w:bookmarkEnd w:id="32"/>
      <w:r>
        <w:rPr>
          <w:b w:val="0"/>
        </w:rPr>
      </w:r>
      <w:bookmarkStart w:name="_bookmark16" w:id="33"/>
      <w:bookmarkEnd w:id="33"/>
      <w:r>
        <w:rPr>
          <w:b w:val="0"/>
        </w:rPr>
      </w:r>
      <w:r>
        <w:rPr>
          <w:color w:val="0E2C59"/>
        </w:rPr>
        <w:t>Strategic</w:t>
      </w:r>
      <w:r>
        <w:rPr>
          <w:color w:val="0E2C59"/>
          <w:spacing w:val="26"/>
        </w:rPr>
        <w:t> </w:t>
      </w:r>
      <w:r>
        <w:rPr>
          <w:color w:val="0E2C59"/>
        </w:rPr>
        <w:t>Financial</w:t>
      </w:r>
      <w:r>
        <w:rPr>
          <w:color w:val="0E2C59"/>
          <w:spacing w:val="27"/>
        </w:rPr>
        <w:t> </w:t>
      </w:r>
      <w:r>
        <w:rPr>
          <w:color w:val="0E2C59"/>
        </w:rPr>
        <w:t>Restructuring</w:t>
      </w:r>
      <w:r>
        <w:rPr>
          <w:color w:val="0E2C59"/>
          <w:spacing w:val="27"/>
        </w:rPr>
        <w:t> </w:t>
      </w:r>
      <w:r>
        <w:rPr>
          <w:color w:val="0E2C59"/>
          <w:spacing w:val="-4"/>
        </w:rPr>
        <w:t>Plan</w:t>
      </w: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264" w:after="0"/>
        <w:ind w:left="702" w:right="0" w:hanging="537"/>
        <w:jc w:val="left"/>
      </w:pPr>
      <w:bookmarkStart w:name="Financial Challenge" w:id="34"/>
      <w:bookmarkEnd w:id="34"/>
      <w:r>
        <w:rPr>
          <w:b w:val="0"/>
        </w:rPr>
      </w:r>
      <w:bookmarkStart w:name="_bookmark17" w:id="35"/>
      <w:bookmarkEnd w:id="35"/>
      <w:r>
        <w:rPr>
          <w:b w:val="0"/>
        </w:rPr>
      </w:r>
      <w:r>
        <w:rPr>
          <w:color w:val="0E2C59"/>
        </w:rPr>
        <w:t>Financial</w:t>
      </w:r>
      <w:r>
        <w:rPr>
          <w:color w:val="0E2C59"/>
          <w:spacing w:val="-11"/>
        </w:rPr>
        <w:t> </w:t>
      </w:r>
      <w:r>
        <w:rPr>
          <w:color w:val="0E2C59"/>
          <w:spacing w:val="-2"/>
        </w:rPr>
        <w:t>Challenge</w:t>
      </w:r>
    </w:p>
    <w:p>
      <w:pPr>
        <w:pStyle w:val="BodyText"/>
        <w:spacing w:line="256" w:lineRule="auto" w:before="161"/>
        <w:ind w:left="165" w:right="1296"/>
        <w:jc w:val="both"/>
      </w:pPr>
      <w:r>
        <w:rPr>
          <w:spacing w:val="-2"/>
        </w:rPr>
        <w:t>Marriott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profitable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generates</w:t>
      </w:r>
      <w:r>
        <w:rPr>
          <w:spacing w:val="-6"/>
        </w:rPr>
        <w:t> </w:t>
      </w:r>
      <w:r>
        <w:rPr>
          <w:spacing w:val="-2"/>
        </w:rPr>
        <w:t>strong</w:t>
      </w:r>
      <w:r>
        <w:rPr>
          <w:spacing w:val="-6"/>
        </w:rPr>
        <w:t> </w:t>
      </w:r>
      <w:r>
        <w:rPr>
          <w:spacing w:val="-2"/>
        </w:rPr>
        <w:t>operating</w:t>
      </w:r>
      <w:r>
        <w:rPr>
          <w:spacing w:val="-6"/>
        </w:rPr>
        <w:t> </w:t>
      </w:r>
      <w:r>
        <w:rPr>
          <w:spacing w:val="-2"/>
        </w:rPr>
        <w:t>cash</w:t>
      </w:r>
      <w:r>
        <w:rPr>
          <w:spacing w:val="-6"/>
        </w:rPr>
        <w:t> </w:t>
      </w:r>
      <w:r>
        <w:rPr>
          <w:spacing w:val="-2"/>
        </w:rPr>
        <w:t>flow,</w:t>
      </w:r>
      <w:r>
        <w:rPr>
          <w:spacing w:val="-5"/>
        </w:rPr>
        <w:t> </w:t>
      </w:r>
      <w:r>
        <w:rPr>
          <w:spacing w:val="-2"/>
        </w:rPr>
        <w:t>so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major</w:t>
      </w:r>
      <w:r>
        <w:rPr>
          <w:spacing w:val="-6"/>
        </w:rPr>
        <w:t> </w:t>
      </w:r>
      <w:r>
        <w:rPr>
          <w:spacing w:val="-2"/>
        </w:rPr>
        <w:t>emergency</w:t>
      </w:r>
      <w:r>
        <w:rPr>
          <w:spacing w:val="-6"/>
        </w:rPr>
        <w:t> </w:t>
      </w:r>
      <w:r>
        <w:rPr>
          <w:spacing w:val="-2"/>
        </w:rPr>
        <w:t>restructuring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not required.</w:t>
      </w:r>
      <w:r>
        <w:rPr>
          <w:spacing w:val="16"/>
        </w:rPr>
        <w:t> </w:t>
      </w:r>
      <w:r>
        <w:rPr>
          <w:spacing w:val="-2"/>
        </w:rPr>
        <w:t>Instead,</w:t>
      </w:r>
      <w:r>
        <w:rPr>
          <w:spacing w:val="-3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recommended</w:t>
      </w:r>
      <w:r>
        <w:rPr>
          <w:spacing w:val="-4"/>
        </w:rPr>
        <w:t> </w:t>
      </w:r>
      <w:r>
        <w:rPr>
          <w:spacing w:val="-2"/>
        </w:rPr>
        <w:t>strategy</w:t>
      </w:r>
      <w:r>
        <w:rPr>
          <w:spacing w:val="-4"/>
        </w:rPr>
        <w:t> </w:t>
      </w:r>
      <w:r>
        <w:rPr>
          <w:spacing w:val="-2"/>
        </w:rPr>
        <w:t>is</w:t>
      </w:r>
      <w:r>
        <w:rPr>
          <w:spacing w:val="-4"/>
        </w:rPr>
        <w:t> </w:t>
      </w: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controlled</w:t>
      </w:r>
      <w:r>
        <w:rPr>
          <w:spacing w:val="-4"/>
        </w:rPr>
        <w:t> </w:t>
      </w:r>
      <w:r>
        <w:rPr>
          <w:spacing w:val="-2"/>
        </w:rPr>
        <w:t>financial</w:t>
      </w:r>
      <w:r>
        <w:rPr>
          <w:spacing w:val="-4"/>
        </w:rPr>
        <w:t> </w:t>
      </w:r>
      <w:r>
        <w:rPr>
          <w:spacing w:val="-2"/>
        </w:rPr>
        <w:t>restructuring</w:t>
      </w:r>
      <w:r>
        <w:rPr>
          <w:spacing w:val="-4"/>
        </w:rPr>
        <w:t> </w:t>
      </w:r>
      <w:r>
        <w:rPr>
          <w:spacing w:val="-2"/>
        </w:rPr>
        <w:t>focused</w:t>
      </w:r>
      <w:r>
        <w:rPr>
          <w:spacing w:val="-4"/>
        </w:rPr>
        <w:t> </w:t>
      </w:r>
      <w:r>
        <w:rPr>
          <w:spacing w:val="-2"/>
        </w:rPr>
        <w:t>on</w:t>
      </w:r>
      <w:r>
        <w:rPr>
          <w:spacing w:val="-4"/>
        </w:rPr>
        <w:t> </w:t>
      </w:r>
      <w:r>
        <w:rPr>
          <w:spacing w:val="-2"/>
        </w:rPr>
        <w:t>improving </w:t>
      </w:r>
      <w:r>
        <w:rPr/>
        <w:t>the balance between debt, liquidity, investment and shareholder returns.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The</w:t>
      </w:r>
      <w:r>
        <w:rPr>
          <w:spacing w:val="-3"/>
        </w:rPr>
        <w:t> </w:t>
      </w:r>
      <w:r>
        <w:rPr/>
        <w:t>main</w:t>
      </w:r>
      <w:r>
        <w:rPr>
          <w:spacing w:val="-3"/>
        </w:rPr>
        <w:t> </w:t>
      </w:r>
      <w:r>
        <w:rPr/>
        <w:t>financial</w:t>
      </w:r>
      <w:r>
        <w:rPr>
          <w:spacing w:val="-3"/>
        </w:rPr>
        <w:t> </w:t>
      </w:r>
      <w:r>
        <w:rPr/>
        <w:t>concern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increasing</w:t>
      </w:r>
      <w:r>
        <w:rPr>
          <w:spacing w:val="-3"/>
        </w:rPr>
        <w:t> </w:t>
      </w:r>
      <w:r>
        <w:rPr/>
        <w:t>leverage</w:t>
      </w:r>
      <w:r>
        <w:rPr>
          <w:spacing w:val="-3"/>
        </w:rPr>
        <w:t> </w:t>
      </w:r>
      <w:r>
        <w:rPr/>
        <w:t>combined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current</w:t>
      </w:r>
      <w:r>
        <w:rPr>
          <w:spacing w:val="-3"/>
        </w:rPr>
        <w:t> </w:t>
      </w:r>
      <w:r>
        <w:rPr/>
        <w:t>ratio</w:t>
      </w:r>
      <w:r>
        <w:rPr>
          <w:spacing w:val="-3"/>
        </w:rPr>
        <w:t> </w:t>
      </w:r>
      <w:r>
        <w:rPr/>
        <w:t>below</w:t>
      </w:r>
      <w:r>
        <w:rPr>
          <w:spacing w:val="-3"/>
        </w:rPr>
        <w:t> </w:t>
      </w:r>
      <w:r>
        <w:rPr/>
        <w:t>0.5.</w:t>
      </w:r>
      <w:r>
        <w:rPr>
          <w:spacing w:val="19"/>
        </w:rPr>
        <w:t> </w:t>
      </w:r>
      <w:r>
        <w:rPr/>
        <w:t>Long-</w:t>
      </w:r>
      <w:r>
        <w:rPr/>
        <w:t>term debt was $14.995 billion at the end of 2025 and interest expense reached $809 million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Recommended Strategy" w:id="36"/>
      <w:bookmarkEnd w:id="36"/>
      <w:r>
        <w:rPr>
          <w:b w:val="0"/>
        </w:rPr>
      </w:r>
      <w:bookmarkStart w:name="_bookmark18" w:id="37"/>
      <w:bookmarkEnd w:id="37"/>
      <w:r>
        <w:rPr>
          <w:b w:val="0"/>
        </w:rPr>
      </w:r>
      <w:r>
        <w:rPr>
          <w:color w:val="0E2C59"/>
          <w:spacing w:val="-2"/>
        </w:rPr>
        <w:t>Recommended</w:t>
      </w:r>
      <w:r>
        <w:rPr>
          <w:color w:val="0E2C59"/>
          <w:spacing w:val="5"/>
        </w:rPr>
        <w:t> </w:t>
      </w:r>
      <w:r>
        <w:rPr>
          <w:color w:val="0E2C59"/>
          <w:spacing w:val="-2"/>
        </w:rPr>
        <w:t>Strategy</w:t>
      </w:r>
    </w:p>
    <w:p>
      <w:pPr>
        <w:pStyle w:val="ListParagraph"/>
        <w:numPr>
          <w:ilvl w:val="0"/>
          <w:numId w:val="6"/>
        </w:numPr>
        <w:tabs>
          <w:tab w:pos="429" w:val="left" w:leader="none"/>
        </w:tabs>
        <w:spacing w:line="256" w:lineRule="auto" w:before="161" w:after="0"/>
        <w:ind w:left="165" w:right="1296" w:firstLine="0"/>
        <w:jc w:val="both"/>
        <w:rPr>
          <w:sz w:val="22"/>
        </w:rPr>
      </w:pPr>
      <w:r>
        <w:rPr>
          <w:b/>
          <w:sz w:val="22"/>
        </w:rPr>
        <w:t>Debt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Management.</w:t>
      </w:r>
      <w:r>
        <w:rPr>
          <w:b/>
          <w:spacing w:val="-2"/>
          <w:sz w:val="22"/>
        </w:rPr>
        <w:t> </w:t>
      </w:r>
      <w:r>
        <w:rPr>
          <w:sz w:val="22"/>
        </w:rPr>
        <w:t>Marriott</w:t>
      </w:r>
      <w:r>
        <w:rPr>
          <w:spacing w:val="-13"/>
          <w:sz w:val="22"/>
        </w:rPr>
        <w:t> </w:t>
      </w:r>
      <w:r>
        <w:rPr>
          <w:sz w:val="22"/>
        </w:rPr>
        <w:t>should</w:t>
      </w:r>
      <w:r>
        <w:rPr>
          <w:spacing w:val="-13"/>
          <w:sz w:val="22"/>
        </w:rPr>
        <w:t> </w:t>
      </w:r>
      <w:r>
        <w:rPr>
          <w:sz w:val="22"/>
        </w:rPr>
        <w:t>prioritise</w:t>
      </w:r>
      <w:r>
        <w:rPr>
          <w:spacing w:val="-13"/>
          <w:sz w:val="22"/>
        </w:rPr>
        <w:t> </w:t>
      </w:r>
      <w:r>
        <w:rPr>
          <w:sz w:val="22"/>
        </w:rPr>
        <w:t>refinancing</w:t>
      </w:r>
      <w:r>
        <w:rPr>
          <w:spacing w:val="-13"/>
          <w:sz w:val="22"/>
        </w:rPr>
        <w:t> </w:t>
      </w:r>
      <w:r>
        <w:rPr>
          <w:sz w:val="22"/>
        </w:rPr>
        <w:t>debt</w:t>
      </w:r>
      <w:r>
        <w:rPr>
          <w:spacing w:val="-13"/>
          <w:sz w:val="22"/>
        </w:rPr>
        <w:t> </w:t>
      </w:r>
      <w:r>
        <w:rPr>
          <w:sz w:val="22"/>
        </w:rPr>
        <w:t>before</w:t>
      </w:r>
      <w:r>
        <w:rPr>
          <w:spacing w:val="-13"/>
          <w:sz w:val="22"/>
        </w:rPr>
        <w:t> </w:t>
      </w:r>
      <w:r>
        <w:rPr>
          <w:sz w:val="22"/>
        </w:rPr>
        <w:t>maturity</w:t>
      </w:r>
      <w:r>
        <w:rPr>
          <w:spacing w:val="-13"/>
          <w:sz w:val="22"/>
        </w:rPr>
        <w:t> </w:t>
      </w:r>
      <w:r>
        <w:rPr>
          <w:sz w:val="22"/>
        </w:rPr>
        <w:t>where</w:t>
      </w:r>
      <w:r>
        <w:rPr>
          <w:spacing w:val="-13"/>
          <w:sz w:val="22"/>
        </w:rPr>
        <w:t> </w:t>
      </w:r>
      <w:r>
        <w:rPr>
          <w:sz w:val="22"/>
        </w:rPr>
        <w:t>market</w:t>
      </w:r>
      <w:r>
        <w:rPr>
          <w:spacing w:val="-13"/>
          <w:sz w:val="22"/>
        </w:rPr>
        <w:t> </w:t>
      </w:r>
      <w:r>
        <w:rPr>
          <w:sz w:val="22"/>
        </w:rPr>
        <w:t>condi-tions</w:t>
      </w:r>
      <w:r>
        <w:rPr>
          <w:spacing w:val="-3"/>
          <w:sz w:val="22"/>
        </w:rPr>
        <w:t> </w:t>
      </w:r>
      <w:r>
        <w:rPr>
          <w:sz w:val="22"/>
        </w:rPr>
        <w:t>are</w:t>
      </w:r>
      <w:r>
        <w:rPr>
          <w:spacing w:val="-3"/>
          <w:sz w:val="22"/>
        </w:rPr>
        <w:t> </w:t>
      </w:r>
      <w:r>
        <w:rPr>
          <w:sz w:val="22"/>
        </w:rPr>
        <w:t>favourable.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greater</w:t>
      </w:r>
      <w:r>
        <w:rPr>
          <w:spacing w:val="-3"/>
          <w:sz w:val="22"/>
        </w:rPr>
        <w:t> </w:t>
      </w:r>
      <w:r>
        <w:rPr>
          <w:sz w:val="22"/>
        </w:rPr>
        <w:t>proportion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fixed-rate</w:t>
      </w:r>
      <w:r>
        <w:rPr>
          <w:spacing w:val="-3"/>
          <w:sz w:val="22"/>
        </w:rPr>
        <w:t> </w:t>
      </w:r>
      <w:r>
        <w:rPr>
          <w:sz w:val="22"/>
        </w:rPr>
        <w:t>debt</w:t>
      </w:r>
      <w:r>
        <w:rPr>
          <w:spacing w:val="-3"/>
          <w:sz w:val="22"/>
        </w:rPr>
        <w:t> </w:t>
      </w:r>
      <w:r>
        <w:rPr>
          <w:sz w:val="22"/>
        </w:rPr>
        <w:t>can</w:t>
      </w:r>
      <w:r>
        <w:rPr>
          <w:spacing w:val="-3"/>
          <w:sz w:val="22"/>
        </w:rPr>
        <w:t> </w:t>
      </w:r>
      <w:r>
        <w:rPr>
          <w:sz w:val="22"/>
        </w:rPr>
        <w:t>reduce</w:t>
      </w:r>
      <w:r>
        <w:rPr>
          <w:spacing w:val="-3"/>
          <w:sz w:val="22"/>
        </w:rPr>
        <w:t> </w:t>
      </w:r>
      <w:r>
        <w:rPr>
          <w:sz w:val="22"/>
        </w:rPr>
        <w:t>exposure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future</w:t>
      </w:r>
      <w:r>
        <w:rPr>
          <w:spacing w:val="-3"/>
          <w:sz w:val="22"/>
        </w:rPr>
        <w:t> </w:t>
      </w:r>
      <w:r>
        <w:rPr>
          <w:sz w:val="22"/>
        </w:rPr>
        <w:t>interest-rate increases.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13"/>
          <w:sz w:val="22"/>
        </w:rPr>
        <w:t> </w:t>
      </w:r>
      <w:r>
        <w:rPr>
          <w:sz w:val="22"/>
        </w:rPr>
        <w:t>company</w:t>
      </w:r>
      <w:r>
        <w:rPr>
          <w:spacing w:val="-12"/>
          <w:sz w:val="22"/>
        </w:rPr>
        <w:t> </w:t>
      </w:r>
      <w:r>
        <w:rPr>
          <w:sz w:val="22"/>
        </w:rPr>
        <w:t>should</w:t>
      </w:r>
      <w:r>
        <w:rPr>
          <w:spacing w:val="-12"/>
          <w:sz w:val="22"/>
        </w:rPr>
        <w:t> </w:t>
      </w:r>
      <w:r>
        <w:rPr>
          <w:sz w:val="22"/>
        </w:rPr>
        <w:t>also</w:t>
      </w:r>
      <w:r>
        <w:rPr>
          <w:spacing w:val="-13"/>
          <w:sz w:val="22"/>
        </w:rPr>
        <w:t> </w:t>
      </w:r>
      <w:r>
        <w:rPr>
          <w:sz w:val="22"/>
        </w:rPr>
        <w:t>maintain</w:t>
      </w:r>
      <w:r>
        <w:rPr>
          <w:spacing w:val="-12"/>
          <w:sz w:val="22"/>
        </w:rPr>
        <w:t> </w:t>
      </w:r>
      <w:r>
        <w:rPr>
          <w:sz w:val="22"/>
        </w:rPr>
        <w:t>its</w:t>
      </w:r>
      <w:r>
        <w:rPr>
          <w:spacing w:val="-12"/>
          <w:sz w:val="22"/>
        </w:rPr>
        <w:t> </w:t>
      </w:r>
      <w:r>
        <w:rPr>
          <w:sz w:val="22"/>
        </w:rPr>
        <w:t>leverage</w:t>
      </w:r>
      <w:r>
        <w:rPr>
          <w:spacing w:val="-13"/>
          <w:sz w:val="22"/>
        </w:rPr>
        <w:t> </w:t>
      </w:r>
      <w:r>
        <w:rPr>
          <w:sz w:val="22"/>
        </w:rPr>
        <w:t>covenant</w:t>
      </w:r>
      <w:r>
        <w:rPr>
          <w:spacing w:val="-12"/>
          <w:sz w:val="22"/>
        </w:rPr>
        <w:t> </w:t>
      </w:r>
      <w:r>
        <w:rPr>
          <w:sz w:val="22"/>
        </w:rPr>
        <w:t>headroom</w:t>
      </w:r>
      <w:r>
        <w:rPr>
          <w:spacing w:val="-12"/>
          <w:sz w:val="22"/>
        </w:rPr>
        <w:t> </w:t>
      </w:r>
      <w:r>
        <w:rPr>
          <w:sz w:val="22"/>
        </w:rPr>
        <w:t>—</w:t>
      </w:r>
      <w:r>
        <w:rPr>
          <w:spacing w:val="-12"/>
          <w:sz w:val="22"/>
        </w:rPr>
        <w:t> </w:t>
      </w:r>
      <w:r>
        <w:rPr>
          <w:sz w:val="22"/>
        </w:rPr>
        <w:t>Marriott’s</w:t>
      </w:r>
      <w:r>
        <w:rPr>
          <w:spacing w:val="-13"/>
          <w:sz w:val="22"/>
        </w:rPr>
        <w:t> </w:t>
      </w:r>
      <w:r>
        <w:rPr>
          <w:sz w:val="22"/>
        </w:rPr>
        <w:t>credit</w:t>
      </w:r>
      <w:r>
        <w:rPr>
          <w:spacing w:val="-12"/>
          <w:sz w:val="22"/>
        </w:rPr>
        <w:t> </w:t>
      </w:r>
      <w:r>
        <w:rPr>
          <w:sz w:val="22"/>
        </w:rPr>
        <w:t>facil-ity includes a maximum leverage covenant of 4.5 times Adjusted Total Debt to EBITDA </w:t>
      </w:r>
      <w:hyperlink w:history="true" w:anchor="_bookmark38">
        <w:r>
          <w:rPr>
            <w:color w:val="0E2C59"/>
            <w:sz w:val="22"/>
          </w:rPr>
          <w:t>[1]</w:t>
        </w:r>
      </w:hyperlink>
      <w:r>
        <w:rPr>
          <w:sz w:val="22"/>
        </w:rPr>
        <w:t>.</w:t>
      </w:r>
    </w:p>
    <w:p>
      <w:pPr>
        <w:pStyle w:val="ListParagraph"/>
        <w:numPr>
          <w:ilvl w:val="0"/>
          <w:numId w:val="6"/>
        </w:numPr>
        <w:tabs>
          <w:tab w:pos="438" w:val="left" w:leader="none"/>
        </w:tabs>
        <w:spacing w:line="256" w:lineRule="auto" w:before="137" w:after="0"/>
        <w:ind w:left="165" w:right="1296" w:firstLine="0"/>
        <w:jc w:val="both"/>
        <w:rPr>
          <w:sz w:val="22"/>
        </w:rPr>
      </w:pPr>
      <w:r>
        <w:rPr>
          <w:b/>
          <w:sz w:val="22"/>
        </w:rPr>
        <w:t>Controlled Share Repurchases.</w:t>
      </w:r>
      <w:r>
        <w:rPr>
          <w:b/>
          <w:spacing w:val="40"/>
          <w:sz w:val="22"/>
        </w:rPr>
        <w:t> </w:t>
      </w:r>
      <w:r>
        <w:rPr>
          <w:sz w:val="22"/>
        </w:rPr>
        <w:t>Marriott has historically returned substantial cash through </w:t>
      </w:r>
      <w:r>
        <w:rPr>
          <w:sz w:val="22"/>
        </w:rPr>
        <w:t>share repurchases.</w:t>
      </w:r>
      <w:r>
        <w:rPr>
          <w:spacing w:val="40"/>
          <w:sz w:val="22"/>
        </w:rPr>
        <w:t> </w:t>
      </w:r>
      <w:r>
        <w:rPr>
          <w:sz w:val="22"/>
        </w:rPr>
        <w:t>Although repurchases can increase EPS and shareholder value, they should not weaken liquidity.</w:t>
      </w:r>
      <w:r>
        <w:rPr>
          <w:spacing w:val="40"/>
          <w:sz w:val="22"/>
        </w:rPr>
        <w:t> </w:t>
      </w:r>
      <w:r>
        <w:rPr>
          <w:sz w:val="22"/>
        </w:rPr>
        <w:t>Repurchases should be linked to: (i) current liquidity; (ii) debt-to-EBITDA level; and (iii) expected investment requirements.</w:t>
      </w:r>
      <w:r>
        <w:rPr>
          <w:spacing w:val="36"/>
          <w:sz w:val="22"/>
        </w:rPr>
        <w:t> </w:t>
      </w:r>
      <w:r>
        <w:rPr>
          <w:sz w:val="22"/>
        </w:rPr>
        <w:t>If leverage rises significantly, repurchases should be reduced until cash generation improves.</w:t>
      </w:r>
    </w:p>
    <w:p>
      <w:pPr>
        <w:pStyle w:val="ListParagraph"/>
        <w:numPr>
          <w:ilvl w:val="0"/>
          <w:numId w:val="6"/>
        </w:numPr>
        <w:tabs>
          <w:tab w:pos="445" w:val="left" w:leader="none"/>
        </w:tabs>
        <w:spacing w:line="256" w:lineRule="auto" w:before="137" w:after="0"/>
        <w:ind w:left="165" w:right="1296" w:firstLine="0"/>
        <w:jc w:val="both"/>
        <w:rPr>
          <w:sz w:val="22"/>
        </w:rPr>
      </w:pPr>
      <w:r>
        <w:rPr>
          <w:b/>
          <w:sz w:val="22"/>
        </w:rPr>
        <w:t>Asset-Light Expansion.</w:t>
      </w:r>
      <w:r>
        <w:rPr>
          <w:b/>
          <w:spacing w:val="40"/>
          <w:sz w:val="22"/>
        </w:rPr>
        <w:t> </w:t>
      </w:r>
      <w:r>
        <w:rPr>
          <w:sz w:val="22"/>
        </w:rPr>
        <w:t>Marriott should continue its asset-light model.</w:t>
      </w:r>
      <w:r>
        <w:rPr>
          <w:spacing w:val="40"/>
          <w:sz w:val="22"/>
        </w:rPr>
        <w:t> </w:t>
      </w:r>
      <w:r>
        <w:rPr>
          <w:sz w:val="22"/>
        </w:rPr>
        <w:t>Franchising and manage-ment</w:t>
      </w:r>
      <w:r>
        <w:rPr>
          <w:spacing w:val="-12"/>
          <w:sz w:val="22"/>
        </w:rPr>
        <w:t> </w:t>
      </w:r>
      <w:r>
        <w:rPr>
          <w:sz w:val="22"/>
        </w:rPr>
        <w:t>agreements</w:t>
      </w:r>
      <w:r>
        <w:rPr>
          <w:spacing w:val="-12"/>
          <w:sz w:val="22"/>
        </w:rPr>
        <w:t> </w:t>
      </w:r>
      <w:r>
        <w:rPr>
          <w:sz w:val="22"/>
        </w:rPr>
        <w:t>allow</w:t>
      </w:r>
      <w:r>
        <w:rPr>
          <w:spacing w:val="-12"/>
          <w:sz w:val="22"/>
        </w:rPr>
        <w:t> </w:t>
      </w:r>
      <w:r>
        <w:rPr>
          <w:sz w:val="22"/>
        </w:rPr>
        <w:t>Marriott</w:t>
      </w:r>
      <w:r>
        <w:rPr>
          <w:spacing w:val="-12"/>
          <w:sz w:val="22"/>
        </w:rPr>
        <w:t> </w:t>
      </w:r>
      <w:r>
        <w:rPr>
          <w:sz w:val="22"/>
        </w:rPr>
        <w:t>to</w:t>
      </w:r>
      <w:r>
        <w:rPr>
          <w:spacing w:val="-12"/>
          <w:sz w:val="22"/>
        </w:rPr>
        <w:t> </w:t>
      </w:r>
      <w:r>
        <w:rPr>
          <w:sz w:val="22"/>
        </w:rPr>
        <w:t>expand</w:t>
      </w:r>
      <w:r>
        <w:rPr>
          <w:spacing w:val="-12"/>
          <w:sz w:val="22"/>
        </w:rPr>
        <w:t> </w:t>
      </w:r>
      <w:r>
        <w:rPr>
          <w:sz w:val="22"/>
        </w:rPr>
        <w:t>its</w:t>
      </w:r>
      <w:r>
        <w:rPr>
          <w:spacing w:val="-12"/>
          <w:sz w:val="22"/>
        </w:rPr>
        <w:t> </w:t>
      </w:r>
      <w:r>
        <w:rPr>
          <w:sz w:val="22"/>
        </w:rPr>
        <w:t>global</w:t>
      </w:r>
      <w:r>
        <w:rPr>
          <w:spacing w:val="-12"/>
          <w:sz w:val="22"/>
        </w:rPr>
        <w:t> </w:t>
      </w:r>
      <w:r>
        <w:rPr>
          <w:sz w:val="22"/>
        </w:rPr>
        <w:t>network</w:t>
      </w:r>
      <w:r>
        <w:rPr>
          <w:spacing w:val="-12"/>
          <w:sz w:val="22"/>
        </w:rPr>
        <w:t> </w:t>
      </w:r>
      <w:r>
        <w:rPr>
          <w:sz w:val="22"/>
        </w:rPr>
        <w:t>without</w:t>
      </w:r>
      <w:r>
        <w:rPr>
          <w:spacing w:val="-12"/>
          <w:sz w:val="22"/>
        </w:rPr>
        <w:t> </w:t>
      </w:r>
      <w:r>
        <w:rPr>
          <w:sz w:val="22"/>
        </w:rPr>
        <w:t>investing</w:t>
      </w:r>
      <w:r>
        <w:rPr>
          <w:spacing w:val="-12"/>
          <w:sz w:val="22"/>
        </w:rPr>
        <w:t> </w:t>
      </w:r>
      <w:r>
        <w:rPr>
          <w:sz w:val="22"/>
        </w:rPr>
        <w:t>large</w:t>
      </w:r>
      <w:r>
        <w:rPr>
          <w:spacing w:val="-12"/>
          <w:sz w:val="22"/>
        </w:rPr>
        <w:t> </w:t>
      </w:r>
      <w:r>
        <w:rPr>
          <w:sz w:val="22"/>
        </w:rPr>
        <w:t>amounts</w:t>
      </w:r>
      <w:r>
        <w:rPr>
          <w:spacing w:val="-12"/>
          <w:sz w:val="22"/>
        </w:rPr>
        <w:t> </w:t>
      </w:r>
      <w:r>
        <w:rPr>
          <w:sz w:val="22"/>
        </w:rPr>
        <w:t>of</w:t>
      </w:r>
      <w:r>
        <w:rPr>
          <w:spacing w:val="-12"/>
          <w:sz w:val="22"/>
        </w:rPr>
        <w:t> </w:t>
      </w:r>
      <w:r>
        <w:rPr>
          <w:sz w:val="22"/>
        </w:rPr>
        <w:t>capital in hotel ownership, supporting fee income and reducing direct property investment risk.</w:t>
      </w:r>
    </w:p>
    <w:p>
      <w:pPr>
        <w:pStyle w:val="ListParagraph"/>
        <w:numPr>
          <w:ilvl w:val="0"/>
          <w:numId w:val="6"/>
        </w:numPr>
        <w:tabs>
          <w:tab w:pos="419" w:val="left" w:leader="none"/>
        </w:tabs>
        <w:spacing w:line="256" w:lineRule="auto" w:before="136" w:after="0"/>
        <w:ind w:left="165" w:right="1296" w:firstLine="0"/>
        <w:jc w:val="both"/>
        <w:rPr>
          <w:sz w:val="22"/>
        </w:rPr>
      </w:pPr>
      <w:r>
        <w:rPr>
          <w:b/>
          <w:sz w:val="22"/>
        </w:rPr>
        <w:t>Selective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Acquisitions.</w:t>
      </w:r>
      <w:r>
        <w:rPr>
          <w:b/>
          <w:spacing w:val="-14"/>
          <w:sz w:val="22"/>
        </w:rPr>
        <w:t> </w:t>
      </w:r>
      <w:r>
        <w:rPr>
          <w:sz w:val="22"/>
        </w:rPr>
        <w:t>Marriott</w:t>
      </w:r>
      <w:r>
        <w:rPr>
          <w:spacing w:val="-14"/>
          <w:sz w:val="22"/>
        </w:rPr>
        <w:t> </w:t>
      </w:r>
      <w:r>
        <w:rPr>
          <w:sz w:val="22"/>
        </w:rPr>
        <w:t>should</w:t>
      </w:r>
      <w:r>
        <w:rPr>
          <w:spacing w:val="-13"/>
          <w:sz w:val="22"/>
        </w:rPr>
        <w:t> </w:t>
      </w:r>
      <w:r>
        <w:rPr>
          <w:sz w:val="22"/>
        </w:rPr>
        <w:t>continue</w:t>
      </w:r>
      <w:r>
        <w:rPr>
          <w:spacing w:val="-14"/>
          <w:sz w:val="22"/>
        </w:rPr>
        <w:t> </w:t>
      </w:r>
      <w:r>
        <w:rPr>
          <w:sz w:val="22"/>
        </w:rPr>
        <w:t>acquisitions</w:t>
      </w:r>
      <w:r>
        <w:rPr>
          <w:spacing w:val="-14"/>
          <w:sz w:val="22"/>
        </w:rPr>
        <w:t> </w:t>
      </w:r>
      <w:r>
        <w:rPr>
          <w:sz w:val="22"/>
        </w:rPr>
        <w:t>only</w:t>
      </w:r>
      <w:r>
        <w:rPr>
          <w:spacing w:val="-14"/>
          <w:sz w:val="22"/>
        </w:rPr>
        <w:t> </w:t>
      </w:r>
      <w:r>
        <w:rPr>
          <w:sz w:val="22"/>
        </w:rPr>
        <w:t>where</w:t>
      </w:r>
      <w:r>
        <w:rPr>
          <w:spacing w:val="-13"/>
          <w:sz w:val="22"/>
        </w:rPr>
        <w:t> </w:t>
      </w:r>
      <w:r>
        <w:rPr>
          <w:sz w:val="22"/>
        </w:rPr>
        <w:t>the</w:t>
      </w:r>
      <w:r>
        <w:rPr>
          <w:spacing w:val="-14"/>
          <w:sz w:val="22"/>
        </w:rPr>
        <w:t> </w:t>
      </w:r>
      <w:r>
        <w:rPr>
          <w:sz w:val="22"/>
        </w:rPr>
        <w:t>target</w:t>
      </w:r>
      <w:r>
        <w:rPr>
          <w:spacing w:val="-14"/>
          <w:sz w:val="22"/>
        </w:rPr>
        <w:t> </w:t>
      </w:r>
      <w:r>
        <w:rPr>
          <w:sz w:val="22"/>
        </w:rPr>
        <w:t>provides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strong strategic</w:t>
      </w:r>
      <w:r>
        <w:rPr>
          <w:spacing w:val="-2"/>
          <w:sz w:val="22"/>
        </w:rPr>
        <w:t> </w:t>
      </w:r>
      <w:r>
        <w:rPr>
          <w:sz w:val="22"/>
        </w:rPr>
        <w:t>fit.</w:t>
      </w:r>
      <w:r>
        <w:rPr>
          <w:spacing w:val="2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acquisition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citizenM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2025</w:t>
      </w:r>
      <w:r>
        <w:rPr>
          <w:spacing w:val="-2"/>
          <w:sz w:val="22"/>
        </w:rPr>
        <w:t> </w:t>
      </w:r>
      <w:r>
        <w:rPr>
          <w:sz w:val="22"/>
        </w:rPr>
        <w:t>demonstrates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company’s</w:t>
      </w:r>
      <w:r>
        <w:rPr>
          <w:spacing w:val="-2"/>
          <w:sz w:val="22"/>
        </w:rPr>
        <w:t> </w:t>
      </w:r>
      <w:r>
        <w:rPr>
          <w:sz w:val="22"/>
        </w:rPr>
        <w:t>interest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expanding</w:t>
      </w:r>
      <w:r>
        <w:rPr>
          <w:spacing w:val="-2"/>
          <w:sz w:val="22"/>
        </w:rPr>
        <w:t> </w:t>
      </w:r>
      <w:r>
        <w:rPr>
          <w:sz w:val="22"/>
        </w:rPr>
        <w:t>its lifestyle portfolio; Marriott should avoid acquisitions that create excessive debt or duplicate existing </w:t>
      </w:r>
      <w:r>
        <w:rPr>
          <w:spacing w:val="-2"/>
          <w:sz w:val="22"/>
        </w:rPr>
        <w:t>brands.</w:t>
      </w:r>
    </w:p>
    <w:p>
      <w:pPr>
        <w:pStyle w:val="BodyText"/>
        <w:spacing w:before="5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Impact on Shareholder Value" w:id="38"/>
      <w:bookmarkEnd w:id="38"/>
      <w:r>
        <w:rPr>
          <w:b w:val="0"/>
        </w:rPr>
      </w:r>
      <w:bookmarkStart w:name="_bookmark19" w:id="39"/>
      <w:bookmarkEnd w:id="39"/>
      <w:r>
        <w:rPr>
          <w:b w:val="0"/>
        </w:rPr>
      </w:r>
      <w:r>
        <w:rPr>
          <w:color w:val="0E2C59"/>
        </w:rPr>
        <w:t>Impact</w:t>
      </w:r>
      <w:r>
        <w:rPr>
          <w:color w:val="0E2C59"/>
          <w:spacing w:val="-11"/>
        </w:rPr>
        <w:t> </w:t>
      </w:r>
      <w:r>
        <w:rPr>
          <w:color w:val="0E2C59"/>
        </w:rPr>
        <w:t>on</w:t>
      </w:r>
      <w:r>
        <w:rPr>
          <w:color w:val="0E2C59"/>
          <w:spacing w:val="-10"/>
        </w:rPr>
        <w:t> </w:t>
      </w:r>
      <w:r>
        <w:rPr>
          <w:color w:val="0E2C59"/>
        </w:rPr>
        <w:t>Shareholder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Value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The proposed strategy should improve shareholder value in three ways:</w:t>
      </w:r>
      <w:r>
        <w:rPr>
          <w:spacing w:val="37"/>
        </w:rPr>
        <w:t> </w:t>
      </w:r>
      <w:r>
        <w:rPr/>
        <w:t>first, better liquidity reduces financial distress risk; second, controlled debt reduces interest-rate and refinancing risk; and third, </w:t>
      </w:r>
      <w:r>
        <w:rPr/>
        <w:t>se-</w:t>
      </w:r>
      <w:r>
        <w:rPr>
          <w:spacing w:val="-2"/>
        </w:rPr>
        <w:t>lective</w:t>
      </w:r>
      <w:r>
        <w:rPr>
          <w:spacing w:val="-9"/>
        </w:rPr>
        <w:t> </w:t>
      </w:r>
      <w:r>
        <w:rPr>
          <w:spacing w:val="-2"/>
        </w:rPr>
        <w:t>share</w:t>
      </w:r>
      <w:r>
        <w:rPr>
          <w:spacing w:val="-9"/>
        </w:rPr>
        <w:t> </w:t>
      </w:r>
      <w:r>
        <w:rPr>
          <w:spacing w:val="-2"/>
        </w:rPr>
        <w:t>repurchases</w:t>
      </w:r>
      <w:r>
        <w:rPr>
          <w:spacing w:val="-9"/>
        </w:rPr>
        <w:t> </w:t>
      </w:r>
      <w:r>
        <w:rPr>
          <w:spacing w:val="-2"/>
        </w:rPr>
        <w:t>can</w:t>
      </w:r>
      <w:r>
        <w:rPr>
          <w:spacing w:val="-9"/>
        </w:rPr>
        <w:t> </w:t>
      </w:r>
      <w:r>
        <w:rPr>
          <w:spacing w:val="-2"/>
        </w:rPr>
        <w:t>continue</w:t>
      </w:r>
      <w:r>
        <w:rPr>
          <w:spacing w:val="-9"/>
        </w:rPr>
        <w:t> </w:t>
      </w:r>
      <w:r>
        <w:rPr>
          <w:spacing w:val="-2"/>
        </w:rPr>
        <w:t>when</w:t>
      </w:r>
      <w:r>
        <w:rPr>
          <w:spacing w:val="-9"/>
        </w:rPr>
        <w:t> </w:t>
      </w:r>
      <w:r>
        <w:rPr>
          <w:spacing w:val="-2"/>
        </w:rPr>
        <w:t>excess</w:t>
      </w:r>
      <w:r>
        <w:rPr>
          <w:spacing w:val="-9"/>
        </w:rPr>
        <w:t> </w:t>
      </w:r>
      <w:r>
        <w:rPr>
          <w:spacing w:val="-2"/>
        </w:rPr>
        <w:t>cash</w:t>
      </w:r>
      <w:r>
        <w:rPr>
          <w:spacing w:val="-9"/>
        </w:rPr>
        <w:t> </w:t>
      </w:r>
      <w:r>
        <w:rPr>
          <w:spacing w:val="-2"/>
        </w:rPr>
        <w:t>is</w:t>
      </w:r>
      <w:r>
        <w:rPr>
          <w:spacing w:val="-9"/>
        </w:rPr>
        <w:t> </w:t>
      </w:r>
      <w:r>
        <w:rPr>
          <w:spacing w:val="-2"/>
        </w:rPr>
        <w:t>available.</w:t>
      </w:r>
      <w:r>
        <w:rPr>
          <w:spacing w:val="13"/>
        </w:rPr>
        <w:t> </w:t>
      </w:r>
      <w:r>
        <w:rPr>
          <w:spacing w:val="-2"/>
        </w:rPr>
        <w:t>However,</w:t>
      </w:r>
      <w:r>
        <w:rPr>
          <w:spacing w:val="-6"/>
        </w:rPr>
        <w:t> </w:t>
      </w:r>
      <w:r>
        <w:rPr>
          <w:spacing w:val="-2"/>
        </w:rPr>
        <w:t>shareholder</w:t>
      </w:r>
      <w:r>
        <w:rPr>
          <w:spacing w:val="-9"/>
        </w:rPr>
        <w:t> </w:t>
      </w:r>
      <w:r>
        <w:rPr>
          <w:spacing w:val="-2"/>
        </w:rPr>
        <w:t>value</w:t>
      </w:r>
      <w:r>
        <w:rPr>
          <w:spacing w:val="-9"/>
        </w:rPr>
        <w:t> </w:t>
      </w:r>
      <w:r>
        <w:rPr>
          <w:spacing w:val="-2"/>
        </w:rPr>
        <w:t>should </w:t>
      </w:r>
      <w:r>
        <w:rPr/>
        <w:t>not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measured</w:t>
      </w:r>
      <w:r>
        <w:rPr>
          <w:spacing w:val="-8"/>
        </w:rPr>
        <w:t> </w:t>
      </w:r>
      <w:r>
        <w:rPr/>
        <w:t>only</w:t>
      </w:r>
      <w:r>
        <w:rPr>
          <w:spacing w:val="-8"/>
        </w:rPr>
        <w:t> </w:t>
      </w:r>
      <w:r>
        <w:rPr/>
        <w:t>through</w:t>
      </w:r>
      <w:r>
        <w:rPr>
          <w:spacing w:val="-8"/>
        </w:rPr>
        <w:t> </w:t>
      </w:r>
      <w:r>
        <w:rPr/>
        <w:t>EPS,</w:t>
      </w:r>
      <w:r>
        <w:rPr>
          <w:spacing w:val="-8"/>
        </w:rPr>
        <w:t> </w:t>
      </w:r>
      <w:r>
        <w:rPr/>
        <w:t>since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company</w:t>
      </w:r>
      <w:r>
        <w:rPr>
          <w:spacing w:val="-8"/>
        </w:rPr>
        <w:t> </w:t>
      </w:r>
      <w:r>
        <w:rPr/>
        <w:t>can</w:t>
      </w:r>
      <w:r>
        <w:rPr>
          <w:spacing w:val="-8"/>
        </w:rPr>
        <w:t> </w:t>
      </w:r>
      <w:r>
        <w:rPr/>
        <w:t>increase</w:t>
      </w:r>
      <w:r>
        <w:rPr>
          <w:spacing w:val="-8"/>
        </w:rPr>
        <w:t> </w:t>
      </w:r>
      <w:r>
        <w:rPr/>
        <w:t>EPS</w:t>
      </w:r>
      <w:r>
        <w:rPr>
          <w:spacing w:val="-8"/>
        </w:rPr>
        <w:t> </w:t>
      </w:r>
      <w:r>
        <w:rPr/>
        <w:t>through</w:t>
      </w:r>
      <w:r>
        <w:rPr>
          <w:spacing w:val="-8"/>
        </w:rPr>
        <w:t> </w:t>
      </w:r>
      <w:r>
        <w:rPr/>
        <w:t>share</w:t>
      </w:r>
      <w:r>
        <w:rPr>
          <w:spacing w:val="-8"/>
        </w:rPr>
        <w:t> </w:t>
      </w:r>
      <w:r>
        <w:rPr/>
        <w:t>repurchases</w:t>
      </w:r>
      <w:r>
        <w:rPr>
          <w:spacing w:val="-8"/>
        </w:rPr>
        <w:t> </w:t>
      </w:r>
      <w:r>
        <w:rPr/>
        <w:t>while simultaneously</w:t>
      </w:r>
      <w:r>
        <w:rPr>
          <w:spacing w:val="-1"/>
        </w:rPr>
        <w:t> </w:t>
      </w:r>
      <w:r>
        <w:rPr/>
        <w:t>increasing</w:t>
      </w:r>
      <w:r>
        <w:rPr>
          <w:spacing w:val="-1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risk.</w:t>
      </w:r>
      <w:r>
        <w:rPr>
          <w:spacing w:val="27"/>
        </w:rPr>
        <w:t> </w:t>
      </w:r>
      <w:r>
        <w:rPr/>
        <w:t>Marriott</w:t>
      </w:r>
      <w:r>
        <w:rPr>
          <w:spacing w:val="-1"/>
        </w:rPr>
        <w:t> </w:t>
      </w:r>
      <w:r>
        <w:rPr/>
        <w:t>should</w:t>
      </w:r>
      <w:r>
        <w:rPr>
          <w:spacing w:val="-1"/>
        </w:rPr>
        <w:t> </w:t>
      </w:r>
      <w:r>
        <w:rPr/>
        <w:t>therefore</w:t>
      </w:r>
      <w:r>
        <w:rPr>
          <w:spacing w:val="-1"/>
        </w:rPr>
        <w:t> </w:t>
      </w:r>
      <w:r>
        <w:rPr/>
        <w:t>focus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sustainable</w:t>
      </w:r>
      <w:r>
        <w:rPr>
          <w:spacing w:val="-1"/>
        </w:rPr>
        <w:t> </w:t>
      </w:r>
      <w:r>
        <w:rPr/>
        <w:t>free</w:t>
      </w:r>
      <w:r>
        <w:rPr>
          <w:spacing w:val="-1"/>
        </w:rPr>
        <w:t> </w:t>
      </w:r>
      <w:r>
        <w:rPr/>
        <w:t>cash</w:t>
      </w:r>
      <w:r>
        <w:rPr>
          <w:spacing w:val="-1"/>
        </w:rPr>
        <w:t> </w:t>
      </w:r>
      <w:r>
        <w:rPr/>
        <w:t>flow and long-term value.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137" w:after="0"/>
        <w:ind w:left="702" w:right="0" w:hanging="537"/>
        <w:jc w:val="left"/>
      </w:pPr>
      <w:bookmarkStart w:name="International and Ethical Considerations" w:id="40"/>
      <w:bookmarkEnd w:id="40"/>
      <w:r>
        <w:rPr>
          <w:b w:val="0"/>
        </w:rPr>
      </w:r>
      <w:bookmarkStart w:name="_bookmark20" w:id="41"/>
      <w:bookmarkEnd w:id="41"/>
      <w:r>
        <w:rPr>
          <w:b w:val="0"/>
        </w:rPr>
      </w:r>
      <w:r>
        <w:rPr>
          <w:color w:val="0E2C59"/>
        </w:rPr>
        <w:t>International</w:t>
      </w:r>
      <w:r>
        <w:rPr>
          <w:color w:val="0E2C59"/>
          <w:spacing w:val="-11"/>
        </w:rPr>
        <w:t> </w:t>
      </w:r>
      <w:r>
        <w:rPr>
          <w:color w:val="0E2C59"/>
        </w:rPr>
        <w:t>and</w:t>
      </w:r>
      <w:r>
        <w:rPr>
          <w:color w:val="0E2C59"/>
          <w:spacing w:val="-11"/>
        </w:rPr>
        <w:t> </w:t>
      </w:r>
      <w:r>
        <w:rPr>
          <w:color w:val="0E2C59"/>
        </w:rPr>
        <w:t>Ethical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Considerations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Marriott operates across many countries and therefore faces currency risk.</w:t>
      </w:r>
      <w:r>
        <w:rPr>
          <w:spacing w:val="40"/>
        </w:rPr>
        <w:t> </w:t>
      </w:r>
      <w:r>
        <w:rPr/>
        <w:t>The company reports ex-posure to interest-rate and foreign-exchange risks and uses derivative instruments as part of its risk-management strategy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  <w:r>
        <w:rPr>
          <w:spacing w:val="40"/>
        </w:rPr>
        <w:t> </w:t>
      </w:r>
      <w:r>
        <w:rPr/>
        <w:t>Currency movements can change the value of international revenues and profits when converted into US dollars, so Marriott should continue using appropriate hedging strate-</w:t>
      </w:r>
      <w:r>
        <w:rPr>
          <w:spacing w:val="-2"/>
        </w:rPr>
        <w:t>gies.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Taxation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another</w:t>
      </w:r>
      <w:r>
        <w:rPr>
          <w:spacing w:val="-11"/>
        </w:rPr>
        <w:t> </w:t>
      </w:r>
      <w:r>
        <w:rPr/>
        <w:t>international</w:t>
      </w:r>
      <w:r>
        <w:rPr>
          <w:spacing w:val="-11"/>
        </w:rPr>
        <w:t> </w:t>
      </w:r>
      <w:r>
        <w:rPr/>
        <w:t>consideration. Marriott</w:t>
      </w:r>
      <w:r>
        <w:rPr>
          <w:spacing w:val="-11"/>
        </w:rPr>
        <w:t> </w:t>
      </w:r>
      <w:r>
        <w:rPr/>
        <w:t>should</w:t>
      </w:r>
      <w:r>
        <w:rPr>
          <w:spacing w:val="-11"/>
        </w:rPr>
        <w:t> </w:t>
      </w:r>
      <w:r>
        <w:rPr/>
        <w:t>follow</w:t>
      </w:r>
      <w:r>
        <w:rPr>
          <w:spacing w:val="-11"/>
        </w:rPr>
        <w:t> </w:t>
      </w:r>
      <w:r>
        <w:rPr/>
        <w:t>tax</w:t>
      </w:r>
      <w:r>
        <w:rPr>
          <w:spacing w:val="-11"/>
        </w:rPr>
        <w:t> </w:t>
      </w:r>
      <w:r>
        <w:rPr/>
        <w:t>laws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each</w:t>
      </w:r>
      <w:r>
        <w:rPr>
          <w:spacing w:val="-11"/>
        </w:rPr>
        <w:t> </w:t>
      </w:r>
      <w:r>
        <w:rPr/>
        <w:t>jurisdiction</w:t>
      </w:r>
      <w:r>
        <w:rPr>
          <w:spacing w:val="-11"/>
        </w:rPr>
        <w:t> </w:t>
      </w:r>
      <w:r>
        <w:rPr/>
        <w:t>and avoid</w:t>
      </w:r>
      <w:r>
        <w:rPr>
          <w:spacing w:val="-1"/>
        </w:rPr>
        <w:t> </w:t>
      </w:r>
      <w:r>
        <w:rPr/>
        <w:t>aggressive</w:t>
      </w:r>
      <w:r>
        <w:rPr>
          <w:spacing w:val="-1"/>
        </w:rPr>
        <w:t> </w:t>
      </w:r>
      <w:r>
        <w:rPr/>
        <w:t>tax</w:t>
      </w:r>
      <w:r>
        <w:rPr>
          <w:spacing w:val="-1"/>
        </w:rPr>
        <w:t> </w:t>
      </w:r>
      <w:r>
        <w:rPr/>
        <w:t>strategies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create</w:t>
      </w:r>
      <w:r>
        <w:rPr>
          <w:spacing w:val="-1"/>
        </w:rPr>
        <w:t> </w:t>
      </w:r>
      <w:r>
        <w:rPr/>
        <w:t>reputational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risks.</w:t>
      </w:r>
      <w:r>
        <w:rPr>
          <w:spacing w:val="28"/>
        </w:rPr>
        <w:t> </w:t>
      </w:r>
      <w:r>
        <w:rPr/>
        <w:t>Inflation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increase wages, energy costs, food costs and other operating expenses, so long-term contracts should include appropriate pricing and cost-adjustment mechanisms.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ESG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also</w:t>
      </w:r>
      <w:r>
        <w:rPr>
          <w:spacing w:val="-2"/>
        </w:rPr>
        <w:t> </w:t>
      </w:r>
      <w:r>
        <w:rPr/>
        <w:t>important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hospitality</w:t>
      </w:r>
      <w:r>
        <w:rPr>
          <w:spacing w:val="-2"/>
        </w:rPr>
        <w:t> </w:t>
      </w:r>
      <w:r>
        <w:rPr/>
        <w:t>industry.</w:t>
      </w:r>
      <w:r>
        <w:rPr>
          <w:spacing w:val="23"/>
        </w:rPr>
        <w:t> </w:t>
      </w:r>
      <w:r>
        <w:rPr/>
        <w:t>Marriott’s</w:t>
      </w:r>
      <w:r>
        <w:rPr>
          <w:spacing w:val="-2"/>
        </w:rPr>
        <w:t> </w:t>
      </w:r>
      <w:r>
        <w:rPr/>
        <w:t>Serve</w:t>
      </w:r>
      <w:r>
        <w:rPr>
          <w:spacing w:val="-2"/>
        </w:rPr>
        <w:t> </w:t>
      </w:r>
      <w:r>
        <w:rPr/>
        <w:t>360</w:t>
      </w:r>
      <w:r>
        <w:rPr>
          <w:spacing w:val="-2"/>
        </w:rPr>
        <w:t> </w:t>
      </w:r>
      <w:r>
        <w:rPr/>
        <w:t>programme</w:t>
      </w:r>
      <w:r>
        <w:rPr>
          <w:spacing w:val="-2"/>
        </w:rPr>
        <w:t> </w:t>
      </w:r>
      <w:r>
        <w:rPr/>
        <w:t>focuses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sustain-ability and social impact, and the company has published 2030 sustainability and social-impact goals covering</w:t>
      </w:r>
      <w:r>
        <w:rPr>
          <w:spacing w:val="-2"/>
        </w:rPr>
        <w:t> </w:t>
      </w:r>
      <w:r>
        <w:rPr/>
        <w:t>its</w:t>
      </w:r>
      <w:r>
        <w:rPr>
          <w:spacing w:val="-2"/>
        </w:rPr>
        <w:t> </w:t>
      </w:r>
      <w:r>
        <w:rPr/>
        <w:t>global</w:t>
      </w:r>
      <w:r>
        <w:rPr>
          <w:spacing w:val="-2"/>
        </w:rPr>
        <w:t> </w:t>
      </w:r>
      <w:r>
        <w:rPr/>
        <w:t>operations</w:t>
      </w:r>
      <w:r>
        <w:rPr>
          <w:spacing w:val="-2"/>
        </w:rPr>
        <w:t> </w:t>
      </w:r>
      <w:hyperlink w:history="true" w:anchor="_bookmark42">
        <w:r>
          <w:rPr>
            <w:color w:val="0E2C59"/>
          </w:rPr>
          <w:t>[7]</w:t>
        </w:r>
      </w:hyperlink>
      <w:r>
        <w:rPr/>
        <w:t>.</w:t>
      </w:r>
      <w:r>
        <w:rPr>
          <w:spacing w:val="22"/>
        </w:rPr>
        <w:t> </w:t>
      </w:r>
      <w:r>
        <w:rPr/>
        <w:t>Financial</w:t>
      </w:r>
      <w:r>
        <w:rPr>
          <w:spacing w:val="-2"/>
        </w:rPr>
        <w:t> </w:t>
      </w:r>
      <w:r>
        <w:rPr/>
        <w:t>restructuring</w:t>
      </w:r>
      <w:r>
        <w:rPr>
          <w:spacing w:val="-2"/>
        </w:rPr>
        <w:t> </w:t>
      </w:r>
      <w:r>
        <w:rPr/>
        <w:t>should</w:t>
      </w:r>
      <w:r>
        <w:rPr>
          <w:spacing w:val="-2"/>
        </w:rPr>
        <w:t> </w:t>
      </w:r>
      <w:r>
        <w:rPr/>
        <w:t>therefore</w:t>
      </w:r>
      <w:r>
        <w:rPr>
          <w:spacing w:val="-2"/>
        </w:rPr>
        <w:t> </w:t>
      </w:r>
      <w:r>
        <w:rPr/>
        <w:t>support, rather</w:t>
      </w:r>
      <w:r>
        <w:rPr>
          <w:spacing w:val="-2"/>
        </w:rPr>
        <w:t> </w:t>
      </w:r>
      <w:r>
        <w:rPr/>
        <w:t>than</w:t>
      </w:r>
      <w:r>
        <w:rPr>
          <w:spacing w:val="-2"/>
        </w:rPr>
        <w:t> </w:t>
      </w:r>
      <w:r>
        <w:rPr/>
        <w:t>reduce, Marriott’s sustainability commitments.</w:t>
      </w:r>
    </w:p>
    <w:p>
      <w:pPr>
        <w:pStyle w:val="BodyText"/>
        <w:spacing w:before="110"/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0" w:after="0"/>
        <w:ind w:left="595" w:right="0" w:hanging="430"/>
        <w:jc w:val="left"/>
      </w:pPr>
      <w:bookmarkStart w:name="Investment Appraisal and Capital Budgeti" w:id="42"/>
      <w:bookmarkEnd w:id="42"/>
      <w:r>
        <w:rPr>
          <w:b w:val="0"/>
        </w:rPr>
      </w:r>
      <w:bookmarkStart w:name="_bookmark21" w:id="43"/>
      <w:bookmarkEnd w:id="43"/>
      <w:r>
        <w:rPr>
          <w:b w:val="0"/>
        </w:rPr>
      </w:r>
      <w:r>
        <w:rPr>
          <w:color w:val="0E2C59"/>
        </w:rPr>
        <w:t>Investment</w:t>
      </w:r>
      <w:r>
        <w:rPr>
          <w:color w:val="0E2C59"/>
          <w:spacing w:val="14"/>
        </w:rPr>
        <w:t> </w:t>
      </w:r>
      <w:r>
        <w:rPr>
          <w:color w:val="0E2C59"/>
        </w:rPr>
        <w:t>Appraisal</w:t>
      </w:r>
      <w:r>
        <w:rPr>
          <w:color w:val="0E2C59"/>
          <w:spacing w:val="15"/>
        </w:rPr>
        <w:t> </w:t>
      </w:r>
      <w:r>
        <w:rPr>
          <w:color w:val="0E2C59"/>
        </w:rPr>
        <w:t>and</w:t>
      </w:r>
      <w:r>
        <w:rPr>
          <w:color w:val="0E2C59"/>
          <w:spacing w:val="14"/>
        </w:rPr>
        <w:t> </w:t>
      </w:r>
      <w:r>
        <w:rPr>
          <w:color w:val="0E2C59"/>
        </w:rPr>
        <w:t>Capital</w:t>
      </w:r>
      <w:r>
        <w:rPr>
          <w:color w:val="0E2C59"/>
          <w:spacing w:val="15"/>
        </w:rPr>
        <w:t> </w:t>
      </w:r>
      <w:r>
        <w:rPr>
          <w:color w:val="0E2C59"/>
          <w:spacing w:val="-2"/>
        </w:rPr>
        <w:t>Budgeting</w:t>
      </w: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264" w:after="0"/>
        <w:ind w:left="702" w:right="0" w:hanging="537"/>
        <w:jc w:val="left"/>
      </w:pPr>
      <w:bookmarkStart w:name="Proposed Projects" w:id="44"/>
      <w:bookmarkEnd w:id="44"/>
      <w:r>
        <w:rPr>
          <w:b w:val="0"/>
        </w:rPr>
      </w:r>
      <w:bookmarkStart w:name="_bookmark22" w:id="45"/>
      <w:bookmarkEnd w:id="45"/>
      <w:r>
        <w:rPr>
          <w:b w:val="0"/>
        </w:rPr>
      </w:r>
      <w:r>
        <w:rPr>
          <w:color w:val="0E2C59"/>
          <w:spacing w:val="-2"/>
        </w:rPr>
        <w:t>Proposed</w:t>
      </w:r>
      <w:r>
        <w:rPr>
          <w:color w:val="0E2C59"/>
        </w:rPr>
        <w:t> </w:t>
      </w:r>
      <w:r>
        <w:rPr>
          <w:color w:val="0E2C59"/>
          <w:spacing w:val="-2"/>
        </w:rPr>
        <w:t>Projects</w:t>
      </w:r>
    </w:p>
    <w:p>
      <w:pPr>
        <w:pStyle w:val="BodyText"/>
        <w:spacing w:before="161"/>
        <w:ind w:left="165"/>
        <w:jc w:val="both"/>
      </w:pPr>
      <w:r>
        <w:rPr/>
        <w:t>The</w:t>
      </w:r>
      <w:r>
        <w:rPr>
          <w:spacing w:val="-8"/>
        </w:rPr>
        <w:t> </w:t>
      </w:r>
      <w:r>
        <w:rPr/>
        <w:t>assessment</w:t>
      </w:r>
      <w:r>
        <w:rPr>
          <w:spacing w:val="-8"/>
        </w:rPr>
        <w:t> </w:t>
      </w:r>
      <w:r>
        <w:rPr/>
        <w:t>provides</w:t>
      </w:r>
      <w:r>
        <w:rPr>
          <w:spacing w:val="-8"/>
        </w:rPr>
        <w:t> </w:t>
      </w:r>
      <w:r>
        <w:rPr/>
        <w:t>three</w:t>
      </w:r>
      <w:r>
        <w:rPr>
          <w:spacing w:val="-8"/>
        </w:rPr>
        <w:t> </w:t>
      </w:r>
      <w:r>
        <w:rPr/>
        <w:t>projects,</w:t>
      </w:r>
      <w:r>
        <w:rPr>
          <w:spacing w:val="-8"/>
        </w:rPr>
        <w:t> </w:t>
      </w:r>
      <w:r>
        <w:rPr/>
        <w:t>each</w:t>
      </w:r>
      <w:r>
        <w:rPr>
          <w:spacing w:val="-8"/>
        </w:rPr>
        <w:t> </w:t>
      </w:r>
      <w:r>
        <w:rPr/>
        <w:t>requiring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initial</w:t>
      </w:r>
      <w:r>
        <w:rPr>
          <w:spacing w:val="-8"/>
        </w:rPr>
        <w:t> </w:t>
      </w:r>
      <w:r>
        <w:rPr/>
        <w:t>investment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£50</w:t>
      </w:r>
      <w:r>
        <w:rPr>
          <w:spacing w:val="-8"/>
        </w:rPr>
        <w:t> </w:t>
      </w:r>
      <w:r>
        <w:rPr>
          <w:spacing w:val="-2"/>
        </w:rPr>
        <w:t>million.</w:t>
      </w:r>
    </w:p>
    <w:p>
      <w:pPr>
        <w:pStyle w:val="BodyText"/>
        <w:spacing w:before="198"/>
        <w:ind w:left="2028"/>
      </w:pPr>
      <w:r>
        <w:rPr/>
        <w:t>Table</w:t>
      </w:r>
      <w:r>
        <w:rPr>
          <w:spacing w:val="-10"/>
        </w:rPr>
        <w:t> </w:t>
      </w:r>
      <w:r>
        <w:rPr/>
        <w:t>11: Proposed</w:t>
      </w:r>
      <w:r>
        <w:rPr>
          <w:spacing w:val="-9"/>
        </w:rPr>
        <w:t> </w:t>
      </w:r>
      <w:r>
        <w:rPr/>
        <w:t>Investment</w:t>
      </w:r>
      <w:r>
        <w:rPr>
          <w:spacing w:val="-10"/>
        </w:rPr>
        <w:t> </w:t>
      </w:r>
      <w:r>
        <w:rPr/>
        <w:t>Projects</w:t>
      </w:r>
      <w:r>
        <w:rPr>
          <w:spacing w:val="-10"/>
        </w:rPr>
        <w:t> </w:t>
      </w:r>
      <w:r>
        <w:rPr/>
        <w:t>—</w:t>
      </w:r>
      <w:r>
        <w:rPr>
          <w:spacing w:val="-10"/>
        </w:rPr>
        <w:t> </w:t>
      </w:r>
      <w:r>
        <w:rPr/>
        <w:t>Net</w:t>
      </w:r>
      <w:r>
        <w:rPr>
          <w:spacing w:val="-10"/>
        </w:rPr>
        <w:t> </w:t>
      </w:r>
      <w:r>
        <w:rPr/>
        <w:t>Cash</w:t>
      </w:r>
      <w:r>
        <w:rPr>
          <w:spacing w:val="-10"/>
        </w:rPr>
        <w:t> </w:t>
      </w:r>
      <w:r>
        <w:rPr>
          <w:spacing w:val="-2"/>
        </w:rPr>
        <w:t>Inflows</w:t>
      </w: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1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4"/>
        <w:gridCol w:w="1871"/>
        <w:gridCol w:w="839"/>
        <w:gridCol w:w="839"/>
        <w:gridCol w:w="839"/>
        <w:gridCol w:w="839"/>
        <w:gridCol w:w="839"/>
      </w:tblGrid>
      <w:tr>
        <w:trPr>
          <w:trHeight w:val="370" w:hRule="atLeast"/>
        </w:trPr>
        <w:tc>
          <w:tcPr>
            <w:tcW w:w="91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Project</w:t>
            </w:r>
          </w:p>
        </w:tc>
        <w:tc>
          <w:tcPr>
            <w:tcW w:w="187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Initial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investment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Year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1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101"/>
              <w:jc w:val="center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Year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100"/>
              <w:jc w:val="center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Year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00" w:right="100"/>
              <w:jc w:val="center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Year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4</w:t>
            </w:r>
          </w:p>
        </w:tc>
        <w:tc>
          <w:tcPr>
            <w:tcW w:w="8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9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Year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5</w:t>
            </w:r>
          </w:p>
        </w:tc>
      </w:tr>
      <w:tr>
        <w:trPr>
          <w:trHeight w:val="316" w:hRule="atLeast"/>
        </w:trPr>
        <w:tc>
          <w:tcPr>
            <w:tcW w:w="9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187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£10m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£12m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£14m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£10m</w:t>
            </w:r>
          </w:p>
        </w:tc>
        <w:tc>
          <w:tcPr>
            <w:tcW w:w="8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9"/>
              <w:rPr>
                <w:sz w:val="22"/>
              </w:rPr>
            </w:pPr>
            <w:r>
              <w:rPr>
                <w:spacing w:val="-5"/>
                <w:sz w:val="22"/>
              </w:rPr>
              <w:t>£8m</w:t>
            </w:r>
          </w:p>
        </w:tc>
      </w:tr>
      <w:tr>
        <w:trPr>
          <w:trHeight w:val="270" w:hRule="atLeast"/>
        </w:trPr>
        <w:tc>
          <w:tcPr>
            <w:tcW w:w="91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B</w:t>
            </w:r>
          </w:p>
        </w:tc>
        <w:tc>
          <w:tcPr>
            <w:tcW w:w="1871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  <w:tc>
          <w:tcPr>
            <w:tcW w:w="839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£11m</w:t>
            </w:r>
          </w:p>
        </w:tc>
        <w:tc>
          <w:tcPr>
            <w:tcW w:w="839" w:type="dxa"/>
          </w:tcPr>
          <w:p>
            <w:pPr>
              <w:pStyle w:val="TableParagraph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£11m</w:t>
            </w:r>
          </w:p>
        </w:tc>
        <w:tc>
          <w:tcPr>
            <w:tcW w:w="839" w:type="dxa"/>
          </w:tcPr>
          <w:p>
            <w:pPr>
              <w:pStyle w:val="TableParagraph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£11m</w:t>
            </w:r>
          </w:p>
        </w:tc>
        <w:tc>
          <w:tcPr>
            <w:tcW w:w="839" w:type="dxa"/>
          </w:tcPr>
          <w:p>
            <w:pPr>
              <w:pStyle w:val="TableParagraph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£11m</w:t>
            </w:r>
          </w:p>
        </w:tc>
        <w:tc>
          <w:tcPr>
            <w:tcW w:w="839" w:type="dxa"/>
          </w:tcPr>
          <w:p>
            <w:pPr>
              <w:pStyle w:val="TableParagraph"/>
              <w:ind w:right="119"/>
              <w:rPr>
                <w:sz w:val="22"/>
              </w:rPr>
            </w:pPr>
            <w:r>
              <w:rPr>
                <w:spacing w:val="-4"/>
                <w:sz w:val="22"/>
              </w:rPr>
              <w:t>£11m</w:t>
            </w:r>
          </w:p>
        </w:tc>
      </w:tr>
      <w:tr>
        <w:trPr>
          <w:trHeight w:val="324" w:hRule="atLeast"/>
        </w:trPr>
        <w:tc>
          <w:tcPr>
            <w:tcW w:w="9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  <w:tc>
          <w:tcPr>
            <w:tcW w:w="187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5"/>
                <w:sz w:val="22"/>
              </w:rPr>
              <w:t>£5m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£10m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£20m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01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£25m</w:t>
            </w:r>
          </w:p>
        </w:tc>
        <w:tc>
          <w:tcPr>
            <w:tcW w:w="8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9"/>
              <w:rPr>
                <w:sz w:val="22"/>
              </w:rPr>
            </w:pPr>
            <w:r>
              <w:rPr>
                <w:spacing w:val="-5"/>
                <w:sz w:val="22"/>
              </w:rPr>
              <w:t>£5m</w:t>
            </w:r>
          </w:p>
        </w:tc>
      </w:tr>
    </w:tbl>
    <w:p>
      <w:pPr>
        <w:pStyle w:val="BodyText"/>
        <w:spacing w:line="256" w:lineRule="auto" w:before="224"/>
        <w:ind w:left="165" w:right="129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519808">
                <wp:simplePos x="0" y="0"/>
                <wp:positionH relativeFrom="page">
                  <wp:posOffset>3113151</wp:posOffset>
                </wp:positionH>
                <wp:positionV relativeFrom="paragraph">
                  <wp:posOffset>725881</wp:posOffset>
                </wp:positionV>
                <wp:extent cx="41148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114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" h="0">
                              <a:moveTo>
                                <a:pt x="0" y="0"/>
                              </a:moveTo>
                              <a:lnTo>
                                <a:pt x="411213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796672" from="245.130005pt,57.155998pt" to="277.509005pt,57.155998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/>
        <w:t>The</w:t>
      </w:r>
      <w:r>
        <w:rPr>
          <w:spacing w:val="-11"/>
        </w:rPr>
        <w:t> </w:t>
      </w:r>
      <w:r>
        <w:rPr/>
        <w:t>discount</w:t>
      </w:r>
      <w:r>
        <w:rPr>
          <w:spacing w:val="-11"/>
        </w:rPr>
        <w:t> </w:t>
      </w:r>
      <w:r>
        <w:rPr/>
        <w:t>rate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8%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straight-line</w:t>
      </w:r>
      <w:r>
        <w:rPr>
          <w:spacing w:val="-11"/>
        </w:rPr>
        <w:t> </w:t>
      </w:r>
      <w:r>
        <w:rPr/>
        <w:t>depreciation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zero</w:t>
      </w:r>
      <w:r>
        <w:rPr>
          <w:spacing w:val="-11"/>
        </w:rPr>
        <w:t> </w:t>
      </w:r>
      <w:r>
        <w:rPr/>
        <w:t>is</w:t>
      </w:r>
      <w:r>
        <w:rPr>
          <w:spacing w:val="-11"/>
        </w:rPr>
        <w:t> </w:t>
      </w:r>
      <w:r>
        <w:rPr/>
        <w:t>assumed,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specified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assessment. Annual depreciation for each project is: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5"/>
        <w:rPr>
          <w:sz w:val="24"/>
        </w:r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Payback Period" w:id="46"/>
      <w:bookmarkEnd w:id="46"/>
      <w:r>
        <w:rPr>
          <w:b w:val="0"/>
        </w:rPr>
      </w:r>
      <w:bookmarkStart w:name="_bookmark23" w:id="47"/>
      <w:bookmarkEnd w:id="47"/>
      <w:r>
        <w:rPr>
          <w:b w:val="0"/>
        </w:rPr>
      </w:r>
      <w:r>
        <w:rPr>
          <w:color w:val="0E2C59"/>
        </w:rPr>
        <w:t>Payback</w:t>
      </w:r>
      <w:r>
        <w:rPr>
          <w:color w:val="0E2C59"/>
          <w:spacing w:val="-13"/>
        </w:rPr>
        <w:t> </w:t>
      </w:r>
      <w:r>
        <w:rPr>
          <w:color w:val="0E2C59"/>
          <w:spacing w:val="-2"/>
        </w:rPr>
        <w:t>Period</w:t>
      </w:r>
    </w:p>
    <w:p>
      <w:pPr>
        <w:spacing w:line="266" w:lineRule="auto" w:before="75"/>
        <w:ind w:left="165" w:right="0" w:firstLine="118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spacing w:val="-4"/>
          <w:w w:val="105"/>
          <w:sz w:val="22"/>
        </w:rPr>
        <w:t>50</w:t>
      </w:r>
      <w:r>
        <w:rPr>
          <w:rFonts w:ascii="Calibri"/>
          <w:i/>
          <w:spacing w:val="-4"/>
          <w:w w:val="105"/>
          <w:sz w:val="22"/>
        </w:rPr>
        <w:t>m </w:t>
      </w:r>
      <w:r>
        <w:rPr>
          <w:rFonts w:ascii="Calibri"/>
          <w:spacing w:val="-2"/>
          <w:w w:val="105"/>
          <w:sz w:val="22"/>
        </w:rPr>
        <w:t>5</w:t>
      </w:r>
      <w:r>
        <w:rPr>
          <w:rFonts w:ascii="Calibri"/>
          <w:i/>
          <w:spacing w:val="-2"/>
          <w:w w:val="105"/>
          <w:sz w:val="22"/>
        </w:rPr>
        <w:t>years</w:t>
      </w:r>
    </w:p>
    <w:p>
      <w:pPr>
        <w:spacing w:before="223"/>
        <w:ind w:left="44" w:right="0" w:firstLine="0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w w:val="130"/>
          <w:sz w:val="22"/>
        </w:rPr>
        <w:t>=</w:t>
      </w:r>
      <w:r>
        <w:rPr>
          <w:rFonts w:ascii="Calibri"/>
          <w:spacing w:val="22"/>
          <w:w w:val="130"/>
          <w:sz w:val="22"/>
        </w:rPr>
        <w:t> </w:t>
      </w:r>
      <w:r>
        <w:rPr>
          <w:rFonts w:ascii="Calibri"/>
          <w:spacing w:val="-2"/>
          <w:w w:val="120"/>
          <w:sz w:val="22"/>
        </w:rPr>
        <w:t>10</w:t>
      </w:r>
      <w:r>
        <w:rPr>
          <w:rFonts w:ascii="Calibri"/>
          <w:i/>
          <w:spacing w:val="-2"/>
          <w:w w:val="120"/>
          <w:sz w:val="22"/>
        </w:rPr>
        <w:t>mperyear</w:t>
      </w:r>
    </w:p>
    <w:p>
      <w:pPr>
        <w:spacing w:after="0"/>
        <w:jc w:val="left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3" w:equalWidth="0">
            <w:col w:w="2350" w:space="1112"/>
            <w:col w:w="813" w:space="40"/>
            <w:col w:w="6179"/>
          </w:cols>
        </w:sectPr>
      </w:pPr>
    </w:p>
    <w:p>
      <w:pPr>
        <w:pStyle w:val="BodyText"/>
        <w:spacing w:line="242" w:lineRule="auto" w:before="161"/>
        <w:ind w:left="165" w:right="1258"/>
      </w:pPr>
      <w:r>
        <w:rPr>
          <w:b/>
          <w:spacing w:val="-2"/>
        </w:rPr>
        <w:t>Project</w:t>
      </w:r>
      <w:r>
        <w:rPr>
          <w:b/>
          <w:spacing w:val="-11"/>
        </w:rPr>
        <w:t> </w:t>
      </w:r>
      <w:r>
        <w:rPr>
          <w:b/>
          <w:spacing w:val="-2"/>
        </w:rPr>
        <w:t>A.</w:t>
      </w:r>
      <w:r>
        <w:rPr>
          <w:b/>
          <w:spacing w:val="-11"/>
        </w:rPr>
        <w:t> </w:t>
      </w:r>
      <w:r>
        <w:rPr>
          <w:spacing w:val="-2"/>
        </w:rPr>
        <w:t>Cumulative</w:t>
      </w:r>
      <w:r>
        <w:rPr>
          <w:spacing w:val="-11"/>
        </w:rPr>
        <w:t> </w:t>
      </w:r>
      <w:r>
        <w:rPr>
          <w:spacing w:val="-2"/>
        </w:rPr>
        <w:t>cash</w:t>
      </w:r>
      <w:r>
        <w:rPr>
          <w:spacing w:val="-11"/>
        </w:rPr>
        <w:t> </w:t>
      </w:r>
      <w:r>
        <w:rPr>
          <w:spacing w:val="-2"/>
        </w:rPr>
        <w:t>flows:</w:t>
      </w:r>
      <w:r>
        <w:rPr>
          <w:spacing w:val="4"/>
        </w:rPr>
        <w:t> </w:t>
      </w:r>
      <w:r>
        <w:rPr>
          <w:spacing w:val="-2"/>
        </w:rPr>
        <w:t>Year</w:t>
      </w:r>
      <w:r>
        <w:rPr>
          <w:spacing w:val="-11"/>
        </w:rPr>
        <w:t> </w:t>
      </w:r>
      <w:r>
        <w:rPr>
          <w:spacing w:val="-2"/>
        </w:rPr>
        <w:t>1</w:t>
      </w:r>
      <w:r>
        <w:rPr>
          <w:spacing w:val="-11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£10m;</w:t>
      </w:r>
      <w:r>
        <w:rPr>
          <w:spacing w:val="-9"/>
        </w:rPr>
        <w:t> </w:t>
      </w:r>
      <w:r>
        <w:rPr>
          <w:spacing w:val="-2"/>
        </w:rPr>
        <w:t>Year</w:t>
      </w:r>
      <w:r>
        <w:rPr>
          <w:spacing w:val="-11"/>
        </w:rPr>
        <w:t> </w:t>
      </w:r>
      <w:r>
        <w:rPr>
          <w:spacing w:val="-2"/>
        </w:rPr>
        <w:t>2</w:t>
      </w:r>
      <w:r>
        <w:rPr>
          <w:spacing w:val="-11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£22m;</w:t>
      </w:r>
      <w:r>
        <w:rPr>
          <w:spacing w:val="-9"/>
        </w:rPr>
        <w:t> </w:t>
      </w:r>
      <w:r>
        <w:rPr>
          <w:spacing w:val="-2"/>
        </w:rPr>
        <w:t>Year</w:t>
      </w:r>
      <w:r>
        <w:rPr>
          <w:spacing w:val="-11"/>
        </w:rPr>
        <w:t> </w:t>
      </w:r>
      <w:r>
        <w:rPr>
          <w:spacing w:val="-2"/>
        </w:rPr>
        <w:t>3</w:t>
      </w:r>
      <w:r>
        <w:rPr>
          <w:spacing w:val="-11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£36m;</w:t>
      </w:r>
      <w:r>
        <w:rPr>
          <w:spacing w:val="-9"/>
        </w:rPr>
        <w:t> </w:t>
      </w:r>
      <w:r>
        <w:rPr>
          <w:spacing w:val="-2"/>
        </w:rPr>
        <w:t>Year</w:t>
      </w:r>
      <w:r>
        <w:rPr>
          <w:spacing w:val="-11"/>
        </w:rPr>
        <w:t> </w:t>
      </w:r>
      <w:r>
        <w:rPr>
          <w:spacing w:val="-2"/>
        </w:rPr>
        <w:t>4</w:t>
      </w:r>
      <w:r>
        <w:rPr>
          <w:spacing w:val="-11"/>
        </w:rPr>
        <w:t> </w:t>
      </w:r>
      <w:r>
        <w:rPr>
          <w:spacing w:val="-2"/>
        </w:rPr>
        <w:t>=</w:t>
      </w:r>
      <w:r>
        <w:rPr>
          <w:spacing w:val="-11"/>
        </w:rPr>
        <w:t> </w:t>
      </w:r>
      <w:r>
        <w:rPr>
          <w:spacing w:val="-2"/>
        </w:rPr>
        <w:t>£46m;</w:t>
      </w:r>
      <w:r>
        <w:rPr>
          <w:spacing w:val="-9"/>
        </w:rPr>
        <w:t> </w:t>
      </w:r>
      <w:r>
        <w:rPr>
          <w:spacing w:val="-2"/>
        </w:rPr>
        <w:t>Year </w:t>
      </w:r>
      <w:r>
        <w:rPr/>
        <w:t>5</w:t>
      </w:r>
      <w:r>
        <w:rPr>
          <w:spacing w:val="-12"/>
        </w:rPr>
        <w:t> </w:t>
      </w:r>
      <w:r>
        <w:rPr/>
        <w:t>=</w:t>
      </w:r>
      <w:r>
        <w:rPr>
          <w:spacing w:val="-4"/>
        </w:rPr>
        <w:t> </w:t>
      </w:r>
      <w:r>
        <w:rPr/>
        <w:t>£54m.</w:t>
      </w:r>
      <w:r>
        <w:rPr>
          <w:spacing w:val="15"/>
        </w:rPr>
        <w:t> </w:t>
      </w:r>
      <w:r>
        <w:rPr/>
        <w:t>The</w:t>
      </w:r>
      <w:r>
        <w:rPr>
          <w:spacing w:val="-4"/>
        </w:rPr>
        <w:t> </w:t>
      </w:r>
      <w:r>
        <w:rPr/>
        <w:t>investment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recovered</w:t>
      </w:r>
      <w:r>
        <w:rPr>
          <w:spacing w:val="-5"/>
        </w:rPr>
        <w:t> </w:t>
      </w:r>
      <w:r>
        <w:rPr/>
        <w:t>during</w:t>
      </w:r>
      <w:r>
        <w:rPr>
          <w:spacing w:val="-4"/>
        </w:rPr>
        <w:t> </w:t>
      </w:r>
      <w:r>
        <w:rPr/>
        <w:t>Year</w:t>
      </w:r>
      <w:r>
        <w:rPr>
          <w:spacing w:val="-4"/>
        </w:rPr>
        <w:t> </w:t>
      </w:r>
      <w:r>
        <w:rPr/>
        <w:t>5.</w:t>
      </w:r>
      <w:r>
        <w:rPr>
          <w:spacing w:val="15"/>
        </w:rPr>
        <w:t> </w:t>
      </w:r>
      <w:r>
        <w:rPr/>
        <w:t>Remaining</w:t>
      </w:r>
      <w:r>
        <w:rPr>
          <w:spacing w:val="-4"/>
        </w:rPr>
        <w:t> </w:t>
      </w:r>
      <w:r>
        <w:rPr/>
        <w:t>amount</w:t>
      </w:r>
      <w:r>
        <w:rPr>
          <w:spacing w:val="-4"/>
        </w:rPr>
        <w:t> </w:t>
      </w:r>
      <w:r>
        <w:rPr/>
        <w:t>after</w:t>
      </w:r>
      <w:r>
        <w:rPr>
          <w:spacing w:val="-5"/>
        </w:rPr>
        <w:t> </w:t>
      </w:r>
      <w:r>
        <w:rPr/>
        <w:t>Year</w:t>
      </w:r>
      <w:r>
        <w:rPr>
          <w:spacing w:val="-4"/>
        </w:rPr>
        <w:t> </w:t>
      </w:r>
      <w:r>
        <w:rPr/>
        <w:t>4:</w:t>
      </w:r>
      <w:r>
        <w:rPr>
          <w:spacing w:val="11"/>
        </w:rPr>
        <w:t> </w:t>
      </w:r>
      <w:r>
        <w:rPr/>
        <w:t>£50m</w:t>
      </w:r>
      <w:r>
        <w:rPr>
          <w:spacing w:val="-4"/>
        </w:rPr>
        <w:t> </w:t>
      </w:r>
      <w:r>
        <w:rPr>
          <w:rFonts w:ascii="Verdana" w:hAnsi="Verdana"/>
          <w:i/>
        </w:rPr>
        <w:t>−</w:t>
      </w:r>
      <w:r>
        <w:rPr>
          <w:rFonts w:ascii="Verdana" w:hAnsi="Verdana"/>
          <w:i/>
          <w:spacing w:val="-19"/>
        </w:rPr>
        <w:t> </w:t>
      </w:r>
      <w:r>
        <w:rPr>
          <w:spacing w:val="-4"/>
        </w:rPr>
        <w:t>£46m</w:t>
      </w:r>
    </w:p>
    <w:p>
      <w:pPr>
        <w:pStyle w:val="BodyText"/>
        <w:spacing w:before="15"/>
        <w:ind w:left="165"/>
      </w:pPr>
      <w:r>
        <w:rPr/>
        <w:t>=</w:t>
      </w:r>
      <w:r>
        <w:rPr>
          <w:spacing w:val="-10"/>
        </w:rPr>
        <w:t> </w:t>
      </w:r>
      <w:r>
        <w:rPr/>
        <w:t>£4m.</w:t>
      </w:r>
      <w:r>
        <w:rPr>
          <w:spacing w:val="1"/>
        </w:rPr>
        <w:t> </w:t>
      </w:r>
      <w:r>
        <w:rPr/>
        <w:t>Year</w:t>
      </w:r>
      <w:r>
        <w:rPr>
          <w:spacing w:val="-9"/>
        </w:rPr>
        <w:t> </w:t>
      </w:r>
      <w:r>
        <w:rPr/>
        <w:t>5</w:t>
      </w:r>
      <w:r>
        <w:rPr>
          <w:spacing w:val="-10"/>
        </w:rPr>
        <w:t> </w:t>
      </w:r>
      <w:r>
        <w:rPr/>
        <w:t>cash</w:t>
      </w:r>
      <w:r>
        <w:rPr>
          <w:spacing w:val="-10"/>
        </w:rPr>
        <w:t> </w:t>
      </w:r>
      <w:r>
        <w:rPr/>
        <w:t>inflow</w:t>
      </w:r>
      <w:r>
        <w:rPr>
          <w:spacing w:val="-9"/>
        </w:rPr>
        <w:t> </w:t>
      </w:r>
      <w:r>
        <w:rPr/>
        <w:t>=</w:t>
      </w:r>
      <w:r>
        <w:rPr>
          <w:spacing w:val="-10"/>
        </w:rPr>
        <w:t> </w:t>
      </w:r>
      <w:r>
        <w:rPr>
          <w:spacing w:val="-4"/>
        </w:rPr>
        <w:t>£8m.</w:t>
      </w:r>
    </w:p>
    <w:p>
      <w:pPr>
        <w:pStyle w:val="BodyText"/>
        <w:spacing w:after="0"/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spacing w:line="208" w:lineRule="exact" w:before="47"/>
        <w:ind w:left="4664" w:right="0" w:firstLine="0"/>
        <w:jc w:val="left"/>
        <w:rPr>
          <w:rFonts w:ascii="Calibri"/>
          <w:i/>
          <w:sz w:val="22"/>
        </w:rPr>
      </w:pPr>
      <w:r>
        <w:rPr>
          <w:rFonts w:ascii="Calibri"/>
          <w:spacing w:val="-5"/>
          <w:w w:val="105"/>
          <w:sz w:val="22"/>
        </w:rPr>
        <w:t>4</w:t>
      </w:r>
      <w:r>
        <w:rPr>
          <w:rFonts w:ascii="Calibri"/>
          <w:i/>
          <w:spacing w:val="-5"/>
          <w:w w:val="105"/>
          <w:sz w:val="22"/>
        </w:rPr>
        <w:t>m</w:t>
      </w:r>
    </w:p>
    <w:p>
      <w:pPr>
        <w:spacing w:line="149" w:lineRule="exact" w:before="0"/>
        <w:ind w:left="3149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3771455</wp:posOffset>
                </wp:positionH>
                <wp:positionV relativeFrom="paragraph">
                  <wp:posOffset>60409</wp:posOffset>
                </wp:positionV>
                <wp:extent cx="191135" cy="127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191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135" h="0">
                              <a:moveTo>
                                <a:pt x="0" y="0"/>
                              </a:moveTo>
                              <a:lnTo>
                                <a:pt x="190919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296.964996pt,4.75662pt" to="311.997996pt,4.75662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w w:val="110"/>
          <w:sz w:val="22"/>
        </w:rPr>
        <w:t>Payback</w:t>
      </w:r>
      <w:r>
        <w:rPr>
          <w:rFonts w:ascii="Calibri"/>
          <w:i/>
          <w:spacing w:val="23"/>
          <w:w w:val="110"/>
          <w:sz w:val="22"/>
        </w:rPr>
        <w:t> </w:t>
      </w:r>
      <w:r>
        <w:rPr>
          <w:rFonts w:ascii="Calibri"/>
          <w:w w:val="110"/>
          <w:sz w:val="22"/>
        </w:rPr>
        <w:t>=</w:t>
      </w:r>
      <w:r>
        <w:rPr>
          <w:rFonts w:ascii="Calibri"/>
          <w:spacing w:val="16"/>
          <w:w w:val="110"/>
          <w:sz w:val="22"/>
        </w:rPr>
        <w:t> </w:t>
      </w:r>
      <w:r>
        <w:rPr>
          <w:rFonts w:ascii="Calibri"/>
          <w:w w:val="110"/>
          <w:sz w:val="22"/>
        </w:rPr>
        <w:t>4</w:t>
      </w:r>
      <w:r>
        <w:rPr>
          <w:rFonts w:ascii="Calibri"/>
          <w:spacing w:val="1"/>
          <w:w w:val="110"/>
          <w:sz w:val="22"/>
        </w:rPr>
        <w:t> </w:t>
      </w:r>
      <w:r>
        <w:rPr>
          <w:rFonts w:ascii="Calibri"/>
          <w:spacing w:val="-10"/>
          <w:w w:val="110"/>
          <w:sz w:val="22"/>
        </w:rPr>
        <w:t>+</w:t>
      </w:r>
    </w:p>
    <w:p>
      <w:pPr>
        <w:spacing w:line="209" w:lineRule="exact" w:before="0"/>
        <w:ind w:left="4664" w:right="0" w:firstLine="0"/>
        <w:jc w:val="left"/>
        <w:rPr>
          <w:rFonts w:ascii="Calibri"/>
          <w:i/>
          <w:sz w:val="22"/>
        </w:rPr>
      </w:pPr>
      <w:r>
        <w:rPr>
          <w:rFonts w:ascii="Calibri"/>
          <w:spacing w:val="-5"/>
          <w:w w:val="105"/>
          <w:sz w:val="22"/>
        </w:rPr>
        <w:t>8</w:t>
      </w:r>
      <w:r>
        <w:rPr>
          <w:rFonts w:ascii="Calibri"/>
          <w:i/>
          <w:spacing w:val="-5"/>
          <w:w w:val="105"/>
          <w:sz w:val="22"/>
        </w:rPr>
        <w:t>m</w:t>
      </w:r>
    </w:p>
    <w:p>
      <w:pPr>
        <w:spacing w:before="195"/>
        <w:ind w:left="44" w:right="0" w:firstLine="0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w w:val="130"/>
          <w:sz w:val="22"/>
        </w:rPr>
        <w:t>=</w:t>
      </w:r>
      <w:r>
        <w:rPr>
          <w:rFonts w:ascii="Calibri"/>
          <w:spacing w:val="22"/>
          <w:w w:val="130"/>
          <w:sz w:val="22"/>
        </w:rPr>
        <w:t> </w:t>
      </w:r>
      <w:r>
        <w:rPr>
          <w:rFonts w:ascii="Calibri"/>
          <w:spacing w:val="-2"/>
          <w:w w:val="125"/>
          <w:sz w:val="22"/>
        </w:rPr>
        <w:t>4</w:t>
      </w:r>
      <w:r>
        <w:rPr>
          <w:rFonts w:ascii="Calibri"/>
          <w:i/>
          <w:spacing w:val="-2"/>
          <w:w w:val="125"/>
          <w:sz w:val="22"/>
        </w:rPr>
        <w:t>.</w:t>
      </w:r>
      <w:r>
        <w:rPr>
          <w:rFonts w:ascii="Calibri"/>
          <w:spacing w:val="-2"/>
          <w:w w:val="125"/>
          <w:sz w:val="22"/>
        </w:rPr>
        <w:t>50</w:t>
      </w:r>
      <w:r>
        <w:rPr>
          <w:rFonts w:ascii="Calibri"/>
          <w:i/>
          <w:spacing w:val="-2"/>
          <w:w w:val="125"/>
          <w:sz w:val="22"/>
        </w:rPr>
        <w:t>years</w:t>
      </w:r>
    </w:p>
    <w:p>
      <w:pPr>
        <w:spacing w:after="0"/>
        <w:jc w:val="left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2" w:equalWidth="0">
            <w:col w:w="4965" w:space="40"/>
            <w:col w:w="5489"/>
          </w:cols>
        </w:sectPr>
      </w:pPr>
    </w:p>
    <w:p>
      <w:pPr>
        <w:pStyle w:val="BodyText"/>
        <w:spacing w:line="242" w:lineRule="auto" w:before="184"/>
        <w:ind w:left="164" w:right="1258"/>
      </w:pPr>
      <w:r>
        <w:rPr>
          <w:b/>
          <w:spacing w:val="-2"/>
        </w:rPr>
        <w:t>Project</w:t>
      </w:r>
      <w:r>
        <w:rPr>
          <w:b/>
          <w:spacing w:val="-10"/>
        </w:rPr>
        <w:t> </w:t>
      </w:r>
      <w:r>
        <w:rPr>
          <w:b/>
          <w:spacing w:val="-2"/>
        </w:rPr>
        <w:t>B.</w:t>
      </w:r>
      <w:r>
        <w:rPr>
          <w:b/>
          <w:spacing w:val="-10"/>
        </w:rPr>
        <w:t> </w:t>
      </w:r>
      <w:r>
        <w:rPr>
          <w:spacing w:val="-2"/>
        </w:rPr>
        <w:t>Cumulative</w:t>
      </w:r>
      <w:r>
        <w:rPr>
          <w:spacing w:val="-10"/>
        </w:rPr>
        <w:t> </w:t>
      </w:r>
      <w:r>
        <w:rPr>
          <w:spacing w:val="-2"/>
        </w:rPr>
        <w:t>cash</w:t>
      </w:r>
      <w:r>
        <w:rPr>
          <w:spacing w:val="-10"/>
        </w:rPr>
        <w:t> </w:t>
      </w:r>
      <w:r>
        <w:rPr>
          <w:spacing w:val="-2"/>
        </w:rPr>
        <w:t>flows:</w:t>
      </w:r>
      <w:r>
        <w:rPr>
          <w:spacing w:val="5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1</w:t>
      </w:r>
      <w:r>
        <w:rPr>
          <w:spacing w:val="-10"/>
        </w:rPr>
        <w:t> </w:t>
      </w:r>
      <w:r>
        <w:rPr>
          <w:spacing w:val="-2"/>
        </w:rPr>
        <w:t>=</w:t>
      </w:r>
      <w:r>
        <w:rPr>
          <w:spacing w:val="-10"/>
        </w:rPr>
        <w:t> </w:t>
      </w:r>
      <w:r>
        <w:rPr>
          <w:spacing w:val="-2"/>
        </w:rPr>
        <w:t>£11m;</w:t>
      </w:r>
      <w:r>
        <w:rPr>
          <w:spacing w:val="-8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2</w:t>
      </w:r>
      <w:r>
        <w:rPr>
          <w:spacing w:val="-10"/>
        </w:rPr>
        <w:t> </w:t>
      </w:r>
      <w:r>
        <w:rPr>
          <w:spacing w:val="-2"/>
        </w:rPr>
        <w:t>=</w:t>
      </w:r>
      <w:r>
        <w:rPr>
          <w:spacing w:val="-10"/>
        </w:rPr>
        <w:t> </w:t>
      </w:r>
      <w:r>
        <w:rPr>
          <w:spacing w:val="-2"/>
        </w:rPr>
        <w:t>£22m;</w:t>
      </w:r>
      <w:r>
        <w:rPr>
          <w:spacing w:val="-8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3</w:t>
      </w:r>
      <w:r>
        <w:rPr>
          <w:spacing w:val="-10"/>
        </w:rPr>
        <w:t> </w:t>
      </w:r>
      <w:r>
        <w:rPr>
          <w:spacing w:val="-2"/>
        </w:rPr>
        <w:t>=</w:t>
      </w:r>
      <w:r>
        <w:rPr>
          <w:spacing w:val="-10"/>
        </w:rPr>
        <w:t> </w:t>
      </w:r>
      <w:r>
        <w:rPr>
          <w:spacing w:val="-2"/>
        </w:rPr>
        <w:t>£33m;</w:t>
      </w:r>
      <w:r>
        <w:rPr>
          <w:spacing w:val="-8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4</w:t>
      </w:r>
      <w:r>
        <w:rPr>
          <w:spacing w:val="-10"/>
        </w:rPr>
        <w:t> </w:t>
      </w:r>
      <w:r>
        <w:rPr>
          <w:spacing w:val="-2"/>
        </w:rPr>
        <w:t>=</w:t>
      </w:r>
      <w:r>
        <w:rPr>
          <w:spacing w:val="-10"/>
        </w:rPr>
        <w:t> </w:t>
      </w:r>
      <w:r>
        <w:rPr>
          <w:spacing w:val="-2"/>
        </w:rPr>
        <w:t>£44m;</w:t>
      </w:r>
      <w:r>
        <w:rPr>
          <w:spacing w:val="-8"/>
        </w:rPr>
        <w:t> </w:t>
      </w:r>
      <w:r>
        <w:rPr>
          <w:spacing w:val="-2"/>
        </w:rPr>
        <w:t>Year </w:t>
      </w:r>
      <w:r>
        <w:rPr/>
        <w:t>5 = £55m. Remaining after Year 4: £50m </w:t>
      </w:r>
      <w:r>
        <w:rPr>
          <w:rFonts w:ascii="Verdana" w:hAnsi="Verdana"/>
          <w:i/>
        </w:rPr>
        <w:t>−</w:t>
      </w:r>
      <w:r>
        <w:rPr>
          <w:rFonts w:ascii="Verdana" w:hAnsi="Verdana"/>
          <w:i/>
          <w:spacing w:val="-15"/>
        </w:rPr>
        <w:t> </w:t>
      </w:r>
      <w:r>
        <w:rPr/>
        <w:t>£44m = £6m.</w:t>
      </w:r>
    </w:p>
    <w:p>
      <w:pPr>
        <w:spacing w:line="193" w:lineRule="exact" w:before="89"/>
        <w:ind w:left="0" w:right="858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5"/>
          <w:w w:val="105"/>
          <w:sz w:val="22"/>
        </w:rPr>
        <w:t>6</w:t>
      </w:r>
      <w:r>
        <w:rPr>
          <w:rFonts w:ascii="Calibri"/>
          <w:i/>
          <w:spacing w:val="-5"/>
          <w:w w:val="105"/>
          <w:sz w:val="22"/>
        </w:rPr>
        <w:t>m</w:t>
      </w:r>
    </w:p>
    <w:p>
      <w:pPr>
        <w:tabs>
          <w:tab w:pos="2009" w:val="left" w:leader="none"/>
        </w:tabs>
        <w:spacing w:line="164" w:lineRule="exact" w:before="0"/>
        <w:ind w:left="0" w:right="1132" w:firstLine="0"/>
        <w:jc w:val="center"/>
        <w:rPr>
          <w:rFonts w:ascii="Calibri"/>
          <w:i/>
          <w:sz w:val="22"/>
        </w:rPr>
      </w:pPr>
      <w:r>
        <w:rPr>
          <w:rFonts w:ascii="Calibri"/>
          <w:i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520832">
                <wp:simplePos x="0" y="0"/>
                <wp:positionH relativeFrom="page">
                  <wp:posOffset>3736809</wp:posOffset>
                </wp:positionH>
                <wp:positionV relativeFrom="paragraph">
                  <wp:posOffset>69689</wp:posOffset>
                </wp:positionV>
                <wp:extent cx="260350" cy="127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6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50" h="0">
                              <a:moveTo>
                                <a:pt x="0" y="0"/>
                              </a:moveTo>
                              <a:lnTo>
                                <a:pt x="260184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795648" from="294.237pt,5.487366pt" to="314.724pt,5.487366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w w:val="110"/>
          <w:sz w:val="22"/>
        </w:rPr>
        <w:t>Payback</w:t>
      </w:r>
      <w:r>
        <w:rPr>
          <w:rFonts w:ascii="Calibri"/>
          <w:i/>
          <w:spacing w:val="23"/>
          <w:w w:val="110"/>
          <w:sz w:val="22"/>
        </w:rPr>
        <w:t> </w:t>
      </w:r>
      <w:r>
        <w:rPr>
          <w:rFonts w:ascii="Calibri"/>
          <w:w w:val="110"/>
          <w:sz w:val="22"/>
        </w:rPr>
        <w:t>=</w:t>
      </w:r>
      <w:r>
        <w:rPr>
          <w:rFonts w:ascii="Calibri"/>
          <w:spacing w:val="16"/>
          <w:w w:val="110"/>
          <w:sz w:val="22"/>
        </w:rPr>
        <w:t> </w:t>
      </w:r>
      <w:r>
        <w:rPr>
          <w:rFonts w:ascii="Calibri"/>
          <w:w w:val="110"/>
          <w:sz w:val="22"/>
        </w:rPr>
        <w:t>4</w:t>
      </w:r>
      <w:r>
        <w:rPr>
          <w:rFonts w:ascii="Calibri"/>
          <w:spacing w:val="1"/>
          <w:w w:val="110"/>
          <w:sz w:val="22"/>
        </w:rPr>
        <w:t> </w:t>
      </w:r>
      <w:r>
        <w:rPr>
          <w:rFonts w:ascii="Calibri"/>
          <w:spacing w:val="-10"/>
          <w:w w:val="110"/>
          <w:sz w:val="22"/>
        </w:rPr>
        <w:t>+</w:t>
      </w:r>
      <w:r>
        <w:rPr>
          <w:rFonts w:ascii="Calibri"/>
          <w:sz w:val="22"/>
        </w:rPr>
        <w:tab/>
      </w:r>
      <w:r>
        <w:rPr>
          <w:rFonts w:ascii="Calibri"/>
          <w:w w:val="125"/>
          <w:sz w:val="22"/>
        </w:rPr>
        <w:t>=</w:t>
      </w:r>
      <w:r>
        <w:rPr>
          <w:rFonts w:ascii="Calibri"/>
          <w:spacing w:val="30"/>
          <w:w w:val="125"/>
          <w:sz w:val="22"/>
        </w:rPr>
        <w:t> </w:t>
      </w:r>
      <w:r>
        <w:rPr>
          <w:rFonts w:ascii="Calibri"/>
          <w:spacing w:val="-2"/>
          <w:w w:val="115"/>
          <w:sz w:val="22"/>
        </w:rPr>
        <w:t>4</w:t>
      </w:r>
      <w:r>
        <w:rPr>
          <w:rFonts w:ascii="Calibri"/>
          <w:i/>
          <w:spacing w:val="-2"/>
          <w:w w:val="115"/>
          <w:sz w:val="22"/>
        </w:rPr>
        <w:t>.</w:t>
      </w:r>
      <w:r>
        <w:rPr>
          <w:rFonts w:ascii="Calibri"/>
          <w:spacing w:val="-2"/>
          <w:w w:val="115"/>
          <w:sz w:val="22"/>
        </w:rPr>
        <w:t>55</w:t>
      </w:r>
      <w:r>
        <w:rPr>
          <w:rFonts w:ascii="Calibri"/>
          <w:i/>
          <w:spacing w:val="-2"/>
          <w:w w:val="115"/>
          <w:sz w:val="22"/>
        </w:rPr>
        <w:t>years</w:t>
      </w:r>
    </w:p>
    <w:p>
      <w:pPr>
        <w:spacing w:line="209" w:lineRule="exact" w:before="0"/>
        <w:ind w:left="0" w:right="858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5"/>
          <w:sz w:val="22"/>
        </w:rPr>
        <w:t>11</w:t>
      </w:r>
      <w:r>
        <w:rPr>
          <w:rFonts w:ascii="Calibri"/>
          <w:i/>
          <w:spacing w:val="-5"/>
          <w:sz w:val="22"/>
        </w:rPr>
        <w:t>m</w:t>
      </w:r>
    </w:p>
    <w:p>
      <w:pPr>
        <w:pStyle w:val="BodyText"/>
        <w:spacing w:line="242" w:lineRule="auto" w:before="183"/>
        <w:ind w:left="165" w:right="1258"/>
      </w:pPr>
      <w:r>
        <w:rPr>
          <w:b/>
        </w:rPr>
        <w:t>Project C. </w:t>
      </w:r>
      <w:r>
        <w:rPr/>
        <w:t>Cumulative cash flows:</w:t>
      </w:r>
      <w:r>
        <w:rPr>
          <w:spacing w:val="39"/>
        </w:rPr>
        <w:t> </w:t>
      </w:r>
      <w:r>
        <w:rPr/>
        <w:t>Year 1 = £5m;</w:t>
      </w:r>
      <w:r>
        <w:rPr>
          <w:spacing w:val="19"/>
        </w:rPr>
        <w:t> </w:t>
      </w:r>
      <w:r>
        <w:rPr/>
        <w:t>Year 2 = £15m;</w:t>
      </w:r>
      <w:r>
        <w:rPr>
          <w:spacing w:val="18"/>
        </w:rPr>
        <w:t> </w:t>
      </w:r>
      <w:r>
        <w:rPr/>
        <w:t>Year 3 = £35m;</w:t>
      </w:r>
      <w:r>
        <w:rPr>
          <w:spacing w:val="19"/>
        </w:rPr>
        <w:t> </w:t>
      </w:r>
      <w:r>
        <w:rPr/>
        <w:t>Year 4 = £60m. Remaining after Year 3: £50m </w:t>
      </w:r>
      <w:r>
        <w:rPr>
          <w:rFonts w:ascii="Verdana" w:hAnsi="Verdana"/>
          <w:i/>
        </w:rPr>
        <w:t>−</w:t>
      </w:r>
      <w:r>
        <w:rPr>
          <w:rFonts w:ascii="Verdana" w:hAnsi="Verdana"/>
          <w:i/>
          <w:spacing w:val="-20"/>
        </w:rPr>
        <w:t> </w:t>
      </w:r>
      <w:r>
        <w:rPr/>
        <w:t>£35m = £15m. Year 4 inflow = £25m.</w:t>
      </w:r>
    </w:p>
    <w:p>
      <w:pPr>
        <w:spacing w:line="193" w:lineRule="exact" w:before="90"/>
        <w:ind w:left="0" w:right="858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5"/>
          <w:sz w:val="22"/>
        </w:rPr>
        <w:t>15</w:t>
      </w:r>
      <w:r>
        <w:rPr>
          <w:rFonts w:ascii="Calibri"/>
          <w:i/>
          <w:spacing w:val="-5"/>
          <w:sz w:val="22"/>
        </w:rPr>
        <w:t>m</w:t>
      </w:r>
    </w:p>
    <w:p>
      <w:pPr>
        <w:tabs>
          <w:tab w:pos="2009" w:val="left" w:leader="none"/>
        </w:tabs>
        <w:spacing w:line="163" w:lineRule="exact" w:before="0"/>
        <w:ind w:left="0" w:right="1132" w:firstLine="0"/>
        <w:jc w:val="center"/>
        <w:rPr>
          <w:rFonts w:ascii="Calibri"/>
          <w:i/>
          <w:sz w:val="22"/>
        </w:rPr>
      </w:pPr>
      <w:r>
        <w:rPr>
          <w:rFonts w:ascii="Calibri"/>
          <w:i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521344">
                <wp:simplePos x="0" y="0"/>
                <wp:positionH relativeFrom="page">
                  <wp:posOffset>3736809</wp:posOffset>
                </wp:positionH>
                <wp:positionV relativeFrom="paragraph">
                  <wp:posOffset>69259</wp:posOffset>
                </wp:positionV>
                <wp:extent cx="260350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6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50" h="0">
                              <a:moveTo>
                                <a:pt x="0" y="0"/>
                              </a:moveTo>
                              <a:lnTo>
                                <a:pt x="260184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795136" from="294.237pt,5.453508pt" to="314.724pt,5.453508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i/>
          <w:w w:val="110"/>
          <w:sz w:val="22"/>
        </w:rPr>
        <w:t>Payback</w:t>
      </w:r>
      <w:r>
        <w:rPr>
          <w:rFonts w:ascii="Calibri"/>
          <w:i/>
          <w:spacing w:val="23"/>
          <w:w w:val="110"/>
          <w:sz w:val="22"/>
        </w:rPr>
        <w:t> </w:t>
      </w:r>
      <w:r>
        <w:rPr>
          <w:rFonts w:ascii="Calibri"/>
          <w:w w:val="110"/>
          <w:sz w:val="22"/>
        </w:rPr>
        <w:t>=</w:t>
      </w:r>
      <w:r>
        <w:rPr>
          <w:rFonts w:ascii="Calibri"/>
          <w:spacing w:val="16"/>
          <w:w w:val="110"/>
          <w:sz w:val="22"/>
        </w:rPr>
        <w:t> </w:t>
      </w:r>
      <w:r>
        <w:rPr>
          <w:rFonts w:ascii="Calibri"/>
          <w:w w:val="110"/>
          <w:sz w:val="22"/>
        </w:rPr>
        <w:t>3</w:t>
      </w:r>
      <w:r>
        <w:rPr>
          <w:rFonts w:ascii="Calibri"/>
          <w:spacing w:val="1"/>
          <w:w w:val="110"/>
          <w:sz w:val="22"/>
        </w:rPr>
        <w:t> </w:t>
      </w:r>
      <w:r>
        <w:rPr>
          <w:rFonts w:ascii="Calibri"/>
          <w:spacing w:val="-10"/>
          <w:w w:val="110"/>
          <w:sz w:val="22"/>
        </w:rPr>
        <w:t>+</w:t>
      </w:r>
      <w:r>
        <w:rPr>
          <w:rFonts w:ascii="Calibri"/>
          <w:sz w:val="22"/>
        </w:rPr>
        <w:tab/>
      </w:r>
      <w:r>
        <w:rPr>
          <w:rFonts w:ascii="Calibri"/>
          <w:w w:val="125"/>
          <w:sz w:val="22"/>
        </w:rPr>
        <w:t>=</w:t>
      </w:r>
      <w:r>
        <w:rPr>
          <w:rFonts w:ascii="Calibri"/>
          <w:spacing w:val="30"/>
          <w:w w:val="125"/>
          <w:sz w:val="22"/>
        </w:rPr>
        <w:t> </w:t>
      </w:r>
      <w:r>
        <w:rPr>
          <w:rFonts w:ascii="Calibri"/>
          <w:spacing w:val="-2"/>
          <w:w w:val="115"/>
          <w:sz w:val="22"/>
        </w:rPr>
        <w:t>3</w:t>
      </w:r>
      <w:r>
        <w:rPr>
          <w:rFonts w:ascii="Calibri"/>
          <w:i/>
          <w:spacing w:val="-2"/>
          <w:w w:val="115"/>
          <w:sz w:val="22"/>
        </w:rPr>
        <w:t>.</w:t>
      </w:r>
      <w:r>
        <w:rPr>
          <w:rFonts w:ascii="Calibri"/>
          <w:spacing w:val="-2"/>
          <w:w w:val="115"/>
          <w:sz w:val="22"/>
        </w:rPr>
        <w:t>60</w:t>
      </w:r>
      <w:r>
        <w:rPr>
          <w:rFonts w:ascii="Calibri"/>
          <w:i/>
          <w:spacing w:val="-2"/>
          <w:w w:val="115"/>
          <w:sz w:val="22"/>
        </w:rPr>
        <w:t>years</w:t>
      </w:r>
    </w:p>
    <w:p>
      <w:pPr>
        <w:spacing w:line="209" w:lineRule="exact" w:before="0"/>
        <w:ind w:left="0" w:right="858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5"/>
          <w:sz w:val="22"/>
        </w:rPr>
        <w:t>25</w:t>
      </w:r>
      <w:r>
        <w:rPr>
          <w:rFonts w:ascii="Calibri"/>
          <w:i/>
          <w:spacing w:val="-5"/>
          <w:sz w:val="22"/>
        </w:rPr>
        <w:t>m</w:t>
      </w:r>
    </w:p>
    <w:p>
      <w:pPr>
        <w:spacing w:after="0" w:line="209" w:lineRule="exact"/>
        <w:jc w:val="center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BodyText"/>
        <w:spacing w:before="156"/>
        <w:ind w:left="165"/>
      </w:pPr>
      <w:r>
        <w:rPr/>
        <w:t>Project</w:t>
      </w:r>
      <w:r>
        <w:rPr>
          <w:spacing w:val="-7"/>
        </w:rPr>
        <w:t> </w:t>
      </w:r>
      <w:r>
        <w:rPr/>
        <w:t>C</w:t>
      </w:r>
      <w:r>
        <w:rPr>
          <w:spacing w:val="-6"/>
        </w:rPr>
        <w:t> </w:t>
      </w:r>
      <w:r>
        <w:rPr/>
        <w:t>therefore</w:t>
      </w:r>
      <w:r>
        <w:rPr>
          <w:spacing w:val="-6"/>
        </w:rPr>
        <w:t> </w:t>
      </w:r>
      <w:r>
        <w:rPr/>
        <w:t>has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shortest</w:t>
      </w:r>
      <w:r>
        <w:rPr>
          <w:spacing w:val="-6"/>
        </w:rPr>
        <w:t> </w:t>
      </w:r>
      <w:r>
        <w:rPr/>
        <w:t>payback</w:t>
      </w:r>
      <w:r>
        <w:rPr>
          <w:spacing w:val="-6"/>
        </w:rPr>
        <w:t> </w:t>
      </w:r>
      <w:r>
        <w:rPr>
          <w:spacing w:val="-2"/>
        </w:rPr>
        <w:t>period.</w:t>
      </w:r>
    </w:p>
    <w:p>
      <w:pPr>
        <w:pStyle w:val="BodyText"/>
        <w:spacing w:before="58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Accounting Rate of Return" w:id="48"/>
      <w:bookmarkEnd w:id="48"/>
      <w:r>
        <w:rPr>
          <w:b w:val="0"/>
        </w:rPr>
      </w:r>
      <w:bookmarkStart w:name="_bookmark24" w:id="49"/>
      <w:bookmarkEnd w:id="49"/>
      <w:r>
        <w:rPr>
          <w:b w:val="0"/>
        </w:rPr>
      </w:r>
      <w:r>
        <w:rPr>
          <w:color w:val="0E2C59"/>
        </w:rPr>
        <w:t>Accounting</w:t>
      </w:r>
      <w:r>
        <w:rPr>
          <w:color w:val="0E2C59"/>
          <w:spacing w:val="-8"/>
        </w:rPr>
        <w:t> </w:t>
      </w:r>
      <w:r>
        <w:rPr>
          <w:color w:val="0E2C59"/>
        </w:rPr>
        <w:t>Rate</w:t>
      </w:r>
      <w:r>
        <w:rPr>
          <w:color w:val="0E2C59"/>
          <w:spacing w:val="-7"/>
        </w:rPr>
        <w:t> </w:t>
      </w:r>
      <w:r>
        <w:rPr>
          <w:color w:val="0E2C59"/>
        </w:rPr>
        <w:t>of</w:t>
      </w:r>
      <w:r>
        <w:rPr>
          <w:color w:val="0E2C59"/>
          <w:spacing w:val="-7"/>
        </w:rPr>
        <w:t> </w:t>
      </w:r>
      <w:r>
        <w:rPr>
          <w:color w:val="0E2C59"/>
          <w:spacing w:val="-2"/>
        </w:rPr>
        <w:t>Return</w:t>
      </w:r>
    </w:p>
    <w:p>
      <w:pPr>
        <w:pStyle w:val="BodyText"/>
        <w:spacing w:before="161"/>
        <w:ind w:left="165"/>
      </w:pPr>
      <w:r>
        <w:rPr/>
        <w:t>Straight-line</w:t>
      </w:r>
      <w:r>
        <w:rPr>
          <w:spacing w:val="-8"/>
        </w:rPr>
        <w:t> </w:t>
      </w:r>
      <w:r>
        <w:rPr/>
        <w:t>depreciation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£10m</w:t>
      </w:r>
      <w:r>
        <w:rPr>
          <w:spacing w:val="-7"/>
        </w:rPr>
        <w:t> </w:t>
      </w:r>
      <w:r>
        <w:rPr/>
        <w:t>per</w:t>
      </w:r>
      <w:r>
        <w:rPr>
          <w:spacing w:val="-8"/>
        </w:rPr>
        <w:t> </w:t>
      </w:r>
      <w:r>
        <w:rPr>
          <w:spacing w:val="-2"/>
        </w:rPr>
        <w:t>year.</w:t>
      </w:r>
    </w:p>
    <w:p>
      <w:pPr>
        <w:pStyle w:val="BodyText"/>
        <w:spacing w:before="194"/>
        <w:ind w:left="2837"/>
      </w:pPr>
      <w:r>
        <w:rPr/>
        <w:t>Table</w:t>
      </w:r>
      <w:r>
        <w:rPr>
          <w:spacing w:val="-9"/>
        </w:rPr>
        <w:t> </w:t>
      </w:r>
      <w:r>
        <w:rPr/>
        <w:t>12:</w:t>
      </w:r>
      <w:r>
        <w:rPr>
          <w:spacing w:val="3"/>
        </w:rPr>
        <w:t> </w:t>
      </w:r>
      <w:r>
        <w:rPr/>
        <w:t>Project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—</w:t>
      </w:r>
      <w:r>
        <w:rPr>
          <w:spacing w:val="-8"/>
        </w:rPr>
        <w:t> </w:t>
      </w:r>
      <w:r>
        <w:rPr/>
        <w:t>Accounting</w:t>
      </w:r>
      <w:r>
        <w:rPr>
          <w:spacing w:val="-9"/>
        </w:rPr>
        <w:t> </w:t>
      </w:r>
      <w:r>
        <w:rPr>
          <w:spacing w:val="-2"/>
        </w:rPr>
        <w:t>Profits</w:t>
      </w: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2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1152"/>
        <w:gridCol w:w="1435"/>
        <w:gridCol w:w="768"/>
      </w:tblGrid>
      <w:tr>
        <w:trPr>
          <w:trHeight w:val="370" w:hRule="atLeast"/>
        </w:trPr>
        <w:tc>
          <w:tcPr>
            <w:tcW w:w="67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1152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z w:val="22"/>
              </w:rPr>
              <w:t>Cash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flow</w:t>
            </w:r>
          </w:p>
        </w:tc>
        <w:tc>
          <w:tcPr>
            <w:tcW w:w="1435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Depreciation</w:t>
            </w:r>
          </w:p>
        </w:tc>
        <w:tc>
          <w:tcPr>
            <w:tcW w:w="768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Profit</w:t>
            </w:r>
          </w:p>
        </w:tc>
      </w:tr>
      <w:tr>
        <w:trPr>
          <w:trHeight w:val="316" w:hRule="atLeast"/>
        </w:trPr>
        <w:tc>
          <w:tcPr>
            <w:tcW w:w="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1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4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7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152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12</w:t>
            </w:r>
          </w:p>
        </w:tc>
        <w:tc>
          <w:tcPr>
            <w:tcW w:w="1435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768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52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435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768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</w:tr>
      <w:tr>
        <w:trPr>
          <w:trHeight w:val="270" w:hRule="atLeast"/>
        </w:trPr>
        <w:tc>
          <w:tcPr>
            <w:tcW w:w="675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152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435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768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</w:tr>
      <w:tr>
        <w:trPr>
          <w:trHeight w:val="324" w:hRule="atLeast"/>
        </w:trPr>
        <w:tc>
          <w:tcPr>
            <w:tcW w:w="6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15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43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76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53" w:lineRule="exact"/>
              <w:ind w:right="116"/>
              <w:rPr>
                <w:sz w:val="22"/>
              </w:rPr>
            </w:pPr>
            <w:r>
              <w:rPr>
                <w:rFonts w:ascii="Verdana" w:hAnsi="Verdana"/>
                <w:i/>
                <w:spacing w:val="-5"/>
                <w:sz w:val="22"/>
              </w:rPr>
              <w:t>−</w:t>
            </w:r>
            <w:r>
              <w:rPr>
                <w:spacing w:val="-5"/>
                <w:sz w:val="22"/>
              </w:rPr>
              <w:t>2</w:t>
            </w:r>
          </w:p>
        </w:tc>
      </w:tr>
    </w:tbl>
    <w:p>
      <w:pPr>
        <w:pStyle w:val="BodyText"/>
        <w:spacing w:before="222"/>
        <w:ind w:left="165"/>
      </w:pPr>
      <w:r>
        <w:rPr/>
        <w:t>Average</w:t>
      </w:r>
      <w:r>
        <w:rPr>
          <w:spacing w:val="-14"/>
        </w:rPr>
        <w:t> </w:t>
      </w:r>
      <w:r>
        <w:rPr/>
        <w:t>annual</w:t>
      </w:r>
      <w:r>
        <w:rPr>
          <w:spacing w:val="-14"/>
        </w:rPr>
        <w:t> </w:t>
      </w:r>
      <w:r>
        <w:rPr/>
        <w:t>profit</w:t>
      </w:r>
      <w:r>
        <w:rPr>
          <w:spacing w:val="-13"/>
        </w:rPr>
        <w:t> </w:t>
      </w:r>
      <w:r>
        <w:rPr/>
        <w:t>=</w:t>
      </w:r>
      <w:r>
        <w:rPr>
          <w:spacing w:val="-14"/>
        </w:rPr>
        <w:t> </w:t>
      </w:r>
      <w:r>
        <w:rPr/>
        <w:t>£0.8m;</w:t>
      </w:r>
      <w:r>
        <w:rPr>
          <w:spacing w:val="-14"/>
        </w:rPr>
        <w:t> </w:t>
      </w:r>
      <w:r>
        <w:rPr/>
        <w:t>average</w:t>
      </w:r>
      <w:r>
        <w:rPr>
          <w:spacing w:val="-13"/>
        </w:rPr>
        <w:t> </w:t>
      </w:r>
      <w:r>
        <w:rPr/>
        <w:t>investment</w:t>
      </w:r>
      <w:r>
        <w:rPr>
          <w:spacing w:val="-14"/>
        </w:rPr>
        <w:t> </w:t>
      </w:r>
      <w:r>
        <w:rPr/>
        <w:t>=</w:t>
      </w:r>
      <w:r>
        <w:rPr>
          <w:spacing w:val="-14"/>
        </w:rPr>
        <w:t> </w:t>
      </w:r>
      <w:r>
        <w:rPr>
          <w:spacing w:val="-2"/>
        </w:rPr>
        <w:t>£25m.</w:t>
      </w:r>
    </w:p>
    <w:p>
      <w:pPr>
        <w:spacing w:line="185" w:lineRule="exact" w:before="80"/>
        <w:ind w:left="0" w:right="1660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4"/>
          <w:w w:val="105"/>
          <w:sz w:val="22"/>
        </w:rPr>
        <w:t>0</w:t>
      </w:r>
      <w:r>
        <w:rPr>
          <w:rFonts w:ascii="Calibri"/>
          <w:i/>
          <w:spacing w:val="-4"/>
          <w:w w:val="105"/>
          <w:sz w:val="22"/>
        </w:rPr>
        <w:t>.</w:t>
      </w:r>
      <w:r>
        <w:rPr>
          <w:rFonts w:ascii="Calibri"/>
          <w:spacing w:val="-4"/>
          <w:w w:val="105"/>
          <w:sz w:val="22"/>
        </w:rPr>
        <w:t>8</w:t>
      </w:r>
      <w:r>
        <w:rPr>
          <w:rFonts w:ascii="Calibri"/>
          <w:i/>
          <w:spacing w:val="-4"/>
          <w:w w:val="105"/>
          <w:sz w:val="22"/>
        </w:rPr>
        <w:t>m</w:t>
      </w:r>
    </w:p>
    <w:p>
      <w:pPr>
        <w:spacing w:after="0" w:line="185" w:lineRule="exact"/>
        <w:jc w:val="center"/>
        <w:rPr>
          <w:rFonts w:ascii="Calibri"/>
          <w:i/>
          <w:sz w:val="22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line="232" w:lineRule="exact" w:before="0"/>
        <w:ind w:left="0" w:right="0" w:firstLine="0"/>
        <w:jc w:val="right"/>
        <w:rPr>
          <w:rFonts w:ascii="Calibri"/>
          <w:sz w:val="22"/>
        </w:rPr>
      </w:pPr>
      <w:r>
        <w:rPr>
          <w:rFonts w:ascii="Calibri"/>
          <w:i/>
          <w:w w:val="140"/>
          <w:sz w:val="22"/>
        </w:rPr>
        <w:t>ARR</w:t>
      </w:r>
      <w:r>
        <w:rPr>
          <w:rFonts w:ascii="Calibri"/>
          <w:i/>
          <w:w w:val="140"/>
          <w:sz w:val="22"/>
          <w:vertAlign w:val="subscript"/>
        </w:rPr>
        <w:t>A</w:t>
      </w:r>
      <w:r>
        <w:rPr>
          <w:rFonts w:ascii="Calibri"/>
          <w:i/>
          <w:spacing w:val="-6"/>
          <w:w w:val="140"/>
          <w:sz w:val="22"/>
          <w:vertAlign w:val="baseline"/>
        </w:rPr>
        <w:t> </w:t>
      </w:r>
      <w:r>
        <w:rPr>
          <w:rFonts w:ascii="Calibri"/>
          <w:spacing w:val="-10"/>
          <w:w w:val="145"/>
          <w:sz w:val="22"/>
          <w:vertAlign w:val="baseline"/>
        </w:rPr>
        <w:t>=</w:t>
      </w:r>
    </w:p>
    <w:p>
      <w:pPr>
        <w:spacing w:line="172" w:lineRule="exact" w:before="0"/>
        <w:ind w:left="587" w:right="0" w:firstLine="0"/>
        <w:jc w:val="left"/>
        <w:rPr>
          <w:rFonts w:ascii="Calibri" w:hAnsi="Calibri"/>
          <w:sz w:val="22"/>
        </w:rPr>
      </w:pPr>
      <w:r>
        <w:rPr/>
        <w:br w:type="column"/>
      </w:r>
      <w:r>
        <w:rPr>
          <w:rFonts w:ascii="Verdana" w:hAnsi="Verdana"/>
          <w:i/>
          <w:w w:val="110"/>
          <w:sz w:val="22"/>
        </w:rPr>
        <w:t>×</w:t>
      </w:r>
      <w:r>
        <w:rPr>
          <w:rFonts w:ascii="Verdana" w:hAnsi="Verdana"/>
          <w:i/>
          <w:spacing w:val="-37"/>
          <w:w w:val="110"/>
          <w:sz w:val="22"/>
        </w:rPr>
        <w:t> </w:t>
      </w:r>
      <w:r>
        <w:rPr>
          <w:rFonts w:ascii="Calibri" w:hAnsi="Calibri"/>
          <w:w w:val="110"/>
          <w:sz w:val="22"/>
        </w:rPr>
        <w:t>100</w:t>
      </w:r>
      <w:r>
        <w:rPr>
          <w:rFonts w:ascii="Calibri" w:hAnsi="Calibri"/>
          <w:spacing w:val="-11"/>
          <w:w w:val="110"/>
          <w:sz w:val="22"/>
        </w:rPr>
        <w:t> </w:t>
      </w:r>
      <w:r>
        <w:rPr>
          <w:rFonts w:ascii="Calibri" w:hAnsi="Calibri"/>
          <w:w w:val="110"/>
          <w:sz w:val="22"/>
        </w:rPr>
        <w:t>=</w:t>
      </w:r>
      <w:r>
        <w:rPr>
          <w:rFonts w:ascii="Calibri" w:hAnsi="Calibri"/>
          <w:spacing w:val="-2"/>
          <w:w w:val="110"/>
          <w:sz w:val="22"/>
        </w:rPr>
        <w:t> 3</w:t>
      </w:r>
      <w:r>
        <w:rPr>
          <w:rFonts w:ascii="Calibri" w:hAnsi="Calibri"/>
          <w:i/>
          <w:spacing w:val="-2"/>
          <w:w w:val="110"/>
          <w:sz w:val="22"/>
        </w:rPr>
        <w:t>.</w:t>
      </w:r>
      <w:r>
        <w:rPr>
          <w:rFonts w:ascii="Calibri" w:hAnsi="Calibri"/>
          <w:spacing w:val="-2"/>
          <w:w w:val="110"/>
          <w:sz w:val="22"/>
        </w:rPr>
        <w:t>20%</w:t>
      </w:r>
    </w:p>
    <w:p>
      <w:pPr>
        <w:spacing w:line="209" w:lineRule="exact" w:before="0"/>
        <w:ind w:left="74" w:right="0" w:firstLine="0"/>
        <w:jc w:val="left"/>
        <w:rPr>
          <w:rFonts w:ascii="Calibri"/>
          <w:i/>
          <w:sz w:val="22"/>
        </w:rPr>
      </w:pPr>
      <w:r>
        <w:rPr>
          <w:rFonts w:ascii="Calibri"/>
          <w:i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3462870</wp:posOffset>
                </wp:positionH>
                <wp:positionV relativeFrom="paragraph">
                  <wp:posOffset>-34413</wp:posOffset>
                </wp:positionV>
                <wp:extent cx="299085" cy="1270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99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085" h="0">
                              <a:moveTo>
                                <a:pt x="0" y="0"/>
                              </a:moveTo>
                              <a:lnTo>
                                <a:pt x="298678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272" from="272.666992pt,-2.709721pt" to="296.184992pt,-2.709721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/>
          <w:spacing w:val="-5"/>
          <w:sz w:val="22"/>
        </w:rPr>
        <w:t>25</w:t>
      </w:r>
      <w:r>
        <w:rPr>
          <w:rFonts w:ascii="Calibri"/>
          <w:i/>
          <w:spacing w:val="-5"/>
          <w:sz w:val="22"/>
        </w:rPr>
        <w:t>m</w:t>
      </w:r>
    </w:p>
    <w:p>
      <w:pPr>
        <w:spacing w:after="0" w:line="209" w:lineRule="exact"/>
        <w:jc w:val="left"/>
        <w:rPr>
          <w:rFonts w:ascii="Calibri"/>
          <w:i/>
          <w:sz w:val="22"/>
        </w:rPr>
        <w:sectPr>
          <w:type w:val="continuous"/>
          <w:pgSz w:w="11910" w:h="16840"/>
          <w:pgMar w:header="686" w:footer="0" w:top="1920" w:bottom="280" w:left="1275" w:right="141"/>
          <w:cols w:num="2" w:equalWidth="0">
            <w:col w:w="4094" w:space="40"/>
            <w:col w:w="6360"/>
          </w:cols>
        </w:sectPr>
      </w:pPr>
    </w:p>
    <w:p>
      <w:pPr>
        <w:pStyle w:val="BodyText"/>
        <w:spacing w:before="152"/>
        <w:ind w:left="165"/>
      </w:pPr>
      <w:r>
        <w:rPr/>
        <w:t>For</w:t>
      </w:r>
      <w:r>
        <w:rPr>
          <w:spacing w:val="-14"/>
        </w:rPr>
        <w:t> </w:t>
      </w:r>
      <w:r>
        <w:rPr/>
        <w:t>Project</w:t>
      </w:r>
      <w:r>
        <w:rPr>
          <w:spacing w:val="-8"/>
        </w:rPr>
        <w:t> </w:t>
      </w:r>
      <w:r>
        <w:rPr/>
        <w:t>B,</w:t>
      </w:r>
      <w:r>
        <w:rPr>
          <w:spacing w:val="-7"/>
        </w:rPr>
        <w:t> </w:t>
      </w:r>
      <w:r>
        <w:rPr/>
        <w:t>annual</w:t>
      </w:r>
      <w:r>
        <w:rPr>
          <w:spacing w:val="-8"/>
        </w:rPr>
        <w:t> </w:t>
      </w:r>
      <w:r>
        <w:rPr/>
        <w:t>profit</w:t>
      </w:r>
      <w:r>
        <w:rPr>
          <w:spacing w:val="-7"/>
        </w:rPr>
        <w:t> </w:t>
      </w:r>
      <w:r>
        <w:rPr/>
        <w:t>=</w:t>
      </w:r>
      <w:r>
        <w:rPr>
          <w:spacing w:val="-7"/>
        </w:rPr>
        <w:t> </w:t>
      </w:r>
      <w:r>
        <w:rPr/>
        <w:t>£11m</w:t>
      </w:r>
      <w:r>
        <w:rPr>
          <w:spacing w:val="-8"/>
        </w:rPr>
        <w:t> </w:t>
      </w:r>
      <w:r>
        <w:rPr>
          <w:rFonts w:ascii="Verdana" w:hAnsi="Verdana"/>
          <w:i/>
        </w:rPr>
        <w:t>−</w:t>
      </w:r>
      <w:r>
        <w:rPr>
          <w:rFonts w:ascii="Verdana" w:hAnsi="Verdana"/>
          <w:i/>
          <w:spacing w:val="-23"/>
        </w:rPr>
        <w:t> </w:t>
      </w:r>
      <w:r>
        <w:rPr/>
        <w:t>£10m</w:t>
      </w:r>
      <w:r>
        <w:rPr>
          <w:spacing w:val="-7"/>
        </w:rPr>
        <w:t> </w:t>
      </w:r>
      <w:r>
        <w:rPr/>
        <w:t>=</w:t>
      </w:r>
      <w:r>
        <w:rPr>
          <w:spacing w:val="-8"/>
        </w:rPr>
        <w:t> </w:t>
      </w:r>
      <w:r>
        <w:rPr>
          <w:spacing w:val="-4"/>
        </w:rPr>
        <w:t>£1m:</w:t>
      </w:r>
    </w:p>
    <w:p>
      <w:pPr>
        <w:spacing w:line="202" w:lineRule="exact" w:before="81"/>
        <w:ind w:left="0" w:right="1651" w:firstLine="0"/>
        <w:jc w:val="center"/>
        <w:rPr>
          <w:rFonts w:ascii="Calibri"/>
          <w:i/>
          <w:sz w:val="22"/>
        </w:rPr>
      </w:pPr>
      <w:r>
        <w:rPr>
          <w:rFonts w:ascii="Calibri"/>
          <w:spacing w:val="-5"/>
          <w:w w:val="105"/>
          <w:sz w:val="22"/>
        </w:rPr>
        <w:t>1</w:t>
      </w:r>
      <w:r>
        <w:rPr>
          <w:rFonts w:ascii="Calibri"/>
          <w:i/>
          <w:spacing w:val="-5"/>
          <w:w w:val="105"/>
          <w:sz w:val="22"/>
        </w:rPr>
        <w:t>m</w:t>
      </w:r>
    </w:p>
    <w:p>
      <w:pPr>
        <w:spacing w:line="168" w:lineRule="auto" w:before="0"/>
        <w:ind w:left="0" w:right="1131" w:firstLine="0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522368">
                <wp:simplePos x="0" y="0"/>
                <wp:positionH relativeFrom="page">
                  <wp:posOffset>3484892</wp:posOffset>
                </wp:positionH>
                <wp:positionV relativeFrom="paragraph">
                  <wp:posOffset>63846</wp:posOffset>
                </wp:positionV>
                <wp:extent cx="260350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26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50" h="0">
                              <a:moveTo>
                                <a:pt x="0" y="0"/>
                              </a:moveTo>
                              <a:lnTo>
                                <a:pt x="260184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794112" from="274.401001pt,5.027304pt" to="294.888001pt,5.027304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 w:hAnsi="Calibri"/>
          <w:i/>
          <w:w w:val="130"/>
          <w:sz w:val="22"/>
        </w:rPr>
        <w:t>ARR</w:t>
      </w:r>
      <w:r>
        <w:rPr>
          <w:rFonts w:ascii="Calibri" w:hAnsi="Calibri"/>
          <w:i/>
          <w:w w:val="130"/>
          <w:sz w:val="22"/>
          <w:vertAlign w:val="subscript"/>
        </w:rPr>
        <w:t>B</w:t>
      </w:r>
      <w:r>
        <w:rPr>
          <w:rFonts w:ascii="Calibri" w:hAnsi="Calibri"/>
          <w:i/>
          <w:spacing w:val="12"/>
          <w:w w:val="130"/>
          <w:sz w:val="22"/>
          <w:vertAlign w:val="baseline"/>
        </w:rPr>
        <w:t> </w:t>
      </w:r>
      <w:r>
        <w:rPr>
          <w:rFonts w:ascii="Calibri" w:hAnsi="Calibri"/>
          <w:w w:val="130"/>
          <w:sz w:val="22"/>
          <w:vertAlign w:val="baseline"/>
        </w:rPr>
        <w:t>=</w:t>
      </w:r>
      <w:r>
        <w:rPr>
          <w:rFonts w:ascii="Calibri" w:hAnsi="Calibri"/>
          <w:spacing w:val="19"/>
          <w:w w:val="130"/>
          <w:sz w:val="22"/>
          <w:vertAlign w:val="baseline"/>
        </w:rPr>
        <w:t> </w:t>
      </w:r>
      <w:r>
        <w:rPr>
          <w:rFonts w:ascii="Calibri" w:hAnsi="Calibri"/>
          <w:w w:val="110"/>
          <w:position w:val="-14"/>
          <w:sz w:val="22"/>
          <w:vertAlign w:val="baseline"/>
        </w:rPr>
        <w:t>25</w:t>
      </w:r>
      <w:r>
        <w:rPr>
          <w:rFonts w:ascii="Calibri" w:hAnsi="Calibri"/>
          <w:i/>
          <w:w w:val="110"/>
          <w:position w:val="-14"/>
          <w:sz w:val="22"/>
          <w:vertAlign w:val="baseline"/>
        </w:rPr>
        <w:t>m</w:t>
      </w:r>
      <w:r>
        <w:rPr>
          <w:rFonts w:ascii="Calibri" w:hAnsi="Calibri"/>
          <w:i/>
          <w:spacing w:val="17"/>
          <w:w w:val="110"/>
          <w:position w:val="-14"/>
          <w:sz w:val="22"/>
          <w:vertAlign w:val="baseline"/>
        </w:rPr>
        <w:t> </w:t>
      </w:r>
      <w:r>
        <w:rPr>
          <w:rFonts w:ascii="Verdana" w:hAnsi="Verdana"/>
          <w:i/>
          <w:w w:val="110"/>
          <w:sz w:val="22"/>
          <w:vertAlign w:val="baseline"/>
        </w:rPr>
        <w:t>×</w:t>
      </w:r>
      <w:r>
        <w:rPr>
          <w:rFonts w:ascii="Verdana" w:hAnsi="Verdana"/>
          <w:i/>
          <w:spacing w:val="-37"/>
          <w:w w:val="110"/>
          <w:sz w:val="22"/>
          <w:vertAlign w:val="baseline"/>
        </w:rPr>
        <w:t> </w:t>
      </w:r>
      <w:r>
        <w:rPr>
          <w:rFonts w:ascii="Calibri" w:hAnsi="Calibri"/>
          <w:w w:val="110"/>
          <w:sz w:val="22"/>
          <w:vertAlign w:val="baseline"/>
        </w:rPr>
        <w:t>100</w:t>
      </w:r>
      <w:r>
        <w:rPr>
          <w:rFonts w:ascii="Calibri" w:hAnsi="Calibri"/>
          <w:spacing w:val="-5"/>
          <w:w w:val="130"/>
          <w:sz w:val="22"/>
          <w:vertAlign w:val="baseline"/>
        </w:rPr>
        <w:t> </w:t>
      </w:r>
      <w:r>
        <w:rPr>
          <w:rFonts w:ascii="Calibri" w:hAnsi="Calibri"/>
          <w:w w:val="130"/>
          <w:sz w:val="22"/>
          <w:vertAlign w:val="baseline"/>
        </w:rPr>
        <w:t>=</w:t>
      </w:r>
      <w:r>
        <w:rPr>
          <w:rFonts w:ascii="Calibri" w:hAnsi="Calibri"/>
          <w:spacing w:val="-4"/>
          <w:w w:val="130"/>
          <w:sz w:val="22"/>
          <w:vertAlign w:val="baseline"/>
        </w:rPr>
        <w:t> </w:t>
      </w:r>
      <w:r>
        <w:rPr>
          <w:rFonts w:ascii="Calibri" w:hAnsi="Calibri"/>
          <w:spacing w:val="-2"/>
          <w:w w:val="110"/>
          <w:sz w:val="22"/>
          <w:vertAlign w:val="baseline"/>
        </w:rPr>
        <w:t>4</w:t>
      </w:r>
      <w:r>
        <w:rPr>
          <w:rFonts w:ascii="Calibri" w:hAnsi="Calibri"/>
          <w:i/>
          <w:spacing w:val="-2"/>
          <w:w w:val="110"/>
          <w:sz w:val="22"/>
          <w:vertAlign w:val="baseline"/>
        </w:rPr>
        <w:t>.</w:t>
      </w:r>
      <w:r>
        <w:rPr>
          <w:rFonts w:ascii="Calibri" w:hAnsi="Calibri"/>
          <w:spacing w:val="-2"/>
          <w:w w:val="110"/>
          <w:sz w:val="22"/>
          <w:vertAlign w:val="baseline"/>
        </w:rPr>
        <w:t>00%</w:t>
      </w:r>
    </w:p>
    <w:p>
      <w:pPr>
        <w:pStyle w:val="BodyText"/>
        <w:spacing w:before="9"/>
        <w:rPr>
          <w:rFonts w:ascii="Calibri"/>
        </w:rPr>
      </w:pPr>
    </w:p>
    <w:p>
      <w:pPr>
        <w:pStyle w:val="BodyText"/>
        <w:spacing w:before="1"/>
        <w:ind w:right="1131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844550</wp:posOffset>
                </wp:positionH>
                <wp:positionV relativeFrom="paragraph">
                  <wp:posOffset>314626</wp:posOffset>
                </wp:positionV>
                <wp:extent cx="4253865" cy="1622425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4253865" cy="1622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40"/>
                              <w:gridCol w:w="582"/>
                              <w:gridCol w:w="1223"/>
                              <w:gridCol w:w="1364"/>
                              <w:gridCol w:w="768"/>
                            </w:tblGrid>
                            <w:tr>
                              <w:trPr>
                                <w:trHeight w:val="370" w:hRule="atLeast"/>
                              </w:trPr>
                              <w:tc>
                                <w:tcPr>
                                  <w:tcW w:w="264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8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47"/>
                                    <w:ind w:left="26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Year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  <w:tcBorders>
                                    <w:top w:val="single" w:sz="8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47"/>
                                    <w:ind w:left="120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Cash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flow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tcBorders>
                                    <w:top w:val="single" w:sz="8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47"/>
                                    <w:ind w:right="11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Depreciation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8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47"/>
                                    <w:ind w:right="11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Profit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6" w:hRule="atLeast"/>
                              </w:trPr>
                              <w:tc>
                                <w:tcPr>
                                  <w:tcW w:w="26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ind w:left="26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ind w:right="1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67" w:lineRule="exact" w:before="30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spacing w:val="-5"/>
                                      <w:sz w:val="22"/>
                                    </w:rPr>
                                    <w:t>−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0" w:hRule="atLeast"/>
                              </w:trPr>
                              <w:tc>
                                <w:tcPr>
                                  <w:tcW w:w="26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</w:tcPr>
                                <w:p>
                                  <w:pPr>
                                    <w:pStyle w:val="TableParagraph"/>
                                    <w:ind w:left="26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>
                                  <w:pPr>
                                    <w:pStyle w:val="TableParagraph"/>
                                    <w:ind w:right="1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0" w:hRule="atLeast"/>
                              </w:trPr>
                              <w:tc>
                                <w:tcPr>
                                  <w:tcW w:w="26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</w:tcPr>
                                <w:p>
                                  <w:pPr>
                                    <w:pStyle w:val="TableParagraph"/>
                                    <w:ind w:left="26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>
                                  <w:pPr>
                                    <w:pStyle w:val="TableParagraph"/>
                                    <w:ind w:right="1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0" w:hRule="atLeast"/>
                              </w:trPr>
                              <w:tc>
                                <w:tcPr>
                                  <w:tcW w:w="26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</w:tcPr>
                                <w:p>
                                  <w:pPr>
                                    <w:pStyle w:val="TableParagraph"/>
                                    <w:ind w:left="26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>
                                  <w:pPr>
                                    <w:pStyle w:val="TableParagraph"/>
                                    <w:ind w:right="1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</w:tcPr>
                                <w:p>
                                  <w:pPr>
                                    <w:pStyle w:val="TableParagraph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4" w:hRule="atLeast"/>
                              </w:trPr>
                              <w:tc>
                                <w:tcPr>
                                  <w:tcW w:w="26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ind w:left="26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ind w:right="18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3" w:lineRule="exact"/>
                                    <w:ind w:right="116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spacing w:val="-5"/>
                                      <w:sz w:val="22"/>
                                    </w:rPr>
                                    <w:t>−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0" w:hRule="atLeast"/>
                              </w:trPr>
                              <w:tc>
                                <w:tcPr>
                                  <w:tcW w:w="264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70"/>
                                    <w:ind w:left="50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Average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annual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profit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=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£3m: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1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0" w:lineRule="auto"/>
                                    <w:ind w:right="46"/>
                                    <w:rPr>
                                      <w:rFonts w:ascii="Calibri"/>
                                      <w:i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  <w:w w:val="105"/>
                                      <w:sz w:val="2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alibri"/>
                                      <w:i/>
                                      <w:spacing w:val="-5"/>
                                      <w:w w:val="105"/>
                                      <w:sz w:val="2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5pt;margin-top:24.773706pt;width:334.95pt;height:127.75pt;mso-position-horizontal-relative:page;mso-position-vertical-relative:paragraph;z-index:15735808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40"/>
                        <w:gridCol w:w="582"/>
                        <w:gridCol w:w="1223"/>
                        <w:gridCol w:w="1364"/>
                        <w:gridCol w:w="768"/>
                      </w:tblGrid>
                      <w:tr>
                        <w:trPr>
                          <w:trHeight w:val="370" w:hRule="atLeast"/>
                        </w:trPr>
                        <w:tc>
                          <w:tcPr>
                            <w:tcW w:w="264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8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47"/>
                              <w:ind w:left="26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Year</w:t>
                            </w:r>
                          </w:p>
                        </w:tc>
                        <w:tc>
                          <w:tcPr>
                            <w:tcW w:w="1223" w:type="dxa"/>
                            <w:tcBorders>
                              <w:top w:val="single" w:sz="8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47"/>
                              <w:ind w:left="120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Cash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flow</w:t>
                            </w:r>
                          </w:p>
                        </w:tc>
                        <w:tc>
                          <w:tcPr>
                            <w:tcW w:w="1364" w:type="dxa"/>
                            <w:tcBorders>
                              <w:top w:val="single" w:sz="8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47"/>
                              <w:ind w:right="11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Depreciation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8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47"/>
                              <w:ind w:right="11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Profit</w:t>
                            </w:r>
                          </w:p>
                        </w:tc>
                      </w:tr>
                      <w:tr>
                        <w:trPr>
                          <w:trHeight w:val="316" w:hRule="atLeast"/>
                        </w:trPr>
                        <w:tc>
                          <w:tcPr>
                            <w:tcW w:w="264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6"/>
                              <w:ind w:left="26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23" w:type="dxa"/>
                            <w:tcBorders>
                              <w:top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6"/>
                              <w:ind w:right="18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364" w:type="dxa"/>
                            <w:tcBorders>
                              <w:top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6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67" w:lineRule="exact" w:before="30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pacing w:val="-5"/>
                                <w:sz w:val="22"/>
                              </w:rPr>
                              <w:t>−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270" w:hRule="atLeast"/>
                        </w:trPr>
                        <w:tc>
                          <w:tcPr>
                            <w:tcW w:w="264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</w:tcPr>
                          <w:p>
                            <w:pPr>
                              <w:pStyle w:val="TableParagraph"/>
                              <w:ind w:left="26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>
                            <w:pPr>
                              <w:pStyle w:val="TableParagraph"/>
                              <w:ind w:right="18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8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270" w:hRule="atLeast"/>
                        </w:trPr>
                        <w:tc>
                          <w:tcPr>
                            <w:tcW w:w="264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</w:tcPr>
                          <w:p>
                            <w:pPr>
                              <w:pStyle w:val="TableParagraph"/>
                              <w:ind w:left="26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>
                            <w:pPr>
                              <w:pStyle w:val="TableParagraph"/>
                              <w:ind w:right="18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8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</w:tr>
                      <w:tr>
                        <w:trPr>
                          <w:trHeight w:val="270" w:hRule="atLeast"/>
                        </w:trPr>
                        <w:tc>
                          <w:tcPr>
                            <w:tcW w:w="264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</w:tcPr>
                          <w:p>
                            <w:pPr>
                              <w:pStyle w:val="TableParagraph"/>
                              <w:ind w:left="26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>
                            <w:pPr>
                              <w:pStyle w:val="TableParagraph"/>
                              <w:ind w:right="18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8" w:type="dxa"/>
                          </w:tcPr>
                          <w:p>
                            <w:pPr>
                              <w:pStyle w:val="TableParagraph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15</w:t>
                            </w:r>
                          </w:p>
                        </w:tc>
                      </w:tr>
                      <w:tr>
                        <w:trPr>
                          <w:trHeight w:val="324" w:hRule="atLeast"/>
                        </w:trPr>
                        <w:tc>
                          <w:tcPr>
                            <w:tcW w:w="264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ind w:left="26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2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ind w:right="18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364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3" w:lineRule="exact"/>
                              <w:ind w:right="116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pacing w:val="-5"/>
                                <w:sz w:val="22"/>
                              </w:rPr>
                              <w:t>−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680" w:hRule="atLeast"/>
                        </w:trPr>
                        <w:tc>
                          <w:tcPr>
                            <w:tcW w:w="2640" w:type="dxa"/>
                          </w:tcPr>
                          <w:p>
                            <w:pPr>
                              <w:pStyle w:val="TableParagraph"/>
                              <w:spacing w:line="240" w:lineRule="auto" w:before="170"/>
                              <w:ind w:left="5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Average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annual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profit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£3m: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2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121"/>
                              <w:jc w:val="left"/>
                              <w:rPr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0" w:lineRule="auto"/>
                              <w:ind w:right="46"/>
                              <w:rPr>
                                <w:rFonts w:ascii="Calibri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  <w:w w:val="105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ascii="Calibri"/>
                                <w:i/>
                                <w:spacing w:val="-5"/>
                                <w:w w:val="105"/>
                                <w:sz w:val="2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36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Table</w:t>
      </w:r>
      <w:r>
        <w:rPr>
          <w:spacing w:val="-9"/>
        </w:rPr>
        <w:t> </w:t>
      </w:r>
      <w:r>
        <w:rPr/>
        <w:t>13:</w:t>
      </w:r>
      <w:r>
        <w:rPr>
          <w:spacing w:val="3"/>
        </w:rPr>
        <w:t> </w:t>
      </w:r>
      <w:r>
        <w:rPr/>
        <w:t>Project</w:t>
      </w:r>
      <w:r>
        <w:rPr>
          <w:spacing w:val="-8"/>
        </w:rPr>
        <w:t> </w:t>
      </w:r>
      <w:r>
        <w:rPr/>
        <w:t>C</w:t>
      </w:r>
      <w:r>
        <w:rPr>
          <w:spacing w:val="-9"/>
        </w:rPr>
        <w:t> </w:t>
      </w:r>
      <w:r>
        <w:rPr/>
        <w:t>—</w:t>
      </w:r>
      <w:r>
        <w:rPr>
          <w:spacing w:val="-8"/>
        </w:rPr>
        <w:t> </w:t>
      </w:r>
      <w:r>
        <w:rPr/>
        <w:t>Accounting</w:t>
      </w:r>
      <w:r>
        <w:rPr>
          <w:spacing w:val="-8"/>
        </w:rPr>
        <w:t> </w:t>
      </w:r>
      <w:r>
        <w:rPr>
          <w:spacing w:val="-2"/>
        </w:rPr>
        <w:t>Profits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2"/>
      </w:pPr>
    </w:p>
    <w:p>
      <w:pPr>
        <w:spacing w:before="0"/>
        <w:ind w:left="0" w:right="1131" w:firstLine="0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522880">
                <wp:simplePos x="0" y="0"/>
                <wp:positionH relativeFrom="page">
                  <wp:posOffset>3449104</wp:posOffset>
                </wp:positionH>
                <wp:positionV relativeFrom="paragraph">
                  <wp:posOffset>105937</wp:posOffset>
                </wp:positionV>
                <wp:extent cx="260350" cy="127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26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50" h="0">
                              <a:moveTo>
                                <a:pt x="0" y="0"/>
                              </a:moveTo>
                              <a:lnTo>
                                <a:pt x="260184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793600" from="271.583008pt,8.341523pt" to="292.070008pt,8.341523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Calibri" w:hAnsi="Calibri"/>
          <w:i/>
          <w:w w:val="130"/>
          <w:sz w:val="22"/>
        </w:rPr>
        <w:t>ARR</w:t>
      </w:r>
      <w:r>
        <w:rPr>
          <w:rFonts w:ascii="Calibri" w:hAnsi="Calibri"/>
          <w:i/>
          <w:w w:val="130"/>
          <w:sz w:val="22"/>
          <w:vertAlign w:val="subscript"/>
        </w:rPr>
        <w:t>C</w:t>
      </w:r>
      <w:r>
        <w:rPr>
          <w:rFonts w:ascii="Calibri" w:hAnsi="Calibri"/>
          <w:i/>
          <w:spacing w:val="14"/>
          <w:w w:val="130"/>
          <w:sz w:val="22"/>
          <w:vertAlign w:val="baseline"/>
        </w:rPr>
        <w:t> </w:t>
      </w:r>
      <w:r>
        <w:rPr>
          <w:rFonts w:ascii="Calibri" w:hAnsi="Calibri"/>
          <w:w w:val="130"/>
          <w:sz w:val="22"/>
          <w:vertAlign w:val="baseline"/>
        </w:rPr>
        <w:t>=</w:t>
      </w:r>
      <w:r>
        <w:rPr>
          <w:rFonts w:ascii="Calibri" w:hAnsi="Calibri"/>
          <w:spacing w:val="18"/>
          <w:w w:val="130"/>
          <w:sz w:val="22"/>
          <w:vertAlign w:val="baseline"/>
        </w:rPr>
        <w:t> </w:t>
      </w:r>
      <w:r>
        <w:rPr>
          <w:rFonts w:ascii="Calibri" w:hAnsi="Calibri"/>
          <w:w w:val="110"/>
          <w:position w:val="-14"/>
          <w:sz w:val="22"/>
          <w:vertAlign w:val="baseline"/>
        </w:rPr>
        <w:t>25</w:t>
      </w:r>
      <w:r>
        <w:rPr>
          <w:rFonts w:ascii="Calibri" w:hAnsi="Calibri"/>
          <w:i/>
          <w:w w:val="110"/>
          <w:position w:val="-14"/>
          <w:sz w:val="22"/>
          <w:vertAlign w:val="baseline"/>
        </w:rPr>
        <w:t>m</w:t>
      </w:r>
      <w:r>
        <w:rPr>
          <w:rFonts w:ascii="Calibri" w:hAnsi="Calibri"/>
          <w:i/>
          <w:spacing w:val="16"/>
          <w:w w:val="110"/>
          <w:position w:val="-14"/>
          <w:sz w:val="22"/>
          <w:vertAlign w:val="baseline"/>
        </w:rPr>
        <w:t> </w:t>
      </w:r>
      <w:r>
        <w:rPr>
          <w:rFonts w:ascii="Verdana" w:hAnsi="Verdana"/>
          <w:i/>
          <w:w w:val="110"/>
          <w:sz w:val="22"/>
          <w:vertAlign w:val="baseline"/>
        </w:rPr>
        <w:t>×</w:t>
      </w:r>
      <w:r>
        <w:rPr>
          <w:rFonts w:ascii="Verdana" w:hAnsi="Verdana"/>
          <w:i/>
          <w:spacing w:val="-36"/>
          <w:w w:val="110"/>
          <w:sz w:val="22"/>
          <w:vertAlign w:val="baseline"/>
        </w:rPr>
        <w:t> </w:t>
      </w:r>
      <w:r>
        <w:rPr>
          <w:rFonts w:ascii="Calibri" w:hAnsi="Calibri"/>
          <w:w w:val="110"/>
          <w:sz w:val="22"/>
          <w:vertAlign w:val="baseline"/>
        </w:rPr>
        <w:t>100</w:t>
      </w:r>
      <w:r>
        <w:rPr>
          <w:rFonts w:ascii="Calibri" w:hAnsi="Calibri"/>
          <w:spacing w:val="-6"/>
          <w:w w:val="130"/>
          <w:sz w:val="22"/>
          <w:vertAlign w:val="baseline"/>
        </w:rPr>
        <w:t> </w:t>
      </w:r>
      <w:r>
        <w:rPr>
          <w:rFonts w:ascii="Calibri" w:hAnsi="Calibri"/>
          <w:w w:val="130"/>
          <w:sz w:val="22"/>
          <w:vertAlign w:val="baseline"/>
        </w:rPr>
        <w:t>=</w:t>
      </w:r>
      <w:r>
        <w:rPr>
          <w:rFonts w:ascii="Calibri" w:hAnsi="Calibri"/>
          <w:spacing w:val="-5"/>
          <w:w w:val="130"/>
          <w:sz w:val="22"/>
          <w:vertAlign w:val="baseline"/>
        </w:rPr>
        <w:t> </w:t>
      </w:r>
      <w:r>
        <w:rPr>
          <w:rFonts w:ascii="Calibri" w:hAnsi="Calibri"/>
          <w:spacing w:val="-2"/>
          <w:w w:val="110"/>
          <w:sz w:val="22"/>
          <w:vertAlign w:val="baseline"/>
        </w:rPr>
        <w:t>12</w:t>
      </w:r>
      <w:r>
        <w:rPr>
          <w:rFonts w:ascii="Calibri" w:hAnsi="Calibri"/>
          <w:i/>
          <w:spacing w:val="-2"/>
          <w:w w:val="110"/>
          <w:sz w:val="22"/>
          <w:vertAlign w:val="baseline"/>
        </w:rPr>
        <w:t>.</w:t>
      </w:r>
      <w:r>
        <w:rPr>
          <w:rFonts w:ascii="Calibri" w:hAnsi="Calibri"/>
          <w:spacing w:val="-2"/>
          <w:w w:val="110"/>
          <w:sz w:val="22"/>
          <w:vertAlign w:val="baseline"/>
        </w:rPr>
        <w:t>00%</w:t>
      </w:r>
    </w:p>
    <w:p>
      <w:pPr>
        <w:pStyle w:val="BodyText"/>
        <w:spacing w:before="123"/>
        <w:ind w:left="165"/>
      </w:pPr>
      <w:r>
        <w:rPr/>
        <w:t>Project</w:t>
      </w:r>
      <w:r>
        <w:rPr>
          <w:spacing w:val="-6"/>
        </w:rPr>
        <w:t> </w:t>
      </w:r>
      <w:r>
        <w:rPr/>
        <w:t>C</w:t>
      </w:r>
      <w:r>
        <w:rPr>
          <w:spacing w:val="-6"/>
        </w:rPr>
        <w:t> </w:t>
      </w:r>
      <w:r>
        <w:rPr/>
        <w:t>therefore</w:t>
      </w:r>
      <w:r>
        <w:rPr>
          <w:spacing w:val="-5"/>
        </w:rPr>
        <w:t> </w:t>
      </w:r>
      <w:r>
        <w:rPr/>
        <w:t>has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highest</w:t>
      </w:r>
      <w:r>
        <w:rPr>
          <w:spacing w:val="-5"/>
        </w:rPr>
        <w:t> </w:t>
      </w:r>
      <w:r>
        <w:rPr>
          <w:spacing w:val="-4"/>
        </w:rPr>
        <w:t>ARR.</w:t>
      </w:r>
    </w:p>
    <w:p>
      <w:pPr>
        <w:pStyle w:val="BodyText"/>
        <w:spacing w:before="59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Net Present Value" w:id="50"/>
      <w:bookmarkEnd w:id="50"/>
      <w:r>
        <w:rPr>
          <w:b w:val="0"/>
        </w:rPr>
      </w:r>
      <w:bookmarkStart w:name="_bookmark25" w:id="51"/>
      <w:bookmarkEnd w:id="51"/>
      <w:r>
        <w:rPr>
          <w:b w:val="0"/>
        </w:rPr>
      </w:r>
      <w:r>
        <w:rPr>
          <w:color w:val="0E2C59"/>
        </w:rPr>
        <w:t>Net</w:t>
      </w:r>
      <w:r>
        <w:rPr>
          <w:color w:val="0E2C59"/>
          <w:spacing w:val="-10"/>
        </w:rPr>
        <w:t> </w:t>
      </w:r>
      <w:r>
        <w:rPr>
          <w:color w:val="0E2C59"/>
        </w:rPr>
        <w:t>Present</w:t>
      </w:r>
      <w:r>
        <w:rPr>
          <w:color w:val="0E2C59"/>
          <w:spacing w:val="-9"/>
        </w:rPr>
        <w:t> </w:t>
      </w:r>
      <w:r>
        <w:rPr>
          <w:color w:val="0E2C59"/>
          <w:spacing w:val="-4"/>
        </w:rPr>
        <w:t>Value</w:t>
      </w:r>
    </w:p>
    <w:p>
      <w:pPr>
        <w:pStyle w:val="BodyText"/>
        <w:spacing w:before="145"/>
        <w:ind w:left="165"/>
      </w:pPr>
      <w:r>
        <w:rPr/>
        <w:t>The</w:t>
      </w:r>
      <w:r>
        <w:rPr>
          <w:spacing w:val="-14"/>
        </w:rPr>
        <w:t> </w:t>
      </w:r>
      <w:r>
        <w:rPr/>
        <w:t>discount</w:t>
      </w:r>
      <w:r>
        <w:rPr>
          <w:spacing w:val="-7"/>
        </w:rPr>
        <w:t> </w:t>
      </w:r>
      <w:r>
        <w:rPr/>
        <w:t>rate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8%.</w:t>
      </w:r>
      <w:r>
        <w:rPr>
          <w:spacing w:val="5"/>
        </w:rPr>
        <w:t> </w:t>
      </w:r>
      <w:r>
        <w:rPr/>
        <w:t>NPV</w:t>
      </w:r>
      <w:r>
        <w:rPr>
          <w:spacing w:val="-7"/>
        </w:rPr>
        <w:t> </w:t>
      </w:r>
      <w:r>
        <w:rPr/>
        <w:t>=</w:t>
      </w:r>
      <w:r>
        <w:rPr>
          <w:spacing w:val="-7"/>
        </w:rPr>
        <w:t> </w:t>
      </w:r>
      <w:r>
        <w:rPr/>
        <w:t>present</w:t>
      </w:r>
      <w:r>
        <w:rPr>
          <w:spacing w:val="-7"/>
        </w:rPr>
        <w:t> </w:t>
      </w:r>
      <w:r>
        <w:rPr/>
        <w:t>value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future</w:t>
      </w:r>
      <w:r>
        <w:rPr>
          <w:spacing w:val="-7"/>
        </w:rPr>
        <w:t> </w:t>
      </w:r>
      <w:r>
        <w:rPr/>
        <w:t>cash</w:t>
      </w:r>
      <w:r>
        <w:rPr>
          <w:spacing w:val="-7"/>
        </w:rPr>
        <w:t> </w:t>
      </w:r>
      <w:r>
        <w:rPr/>
        <w:t>flows</w:t>
      </w:r>
      <w:r>
        <w:rPr>
          <w:spacing w:val="-7"/>
        </w:rPr>
        <w:t> </w:t>
      </w:r>
      <w:r>
        <w:rPr>
          <w:rFonts w:ascii="Verdana" w:hAnsi="Verdana"/>
          <w:i/>
        </w:rPr>
        <w:t>−</w:t>
      </w:r>
      <w:r>
        <w:rPr>
          <w:rFonts w:ascii="Verdana" w:hAnsi="Verdana"/>
          <w:i/>
          <w:spacing w:val="-23"/>
        </w:rPr>
        <w:t> </w:t>
      </w:r>
      <w:r>
        <w:rPr/>
        <w:t>initial</w:t>
      </w:r>
      <w:r>
        <w:rPr>
          <w:spacing w:val="-7"/>
        </w:rPr>
        <w:t> </w:t>
      </w:r>
      <w:r>
        <w:rPr>
          <w:spacing w:val="-2"/>
        </w:rPr>
        <w:t>investment.</w:t>
      </w:r>
    </w:p>
    <w:p>
      <w:pPr>
        <w:pStyle w:val="BodyText"/>
        <w:spacing w:before="193"/>
        <w:ind w:right="1131"/>
        <w:jc w:val="center"/>
      </w:pPr>
      <w:r>
        <w:rPr/>
        <w:t>Table</w:t>
      </w:r>
      <w:r>
        <w:rPr>
          <w:spacing w:val="-12"/>
        </w:rPr>
        <w:t> </w:t>
      </w:r>
      <w:r>
        <w:rPr/>
        <w:t>14:</w:t>
      </w:r>
      <w:r>
        <w:rPr>
          <w:spacing w:val="-2"/>
        </w:rPr>
        <w:t> </w:t>
      </w:r>
      <w:r>
        <w:rPr/>
        <w:t>Net</w:t>
      </w:r>
      <w:r>
        <w:rPr>
          <w:spacing w:val="-11"/>
        </w:rPr>
        <w:t> </w:t>
      </w:r>
      <w:r>
        <w:rPr/>
        <w:t>Present</w:t>
      </w:r>
      <w:r>
        <w:rPr>
          <w:spacing w:val="-12"/>
        </w:rPr>
        <w:t> </w:t>
      </w:r>
      <w:r>
        <w:rPr/>
        <w:t>Value</w:t>
      </w:r>
      <w:r>
        <w:rPr>
          <w:spacing w:val="-12"/>
        </w:rPr>
        <w:t> </w:t>
      </w:r>
      <w:r>
        <w:rPr/>
        <w:t>at</w:t>
      </w:r>
      <w:r>
        <w:rPr>
          <w:spacing w:val="-12"/>
        </w:rPr>
        <w:t> </w:t>
      </w:r>
      <w:r>
        <w:rPr>
          <w:spacing w:val="-5"/>
        </w:rPr>
        <w:t>8%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35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4"/>
        <w:gridCol w:w="1306"/>
      </w:tblGrid>
      <w:tr>
        <w:trPr>
          <w:trHeight w:val="370" w:hRule="atLeast"/>
        </w:trPr>
        <w:tc>
          <w:tcPr>
            <w:tcW w:w="91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Project</w:t>
            </w:r>
          </w:p>
        </w:tc>
        <w:tc>
          <w:tcPr>
            <w:tcW w:w="130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NPV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8%</w:t>
            </w:r>
          </w:p>
        </w:tc>
      </w:tr>
      <w:tr>
        <w:trPr>
          <w:trHeight w:val="316" w:hRule="atLeast"/>
        </w:trPr>
        <w:tc>
          <w:tcPr>
            <w:tcW w:w="9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130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7" w:lineRule="exact" w:before="30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£6.54m</w:t>
            </w:r>
          </w:p>
        </w:tc>
      </w:tr>
      <w:tr>
        <w:trPr>
          <w:trHeight w:val="270" w:hRule="atLeast"/>
        </w:trPr>
        <w:tc>
          <w:tcPr>
            <w:tcW w:w="91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B</w:t>
            </w:r>
          </w:p>
        </w:tc>
        <w:tc>
          <w:tcPr>
            <w:tcW w:w="130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£6.08m</w:t>
            </w:r>
          </w:p>
        </w:tc>
      </w:tr>
      <w:tr>
        <w:trPr>
          <w:trHeight w:val="324" w:hRule="atLeast"/>
        </w:trPr>
        <w:tc>
          <w:tcPr>
            <w:tcW w:w="9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  <w:tc>
          <w:tcPr>
            <w:tcW w:w="130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65" w:lineRule="exact"/>
              <w:ind w:right="118"/>
              <w:rPr>
                <w:sz w:val="22"/>
              </w:rPr>
            </w:pPr>
            <w:r>
              <w:rPr>
                <w:rFonts w:ascii="Calibri" w:hAnsi="Calibri"/>
                <w:spacing w:val="-2"/>
                <w:w w:val="105"/>
                <w:sz w:val="22"/>
              </w:rPr>
              <w:t>+</w:t>
            </w:r>
            <w:r>
              <w:rPr>
                <w:spacing w:val="-2"/>
                <w:w w:val="105"/>
                <w:sz w:val="22"/>
              </w:rPr>
              <w:t>£0.86m</w:t>
            </w:r>
          </w:p>
        </w:tc>
      </w:tr>
    </w:tbl>
    <w:p>
      <w:pPr>
        <w:pStyle w:val="BodyText"/>
        <w:spacing w:line="256" w:lineRule="auto" w:before="220"/>
        <w:ind w:left="165" w:right="1296"/>
        <w:jc w:val="both"/>
      </w:pPr>
      <w:r>
        <w:rPr/>
        <w:t>Project C is the only project with a positive NPV. A positive NPV means that the project is expected to create value above the required 8% return; Projects A and B have negative NPVs, meaning their expected returns are below the required rate. NPV therefore strongly supports Project C.</w:t>
      </w:r>
    </w:p>
    <w:p>
      <w:pPr>
        <w:pStyle w:val="BodyText"/>
        <w:spacing w:after="0" w:line="256" w:lineRule="auto"/>
        <w:jc w:val="both"/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137" w:after="0"/>
        <w:ind w:left="702" w:right="0" w:hanging="537"/>
        <w:jc w:val="left"/>
      </w:pPr>
      <w:bookmarkStart w:name="Profitability Index" w:id="52"/>
      <w:bookmarkEnd w:id="52"/>
      <w:r>
        <w:rPr>
          <w:b w:val="0"/>
        </w:rPr>
      </w:r>
      <w:bookmarkStart w:name="_bookmark26" w:id="53"/>
      <w:bookmarkEnd w:id="53"/>
      <w:r>
        <w:rPr>
          <w:b w:val="0"/>
        </w:rPr>
      </w:r>
      <w:r>
        <w:rPr>
          <w:color w:val="0E2C59"/>
          <w:spacing w:val="-2"/>
        </w:rPr>
        <w:t>Profitability</w:t>
      </w:r>
      <w:r>
        <w:rPr>
          <w:color w:val="0E2C59"/>
          <w:spacing w:val="-3"/>
        </w:rPr>
        <w:t> </w:t>
      </w:r>
      <w:r>
        <w:rPr>
          <w:color w:val="0E2C59"/>
          <w:spacing w:val="-2"/>
        </w:rPr>
        <w:t>Index</w:t>
      </w:r>
    </w:p>
    <w:p>
      <w:pPr>
        <w:pStyle w:val="BodyText"/>
        <w:spacing w:before="7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before="202"/>
        <w:ind w:left="0" w:right="0" w:firstLine="0"/>
        <w:jc w:val="right"/>
        <w:rPr>
          <w:rFonts w:ascii="Calibri"/>
          <w:sz w:val="22"/>
        </w:rPr>
      </w:pPr>
      <w:r>
        <w:rPr>
          <w:rFonts w:ascii="Calibri"/>
          <w:i/>
          <w:spacing w:val="15"/>
          <w:w w:val="150"/>
          <w:sz w:val="22"/>
        </w:rPr>
        <w:t>PI</w:t>
      </w:r>
      <w:r>
        <w:rPr>
          <w:rFonts w:ascii="Calibri"/>
          <w:i/>
          <w:spacing w:val="-17"/>
          <w:w w:val="150"/>
          <w:sz w:val="22"/>
        </w:rPr>
        <w:t> </w:t>
      </w:r>
      <w:r>
        <w:rPr>
          <w:rFonts w:ascii="Calibri"/>
          <w:spacing w:val="-10"/>
          <w:w w:val="150"/>
          <w:sz w:val="22"/>
        </w:rPr>
        <w:t>=</w:t>
      </w:r>
    </w:p>
    <w:p>
      <w:pPr>
        <w:spacing w:line="266" w:lineRule="auto" w:before="54"/>
        <w:ind w:left="865" w:right="2329" w:hanging="822"/>
        <w:jc w:val="left"/>
        <w:rPr>
          <w:rFonts w:ascii="Calibri"/>
          <w:i/>
          <w:sz w:val="22"/>
        </w:rPr>
      </w:pPr>
      <w:r>
        <w:rPr/>
        <w:br w:type="column"/>
      </w:r>
      <w:r>
        <w:rPr>
          <w:rFonts w:ascii="Calibri"/>
          <w:i/>
          <w:w w:val="110"/>
          <w:sz w:val="22"/>
        </w:rPr>
        <w:t>PresentV alueof</w:t>
      </w:r>
      <w:r>
        <w:rPr>
          <w:rFonts w:ascii="Calibri"/>
          <w:i/>
          <w:spacing w:val="-23"/>
          <w:w w:val="110"/>
          <w:sz w:val="22"/>
        </w:rPr>
        <w:t> </w:t>
      </w:r>
      <w:r>
        <w:rPr>
          <w:rFonts w:ascii="Calibri"/>
          <w:i/>
          <w:w w:val="110"/>
          <w:sz w:val="22"/>
        </w:rPr>
        <w:t>FutureCashFlows </w:t>
      </w:r>
      <w:r>
        <w:rPr>
          <w:rFonts w:ascii="Calibri"/>
          <w:i/>
          <w:spacing w:val="-2"/>
          <w:w w:val="115"/>
          <w:sz w:val="22"/>
        </w:rPr>
        <w:t>InitialInvestment</w:t>
      </w:r>
    </w:p>
    <w:p>
      <w:pPr>
        <w:pStyle w:val="BodyText"/>
        <w:spacing w:before="85"/>
        <w:rPr>
          <w:rFonts w:ascii="Calibri"/>
          <w:i/>
        </w:rPr>
      </w:pPr>
    </w:p>
    <w:p>
      <w:pPr>
        <w:pStyle w:val="BodyText"/>
        <w:ind w:left="24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2869082</wp:posOffset>
                </wp:positionH>
                <wp:positionV relativeFrom="paragraph">
                  <wp:posOffset>-410643</wp:posOffset>
                </wp:positionV>
                <wp:extent cx="2186940" cy="127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186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6940" h="0">
                              <a:moveTo>
                                <a:pt x="0" y="0"/>
                              </a:moveTo>
                              <a:lnTo>
                                <a:pt x="2186520" y="0"/>
                              </a:lnTo>
                            </a:path>
                          </a:pathLst>
                        </a:custGeom>
                        <a:ln w="50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25.912003pt,-32.334156pt" to="398.079003pt,-32.334156pt" stroked="true" strokeweight=".398pt" strokecolor="#000000">
                <v:stroke dashstyle="solid"/>
                <w10:wrap type="none"/>
              </v:line>
            </w:pict>
          </mc:Fallback>
        </mc:AlternateContent>
      </w:r>
      <w:r>
        <w:rPr/>
        <w:t>Table</w:t>
      </w:r>
      <w:r>
        <w:rPr>
          <w:spacing w:val="-14"/>
        </w:rPr>
        <w:t> </w:t>
      </w:r>
      <w:r>
        <w:rPr/>
        <w:t>15:</w:t>
      </w:r>
      <w:r>
        <w:rPr>
          <w:spacing w:val="-10"/>
        </w:rPr>
        <w:t> </w:t>
      </w:r>
      <w:r>
        <w:rPr/>
        <w:t>Profitability</w:t>
      </w:r>
      <w:r>
        <w:rPr>
          <w:spacing w:val="-14"/>
        </w:rPr>
        <w:t> </w:t>
      </w:r>
      <w:r>
        <w:rPr>
          <w:spacing w:val="-4"/>
        </w:rPr>
        <w:t>Index</w:t>
      </w:r>
    </w:p>
    <w:p>
      <w:pPr>
        <w:pStyle w:val="BodyText"/>
        <w:spacing w:after="0"/>
        <w:sectPr>
          <w:type w:val="continuous"/>
          <w:pgSz w:w="11910" w:h="16840"/>
          <w:pgMar w:header="686" w:footer="0" w:top="1920" w:bottom="280" w:left="1275" w:right="141"/>
          <w:cols w:num="2" w:equalWidth="0">
            <w:col w:w="3159" w:space="40"/>
            <w:col w:w="7295"/>
          </w:cols>
        </w:sectPr>
      </w:pP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38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4"/>
        <w:gridCol w:w="730"/>
      </w:tblGrid>
      <w:tr>
        <w:trPr>
          <w:trHeight w:val="370" w:hRule="atLeast"/>
        </w:trPr>
        <w:tc>
          <w:tcPr>
            <w:tcW w:w="91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Project</w:t>
            </w:r>
          </w:p>
        </w:tc>
        <w:tc>
          <w:tcPr>
            <w:tcW w:w="73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PI</w:t>
            </w:r>
          </w:p>
        </w:tc>
      </w:tr>
      <w:tr>
        <w:trPr>
          <w:trHeight w:val="316" w:hRule="atLeast"/>
        </w:trPr>
        <w:tc>
          <w:tcPr>
            <w:tcW w:w="9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73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0.869</w:t>
            </w:r>
          </w:p>
        </w:tc>
      </w:tr>
      <w:tr>
        <w:trPr>
          <w:trHeight w:val="270" w:hRule="atLeast"/>
        </w:trPr>
        <w:tc>
          <w:tcPr>
            <w:tcW w:w="91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B</w:t>
            </w:r>
          </w:p>
        </w:tc>
        <w:tc>
          <w:tcPr>
            <w:tcW w:w="73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0.878</w:t>
            </w:r>
          </w:p>
        </w:tc>
      </w:tr>
      <w:tr>
        <w:trPr>
          <w:trHeight w:val="324" w:hRule="atLeast"/>
        </w:trPr>
        <w:tc>
          <w:tcPr>
            <w:tcW w:w="9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  <w:tc>
          <w:tcPr>
            <w:tcW w:w="73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1.017</w:t>
            </w:r>
          </w:p>
        </w:tc>
      </w:tr>
    </w:tbl>
    <w:p>
      <w:pPr>
        <w:pStyle w:val="BodyText"/>
        <w:spacing w:line="256" w:lineRule="auto" w:before="193"/>
        <w:ind w:left="165" w:right="1296"/>
        <w:jc w:val="both"/>
      </w:pPr>
      <w:r>
        <w:rPr/>
        <w:t>A</w:t>
      </w:r>
      <w:r>
        <w:rPr>
          <w:spacing w:val="-1"/>
        </w:rPr>
        <w:t> </w:t>
      </w:r>
      <w:r>
        <w:rPr/>
        <w:t>PI</w:t>
      </w:r>
      <w:r>
        <w:rPr>
          <w:spacing w:val="-1"/>
        </w:rPr>
        <w:t> </w:t>
      </w:r>
      <w:r>
        <w:rPr/>
        <w:t>above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indicates</w:t>
      </w:r>
      <w:r>
        <w:rPr>
          <w:spacing w:val="-1"/>
        </w:rPr>
        <w:t> </w:t>
      </w:r>
      <w:r>
        <w:rPr/>
        <w:t>value</w:t>
      </w:r>
      <w:r>
        <w:rPr>
          <w:spacing w:val="-1"/>
        </w:rPr>
        <w:t> </w:t>
      </w:r>
      <w:r>
        <w:rPr/>
        <w:t>creation.</w:t>
      </w:r>
      <w:r>
        <w:rPr>
          <w:spacing w:val="23"/>
        </w:rPr>
        <w:t> </w:t>
      </w:r>
      <w:r>
        <w:rPr/>
        <w:t>Project</w:t>
      </w:r>
      <w:r>
        <w:rPr>
          <w:spacing w:val="-1"/>
        </w:rPr>
        <w:t> </w:t>
      </w:r>
      <w:r>
        <w:rPr/>
        <w:t>C</w:t>
      </w:r>
      <w:r>
        <w:rPr>
          <w:spacing w:val="-1"/>
        </w:rPr>
        <w:t> </w:t>
      </w:r>
      <w:r>
        <w:rPr/>
        <w:t>has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PI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approximately</w:t>
      </w:r>
      <w:r>
        <w:rPr>
          <w:spacing w:val="-1"/>
        </w:rPr>
        <w:t> </w:t>
      </w:r>
      <w:r>
        <w:rPr/>
        <w:t>1.017, meaning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present value of its future cash inflows is slightly greater than its initial investment.</w:t>
      </w:r>
      <w:r>
        <w:rPr>
          <w:spacing w:val="32"/>
        </w:rPr>
        <w:t> </w:t>
      </w:r>
      <w:r>
        <w:rPr/>
        <w:t>Projects A and B have PI values below 1, so Project C is again the preferred project.</w:t>
      </w:r>
    </w:p>
    <w:p>
      <w:pPr>
        <w:pStyle w:val="BodyText"/>
        <w:spacing w:before="5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Internal Rate of Return" w:id="54"/>
      <w:bookmarkEnd w:id="54"/>
      <w:r>
        <w:rPr>
          <w:b w:val="0"/>
        </w:rPr>
      </w:r>
      <w:bookmarkStart w:name="_bookmark27" w:id="55"/>
      <w:bookmarkEnd w:id="55"/>
      <w:r>
        <w:rPr>
          <w:b w:val="0"/>
        </w:rPr>
      </w:r>
      <w:r>
        <w:rPr>
          <w:color w:val="0E2C59"/>
        </w:rPr>
        <w:t>Internal</w:t>
      </w:r>
      <w:r>
        <w:rPr>
          <w:color w:val="0E2C59"/>
          <w:spacing w:val="-8"/>
        </w:rPr>
        <w:t> </w:t>
      </w:r>
      <w:r>
        <w:rPr>
          <w:color w:val="0E2C59"/>
        </w:rPr>
        <w:t>Rate</w:t>
      </w:r>
      <w:r>
        <w:rPr>
          <w:color w:val="0E2C59"/>
          <w:spacing w:val="-7"/>
        </w:rPr>
        <w:t> </w:t>
      </w:r>
      <w:r>
        <w:rPr>
          <w:color w:val="0E2C59"/>
        </w:rPr>
        <w:t>of</w:t>
      </w:r>
      <w:r>
        <w:rPr>
          <w:color w:val="0E2C59"/>
          <w:spacing w:val="-8"/>
        </w:rPr>
        <w:t> </w:t>
      </w:r>
      <w:r>
        <w:rPr>
          <w:color w:val="0E2C59"/>
          <w:spacing w:val="-2"/>
        </w:rPr>
        <w:t>Return</w:t>
      </w:r>
    </w:p>
    <w:p>
      <w:pPr>
        <w:pStyle w:val="BodyText"/>
        <w:spacing w:before="14"/>
        <w:rPr>
          <w:b/>
        </w:rPr>
      </w:pPr>
    </w:p>
    <w:p>
      <w:pPr>
        <w:pStyle w:val="BodyText"/>
        <w:ind w:right="1131"/>
        <w:jc w:val="center"/>
      </w:pPr>
      <w:r>
        <w:rPr/>
        <w:t>Table</w:t>
      </w:r>
      <w:r>
        <w:rPr>
          <w:spacing w:val="-9"/>
        </w:rPr>
        <w:t> </w:t>
      </w:r>
      <w:r>
        <w:rPr/>
        <w:t>16:</w:t>
      </w:r>
      <w:r>
        <w:rPr>
          <w:spacing w:val="3"/>
        </w:rPr>
        <w:t> </w:t>
      </w:r>
      <w:r>
        <w:rPr/>
        <w:t>Internal</w:t>
      </w:r>
      <w:r>
        <w:rPr>
          <w:spacing w:val="-8"/>
        </w:rPr>
        <w:t> </w:t>
      </w:r>
      <w:r>
        <w:rPr/>
        <w:t>Rate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2"/>
        </w:rPr>
        <w:t>Return</w:t>
      </w: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38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4"/>
        <w:gridCol w:w="803"/>
      </w:tblGrid>
      <w:tr>
        <w:trPr>
          <w:trHeight w:val="370" w:hRule="atLeast"/>
        </w:trPr>
        <w:tc>
          <w:tcPr>
            <w:tcW w:w="91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Project</w:t>
            </w:r>
          </w:p>
        </w:tc>
        <w:tc>
          <w:tcPr>
            <w:tcW w:w="803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IRR</w:t>
            </w:r>
          </w:p>
        </w:tc>
      </w:tr>
      <w:tr>
        <w:trPr>
          <w:trHeight w:val="316" w:hRule="atLeast"/>
        </w:trPr>
        <w:tc>
          <w:tcPr>
            <w:tcW w:w="91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A</w:t>
            </w:r>
          </w:p>
        </w:tc>
        <w:tc>
          <w:tcPr>
            <w:tcW w:w="80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2.72%</w:t>
            </w:r>
          </w:p>
        </w:tc>
      </w:tr>
      <w:tr>
        <w:trPr>
          <w:trHeight w:val="270" w:hRule="atLeast"/>
        </w:trPr>
        <w:tc>
          <w:tcPr>
            <w:tcW w:w="91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B</w:t>
            </w:r>
          </w:p>
        </w:tc>
        <w:tc>
          <w:tcPr>
            <w:tcW w:w="803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3.26%</w:t>
            </w:r>
          </w:p>
        </w:tc>
      </w:tr>
      <w:tr>
        <w:trPr>
          <w:trHeight w:val="324" w:hRule="atLeast"/>
        </w:trPr>
        <w:tc>
          <w:tcPr>
            <w:tcW w:w="9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  <w:tc>
          <w:tcPr>
            <w:tcW w:w="80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8.59%</w:t>
            </w:r>
          </w:p>
        </w:tc>
      </w:tr>
    </w:tbl>
    <w:p>
      <w:pPr>
        <w:pStyle w:val="BodyText"/>
        <w:spacing w:line="256" w:lineRule="auto" w:before="213"/>
        <w:ind w:left="165" w:right="1296"/>
        <w:jc w:val="both"/>
      </w:pPr>
      <w:r>
        <w:rPr/>
        <w:t>The required return is 8%.</w:t>
      </w:r>
      <w:r>
        <w:rPr>
          <w:spacing w:val="40"/>
        </w:rPr>
        <w:t> </w:t>
      </w:r>
      <w:r>
        <w:rPr/>
        <w:t>Project C’s IRR of approximately 8.59% is above the required 8%, while Projects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</w:t>
      </w:r>
      <w:r>
        <w:rPr>
          <w:spacing w:val="-3"/>
        </w:rPr>
        <w:t> </w:t>
      </w:r>
      <w:r>
        <w:rPr/>
        <w:t>have</w:t>
      </w:r>
      <w:r>
        <w:rPr>
          <w:spacing w:val="-3"/>
        </w:rPr>
        <w:t> </w:t>
      </w:r>
      <w:r>
        <w:rPr/>
        <w:t>IRRs</w:t>
      </w:r>
      <w:r>
        <w:rPr>
          <w:spacing w:val="-3"/>
        </w:rPr>
        <w:t> </w:t>
      </w:r>
      <w:r>
        <w:rPr/>
        <w:t>below</w:t>
      </w:r>
      <w:r>
        <w:rPr>
          <w:spacing w:val="-3"/>
        </w:rPr>
        <w:t> </w:t>
      </w:r>
      <w:r>
        <w:rPr/>
        <w:t>8%.</w:t>
      </w:r>
      <w:r>
        <w:rPr>
          <w:spacing w:val="16"/>
        </w:rPr>
        <w:t> </w:t>
      </w:r>
      <w:r>
        <w:rPr/>
        <w:t>Project</w:t>
      </w:r>
      <w:r>
        <w:rPr>
          <w:spacing w:val="-3"/>
        </w:rPr>
        <w:t> </w:t>
      </w:r>
      <w:r>
        <w:rPr/>
        <w:t>C</w:t>
      </w:r>
      <w:r>
        <w:rPr>
          <w:spacing w:val="-3"/>
        </w:rPr>
        <w:t> </w:t>
      </w:r>
      <w:r>
        <w:rPr/>
        <w:t>therefore</w:t>
      </w:r>
      <w:r>
        <w:rPr>
          <w:spacing w:val="-3"/>
        </w:rPr>
        <w:t> </w:t>
      </w:r>
      <w:r>
        <w:rPr/>
        <w:t>passes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IRR</w:t>
      </w:r>
      <w:r>
        <w:rPr>
          <w:spacing w:val="-3"/>
        </w:rPr>
        <w:t> </w:t>
      </w:r>
      <w:r>
        <w:rPr/>
        <w:t>test</w:t>
      </w:r>
      <w:r>
        <w:rPr>
          <w:spacing w:val="-3"/>
        </w:rPr>
        <w:t> </w:t>
      </w:r>
      <w:r>
        <w:rPr/>
        <w:t>while</w:t>
      </w:r>
      <w:r>
        <w:rPr>
          <w:spacing w:val="-3"/>
        </w:rPr>
        <w:t> </w:t>
      </w:r>
      <w:r>
        <w:rPr/>
        <w:t>Projects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 </w:t>
      </w:r>
      <w:r>
        <w:rPr>
          <w:spacing w:val="-2"/>
        </w:rPr>
        <w:t>fail.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Overall Project Comparison" w:id="56"/>
      <w:bookmarkEnd w:id="56"/>
      <w:r>
        <w:rPr>
          <w:b w:val="0"/>
        </w:rPr>
      </w:r>
      <w:bookmarkStart w:name="_bookmark28" w:id="57"/>
      <w:bookmarkEnd w:id="57"/>
      <w:r>
        <w:rPr>
          <w:b w:val="0"/>
        </w:rPr>
      </w:r>
      <w:r>
        <w:rPr>
          <w:color w:val="0E2C59"/>
        </w:rPr>
        <w:t>Overall</w:t>
      </w:r>
      <w:r>
        <w:rPr>
          <w:color w:val="0E2C59"/>
          <w:spacing w:val="-13"/>
        </w:rPr>
        <w:t> </w:t>
      </w:r>
      <w:r>
        <w:rPr>
          <w:color w:val="0E2C59"/>
        </w:rPr>
        <w:t>Project</w:t>
      </w:r>
      <w:r>
        <w:rPr>
          <w:color w:val="0E2C59"/>
          <w:spacing w:val="-13"/>
        </w:rPr>
        <w:t> </w:t>
      </w:r>
      <w:r>
        <w:rPr>
          <w:color w:val="0E2C59"/>
          <w:spacing w:val="-2"/>
        </w:rPr>
        <w:t>Comparison</w:t>
      </w:r>
    </w:p>
    <w:p>
      <w:pPr>
        <w:pStyle w:val="BodyText"/>
        <w:spacing w:before="267"/>
        <w:ind w:right="1131"/>
        <w:jc w:val="center"/>
      </w:pPr>
      <w:r>
        <w:rPr/>
        <w:t>Table</w:t>
      </w:r>
      <w:r>
        <w:rPr>
          <w:spacing w:val="-12"/>
        </w:rPr>
        <w:t> </w:t>
      </w:r>
      <w:r>
        <w:rPr/>
        <w:t>17:</w:t>
      </w:r>
      <w:r>
        <w:rPr>
          <w:spacing w:val="-2"/>
        </w:rPr>
        <w:t> </w:t>
      </w:r>
      <w:r>
        <w:rPr/>
        <w:t>Summary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Investment</w:t>
      </w:r>
      <w:r>
        <w:rPr>
          <w:spacing w:val="-12"/>
        </w:rPr>
        <w:t> </w:t>
      </w:r>
      <w:r>
        <w:rPr/>
        <w:t>Appraisal</w:t>
      </w:r>
      <w:r>
        <w:rPr>
          <w:spacing w:val="-12"/>
        </w:rPr>
        <w:t> </w:t>
      </w:r>
      <w:r>
        <w:rPr>
          <w:spacing w:val="-2"/>
        </w:rPr>
        <w:t>Methods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2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6"/>
        <w:gridCol w:w="1136"/>
        <w:gridCol w:w="1136"/>
        <w:gridCol w:w="1136"/>
        <w:gridCol w:w="639"/>
      </w:tblGrid>
      <w:tr>
        <w:trPr>
          <w:trHeight w:val="370" w:hRule="atLeast"/>
        </w:trPr>
        <w:tc>
          <w:tcPr>
            <w:tcW w:w="96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Method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A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B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C</w:t>
            </w:r>
          </w:p>
        </w:tc>
        <w:tc>
          <w:tcPr>
            <w:tcW w:w="639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Best</w:t>
            </w:r>
          </w:p>
        </w:tc>
      </w:tr>
      <w:tr>
        <w:trPr>
          <w:trHeight w:val="316" w:hRule="atLeast"/>
        </w:trPr>
        <w:tc>
          <w:tcPr>
            <w:tcW w:w="96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PBP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z w:val="22"/>
              </w:rPr>
              <w:t>4.50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z w:val="22"/>
              </w:rPr>
              <w:t>4.55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z w:val="22"/>
              </w:rPr>
              <w:t>3.60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  <w:tc>
          <w:tcPr>
            <w:tcW w:w="6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</w:tr>
      <w:tr>
        <w:trPr>
          <w:trHeight w:val="270" w:hRule="atLeast"/>
        </w:trPr>
        <w:tc>
          <w:tcPr>
            <w:tcW w:w="966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ARR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3.20%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4.00%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12.00%</w:t>
            </w:r>
          </w:p>
        </w:tc>
        <w:tc>
          <w:tcPr>
            <w:tcW w:w="6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</w:tr>
      <w:tr>
        <w:trPr>
          <w:trHeight w:val="270" w:hRule="atLeast"/>
        </w:trPr>
        <w:tc>
          <w:tcPr>
            <w:tcW w:w="966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NPV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£6.54m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£6.08m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rFonts w:ascii="Calibri" w:hAnsi="Calibri"/>
                <w:spacing w:val="-2"/>
                <w:w w:val="105"/>
                <w:sz w:val="22"/>
              </w:rPr>
              <w:t>+</w:t>
            </w:r>
            <w:r>
              <w:rPr>
                <w:spacing w:val="-2"/>
                <w:w w:val="105"/>
                <w:sz w:val="22"/>
              </w:rPr>
              <w:t>£0.86m</w:t>
            </w:r>
          </w:p>
        </w:tc>
        <w:tc>
          <w:tcPr>
            <w:tcW w:w="6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</w:tr>
      <w:tr>
        <w:trPr>
          <w:trHeight w:val="270" w:hRule="atLeast"/>
        </w:trPr>
        <w:tc>
          <w:tcPr>
            <w:tcW w:w="966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PI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0.869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0.878</w:t>
            </w:r>
          </w:p>
        </w:tc>
        <w:tc>
          <w:tcPr>
            <w:tcW w:w="1136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1.017</w:t>
            </w:r>
          </w:p>
        </w:tc>
        <w:tc>
          <w:tcPr>
            <w:tcW w:w="639" w:type="dxa"/>
          </w:tcPr>
          <w:p>
            <w:pPr>
              <w:pStyle w:val="TableParagraph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</w:tr>
      <w:tr>
        <w:trPr>
          <w:trHeight w:val="324" w:hRule="atLeast"/>
        </w:trPr>
        <w:tc>
          <w:tcPr>
            <w:tcW w:w="96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IRR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2.72%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3.26%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2"/>
                <w:sz w:val="22"/>
              </w:rPr>
              <w:t>8.59%</w:t>
            </w:r>
          </w:p>
        </w:tc>
        <w:tc>
          <w:tcPr>
            <w:tcW w:w="63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7"/>
              <w:rPr>
                <w:sz w:val="22"/>
              </w:rPr>
            </w:pPr>
            <w:r>
              <w:rPr>
                <w:spacing w:val="-10"/>
                <w:sz w:val="22"/>
              </w:rPr>
              <w:t>C</w:t>
            </w:r>
          </w:p>
        </w:tc>
      </w:tr>
    </w:tbl>
    <w:p>
      <w:pPr>
        <w:pStyle w:val="BodyText"/>
        <w:spacing w:line="256" w:lineRule="auto" w:before="215"/>
        <w:ind w:left="165" w:right="1296"/>
        <w:jc w:val="both"/>
      </w:pPr>
      <w:r>
        <w:rPr/>
        <w:t>All</w:t>
      </w:r>
      <w:r>
        <w:rPr>
          <w:spacing w:val="-11"/>
        </w:rPr>
        <w:t> </w:t>
      </w:r>
      <w:r>
        <w:rPr/>
        <w:t>five</w:t>
      </w:r>
      <w:r>
        <w:rPr>
          <w:spacing w:val="-11"/>
        </w:rPr>
        <w:t> </w:t>
      </w:r>
      <w:r>
        <w:rPr/>
        <w:t>methods</w:t>
      </w:r>
      <w:r>
        <w:rPr>
          <w:spacing w:val="-11"/>
        </w:rPr>
        <w:t> </w:t>
      </w:r>
      <w:r>
        <w:rPr/>
        <w:t>point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Project</w:t>
      </w:r>
      <w:r>
        <w:rPr>
          <w:spacing w:val="-11"/>
        </w:rPr>
        <w:t> </w:t>
      </w:r>
      <w:r>
        <w:rPr/>
        <w:t>C.</w:t>
      </w:r>
      <w:r>
        <w:rPr>
          <w:spacing w:val="-11"/>
        </w:rPr>
        <w:t> </w:t>
      </w:r>
      <w:r>
        <w:rPr/>
        <w:t>Therefore,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CFO,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recommend</w:t>
      </w:r>
      <w:r>
        <w:rPr>
          <w:spacing w:val="-11"/>
        </w:rPr>
        <w:t> </w:t>
      </w:r>
      <w:r>
        <w:rPr>
          <w:b/>
        </w:rPr>
        <w:t>Project</w:t>
      </w:r>
      <w:r>
        <w:rPr>
          <w:b/>
          <w:spacing w:val="-11"/>
        </w:rPr>
        <w:t> </w:t>
      </w:r>
      <w:r>
        <w:rPr>
          <w:b/>
        </w:rPr>
        <w:t>C</w:t>
      </w:r>
      <w:r>
        <w:rPr/>
        <w:t>.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main</w:t>
      </w:r>
      <w:r>
        <w:rPr>
          <w:spacing w:val="-11"/>
        </w:rPr>
        <w:t> </w:t>
      </w:r>
      <w:r>
        <w:rPr/>
        <w:t>advantage</w:t>
      </w:r>
      <w:r>
        <w:rPr>
          <w:spacing w:val="-11"/>
        </w:rPr>
        <w:t> </w:t>
      </w:r>
      <w:r>
        <w:rPr/>
        <w:t>is that</w:t>
      </w:r>
      <w:r>
        <w:rPr>
          <w:spacing w:val="-11"/>
        </w:rPr>
        <w:t> </w:t>
      </w:r>
      <w:r>
        <w:rPr/>
        <w:t>Project</w:t>
      </w:r>
      <w:r>
        <w:rPr>
          <w:spacing w:val="-11"/>
        </w:rPr>
        <w:t> </w:t>
      </w:r>
      <w:r>
        <w:rPr/>
        <w:t>C</w:t>
      </w:r>
      <w:r>
        <w:rPr>
          <w:spacing w:val="-12"/>
        </w:rPr>
        <w:t> </w:t>
      </w:r>
      <w:r>
        <w:rPr/>
        <w:t>generates</w:t>
      </w:r>
      <w:r>
        <w:rPr>
          <w:spacing w:val="-11"/>
        </w:rPr>
        <w:t> </w:t>
      </w:r>
      <w:r>
        <w:rPr/>
        <w:t>strong</w:t>
      </w:r>
      <w:r>
        <w:rPr>
          <w:spacing w:val="-11"/>
        </w:rPr>
        <w:t> </w:t>
      </w:r>
      <w:r>
        <w:rPr/>
        <w:t>cash</w:t>
      </w:r>
      <w:r>
        <w:rPr>
          <w:spacing w:val="-11"/>
        </w:rPr>
        <w:t> </w:t>
      </w:r>
      <w:r>
        <w:rPr/>
        <w:t>flows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Years</w:t>
      </w:r>
      <w:r>
        <w:rPr>
          <w:spacing w:val="-12"/>
        </w:rPr>
        <w:t> </w:t>
      </w:r>
      <w:r>
        <w:rPr/>
        <w:t>3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4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recovers</w:t>
      </w:r>
      <w:r>
        <w:rPr>
          <w:spacing w:val="-11"/>
        </w:rPr>
        <w:t> </w:t>
      </w:r>
      <w:r>
        <w:rPr/>
        <w:t>its</w:t>
      </w:r>
      <w:r>
        <w:rPr>
          <w:spacing w:val="-11"/>
        </w:rPr>
        <w:t> </w:t>
      </w:r>
      <w:r>
        <w:rPr/>
        <w:t>initial</w:t>
      </w:r>
      <w:r>
        <w:rPr>
          <w:spacing w:val="-12"/>
        </w:rPr>
        <w:t> </w:t>
      </w:r>
      <w:r>
        <w:rPr/>
        <w:t>investment</w:t>
      </w:r>
      <w:r>
        <w:rPr>
          <w:spacing w:val="-11"/>
        </w:rPr>
        <w:t> </w:t>
      </w:r>
      <w:r>
        <w:rPr/>
        <w:t>faster</w:t>
      </w:r>
      <w:r>
        <w:rPr>
          <w:spacing w:val="-11"/>
        </w:rPr>
        <w:t> </w:t>
      </w:r>
      <w:r>
        <w:rPr/>
        <w:t>than the other projects.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Recommendation Based on Marriott's Finan" w:id="58"/>
      <w:bookmarkEnd w:id="58"/>
      <w:r>
        <w:rPr>
          <w:b w:val="0"/>
        </w:rPr>
      </w:r>
      <w:bookmarkStart w:name="_bookmark29" w:id="59"/>
      <w:bookmarkEnd w:id="59"/>
      <w:r>
        <w:rPr>
          <w:b w:val="0"/>
        </w:rPr>
      </w:r>
      <w:r>
        <w:rPr>
          <w:color w:val="0E2C59"/>
        </w:rPr>
        <w:t>Recommendation</w:t>
      </w:r>
      <w:r>
        <w:rPr>
          <w:color w:val="0E2C59"/>
          <w:spacing w:val="-13"/>
        </w:rPr>
        <w:t> </w:t>
      </w:r>
      <w:r>
        <w:rPr>
          <w:color w:val="0E2C59"/>
        </w:rPr>
        <w:t>Based</w:t>
      </w:r>
      <w:r>
        <w:rPr>
          <w:color w:val="0E2C59"/>
          <w:spacing w:val="-12"/>
        </w:rPr>
        <w:t> </w:t>
      </w:r>
      <w:r>
        <w:rPr>
          <w:color w:val="0E2C59"/>
        </w:rPr>
        <w:t>on</w:t>
      </w:r>
      <w:r>
        <w:rPr>
          <w:color w:val="0E2C59"/>
          <w:spacing w:val="-12"/>
        </w:rPr>
        <w:t> </w:t>
      </w:r>
      <w:r>
        <w:rPr>
          <w:color w:val="0E2C59"/>
        </w:rPr>
        <w:t>Marriott’s</w:t>
      </w:r>
      <w:r>
        <w:rPr>
          <w:color w:val="0E2C59"/>
          <w:spacing w:val="-12"/>
        </w:rPr>
        <w:t> </w:t>
      </w:r>
      <w:r>
        <w:rPr>
          <w:color w:val="0E2C59"/>
        </w:rPr>
        <w:t>Financial</w:t>
      </w:r>
      <w:r>
        <w:rPr>
          <w:color w:val="0E2C59"/>
          <w:spacing w:val="-13"/>
        </w:rPr>
        <w:t> </w:t>
      </w:r>
      <w:r>
        <w:rPr>
          <w:color w:val="0E2C59"/>
          <w:spacing w:val="-2"/>
        </w:rPr>
        <w:t>Position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Project C is particularly suitable for Marriott because the company already has strong operating </w:t>
      </w:r>
      <w:r>
        <w:rPr/>
        <w:t>cash generation — $3.212 billion in 2025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  <w:r>
        <w:rPr>
          <w:spacing w:val="32"/>
        </w:rPr>
        <w:t> </w:t>
      </w:r>
      <w:r>
        <w:rPr/>
        <w:t>However, Marriott’s weak liquidity and high debt mean that </w:t>
      </w:r>
      <w:r>
        <w:rPr>
          <w:spacing w:val="-2"/>
        </w:rPr>
        <w:t>management should not select</w:t>
      </w:r>
      <w:r>
        <w:rPr>
          <w:spacing w:val="-1"/>
        </w:rPr>
        <w:t> </w:t>
      </w:r>
      <w:r>
        <w:rPr>
          <w:spacing w:val="-2"/>
        </w:rPr>
        <w:t>investments simply because they</w:t>
      </w:r>
      <w:r>
        <w:rPr>
          <w:spacing w:val="-1"/>
        </w:rPr>
        <w:t> </w:t>
      </w:r>
      <w:r>
        <w:rPr>
          <w:spacing w:val="-2"/>
        </w:rPr>
        <w:t>appear strategically attractive.</w:t>
      </w:r>
      <w:r>
        <w:rPr>
          <w:spacing w:val="17"/>
        </w:rPr>
        <w:t> </w:t>
      </w:r>
      <w:r>
        <w:rPr>
          <w:spacing w:val="-2"/>
        </w:rPr>
        <w:t>Project</w:t>
      </w:r>
      <w:r>
        <w:rPr>
          <w:spacing w:val="-1"/>
        </w:rPr>
        <w:t> </w:t>
      </w:r>
      <w:r>
        <w:rPr>
          <w:spacing w:val="-10"/>
        </w:rPr>
        <w:t>C</w:t>
      </w:r>
    </w:p>
    <w:p>
      <w:pPr>
        <w:pStyle w:val="BodyText"/>
        <w:spacing w:after="0" w:line="256" w:lineRule="auto"/>
        <w:jc w:val="both"/>
        <w:sectPr>
          <w:type w:val="continuous"/>
          <w:pgSz w:w="11910" w:h="16840"/>
          <w:pgMar w:header="686" w:footer="0" w:top="1920" w:bottom="280" w:left="1275" w:right="141"/>
        </w:sectPr>
      </w:pPr>
    </w:p>
    <w:p>
      <w:pPr>
        <w:pStyle w:val="BodyText"/>
        <w:spacing w:line="256" w:lineRule="auto" w:before="156"/>
        <w:ind w:left="165" w:right="1296"/>
        <w:jc w:val="both"/>
      </w:pPr>
      <w:r>
        <w:rPr/>
        <w:t>is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only</w:t>
      </w:r>
      <w:r>
        <w:rPr>
          <w:spacing w:val="-9"/>
        </w:rPr>
        <w:t> </w:t>
      </w:r>
      <w:r>
        <w:rPr/>
        <w:t>investment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creates</w:t>
      </w:r>
      <w:r>
        <w:rPr>
          <w:spacing w:val="-9"/>
        </w:rPr>
        <w:t> </w:t>
      </w:r>
      <w:r>
        <w:rPr/>
        <w:t>positive</w:t>
      </w:r>
      <w:r>
        <w:rPr>
          <w:spacing w:val="-9"/>
        </w:rPr>
        <w:t> </w:t>
      </w:r>
      <w:r>
        <w:rPr/>
        <w:t>NPV</w:t>
      </w:r>
      <w:r>
        <w:rPr>
          <w:spacing w:val="-9"/>
        </w:rPr>
        <w:t> </w:t>
      </w:r>
      <w:r>
        <w:rPr/>
        <w:t>at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8%</w:t>
      </w:r>
      <w:r>
        <w:rPr>
          <w:spacing w:val="-9"/>
        </w:rPr>
        <w:t> </w:t>
      </w:r>
      <w:r>
        <w:rPr/>
        <w:t>discount</w:t>
      </w:r>
      <w:r>
        <w:rPr>
          <w:spacing w:val="-9"/>
        </w:rPr>
        <w:t> </w:t>
      </w:r>
      <w:r>
        <w:rPr/>
        <w:t>rate;</w:t>
      </w:r>
      <w:r>
        <w:rPr>
          <w:spacing w:val="-9"/>
        </w:rPr>
        <w:t> </w:t>
      </w:r>
      <w:r>
        <w:rPr/>
        <w:t>it</w:t>
      </w:r>
      <w:r>
        <w:rPr>
          <w:spacing w:val="-9"/>
        </w:rPr>
        <w:t> </w:t>
      </w:r>
      <w:r>
        <w:rPr/>
        <w:t>also</w:t>
      </w:r>
      <w:r>
        <w:rPr>
          <w:spacing w:val="-9"/>
        </w:rPr>
        <w:t> </w:t>
      </w:r>
      <w:r>
        <w:rPr/>
        <w:t>has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shortest</w:t>
      </w:r>
      <w:r>
        <w:rPr>
          <w:spacing w:val="-9"/>
        </w:rPr>
        <w:t> </w:t>
      </w:r>
      <w:r>
        <w:rPr/>
        <w:t>payback period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highest</w:t>
      </w:r>
      <w:r>
        <w:rPr>
          <w:spacing w:val="-14"/>
        </w:rPr>
        <w:t> </w:t>
      </w:r>
      <w:r>
        <w:rPr/>
        <w:t>ARR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IRR.</w:t>
      </w:r>
      <w:r>
        <w:rPr>
          <w:spacing w:val="-14"/>
        </w:rPr>
        <w:t> </w:t>
      </w:r>
      <w:r>
        <w:rPr/>
        <w:t>Project</w:t>
      </w:r>
      <w:r>
        <w:rPr>
          <w:spacing w:val="-14"/>
        </w:rPr>
        <w:t> </w:t>
      </w:r>
      <w:r>
        <w:rPr/>
        <w:t>C</w:t>
      </w:r>
      <w:r>
        <w:rPr>
          <w:spacing w:val="-13"/>
        </w:rPr>
        <w:t> </w:t>
      </w:r>
      <w:r>
        <w:rPr/>
        <w:t>therefore</w:t>
      </w:r>
      <w:r>
        <w:rPr>
          <w:spacing w:val="-14"/>
        </w:rPr>
        <w:t> </w:t>
      </w:r>
      <w:r>
        <w:rPr/>
        <w:t>gives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best</w:t>
      </w:r>
      <w:r>
        <w:rPr>
          <w:spacing w:val="-14"/>
        </w:rPr>
        <w:t> </w:t>
      </w:r>
      <w:r>
        <w:rPr/>
        <w:t>balance</w:t>
      </w:r>
      <w:r>
        <w:rPr>
          <w:spacing w:val="-14"/>
        </w:rPr>
        <w:t> </w:t>
      </w:r>
      <w:r>
        <w:rPr/>
        <w:t>between</w:t>
      </w:r>
      <w:r>
        <w:rPr>
          <w:spacing w:val="-13"/>
        </w:rPr>
        <w:t> </w:t>
      </w:r>
      <w:r>
        <w:rPr/>
        <w:t>financial</w:t>
      </w:r>
      <w:r>
        <w:rPr>
          <w:spacing w:val="-14"/>
        </w:rPr>
        <w:t> </w:t>
      </w:r>
      <w:r>
        <w:rPr/>
        <w:t>return and liquidity protection.</w:t>
      </w:r>
    </w:p>
    <w:p>
      <w:pPr>
        <w:pStyle w:val="BodyText"/>
        <w:spacing w:before="56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Capital Rationing" w:id="60"/>
      <w:bookmarkEnd w:id="60"/>
      <w:r>
        <w:rPr>
          <w:b w:val="0"/>
        </w:rPr>
      </w:r>
      <w:bookmarkStart w:name="_bookmark30" w:id="61"/>
      <w:bookmarkEnd w:id="61"/>
      <w:r>
        <w:rPr>
          <w:b w:val="0"/>
        </w:rPr>
      </w:r>
      <w:r>
        <w:rPr>
          <w:color w:val="0E2C59"/>
        </w:rPr>
        <w:t>Capital</w:t>
      </w:r>
      <w:r>
        <w:rPr>
          <w:color w:val="0E2C59"/>
          <w:spacing w:val="-9"/>
        </w:rPr>
        <w:t> </w:t>
      </w:r>
      <w:r>
        <w:rPr>
          <w:color w:val="0E2C59"/>
          <w:spacing w:val="-2"/>
        </w:rPr>
        <w:t>Rationing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The</w:t>
      </w:r>
      <w:r>
        <w:rPr>
          <w:spacing w:val="-2"/>
        </w:rPr>
        <w:t> </w:t>
      </w:r>
      <w:r>
        <w:rPr/>
        <w:t>maximum</w:t>
      </w:r>
      <w:r>
        <w:rPr>
          <w:spacing w:val="-2"/>
        </w:rPr>
        <w:t> </w:t>
      </w:r>
      <w:r>
        <w:rPr/>
        <w:t>investment</w:t>
      </w:r>
      <w:r>
        <w:rPr>
          <w:spacing w:val="-2"/>
        </w:rPr>
        <w:t> </w:t>
      </w:r>
      <w:r>
        <w:rPr/>
        <w:t>available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£100</w:t>
      </w:r>
      <w:r>
        <w:rPr>
          <w:spacing w:val="-2"/>
        </w:rPr>
        <w:t> </w:t>
      </w:r>
      <w:r>
        <w:rPr/>
        <w:t>million.</w:t>
      </w:r>
      <w:r>
        <w:rPr>
          <w:spacing w:val="21"/>
        </w:rPr>
        <w:t> </w:t>
      </w:r>
      <w:r>
        <w:rPr/>
        <w:t>Since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project</w:t>
      </w:r>
      <w:r>
        <w:rPr>
          <w:spacing w:val="-2"/>
        </w:rPr>
        <w:t> </w:t>
      </w:r>
      <w:r>
        <w:rPr/>
        <w:t>costs</w:t>
      </w:r>
      <w:r>
        <w:rPr>
          <w:spacing w:val="-2"/>
        </w:rPr>
        <w:t> </w:t>
      </w:r>
      <w:r>
        <w:rPr/>
        <w:t>£50</w:t>
      </w:r>
      <w:r>
        <w:rPr>
          <w:spacing w:val="-2"/>
        </w:rPr>
        <w:t> </w:t>
      </w:r>
      <w:r>
        <w:rPr/>
        <w:t>million,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possible combinations are A+B, A+C and B+C, each totalling £100m.</w:t>
      </w:r>
    </w:p>
    <w:p>
      <w:pPr>
        <w:pStyle w:val="BodyText"/>
        <w:spacing w:before="136"/>
        <w:ind w:left="165"/>
      </w:pPr>
      <w:r>
        <w:rPr/>
        <w:t>A</w:t>
      </w:r>
      <w:r>
        <w:rPr>
          <w:spacing w:val="-4"/>
        </w:rPr>
        <w:t> </w:t>
      </w:r>
      <w:r>
        <w:rPr/>
        <w:t>+</w:t>
      </w:r>
      <w:r>
        <w:rPr>
          <w:spacing w:val="-4"/>
        </w:rPr>
        <w:t> </w:t>
      </w:r>
      <w:r>
        <w:rPr/>
        <w:t>B:</w:t>
      </w:r>
      <w:r>
        <w:rPr>
          <w:spacing w:val="72"/>
          <w:w w:val="150"/>
        </w:rPr>
        <w:t> </w:t>
      </w:r>
      <w:r>
        <w:rPr/>
        <w:t>-£6.54m</w:t>
      </w:r>
      <w:r>
        <w:rPr>
          <w:spacing w:val="-3"/>
        </w:rPr>
        <w:t> </w:t>
      </w:r>
      <w:r>
        <w:rPr/>
        <w:t>+</w:t>
      </w:r>
      <w:r>
        <w:rPr>
          <w:spacing w:val="-4"/>
        </w:rPr>
        <w:t> </w:t>
      </w:r>
      <w:r>
        <w:rPr/>
        <w:t>(-£6.08m)</w:t>
      </w:r>
      <w:r>
        <w:rPr>
          <w:spacing w:val="-4"/>
        </w:rPr>
        <w:t> </w:t>
      </w:r>
      <w:r>
        <w:rPr/>
        <w:t>=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£12.62m</w:t>
      </w:r>
    </w:p>
    <w:p>
      <w:pPr>
        <w:pStyle w:val="BodyText"/>
        <w:spacing w:before="18"/>
        <w:ind w:left="165"/>
      </w:pPr>
      <w:r>
        <w:rPr/>
        <w:t>A</w:t>
      </w:r>
      <w:r>
        <w:rPr>
          <w:spacing w:val="-4"/>
        </w:rPr>
        <w:t> </w:t>
      </w:r>
      <w:r>
        <w:rPr/>
        <w:t>+</w:t>
      </w:r>
      <w:r>
        <w:rPr>
          <w:spacing w:val="-3"/>
        </w:rPr>
        <w:t> </w:t>
      </w:r>
      <w:r>
        <w:rPr/>
        <w:t>C:</w:t>
      </w:r>
      <w:r>
        <w:rPr>
          <w:spacing w:val="73"/>
          <w:w w:val="150"/>
        </w:rPr>
        <w:t> </w:t>
      </w:r>
      <w:r>
        <w:rPr/>
        <w:t>-£6.54m</w:t>
      </w:r>
      <w:r>
        <w:rPr>
          <w:spacing w:val="-4"/>
        </w:rPr>
        <w:t> </w:t>
      </w:r>
      <w:r>
        <w:rPr/>
        <w:t>+</w:t>
      </w:r>
      <w:r>
        <w:rPr>
          <w:spacing w:val="-3"/>
        </w:rPr>
        <w:t> </w:t>
      </w:r>
      <w:r>
        <w:rPr/>
        <w:t>£0.86m</w:t>
      </w:r>
      <w:r>
        <w:rPr>
          <w:spacing w:val="-4"/>
        </w:rPr>
        <w:t> </w:t>
      </w:r>
      <w:r>
        <w:rPr/>
        <w:t>=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£5.69m</w:t>
      </w:r>
    </w:p>
    <w:p>
      <w:pPr>
        <w:pStyle w:val="BodyText"/>
        <w:spacing w:before="18"/>
        <w:ind w:left="165"/>
      </w:pPr>
      <w:r>
        <w:rPr/>
        <w:t>B</w:t>
      </w:r>
      <w:r>
        <w:rPr>
          <w:spacing w:val="-4"/>
        </w:rPr>
        <w:t> </w:t>
      </w:r>
      <w:r>
        <w:rPr/>
        <w:t>+</w:t>
      </w:r>
      <w:r>
        <w:rPr>
          <w:spacing w:val="-3"/>
        </w:rPr>
        <w:t> </w:t>
      </w:r>
      <w:r>
        <w:rPr/>
        <w:t>C:</w:t>
      </w:r>
      <w:r>
        <w:rPr>
          <w:spacing w:val="73"/>
          <w:w w:val="150"/>
        </w:rPr>
        <w:t> </w:t>
      </w:r>
      <w:r>
        <w:rPr/>
        <w:t>-£6.08m</w:t>
      </w:r>
      <w:r>
        <w:rPr>
          <w:spacing w:val="-4"/>
        </w:rPr>
        <w:t> </w:t>
      </w:r>
      <w:r>
        <w:rPr/>
        <w:t>+</w:t>
      </w:r>
      <w:r>
        <w:rPr>
          <w:spacing w:val="-3"/>
        </w:rPr>
        <w:t> </w:t>
      </w:r>
      <w:r>
        <w:rPr/>
        <w:t>£0.86m</w:t>
      </w:r>
      <w:r>
        <w:rPr>
          <w:spacing w:val="-4"/>
        </w:rPr>
        <w:t> </w:t>
      </w:r>
      <w:r>
        <w:rPr/>
        <w:t>=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£5.22m</w:t>
      </w:r>
    </w:p>
    <w:p>
      <w:pPr>
        <w:pStyle w:val="BodyText"/>
        <w:spacing w:line="256" w:lineRule="auto" w:before="154"/>
        <w:ind w:left="165" w:right="1296"/>
        <w:jc w:val="both"/>
      </w:pPr>
      <w:r>
        <w:rPr/>
        <w:t>Therefore,</w:t>
      </w:r>
      <w:r>
        <w:rPr>
          <w:spacing w:val="-3"/>
        </w:rPr>
        <w:t> </w:t>
      </w:r>
      <w:r>
        <w:rPr/>
        <w:t>if</w:t>
      </w:r>
      <w:r>
        <w:rPr>
          <w:spacing w:val="-4"/>
        </w:rPr>
        <w:t> </w:t>
      </w:r>
      <w:r>
        <w:rPr/>
        <w:t>Marriott</w:t>
      </w:r>
      <w:r>
        <w:rPr>
          <w:spacing w:val="-4"/>
        </w:rPr>
        <w:t> </w:t>
      </w:r>
      <w:r>
        <w:rPr/>
        <w:t>must</w:t>
      </w:r>
      <w:r>
        <w:rPr>
          <w:spacing w:val="-4"/>
        </w:rPr>
        <w:t> </w:t>
      </w:r>
      <w:r>
        <w:rPr/>
        <w:t>invest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full</w:t>
      </w:r>
      <w:r>
        <w:rPr>
          <w:spacing w:val="-4"/>
        </w:rPr>
        <w:t> </w:t>
      </w:r>
      <w:r>
        <w:rPr/>
        <w:t>£100</w:t>
      </w:r>
      <w:r>
        <w:rPr>
          <w:spacing w:val="-4"/>
        </w:rPr>
        <w:t> </w:t>
      </w:r>
      <w:r>
        <w:rPr/>
        <w:t>million,</w:t>
      </w:r>
      <w:r>
        <w:rPr>
          <w:spacing w:val="-3"/>
        </w:rPr>
        <w:t> </w:t>
      </w:r>
      <w:r>
        <w:rPr>
          <w:b/>
        </w:rPr>
        <w:t>Project</w:t>
      </w:r>
      <w:r>
        <w:rPr>
          <w:b/>
          <w:spacing w:val="-4"/>
        </w:rPr>
        <w:t> </w:t>
      </w:r>
      <w:r>
        <w:rPr>
          <w:b/>
        </w:rPr>
        <w:t>B</w:t>
      </w:r>
      <w:r>
        <w:rPr>
          <w:b/>
          <w:spacing w:val="-4"/>
        </w:rPr>
        <w:t> </w:t>
      </w:r>
      <w:r>
        <w:rPr>
          <w:b/>
        </w:rPr>
        <w:t>+</w:t>
      </w:r>
      <w:r>
        <w:rPr>
          <w:b/>
          <w:spacing w:val="-4"/>
        </w:rPr>
        <w:t> </w:t>
      </w:r>
      <w:r>
        <w:rPr>
          <w:b/>
        </w:rPr>
        <w:t>Project</w:t>
      </w:r>
      <w:r>
        <w:rPr>
          <w:b/>
          <w:spacing w:val="-4"/>
        </w:rPr>
        <w:t> </w:t>
      </w:r>
      <w:r>
        <w:rPr>
          <w:b/>
        </w:rPr>
        <w:t>C</w:t>
      </w:r>
      <w:r>
        <w:rPr>
          <w:b/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best</w:t>
      </w:r>
      <w:r>
        <w:rPr>
          <w:spacing w:val="-4"/>
        </w:rPr>
        <w:t> </w:t>
      </w:r>
      <w:r>
        <w:rPr/>
        <w:t>combination because it has the highest combined NPV.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However, there is an important CFO-level point:</w:t>
      </w:r>
      <w:r>
        <w:rPr>
          <w:spacing w:val="33"/>
        </w:rPr>
        <w:t> </w:t>
      </w:r>
      <w:r>
        <w:rPr/>
        <w:t>the assessment states that the company </w:t>
      </w:r>
      <w:r>
        <w:rPr>
          <w:i/>
        </w:rPr>
        <w:t>can </w:t>
      </w:r>
      <w:r>
        <w:rPr/>
        <w:t>invest a maximum of £100 million;</w:t>
      </w:r>
      <w:r>
        <w:rPr>
          <w:spacing w:val="29"/>
        </w:rPr>
        <w:t> </w:t>
      </w:r>
      <w:r>
        <w:rPr/>
        <w:t>it does not necessarily require that the full £100 million be invested.</w:t>
      </w:r>
      <w:r>
        <w:rPr>
          <w:spacing w:val="77"/>
        </w:rPr>
        <w:t> </w:t>
      </w:r>
      <w:r>
        <w:rPr/>
        <w:t>If</w:t>
      </w:r>
      <w:r>
        <w:rPr>
          <w:spacing w:val="40"/>
        </w:rPr>
        <w:t> </w:t>
      </w:r>
      <w:r>
        <w:rPr/>
        <w:t>the £100 million is only a maximum limit, the financially stronger decision is to invest </w:t>
      </w:r>
      <w:r>
        <w:rPr>
          <w:b/>
        </w:rPr>
        <w:t>£50 million in Project</w:t>
      </w:r>
      <w:r>
        <w:rPr>
          <w:b/>
          <w:spacing w:val="-12"/>
        </w:rPr>
        <w:t> </w:t>
      </w:r>
      <w:r>
        <w:rPr>
          <w:b/>
        </w:rPr>
        <w:t>C</w:t>
      </w:r>
      <w:r>
        <w:rPr>
          <w:b/>
          <w:spacing w:val="-12"/>
        </w:rPr>
        <w:t> </w:t>
      </w:r>
      <w:r>
        <w:rPr>
          <w:b/>
        </w:rPr>
        <w:t>only</w:t>
      </w:r>
      <w:r>
        <w:rPr/>
        <w:t>,</w:t>
      </w:r>
      <w:r>
        <w:rPr>
          <w:spacing w:val="-11"/>
        </w:rPr>
        <w:t> </w:t>
      </w:r>
      <w:r>
        <w:rPr/>
        <w:t>and</w:t>
      </w:r>
      <w:r>
        <w:rPr>
          <w:spacing w:val="-12"/>
        </w:rPr>
        <w:t> </w:t>
      </w:r>
      <w:r>
        <w:rPr/>
        <w:t>not</w:t>
      </w:r>
      <w:r>
        <w:rPr>
          <w:spacing w:val="-12"/>
        </w:rPr>
        <w:t> </w:t>
      </w:r>
      <w:r>
        <w:rPr/>
        <w:t>invest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Project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or</w:t>
      </w:r>
      <w:r>
        <w:rPr>
          <w:spacing w:val="-12"/>
        </w:rPr>
        <w:t> </w:t>
      </w:r>
      <w:r>
        <w:rPr/>
        <w:t>B,</w:t>
      </w:r>
      <w:r>
        <w:rPr>
          <w:spacing w:val="-12"/>
        </w:rPr>
        <w:t> </w:t>
      </w:r>
      <w:r>
        <w:rPr/>
        <w:t>because</w:t>
      </w:r>
      <w:r>
        <w:rPr>
          <w:spacing w:val="-12"/>
        </w:rPr>
        <w:t> </w:t>
      </w:r>
      <w:r>
        <w:rPr/>
        <w:t>Project</w:t>
      </w:r>
      <w:r>
        <w:rPr>
          <w:spacing w:val="-12"/>
        </w:rPr>
        <w:t> </w:t>
      </w:r>
      <w:r>
        <w:rPr/>
        <w:t>C</w:t>
      </w:r>
      <w:r>
        <w:rPr>
          <w:spacing w:val="-12"/>
        </w:rPr>
        <w:t> </w:t>
      </w:r>
      <w:r>
        <w:rPr/>
        <w:t>creates</w:t>
      </w:r>
      <w:r>
        <w:rPr>
          <w:spacing w:val="-12"/>
        </w:rPr>
        <w:t> </w:t>
      </w:r>
      <w:r>
        <w:rPr/>
        <w:t>positive</w:t>
      </w:r>
      <w:r>
        <w:rPr>
          <w:spacing w:val="-12"/>
        </w:rPr>
        <w:t> </w:t>
      </w:r>
      <w:r>
        <w:rPr/>
        <w:t>value</w:t>
      </w:r>
      <w:r>
        <w:rPr>
          <w:spacing w:val="-12"/>
        </w:rPr>
        <w:t> </w:t>
      </w:r>
      <w:r>
        <w:rPr/>
        <w:t>while</w:t>
      </w:r>
      <w:r>
        <w:rPr>
          <w:spacing w:val="-12"/>
        </w:rPr>
        <w:t> </w:t>
      </w:r>
      <w:r>
        <w:rPr/>
        <w:t>Projects A and B have negative NPVs.</w:t>
      </w:r>
    </w:p>
    <w:p>
      <w:pPr>
        <w:pStyle w:val="ListParagraph"/>
        <w:numPr>
          <w:ilvl w:val="0"/>
          <w:numId w:val="7"/>
        </w:numPr>
        <w:tabs>
          <w:tab w:pos="710" w:val="left" w:leader="none"/>
        </w:tabs>
        <w:spacing w:line="240" w:lineRule="auto" w:before="137" w:after="0"/>
        <w:ind w:left="710" w:right="0" w:hanging="185"/>
        <w:jc w:val="left"/>
        <w:rPr>
          <w:sz w:val="22"/>
        </w:rPr>
      </w:pPr>
      <w:r>
        <w:rPr>
          <w:b/>
          <w:sz w:val="22"/>
        </w:rPr>
        <w:t>Best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single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investment:</w:t>
      </w:r>
      <w:r>
        <w:rPr>
          <w:b/>
          <w:spacing w:val="1"/>
          <w:sz w:val="22"/>
        </w:rPr>
        <w:t> </w:t>
      </w:r>
      <w:r>
        <w:rPr>
          <w:sz w:val="22"/>
        </w:rPr>
        <w:t>Project</w:t>
      </w:r>
      <w:r>
        <w:rPr>
          <w:spacing w:val="-10"/>
          <w:sz w:val="22"/>
        </w:rPr>
        <w:t> C</w:t>
      </w:r>
    </w:p>
    <w:p>
      <w:pPr>
        <w:pStyle w:val="ListParagraph"/>
        <w:numPr>
          <w:ilvl w:val="0"/>
          <w:numId w:val="7"/>
        </w:numPr>
        <w:tabs>
          <w:tab w:pos="710" w:val="left" w:leader="none"/>
        </w:tabs>
        <w:spacing w:line="240" w:lineRule="auto" w:before="153" w:after="0"/>
        <w:ind w:left="710" w:right="0" w:hanging="185"/>
        <w:jc w:val="left"/>
        <w:rPr>
          <w:sz w:val="22"/>
        </w:rPr>
      </w:pPr>
      <w:r>
        <w:rPr>
          <w:b/>
          <w:sz w:val="22"/>
        </w:rPr>
        <w:t>Best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combination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if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full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£100m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must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be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invested:</w:t>
      </w:r>
      <w:r>
        <w:rPr>
          <w:b/>
          <w:spacing w:val="5"/>
          <w:sz w:val="22"/>
        </w:rPr>
        <w:t> </w:t>
      </w:r>
      <w:r>
        <w:rPr>
          <w:sz w:val="22"/>
        </w:rPr>
        <w:t>Projects</w:t>
      </w:r>
      <w:r>
        <w:rPr>
          <w:spacing w:val="-6"/>
          <w:sz w:val="22"/>
        </w:rPr>
        <w:t> </w:t>
      </w:r>
      <w:r>
        <w:rPr>
          <w:sz w:val="22"/>
        </w:rPr>
        <w:t>B</w:t>
      </w:r>
      <w:r>
        <w:rPr>
          <w:spacing w:val="-7"/>
          <w:sz w:val="22"/>
        </w:rPr>
        <w:t> </w:t>
      </w:r>
      <w:r>
        <w:rPr>
          <w:sz w:val="22"/>
        </w:rPr>
        <w:t>+</w:t>
      </w:r>
      <w:r>
        <w:rPr>
          <w:spacing w:val="-6"/>
          <w:sz w:val="22"/>
        </w:rPr>
        <w:t> </w:t>
      </w:r>
      <w:r>
        <w:rPr>
          <w:spacing w:val="-10"/>
          <w:sz w:val="22"/>
        </w:rPr>
        <w:t>C</w:t>
      </w:r>
    </w:p>
    <w:p>
      <w:pPr>
        <w:pStyle w:val="Heading4"/>
        <w:numPr>
          <w:ilvl w:val="0"/>
          <w:numId w:val="7"/>
        </w:numPr>
        <w:tabs>
          <w:tab w:pos="710" w:val="left" w:leader="none"/>
        </w:tabs>
        <w:spacing w:line="240" w:lineRule="auto" w:before="154" w:after="0"/>
        <w:ind w:left="710" w:right="0" w:hanging="185"/>
        <w:jc w:val="left"/>
        <w:rPr>
          <w:b w:val="0"/>
        </w:rPr>
      </w:pPr>
      <w:r>
        <w:rPr/>
        <w:t>Best</w:t>
      </w:r>
      <w:r>
        <w:rPr>
          <w:spacing w:val="-9"/>
        </w:rPr>
        <w:t> </w:t>
      </w:r>
      <w:r>
        <w:rPr/>
        <w:t>value-maximising</w:t>
      </w:r>
      <w:r>
        <w:rPr>
          <w:spacing w:val="-9"/>
        </w:rPr>
        <w:t> </w:t>
      </w:r>
      <w:r>
        <w:rPr/>
        <w:t>decision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investment</w:t>
      </w:r>
      <w:r>
        <w:rPr>
          <w:spacing w:val="-9"/>
        </w:rPr>
        <w:t> </w:t>
      </w:r>
      <w:r>
        <w:rPr/>
        <w:t>below</w:t>
      </w:r>
      <w:r>
        <w:rPr>
          <w:spacing w:val="-9"/>
        </w:rPr>
        <w:t> </w:t>
      </w:r>
      <w:r>
        <w:rPr/>
        <w:t>£100m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allowed:</w:t>
      </w:r>
      <w:r>
        <w:rPr>
          <w:spacing w:val="2"/>
        </w:rPr>
        <w:t> </w:t>
      </w:r>
      <w:r>
        <w:rPr>
          <w:b w:val="0"/>
        </w:rPr>
        <w:t>Project</w:t>
      </w:r>
      <w:r>
        <w:rPr>
          <w:b w:val="0"/>
          <w:spacing w:val="-9"/>
        </w:rPr>
        <w:t> </w:t>
      </w:r>
      <w:r>
        <w:rPr>
          <w:b w:val="0"/>
        </w:rPr>
        <w:t>C</w:t>
      </w:r>
      <w:r>
        <w:rPr>
          <w:b w:val="0"/>
          <w:spacing w:val="-9"/>
        </w:rPr>
        <w:t> </w:t>
      </w:r>
      <w:r>
        <w:rPr>
          <w:b w:val="0"/>
          <w:spacing w:val="-4"/>
        </w:rPr>
        <w:t>only</w:t>
      </w:r>
    </w:p>
    <w:p>
      <w:pPr>
        <w:pStyle w:val="BodyText"/>
        <w:spacing w:before="153"/>
        <w:ind w:left="165"/>
      </w:pPr>
      <w:r>
        <w:rPr>
          <w:spacing w:val="-2"/>
        </w:rPr>
        <w:t>This</w:t>
      </w:r>
      <w:r>
        <w:rPr>
          <w:spacing w:val="-7"/>
        </w:rPr>
        <w:t> </w:t>
      </w:r>
      <w:r>
        <w:rPr>
          <w:spacing w:val="-2"/>
        </w:rPr>
        <w:t>distinction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important</w:t>
      </w:r>
      <w:r>
        <w:rPr>
          <w:spacing w:val="-6"/>
        </w:rPr>
        <w:t> </w:t>
      </w:r>
      <w:r>
        <w:rPr>
          <w:spacing w:val="-2"/>
        </w:rPr>
        <w:t>for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CFO</w:t>
      </w:r>
      <w:r>
        <w:rPr>
          <w:spacing w:val="-6"/>
        </w:rPr>
        <w:t> </w:t>
      </w:r>
      <w:r>
        <w:rPr>
          <w:spacing w:val="-2"/>
        </w:rPr>
        <w:t>because</w:t>
      </w:r>
      <w:r>
        <w:rPr>
          <w:spacing w:val="-6"/>
        </w:rPr>
        <w:t> </w:t>
      </w:r>
      <w:r>
        <w:rPr>
          <w:spacing w:val="-2"/>
        </w:rPr>
        <w:t>capital</w:t>
      </w:r>
      <w:r>
        <w:rPr>
          <w:spacing w:val="-7"/>
        </w:rPr>
        <w:t> </w:t>
      </w:r>
      <w:r>
        <w:rPr>
          <w:spacing w:val="-2"/>
        </w:rPr>
        <w:t>should</w:t>
      </w:r>
      <w:r>
        <w:rPr>
          <w:spacing w:val="-6"/>
        </w:rPr>
        <w:t> </w:t>
      </w:r>
      <w:r>
        <w:rPr>
          <w:spacing w:val="-2"/>
        </w:rPr>
        <w:t>not</w:t>
      </w:r>
      <w:r>
        <w:rPr>
          <w:spacing w:val="-6"/>
        </w:rPr>
        <w:t> </w:t>
      </w:r>
      <w:r>
        <w:rPr>
          <w:spacing w:val="-2"/>
        </w:rPr>
        <w:t>be</w:t>
      </w:r>
      <w:r>
        <w:rPr>
          <w:spacing w:val="-6"/>
        </w:rPr>
        <w:t> </w:t>
      </w:r>
      <w:r>
        <w:rPr>
          <w:spacing w:val="-2"/>
        </w:rPr>
        <w:t>spent</w:t>
      </w:r>
      <w:r>
        <w:rPr>
          <w:spacing w:val="-6"/>
        </w:rPr>
        <w:t> </w:t>
      </w:r>
      <w:r>
        <w:rPr>
          <w:spacing w:val="-2"/>
        </w:rPr>
        <w:t>simply</w:t>
      </w:r>
      <w:r>
        <w:rPr>
          <w:spacing w:val="-6"/>
        </w:rPr>
        <w:t> </w:t>
      </w:r>
      <w:r>
        <w:rPr>
          <w:spacing w:val="-2"/>
        </w:rPr>
        <w:t>because</w:t>
      </w:r>
      <w:r>
        <w:rPr>
          <w:spacing w:val="-6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2"/>
        </w:rPr>
        <w:t>is</w:t>
      </w:r>
      <w:r>
        <w:rPr>
          <w:spacing w:val="-6"/>
        </w:rPr>
        <w:t> </w:t>
      </w:r>
      <w:r>
        <w:rPr>
          <w:spacing w:val="-2"/>
        </w:rPr>
        <w:t>available.</w:t>
      </w:r>
    </w:p>
    <w:p>
      <w:pPr>
        <w:pStyle w:val="BodyText"/>
        <w:spacing w:before="73"/>
      </w:pPr>
    </w:p>
    <w:p>
      <w:pPr>
        <w:pStyle w:val="Heading2"/>
        <w:numPr>
          <w:ilvl w:val="1"/>
          <w:numId w:val="2"/>
        </w:numPr>
        <w:tabs>
          <w:tab w:pos="822" w:val="left" w:leader="none"/>
        </w:tabs>
        <w:spacing w:line="240" w:lineRule="auto" w:before="1" w:after="0"/>
        <w:ind w:left="822" w:right="0" w:hanging="657"/>
        <w:jc w:val="left"/>
      </w:pPr>
      <w:bookmarkStart w:name="Non-Financial Risks" w:id="62"/>
      <w:bookmarkEnd w:id="62"/>
      <w:r>
        <w:rPr>
          <w:b w:val="0"/>
        </w:rPr>
      </w:r>
      <w:bookmarkStart w:name="_bookmark31" w:id="63"/>
      <w:bookmarkEnd w:id="63"/>
      <w:r>
        <w:rPr>
          <w:b w:val="0"/>
        </w:rPr>
      </w:r>
      <w:r>
        <w:rPr>
          <w:color w:val="0E2C59"/>
          <w:spacing w:val="-2"/>
        </w:rPr>
        <w:t>Non-Financial</w:t>
      </w:r>
      <w:r>
        <w:rPr>
          <w:color w:val="0E2C59"/>
          <w:spacing w:val="10"/>
        </w:rPr>
        <w:t> </w:t>
      </w:r>
      <w:r>
        <w:rPr>
          <w:color w:val="0E2C59"/>
          <w:spacing w:val="-2"/>
        </w:rPr>
        <w:t>Risks</w:t>
      </w:r>
    </w:p>
    <w:p>
      <w:pPr>
        <w:pStyle w:val="BodyText"/>
        <w:spacing w:before="160"/>
        <w:ind w:left="165"/>
      </w:pPr>
      <w:r>
        <w:rPr/>
        <w:t>Financial</w:t>
      </w:r>
      <w:r>
        <w:rPr>
          <w:spacing w:val="-10"/>
        </w:rPr>
        <w:t> </w:t>
      </w:r>
      <w:r>
        <w:rPr/>
        <w:t>calculations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not</w:t>
      </w:r>
      <w:r>
        <w:rPr>
          <w:spacing w:val="-9"/>
        </w:rPr>
        <w:t> </w:t>
      </w:r>
      <w:r>
        <w:rPr/>
        <w:t>capture</w:t>
      </w:r>
      <w:r>
        <w:rPr>
          <w:spacing w:val="-10"/>
        </w:rPr>
        <w:t> </w:t>
      </w:r>
      <w:r>
        <w:rPr/>
        <w:t>every</w:t>
      </w:r>
      <w:r>
        <w:rPr>
          <w:spacing w:val="-9"/>
        </w:rPr>
        <w:t> </w:t>
      </w:r>
      <w:r>
        <w:rPr/>
        <w:t>business</w:t>
      </w:r>
      <w:r>
        <w:rPr>
          <w:spacing w:val="-9"/>
        </w:rPr>
        <w:t> </w:t>
      </w:r>
      <w:r>
        <w:rPr>
          <w:spacing w:val="-2"/>
        </w:rPr>
        <w:t>risk.</w:t>
      </w:r>
    </w:p>
    <w:p>
      <w:pPr>
        <w:pStyle w:val="BodyText"/>
        <w:spacing w:line="256" w:lineRule="auto" w:before="154"/>
        <w:ind w:left="165" w:right="1296"/>
        <w:jc w:val="both"/>
      </w:pPr>
      <w:r>
        <w:rPr>
          <w:b/>
          <w:spacing w:val="-2"/>
        </w:rPr>
        <w:t>Political</w:t>
      </w:r>
      <w:r>
        <w:rPr>
          <w:b/>
          <w:spacing w:val="-6"/>
        </w:rPr>
        <w:t> </w:t>
      </w:r>
      <w:r>
        <w:rPr>
          <w:b/>
          <w:spacing w:val="-2"/>
        </w:rPr>
        <w:t>Risk.</w:t>
      </w:r>
      <w:r>
        <w:rPr>
          <w:b/>
          <w:spacing w:val="16"/>
        </w:rPr>
        <w:t> </w:t>
      </w:r>
      <w:r>
        <w:rPr>
          <w:spacing w:val="-2"/>
        </w:rPr>
        <w:t>Marriott</w:t>
      </w:r>
      <w:r>
        <w:rPr>
          <w:spacing w:val="-6"/>
        </w:rPr>
        <w:t> </w:t>
      </w:r>
      <w:r>
        <w:rPr>
          <w:spacing w:val="-2"/>
        </w:rPr>
        <w:t>operates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many</w:t>
      </w:r>
      <w:r>
        <w:rPr>
          <w:spacing w:val="-6"/>
        </w:rPr>
        <w:t> </w:t>
      </w:r>
      <w:r>
        <w:rPr>
          <w:spacing w:val="-2"/>
        </w:rPr>
        <w:t>countries.</w:t>
      </w:r>
      <w:r>
        <w:rPr>
          <w:spacing w:val="16"/>
        </w:rPr>
        <w:t> </w:t>
      </w:r>
      <w:r>
        <w:rPr>
          <w:spacing w:val="-2"/>
        </w:rPr>
        <w:t>Political</w:t>
      </w:r>
      <w:r>
        <w:rPr>
          <w:spacing w:val="-6"/>
        </w:rPr>
        <w:t> </w:t>
      </w:r>
      <w:r>
        <w:rPr>
          <w:spacing w:val="-2"/>
        </w:rPr>
        <w:t>instability,</w:t>
      </w:r>
      <w:r>
        <w:rPr>
          <w:spacing w:val="-4"/>
        </w:rPr>
        <w:t> </w:t>
      </w:r>
      <w:r>
        <w:rPr>
          <w:spacing w:val="-2"/>
        </w:rPr>
        <w:t>trade</w:t>
      </w:r>
      <w:r>
        <w:rPr>
          <w:spacing w:val="-6"/>
        </w:rPr>
        <w:t> </w:t>
      </w:r>
      <w:r>
        <w:rPr>
          <w:spacing w:val="-2"/>
        </w:rPr>
        <w:t>restrictions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regulatory </w:t>
      </w:r>
      <w:r>
        <w:rPr/>
        <w:t>changes can reduce hotel demand or increase operating costs.</w:t>
      </w:r>
    </w:p>
    <w:p>
      <w:pPr>
        <w:pStyle w:val="BodyText"/>
        <w:spacing w:line="256" w:lineRule="auto" w:before="136"/>
        <w:ind w:left="165" w:right="1296"/>
        <w:jc w:val="both"/>
      </w:pPr>
      <w:r>
        <w:rPr>
          <w:b/>
        </w:rPr>
        <w:t>Currency</w:t>
      </w:r>
      <w:r>
        <w:rPr>
          <w:b/>
          <w:spacing w:val="-6"/>
        </w:rPr>
        <w:t> </w:t>
      </w:r>
      <w:r>
        <w:rPr>
          <w:b/>
        </w:rPr>
        <w:t>Risk. </w:t>
      </w:r>
      <w:r>
        <w:rPr/>
        <w:t>International</w:t>
      </w:r>
      <w:r>
        <w:rPr>
          <w:spacing w:val="-6"/>
        </w:rPr>
        <w:t> </w:t>
      </w:r>
      <w:r>
        <w:rPr/>
        <w:t>revenue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earned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different</w:t>
      </w:r>
      <w:r>
        <w:rPr>
          <w:spacing w:val="-6"/>
        </w:rPr>
        <w:t> </w:t>
      </w:r>
      <w:r>
        <w:rPr/>
        <w:t>currencies. Changes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exchange</w:t>
      </w:r>
      <w:r>
        <w:rPr>
          <w:spacing w:val="-6"/>
        </w:rPr>
        <w:t> </w:t>
      </w:r>
      <w:r>
        <w:rPr/>
        <w:t>rates</w:t>
      </w:r>
      <w:r>
        <w:rPr>
          <w:spacing w:val="-6"/>
        </w:rPr>
        <w:t> </w:t>
      </w:r>
      <w:r>
        <w:rPr/>
        <w:t>can reduce reported US-dollar revenue and profit.</w:t>
      </w:r>
    </w:p>
    <w:p>
      <w:pPr>
        <w:pStyle w:val="BodyText"/>
        <w:spacing w:line="256" w:lineRule="auto" w:before="136"/>
        <w:ind w:left="165" w:right="1296"/>
        <w:jc w:val="both"/>
      </w:pPr>
      <w:r>
        <w:rPr>
          <w:b/>
        </w:rPr>
        <w:t>Customer Loyalty.</w:t>
      </w:r>
      <w:r>
        <w:rPr>
          <w:b/>
          <w:spacing w:val="40"/>
        </w:rPr>
        <w:t> </w:t>
      </w:r>
      <w:r>
        <w:rPr/>
        <w:t>Marriott Bonvoy is an important competitive advantage.</w:t>
      </w:r>
      <w:r>
        <w:rPr>
          <w:spacing w:val="40"/>
        </w:rPr>
        <w:t> </w:t>
      </w:r>
      <w:r>
        <w:rPr/>
        <w:t>Marriott reported </w:t>
      </w:r>
      <w:r>
        <w:rPr/>
        <w:t>more than 196 million Bonvoy members in its 2023 sustainability report, and the programme continued to expand </w:t>
      </w:r>
      <w:hyperlink w:history="true" w:anchor="_bookmark43">
        <w:r>
          <w:rPr>
            <w:color w:val="0E2C59"/>
          </w:rPr>
          <w:t>[8]</w:t>
        </w:r>
      </w:hyperlink>
      <w:r>
        <w:rPr/>
        <w:t>. Investment decisions should therefore protect service quality and customer loyalty.</w:t>
      </w:r>
    </w:p>
    <w:p>
      <w:pPr>
        <w:pStyle w:val="BodyText"/>
        <w:spacing w:line="256" w:lineRule="auto" w:before="137"/>
        <w:ind w:left="165" w:right="1296"/>
        <w:jc w:val="both"/>
      </w:pPr>
      <w:r>
        <w:rPr>
          <w:b/>
        </w:rPr>
        <w:t>Economic</w:t>
      </w:r>
      <w:r>
        <w:rPr>
          <w:b/>
          <w:spacing w:val="-4"/>
        </w:rPr>
        <w:t> </w:t>
      </w:r>
      <w:r>
        <w:rPr>
          <w:b/>
        </w:rPr>
        <w:t>Risk. </w:t>
      </w:r>
      <w:r>
        <w:rPr/>
        <w:t>Hotels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sensitive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economic</w:t>
      </w:r>
      <w:r>
        <w:rPr>
          <w:spacing w:val="-4"/>
        </w:rPr>
        <w:t> </w:t>
      </w:r>
      <w:r>
        <w:rPr/>
        <w:t>conditions. During</w:t>
      </w:r>
      <w:r>
        <w:rPr>
          <w:spacing w:val="-4"/>
        </w:rPr>
        <w:t> </w:t>
      </w:r>
      <w:r>
        <w:rPr/>
        <w:t>economic</w:t>
      </w:r>
      <w:r>
        <w:rPr>
          <w:spacing w:val="-4"/>
        </w:rPr>
        <w:t> </w:t>
      </w:r>
      <w:r>
        <w:rPr/>
        <w:t>downturns,</w:t>
      </w:r>
      <w:r>
        <w:rPr>
          <w:spacing w:val="-2"/>
        </w:rPr>
        <w:t> </w:t>
      </w:r>
      <w:r>
        <w:rPr/>
        <w:t>customers may reduce leisure travel and companies may reduce business travel.</w:t>
      </w:r>
    </w:p>
    <w:p>
      <w:pPr>
        <w:pStyle w:val="BodyText"/>
        <w:spacing w:line="256" w:lineRule="auto" w:before="136"/>
        <w:ind w:left="165" w:right="1296"/>
        <w:jc w:val="both"/>
      </w:pPr>
      <w:r>
        <w:rPr>
          <w:b/>
        </w:rPr>
        <w:t>ESG</w:t>
      </w:r>
      <w:r>
        <w:rPr>
          <w:b/>
          <w:spacing w:val="-3"/>
        </w:rPr>
        <w:t> </w:t>
      </w:r>
      <w:r>
        <w:rPr>
          <w:b/>
        </w:rPr>
        <w:t>Risk.</w:t>
      </w:r>
      <w:r>
        <w:rPr>
          <w:b/>
          <w:spacing w:val="27"/>
        </w:rPr>
        <w:t> </w:t>
      </w:r>
      <w:r>
        <w:rPr/>
        <w:t>Future</w:t>
      </w:r>
      <w:r>
        <w:rPr>
          <w:spacing w:val="-3"/>
        </w:rPr>
        <w:t> </w:t>
      </w:r>
      <w:r>
        <w:rPr/>
        <w:t>investments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consider</w:t>
      </w:r>
      <w:r>
        <w:rPr>
          <w:spacing w:val="-3"/>
        </w:rPr>
        <w:t> </w:t>
      </w:r>
      <w:r>
        <w:rPr/>
        <w:t>energy</w:t>
      </w:r>
      <w:r>
        <w:rPr>
          <w:spacing w:val="-3"/>
        </w:rPr>
        <w:t> </w:t>
      </w:r>
      <w:r>
        <w:rPr/>
        <w:t>efficiency, water</w:t>
      </w:r>
      <w:r>
        <w:rPr>
          <w:spacing w:val="-3"/>
        </w:rPr>
        <w:t> </w:t>
      </w:r>
      <w:r>
        <w:rPr/>
        <w:t>use, waste, employee</w:t>
      </w:r>
      <w:r>
        <w:rPr>
          <w:spacing w:val="-3"/>
        </w:rPr>
        <w:t> </w:t>
      </w:r>
      <w:r>
        <w:rPr/>
        <w:t>welfare and community impact. Marriott’s Serve 360 programme provides a framework for these objectives.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Project</w:t>
      </w:r>
      <w:r>
        <w:rPr>
          <w:spacing w:val="-8"/>
        </w:rPr>
        <w:t> </w:t>
      </w:r>
      <w:r>
        <w:rPr/>
        <w:t>C</w:t>
      </w:r>
      <w:r>
        <w:rPr>
          <w:spacing w:val="-8"/>
        </w:rPr>
        <w:t> </w:t>
      </w:r>
      <w:r>
        <w:rPr/>
        <w:t>should</w:t>
      </w:r>
      <w:r>
        <w:rPr>
          <w:spacing w:val="-8"/>
        </w:rPr>
        <w:t> </w:t>
      </w:r>
      <w:r>
        <w:rPr/>
        <w:t>therefore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approved</w:t>
      </w:r>
      <w:r>
        <w:rPr>
          <w:spacing w:val="-8"/>
        </w:rPr>
        <w:t> </w:t>
      </w:r>
      <w:r>
        <w:rPr/>
        <w:t>subject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appropriate</w:t>
      </w:r>
      <w:r>
        <w:rPr>
          <w:spacing w:val="-8"/>
        </w:rPr>
        <w:t> </w:t>
      </w:r>
      <w:r>
        <w:rPr/>
        <w:t>risk</w:t>
      </w:r>
      <w:r>
        <w:rPr>
          <w:spacing w:val="-8"/>
        </w:rPr>
        <w:t> </w:t>
      </w:r>
      <w:r>
        <w:rPr/>
        <w:t>controls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detailed</w:t>
      </w:r>
      <w:r>
        <w:rPr>
          <w:spacing w:val="-8"/>
        </w:rPr>
        <w:t> </w:t>
      </w:r>
      <w:r>
        <w:rPr/>
        <w:t>operational</w:t>
      </w:r>
      <w:r>
        <w:rPr>
          <w:spacing w:val="-8"/>
        </w:rPr>
        <w:t> </w:t>
      </w:r>
      <w:r>
        <w:rPr/>
        <w:t>due </w:t>
      </w:r>
      <w:r>
        <w:rPr>
          <w:spacing w:val="-2"/>
        </w:rPr>
        <w:t>diligence.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132" w:after="0"/>
        <w:ind w:left="595" w:right="0" w:hanging="430"/>
        <w:jc w:val="left"/>
      </w:pPr>
      <w:bookmarkStart w:name="Critical Reflection on AI Usage" w:id="64"/>
      <w:bookmarkEnd w:id="64"/>
      <w:r>
        <w:rPr>
          <w:b w:val="0"/>
        </w:rPr>
      </w:r>
      <w:bookmarkStart w:name="_bookmark32" w:id="65"/>
      <w:bookmarkEnd w:id="65"/>
      <w:r>
        <w:rPr>
          <w:b w:val="0"/>
        </w:rPr>
      </w:r>
      <w:r>
        <w:rPr>
          <w:color w:val="0E2C59"/>
        </w:rPr>
        <w:t>Critical</w:t>
      </w:r>
      <w:r>
        <w:rPr>
          <w:color w:val="0E2C59"/>
          <w:spacing w:val="11"/>
        </w:rPr>
        <w:t> </w:t>
      </w:r>
      <w:r>
        <w:rPr>
          <w:color w:val="0E2C59"/>
        </w:rPr>
        <w:t>Reflection</w:t>
      </w:r>
      <w:r>
        <w:rPr>
          <w:color w:val="0E2C59"/>
          <w:spacing w:val="12"/>
        </w:rPr>
        <w:t> </w:t>
      </w:r>
      <w:r>
        <w:rPr>
          <w:color w:val="0E2C59"/>
        </w:rPr>
        <w:t>on</w:t>
      </w:r>
      <w:r>
        <w:rPr>
          <w:color w:val="0E2C59"/>
          <w:spacing w:val="11"/>
        </w:rPr>
        <w:t> </w:t>
      </w:r>
      <w:r>
        <w:rPr>
          <w:color w:val="0E2C59"/>
        </w:rPr>
        <w:t>AI</w:t>
      </w:r>
      <w:r>
        <w:rPr>
          <w:color w:val="0E2C59"/>
          <w:spacing w:val="12"/>
        </w:rPr>
        <w:t> </w:t>
      </w:r>
      <w:r>
        <w:rPr>
          <w:color w:val="0E2C59"/>
          <w:spacing w:val="-2"/>
        </w:rPr>
        <w:t>Usage</w:t>
      </w: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264" w:after="0"/>
        <w:ind w:left="702" w:right="0" w:hanging="537"/>
        <w:jc w:val="left"/>
      </w:pPr>
      <w:bookmarkStart w:name="AI Tool Disclosure" w:id="66"/>
      <w:bookmarkEnd w:id="66"/>
      <w:r>
        <w:rPr>
          <w:b w:val="0"/>
        </w:rPr>
      </w:r>
      <w:bookmarkStart w:name="_bookmark33" w:id="67"/>
      <w:bookmarkEnd w:id="67"/>
      <w:r>
        <w:rPr>
          <w:b w:val="0"/>
        </w:rPr>
      </w:r>
      <w:r>
        <w:rPr>
          <w:color w:val="0E2C59"/>
          <w:spacing w:val="-2"/>
        </w:rPr>
        <w:t>AI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Tool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Disclosure</w:t>
      </w:r>
    </w:p>
    <w:p>
      <w:pPr>
        <w:pStyle w:val="BodyText"/>
        <w:spacing w:line="256" w:lineRule="auto" w:before="160"/>
        <w:ind w:left="165" w:right="1296"/>
        <w:jc w:val="both"/>
      </w:pPr>
      <w:r>
        <w:rPr>
          <w:spacing w:val="-2"/>
        </w:rPr>
        <w:t>Artificial</w:t>
      </w:r>
      <w:r>
        <w:rPr>
          <w:spacing w:val="-8"/>
        </w:rPr>
        <w:t> </w:t>
      </w:r>
      <w:r>
        <w:rPr>
          <w:spacing w:val="-2"/>
        </w:rPr>
        <w:t>Intelligence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used</w:t>
      </w:r>
      <w:r>
        <w:rPr>
          <w:spacing w:val="-8"/>
        </w:rPr>
        <w:t> </w:t>
      </w:r>
      <w:r>
        <w:rPr>
          <w:spacing w:val="-2"/>
        </w:rPr>
        <w:t>as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supporting</w:t>
      </w:r>
      <w:r>
        <w:rPr>
          <w:spacing w:val="-8"/>
        </w:rPr>
        <w:t> </w:t>
      </w:r>
      <w:r>
        <w:rPr>
          <w:spacing w:val="-2"/>
        </w:rPr>
        <w:t>tool</w:t>
      </w:r>
      <w:r>
        <w:rPr>
          <w:spacing w:val="-8"/>
        </w:rPr>
        <w:t> </w:t>
      </w:r>
      <w:r>
        <w:rPr>
          <w:spacing w:val="-2"/>
        </w:rPr>
        <w:t>during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preparation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this</w:t>
      </w:r>
      <w:r>
        <w:rPr>
          <w:spacing w:val="-8"/>
        </w:rPr>
        <w:t> </w:t>
      </w:r>
      <w:r>
        <w:rPr>
          <w:spacing w:val="-2"/>
        </w:rPr>
        <w:t>report.</w:t>
      </w:r>
      <w:r>
        <w:rPr>
          <w:spacing w:val="14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AI</w:t>
      </w:r>
      <w:r>
        <w:rPr>
          <w:spacing w:val="-8"/>
        </w:rPr>
        <w:t> </w:t>
      </w:r>
      <w:r>
        <w:rPr>
          <w:spacing w:val="-2"/>
        </w:rPr>
        <w:t>tool</w:t>
      </w:r>
      <w:r>
        <w:rPr>
          <w:spacing w:val="-8"/>
        </w:rPr>
        <w:t> </w:t>
      </w:r>
      <w:r>
        <w:rPr>
          <w:spacing w:val="-2"/>
        </w:rPr>
        <w:t>was </w:t>
      </w:r>
      <w:r>
        <w:rPr/>
        <w:t>used to help organise the report structure, explain financial-management concepts in simple language, identify appropriate analytical areas and improve the clarity of written explanations.</w:t>
      </w:r>
      <w:r>
        <w:rPr>
          <w:spacing w:val="29"/>
        </w:rPr>
        <w:t> </w:t>
      </w:r>
      <w:r>
        <w:rPr/>
        <w:t>AI was also used to</w:t>
      </w:r>
      <w:r>
        <w:rPr>
          <w:spacing w:val="-14"/>
        </w:rPr>
        <w:t> </w:t>
      </w:r>
      <w:r>
        <w:rPr/>
        <w:t>support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presentation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ratio</w:t>
      </w:r>
      <w:r>
        <w:rPr>
          <w:spacing w:val="-14"/>
        </w:rPr>
        <w:t> </w:t>
      </w:r>
      <w:r>
        <w:rPr/>
        <w:t>calculations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investment</w:t>
      </w:r>
      <w:r>
        <w:rPr>
          <w:spacing w:val="-14"/>
        </w:rPr>
        <w:t> </w:t>
      </w:r>
      <w:r>
        <w:rPr/>
        <w:t>appraisal</w:t>
      </w:r>
      <w:r>
        <w:rPr>
          <w:spacing w:val="-14"/>
        </w:rPr>
        <w:t> </w:t>
      </w:r>
      <w:r>
        <w:rPr/>
        <w:t>methods.</w:t>
      </w:r>
      <w:r>
        <w:rPr>
          <w:spacing w:val="-5"/>
        </w:rPr>
        <w:t> </w:t>
      </w:r>
      <w:r>
        <w:rPr/>
        <w:t>However,</w:t>
      </w:r>
      <w:r>
        <w:rPr>
          <w:spacing w:val="-14"/>
        </w:rPr>
        <w:t> </w:t>
      </w:r>
      <w:r>
        <w:rPr/>
        <w:t>AI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not treated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primary</w:t>
      </w:r>
      <w:r>
        <w:rPr>
          <w:spacing w:val="-8"/>
        </w:rPr>
        <w:t> </w:t>
      </w:r>
      <w:r>
        <w:rPr/>
        <w:t>source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financial</w:t>
      </w:r>
      <w:r>
        <w:rPr>
          <w:spacing w:val="-8"/>
        </w:rPr>
        <w:t> </w:t>
      </w:r>
      <w:r>
        <w:rPr/>
        <w:t>information: the</w:t>
      </w:r>
      <w:r>
        <w:rPr>
          <w:spacing w:val="-8"/>
        </w:rPr>
        <w:t> </w:t>
      </w:r>
      <w:r>
        <w:rPr/>
        <w:t>actual</w:t>
      </w:r>
      <w:r>
        <w:rPr>
          <w:spacing w:val="-8"/>
        </w:rPr>
        <w:t> </w:t>
      </w:r>
      <w:r>
        <w:rPr/>
        <w:t>financial</w:t>
      </w:r>
      <w:r>
        <w:rPr>
          <w:spacing w:val="-8"/>
        </w:rPr>
        <w:t> </w:t>
      </w:r>
      <w:r>
        <w:rPr/>
        <w:t>figures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checked</w:t>
      </w:r>
      <w:r>
        <w:rPr>
          <w:spacing w:val="-8"/>
        </w:rPr>
        <w:t> </w:t>
      </w:r>
      <w:r>
        <w:rPr/>
        <w:t>against </w:t>
      </w:r>
      <w:r>
        <w:rPr>
          <w:spacing w:val="-2"/>
        </w:rPr>
        <w:t>Marriott</w:t>
      </w:r>
      <w:r>
        <w:rPr>
          <w:spacing w:val="-3"/>
        </w:rPr>
        <w:t> </w:t>
      </w:r>
      <w:r>
        <w:rPr>
          <w:spacing w:val="-2"/>
        </w:rPr>
        <w:t>International’s</w:t>
      </w:r>
      <w:r>
        <w:rPr>
          <w:spacing w:val="-3"/>
        </w:rPr>
        <w:t> </w:t>
      </w:r>
      <w:r>
        <w:rPr>
          <w:spacing w:val="-2"/>
        </w:rPr>
        <w:t>annual reports</w:t>
      </w:r>
      <w:r>
        <w:rPr>
          <w:spacing w:val="-3"/>
        </w:rPr>
        <w:t> </w:t>
      </w:r>
      <w:r>
        <w:rPr>
          <w:spacing w:val="-2"/>
        </w:rPr>
        <w:t>and</w:t>
      </w:r>
      <w:r>
        <w:rPr>
          <w:spacing w:val="-3"/>
        </w:rPr>
        <w:t> </w:t>
      </w:r>
      <w:r>
        <w:rPr>
          <w:spacing w:val="-2"/>
        </w:rPr>
        <w:t>SEC filings, since</w:t>
      </w:r>
      <w:r>
        <w:rPr>
          <w:spacing w:val="-3"/>
        </w:rPr>
        <w:t> </w:t>
      </w:r>
      <w:r>
        <w:rPr>
          <w:spacing w:val="-2"/>
        </w:rPr>
        <w:t>financial reports contain</w:t>
      </w:r>
      <w:r>
        <w:rPr>
          <w:spacing w:val="-3"/>
        </w:rPr>
        <w:t> </w:t>
      </w:r>
      <w:r>
        <w:rPr>
          <w:spacing w:val="-2"/>
        </w:rPr>
        <w:t>company-specific </w:t>
      </w:r>
      <w:r>
        <w:rPr/>
        <w:t>accounting information that cannot safely be assumed from general financial knowledge.</w:t>
      </w:r>
    </w:p>
    <w:p>
      <w:pPr>
        <w:pStyle w:val="BodyText"/>
        <w:spacing w:before="58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Verification of AI Output" w:id="68"/>
      <w:bookmarkEnd w:id="68"/>
      <w:r>
        <w:rPr>
          <w:b w:val="0"/>
        </w:rPr>
      </w:r>
      <w:bookmarkStart w:name="_bookmark34" w:id="69"/>
      <w:bookmarkEnd w:id="69"/>
      <w:r>
        <w:rPr>
          <w:b w:val="0"/>
        </w:rPr>
      </w:r>
      <w:r>
        <w:rPr>
          <w:color w:val="0E2C59"/>
          <w:spacing w:val="-2"/>
        </w:rPr>
        <w:t>Verification</w:t>
      </w:r>
      <w:r>
        <w:rPr>
          <w:color w:val="0E2C59"/>
          <w:spacing w:val="-8"/>
        </w:rPr>
        <w:t> </w:t>
      </w:r>
      <w:r>
        <w:rPr>
          <w:color w:val="0E2C59"/>
          <w:spacing w:val="-2"/>
        </w:rPr>
        <w:t>of</w:t>
      </w:r>
      <w:r>
        <w:rPr>
          <w:color w:val="0E2C59"/>
          <w:spacing w:val="-7"/>
        </w:rPr>
        <w:t> </w:t>
      </w:r>
      <w:r>
        <w:rPr>
          <w:color w:val="0E2C59"/>
          <w:spacing w:val="-2"/>
        </w:rPr>
        <w:t>AI</w:t>
      </w:r>
      <w:r>
        <w:rPr>
          <w:color w:val="0E2C59"/>
          <w:spacing w:val="-7"/>
        </w:rPr>
        <w:t> </w:t>
      </w:r>
      <w:r>
        <w:rPr>
          <w:color w:val="0E2C59"/>
          <w:spacing w:val="-2"/>
        </w:rPr>
        <w:t>Output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AI-generated information was treated as an initial working aid rather than as final evidence.</w:t>
      </w:r>
      <w:r>
        <w:rPr>
          <w:spacing w:val="40"/>
        </w:rPr>
        <w:t> </w:t>
      </w:r>
      <w:r>
        <w:rPr/>
        <w:t>The </w:t>
      </w:r>
      <w:r>
        <w:rPr/>
        <w:t>fi-nancial figures were checked against Marriott’s audited annual financial statements.</w:t>
      </w:r>
      <w:r>
        <w:rPr>
          <w:spacing w:val="36"/>
        </w:rPr>
        <w:t> </w:t>
      </w:r>
      <w:r>
        <w:rPr/>
        <w:t>For example, the AI-generated</w:t>
      </w:r>
      <w:r>
        <w:rPr>
          <w:spacing w:val="-13"/>
        </w:rPr>
        <w:t> </w:t>
      </w:r>
      <w:r>
        <w:rPr/>
        <w:t>interpretation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Marriott’s</w:t>
      </w:r>
      <w:r>
        <w:rPr>
          <w:spacing w:val="-13"/>
        </w:rPr>
        <w:t> </w:t>
      </w:r>
      <w:r>
        <w:rPr/>
        <w:t>liquidity</w:t>
      </w:r>
      <w:r>
        <w:rPr>
          <w:spacing w:val="-13"/>
        </w:rPr>
        <w:t> </w:t>
      </w:r>
      <w:r>
        <w:rPr/>
        <w:t>position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checked</w:t>
      </w:r>
      <w:r>
        <w:rPr>
          <w:spacing w:val="-13"/>
        </w:rPr>
        <w:t> </w:t>
      </w:r>
      <w:r>
        <w:rPr/>
        <w:t>against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company’s</w:t>
      </w:r>
      <w:r>
        <w:rPr>
          <w:spacing w:val="-13"/>
        </w:rPr>
        <w:t> </w:t>
      </w:r>
      <w:r>
        <w:rPr/>
        <w:t>reported current</w:t>
      </w:r>
      <w:r>
        <w:rPr>
          <w:spacing w:val="-9"/>
        </w:rPr>
        <w:t> </w:t>
      </w:r>
      <w:r>
        <w:rPr/>
        <w:t>assets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current</w:t>
      </w:r>
      <w:r>
        <w:rPr>
          <w:spacing w:val="-9"/>
        </w:rPr>
        <w:t> </w:t>
      </w:r>
      <w:r>
        <w:rPr/>
        <w:t>liabilities: Marriott’s</w:t>
      </w:r>
      <w:r>
        <w:rPr>
          <w:spacing w:val="-9"/>
        </w:rPr>
        <w:t> </w:t>
      </w:r>
      <w:r>
        <w:rPr/>
        <w:t>2025</w:t>
      </w:r>
      <w:r>
        <w:rPr>
          <w:spacing w:val="-9"/>
        </w:rPr>
        <w:t> </w:t>
      </w:r>
      <w:r>
        <w:rPr/>
        <w:t>Form</w:t>
      </w:r>
      <w:r>
        <w:rPr>
          <w:spacing w:val="-9"/>
        </w:rPr>
        <w:t> </w:t>
      </w:r>
      <w:r>
        <w:rPr/>
        <w:t>10-K</w:t>
      </w:r>
      <w:r>
        <w:rPr>
          <w:spacing w:val="-9"/>
        </w:rPr>
        <w:t> </w:t>
      </w:r>
      <w:r>
        <w:rPr/>
        <w:t>reports</w:t>
      </w:r>
      <w:r>
        <w:rPr>
          <w:spacing w:val="-9"/>
        </w:rPr>
        <w:t> </w:t>
      </w:r>
      <w:r>
        <w:rPr/>
        <w:t>current</w:t>
      </w:r>
      <w:r>
        <w:rPr>
          <w:spacing w:val="-9"/>
        </w:rPr>
        <w:t> </w:t>
      </w:r>
      <w:r>
        <w:rPr/>
        <w:t>assets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$3.584</w:t>
      </w:r>
      <w:r>
        <w:rPr>
          <w:spacing w:val="-9"/>
        </w:rPr>
        <w:t> </w:t>
      </w:r>
      <w:r>
        <w:rPr/>
        <w:t>billion and current liabilities of $8.398 billion, resulting in a current ratio of approximately 0.43, consistent with the company’s own reported range of 0.4 to 1.0 for 2025 </w:t>
      </w:r>
      <w:hyperlink w:history="true" w:anchor="_bookmark38">
        <w:r>
          <w:rPr>
            <w:color w:val="0E2C59"/>
          </w:rPr>
          <w:t>[1]</w:t>
        </w:r>
      </w:hyperlink>
      <w:r>
        <w:rPr/>
        <w:t>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 investment calculations were also independently calculated using the cash flows provided in the assessment, which helped reduce the risk of mathematical or logical errors.</w:t>
      </w:r>
      <w:r>
        <w:rPr>
          <w:spacing w:val="31"/>
        </w:rPr>
        <w:t> </w:t>
      </w:r>
      <w:r>
        <w:rPr/>
        <w:t>An important lesson from using</w:t>
      </w:r>
      <w:r>
        <w:rPr>
          <w:spacing w:val="-16"/>
        </w:rPr>
        <w:t> </w:t>
      </w:r>
      <w:r>
        <w:rPr/>
        <w:t>AI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that</w:t>
      </w:r>
      <w:r>
        <w:rPr>
          <w:spacing w:val="-13"/>
        </w:rPr>
        <w:t> </w:t>
      </w:r>
      <w:r>
        <w:rPr/>
        <w:t>AI</w:t>
      </w:r>
      <w:r>
        <w:rPr>
          <w:spacing w:val="-14"/>
        </w:rPr>
        <w:t> </w:t>
      </w:r>
      <w:r>
        <w:rPr/>
        <w:t>can</w:t>
      </w:r>
      <w:r>
        <w:rPr>
          <w:spacing w:val="-14"/>
        </w:rPr>
        <w:t> </w:t>
      </w:r>
      <w:r>
        <w:rPr/>
        <w:t>produce</w:t>
      </w:r>
      <w:r>
        <w:rPr>
          <w:spacing w:val="-14"/>
        </w:rPr>
        <w:t> </w:t>
      </w:r>
      <w:r>
        <w:rPr/>
        <w:t>confident</w:t>
      </w:r>
      <w:r>
        <w:rPr>
          <w:spacing w:val="-13"/>
        </w:rPr>
        <w:t> </w:t>
      </w:r>
      <w:r>
        <w:rPr/>
        <w:t>answers</w:t>
      </w:r>
      <w:r>
        <w:rPr>
          <w:spacing w:val="-14"/>
        </w:rPr>
        <w:t> </w:t>
      </w:r>
      <w:r>
        <w:rPr/>
        <w:t>even</w:t>
      </w:r>
      <w:r>
        <w:rPr>
          <w:spacing w:val="-14"/>
        </w:rPr>
        <w:t> </w:t>
      </w:r>
      <w:r>
        <w:rPr/>
        <w:t>when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underlying</w:t>
      </w:r>
      <w:r>
        <w:rPr>
          <w:spacing w:val="-14"/>
        </w:rPr>
        <w:t> </w:t>
      </w:r>
      <w:r>
        <w:rPr/>
        <w:t>information</w:t>
      </w:r>
      <w:r>
        <w:rPr>
          <w:spacing w:val="-14"/>
        </w:rPr>
        <w:t> </w:t>
      </w:r>
      <w:r>
        <w:rPr/>
        <w:t>may</w:t>
      </w:r>
      <w:r>
        <w:rPr>
          <w:spacing w:val="-14"/>
        </w:rPr>
        <w:t> </w:t>
      </w:r>
      <w:r>
        <w:rPr/>
        <w:t>be</w:t>
      </w:r>
      <w:r>
        <w:rPr>
          <w:spacing w:val="-13"/>
        </w:rPr>
        <w:t> </w:t>
      </w:r>
      <w:r>
        <w:rPr/>
        <w:t>incom-plete or incorrect; therefore, financial data should always be checked against primary sources.</w:t>
      </w:r>
    </w:p>
    <w:p>
      <w:pPr>
        <w:pStyle w:val="BodyText"/>
        <w:spacing w:before="5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AI Contribution and My Contribution" w:id="70"/>
      <w:bookmarkEnd w:id="70"/>
      <w:r>
        <w:rPr>
          <w:b w:val="0"/>
        </w:rPr>
      </w:r>
      <w:bookmarkStart w:name="_bookmark35" w:id="71"/>
      <w:bookmarkEnd w:id="71"/>
      <w:r>
        <w:rPr>
          <w:b w:val="0"/>
        </w:rPr>
      </w:r>
      <w:r>
        <w:rPr>
          <w:color w:val="0E2C59"/>
        </w:rPr>
        <w:t>AI</w:t>
      </w:r>
      <w:r>
        <w:rPr>
          <w:color w:val="0E2C59"/>
          <w:spacing w:val="-9"/>
        </w:rPr>
        <w:t> </w:t>
      </w:r>
      <w:r>
        <w:rPr>
          <w:color w:val="0E2C59"/>
        </w:rPr>
        <w:t>Contribution</w:t>
      </w:r>
      <w:r>
        <w:rPr>
          <w:color w:val="0E2C59"/>
          <w:spacing w:val="-8"/>
        </w:rPr>
        <w:t> </w:t>
      </w:r>
      <w:r>
        <w:rPr>
          <w:color w:val="0E2C59"/>
        </w:rPr>
        <w:t>and</w:t>
      </w:r>
      <w:r>
        <w:rPr>
          <w:color w:val="0E2C59"/>
          <w:spacing w:val="-8"/>
        </w:rPr>
        <w:t> </w:t>
      </w:r>
      <w:r>
        <w:rPr>
          <w:color w:val="0E2C59"/>
        </w:rPr>
        <w:t>My</w:t>
      </w:r>
      <w:r>
        <w:rPr>
          <w:color w:val="0E2C59"/>
          <w:spacing w:val="-8"/>
        </w:rPr>
        <w:t> </w:t>
      </w:r>
      <w:r>
        <w:rPr>
          <w:color w:val="0E2C59"/>
          <w:spacing w:val="-2"/>
        </w:rPr>
        <w:t>Contribution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AI</w:t>
      </w:r>
      <w:r>
        <w:rPr>
          <w:spacing w:val="-2"/>
        </w:rPr>
        <w:t> </w:t>
      </w:r>
      <w:r>
        <w:rPr/>
        <w:t>contributed</w:t>
      </w:r>
      <w:r>
        <w:rPr>
          <w:spacing w:val="-2"/>
        </w:rPr>
        <w:t> </w:t>
      </w:r>
      <w:r>
        <w:rPr/>
        <w:t>mainly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organisation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initial</w:t>
      </w:r>
      <w:r>
        <w:rPr>
          <w:spacing w:val="-2"/>
        </w:rPr>
        <w:t> </w:t>
      </w:r>
      <w:r>
        <w:rPr/>
        <w:t>explanation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report.</w:t>
      </w:r>
      <w:r>
        <w:rPr>
          <w:spacing w:val="22"/>
        </w:rPr>
        <w:t> </w:t>
      </w:r>
      <w:r>
        <w:rPr/>
        <w:t>The</w:t>
      </w:r>
      <w:r>
        <w:rPr>
          <w:spacing w:val="-2"/>
        </w:rPr>
        <w:t> </w:t>
      </w:r>
      <w:r>
        <w:rPr/>
        <w:t>student’s</w:t>
      </w:r>
      <w:r>
        <w:rPr>
          <w:spacing w:val="-2"/>
        </w:rPr>
        <w:t> </w:t>
      </w:r>
      <w:r>
        <w:rPr/>
        <w:t>own</w:t>
      </w:r>
      <w:r>
        <w:rPr>
          <w:spacing w:val="-2"/>
        </w:rPr>
        <w:t> </w:t>
      </w:r>
      <w:r>
        <w:rPr/>
        <w:t>con-tribution</w:t>
      </w:r>
      <w:r>
        <w:rPr>
          <w:spacing w:val="-3"/>
        </w:rPr>
        <w:t> </w:t>
      </w:r>
      <w:r>
        <w:rPr/>
        <w:t>includes: selecting</w:t>
      </w:r>
      <w:r>
        <w:rPr>
          <w:spacing w:val="-3"/>
        </w:rPr>
        <w:t> </w:t>
      </w:r>
      <w:r>
        <w:rPr/>
        <w:t>Marriott</w:t>
      </w:r>
      <w:r>
        <w:rPr>
          <w:spacing w:val="-3"/>
        </w:rPr>
        <w:t> </w:t>
      </w:r>
      <w:r>
        <w:rPr/>
        <w:t>International; reviewing</w:t>
      </w:r>
      <w:r>
        <w:rPr>
          <w:spacing w:val="-3"/>
        </w:rPr>
        <w:t> </w:t>
      </w:r>
      <w:r>
        <w:rPr/>
        <w:t>company</w:t>
      </w:r>
      <w:r>
        <w:rPr>
          <w:spacing w:val="-3"/>
        </w:rPr>
        <w:t> </w:t>
      </w:r>
      <w:r>
        <w:rPr/>
        <w:t>financial</w:t>
      </w:r>
      <w:r>
        <w:rPr>
          <w:spacing w:val="-3"/>
        </w:rPr>
        <w:t> </w:t>
      </w:r>
      <w:r>
        <w:rPr/>
        <w:t>statements; </w:t>
      </w:r>
      <w:r>
        <w:rPr/>
        <w:t>checking </w:t>
      </w:r>
      <w:r>
        <w:rPr>
          <w:spacing w:val="-2"/>
        </w:rPr>
        <w:t>financial</w:t>
      </w:r>
      <w:r>
        <w:rPr>
          <w:spacing w:val="-3"/>
        </w:rPr>
        <w:t> </w:t>
      </w:r>
      <w:r>
        <w:rPr>
          <w:spacing w:val="-2"/>
        </w:rPr>
        <w:t>data; calculating</w:t>
      </w:r>
      <w:r>
        <w:rPr>
          <w:spacing w:val="-3"/>
        </w:rPr>
        <w:t> </w:t>
      </w:r>
      <w:r>
        <w:rPr>
          <w:spacing w:val="-2"/>
        </w:rPr>
        <w:t>and</w:t>
      </w:r>
      <w:r>
        <w:rPr>
          <w:spacing w:val="-3"/>
        </w:rPr>
        <w:t> </w:t>
      </w:r>
      <w:r>
        <w:rPr>
          <w:spacing w:val="-2"/>
        </w:rPr>
        <w:t>interpreting</w:t>
      </w:r>
      <w:r>
        <w:rPr>
          <w:spacing w:val="-3"/>
        </w:rPr>
        <w:t> </w:t>
      </w:r>
      <w:r>
        <w:rPr>
          <w:spacing w:val="-2"/>
        </w:rPr>
        <w:t>ratios; performing</w:t>
      </w:r>
      <w:r>
        <w:rPr>
          <w:spacing w:val="-3"/>
        </w:rPr>
        <w:t> </w:t>
      </w:r>
      <w:r>
        <w:rPr>
          <w:spacing w:val="-2"/>
        </w:rPr>
        <w:t>investment</w:t>
      </w:r>
      <w:r>
        <w:rPr>
          <w:spacing w:val="-3"/>
        </w:rPr>
        <w:t> </w:t>
      </w:r>
      <w:r>
        <w:rPr>
          <w:spacing w:val="-2"/>
        </w:rPr>
        <w:t>appraisal</w:t>
      </w:r>
      <w:r>
        <w:rPr>
          <w:spacing w:val="-3"/>
        </w:rPr>
        <w:t> </w:t>
      </w:r>
      <w:r>
        <w:rPr>
          <w:spacing w:val="-2"/>
        </w:rPr>
        <w:t>calculations; compar-</w:t>
      </w:r>
      <w:r>
        <w:rPr/>
        <w:t>ing</w:t>
      </w:r>
      <w:r>
        <w:rPr>
          <w:spacing w:val="-2"/>
        </w:rPr>
        <w:t> </w:t>
      </w:r>
      <w:r>
        <w:rPr/>
        <w:t>projects; evaluating</w:t>
      </w:r>
      <w:r>
        <w:rPr>
          <w:spacing w:val="-2"/>
        </w:rPr>
        <w:t> </w:t>
      </w:r>
      <w:r>
        <w:rPr/>
        <w:t>financial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non-financial</w:t>
      </w:r>
      <w:r>
        <w:rPr>
          <w:spacing w:val="-2"/>
        </w:rPr>
        <w:t> </w:t>
      </w:r>
      <w:r>
        <w:rPr/>
        <w:t>risks; developing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final</w:t>
      </w:r>
      <w:r>
        <w:rPr>
          <w:spacing w:val="-2"/>
        </w:rPr>
        <w:t> </w:t>
      </w:r>
      <w:r>
        <w:rPr/>
        <w:t>CFO</w:t>
      </w:r>
      <w:r>
        <w:rPr>
          <w:spacing w:val="-2"/>
        </w:rPr>
        <w:t> </w:t>
      </w:r>
      <w:r>
        <w:rPr/>
        <w:t>recommendations; and</w:t>
      </w:r>
      <w:r>
        <w:rPr>
          <w:spacing w:val="-14"/>
        </w:rPr>
        <w:t> </w:t>
      </w:r>
      <w:r>
        <w:rPr/>
        <w:t>deciding</w:t>
      </w:r>
      <w:r>
        <w:rPr>
          <w:spacing w:val="-14"/>
        </w:rPr>
        <w:t> </w:t>
      </w:r>
      <w:r>
        <w:rPr/>
        <w:t>how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capital-rationing</w:t>
      </w:r>
      <w:r>
        <w:rPr>
          <w:spacing w:val="-14"/>
        </w:rPr>
        <w:t> </w:t>
      </w:r>
      <w:r>
        <w:rPr/>
        <w:t>result</w:t>
      </w:r>
      <w:r>
        <w:rPr>
          <w:spacing w:val="-14"/>
        </w:rPr>
        <w:t> </w:t>
      </w:r>
      <w:r>
        <w:rPr/>
        <w:t>should</w:t>
      </w:r>
      <w:r>
        <w:rPr>
          <w:spacing w:val="-14"/>
        </w:rPr>
        <w:t> </w:t>
      </w:r>
      <w:r>
        <w:rPr/>
        <w:t>be</w:t>
      </w:r>
      <w:r>
        <w:rPr>
          <w:spacing w:val="-13"/>
        </w:rPr>
        <w:t> </w:t>
      </w:r>
      <w:r>
        <w:rPr/>
        <w:t>interpreted.</w:t>
      </w:r>
      <w:r>
        <w:rPr>
          <w:spacing w:val="-14"/>
        </w:rPr>
        <w:t> </w:t>
      </w:r>
      <w:r>
        <w:rPr/>
        <w:t>AI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therefore</w:t>
      </w:r>
      <w:r>
        <w:rPr>
          <w:spacing w:val="-13"/>
        </w:rPr>
        <w:t> </w:t>
      </w:r>
      <w:r>
        <w:rPr/>
        <w:t>used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assistant rather than as a replacement for financial judgement.</w:t>
      </w:r>
    </w:p>
    <w:p>
      <w:pPr>
        <w:pStyle w:val="BodyText"/>
        <w:spacing w:before="57"/>
      </w:pPr>
    </w:p>
    <w:p>
      <w:pPr>
        <w:pStyle w:val="Heading2"/>
        <w:numPr>
          <w:ilvl w:val="1"/>
          <w:numId w:val="2"/>
        </w:numPr>
        <w:tabs>
          <w:tab w:pos="702" w:val="left" w:leader="none"/>
        </w:tabs>
        <w:spacing w:line="240" w:lineRule="auto" w:before="0" w:after="0"/>
        <w:ind w:left="702" w:right="0" w:hanging="537"/>
        <w:jc w:val="left"/>
      </w:pPr>
      <w:bookmarkStart w:name="Ethical and Professional Reflection" w:id="72"/>
      <w:bookmarkEnd w:id="72"/>
      <w:r>
        <w:rPr>
          <w:b w:val="0"/>
        </w:rPr>
      </w:r>
      <w:bookmarkStart w:name="_bookmark36" w:id="73"/>
      <w:bookmarkEnd w:id="73"/>
      <w:r>
        <w:rPr>
          <w:b w:val="0"/>
        </w:rPr>
      </w:r>
      <w:r>
        <w:rPr>
          <w:color w:val="0E2C59"/>
        </w:rPr>
        <w:t>Ethical</w:t>
      </w:r>
      <w:r>
        <w:rPr>
          <w:color w:val="0E2C59"/>
          <w:spacing w:val="-11"/>
        </w:rPr>
        <w:t> </w:t>
      </w:r>
      <w:r>
        <w:rPr>
          <w:color w:val="0E2C59"/>
        </w:rPr>
        <w:t>and</w:t>
      </w:r>
      <w:r>
        <w:rPr>
          <w:color w:val="0E2C59"/>
          <w:spacing w:val="-11"/>
        </w:rPr>
        <w:t> </w:t>
      </w:r>
      <w:r>
        <w:rPr>
          <w:color w:val="0E2C59"/>
        </w:rPr>
        <w:t>Professional</w:t>
      </w:r>
      <w:r>
        <w:rPr>
          <w:color w:val="0E2C59"/>
          <w:spacing w:val="-10"/>
        </w:rPr>
        <w:t> </w:t>
      </w:r>
      <w:r>
        <w:rPr>
          <w:color w:val="0E2C59"/>
          <w:spacing w:val="-2"/>
        </w:rPr>
        <w:t>Reflection</w:t>
      </w:r>
    </w:p>
    <w:p>
      <w:pPr>
        <w:pStyle w:val="BodyText"/>
        <w:spacing w:line="256" w:lineRule="auto" w:before="161"/>
        <w:ind w:left="165" w:right="1296"/>
        <w:jc w:val="both"/>
      </w:pPr>
      <w:r>
        <w:rPr/>
        <w:t>AI use creates several ethical issues in financial management.</w:t>
      </w:r>
      <w:r>
        <w:rPr>
          <w:spacing w:val="40"/>
        </w:rPr>
        <w:t> </w:t>
      </w:r>
      <w:r>
        <w:rPr/>
        <w:t>The first is transparency:</w:t>
      </w:r>
      <w:r>
        <w:rPr>
          <w:spacing w:val="40"/>
        </w:rPr>
        <w:t> </w:t>
      </w:r>
      <w:r>
        <w:rPr/>
        <w:t>a student or financial</w:t>
      </w:r>
      <w:r>
        <w:rPr>
          <w:spacing w:val="-9"/>
        </w:rPr>
        <w:t> </w:t>
      </w:r>
      <w:r>
        <w:rPr/>
        <w:t>professional</w:t>
      </w:r>
      <w:r>
        <w:rPr>
          <w:spacing w:val="-9"/>
        </w:rPr>
        <w:t> </w:t>
      </w:r>
      <w:r>
        <w:rPr/>
        <w:t>should</w:t>
      </w:r>
      <w:r>
        <w:rPr>
          <w:spacing w:val="-9"/>
        </w:rPr>
        <w:t> </w:t>
      </w:r>
      <w:r>
        <w:rPr/>
        <w:t>not</w:t>
      </w:r>
      <w:r>
        <w:rPr>
          <w:spacing w:val="-9"/>
        </w:rPr>
        <w:t> </w:t>
      </w:r>
      <w:r>
        <w:rPr/>
        <w:t>present</w:t>
      </w:r>
      <w:r>
        <w:rPr>
          <w:spacing w:val="-9"/>
        </w:rPr>
        <w:t> </w:t>
      </w:r>
      <w:r>
        <w:rPr/>
        <w:t>AI-generated</w:t>
      </w:r>
      <w:r>
        <w:rPr>
          <w:spacing w:val="-9"/>
        </w:rPr>
        <w:t> </w:t>
      </w:r>
      <w:r>
        <w:rPr/>
        <w:t>work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completely</w:t>
      </w:r>
      <w:r>
        <w:rPr>
          <w:spacing w:val="-9"/>
        </w:rPr>
        <w:t> </w:t>
      </w:r>
      <w:r>
        <w:rPr/>
        <w:t>original</w:t>
      </w:r>
      <w:r>
        <w:rPr>
          <w:spacing w:val="-9"/>
        </w:rPr>
        <w:t> </w:t>
      </w:r>
      <w:r>
        <w:rPr/>
        <w:t>without</w:t>
      </w:r>
      <w:r>
        <w:rPr>
          <w:spacing w:val="-9"/>
        </w:rPr>
        <w:t> </w:t>
      </w:r>
      <w:r>
        <w:rPr/>
        <w:t>appropriate disclosure.</w:t>
      </w:r>
      <w:r>
        <w:rPr>
          <w:spacing w:val="40"/>
        </w:rPr>
        <w:t> </w:t>
      </w:r>
      <w:r>
        <w:rPr/>
        <w:t>The second is data privacy: confidential company information should not be entered into public</w:t>
      </w:r>
      <w:r>
        <w:rPr>
          <w:spacing w:val="-1"/>
        </w:rPr>
        <w:t> </w:t>
      </w:r>
      <w:r>
        <w:rPr/>
        <w:t>AI</w:t>
      </w:r>
      <w:r>
        <w:rPr>
          <w:spacing w:val="-1"/>
        </w:rPr>
        <w:t> </w:t>
      </w:r>
      <w:r>
        <w:rPr/>
        <w:t>systems</w:t>
      </w:r>
      <w:r>
        <w:rPr>
          <w:spacing w:val="-1"/>
        </w:rPr>
        <w:t> </w:t>
      </w:r>
      <w:r>
        <w:rPr/>
        <w:t>without</w:t>
      </w:r>
      <w:r>
        <w:rPr>
          <w:spacing w:val="-1"/>
        </w:rPr>
        <w:t> </w:t>
      </w:r>
      <w:r>
        <w:rPr/>
        <w:t>permission.</w:t>
      </w:r>
      <w:r>
        <w:rPr>
          <w:spacing w:val="25"/>
        </w:rPr>
        <w:t> </w:t>
      </w:r>
      <w:r>
        <w:rPr/>
        <w:t>The</w:t>
      </w:r>
      <w:r>
        <w:rPr>
          <w:spacing w:val="-1"/>
        </w:rPr>
        <w:t> </w:t>
      </w:r>
      <w:r>
        <w:rPr/>
        <w:t>third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hallucination</w:t>
      </w:r>
      <w:r>
        <w:rPr>
          <w:spacing w:val="-1"/>
        </w:rPr>
        <w:t> </w:t>
      </w:r>
      <w:r>
        <w:rPr/>
        <w:t>risk: AI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create</w:t>
      </w:r>
      <w:r>
        <w:rPr>
          <w:spacing w:val="-1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figures, references or explanations that appear realistic but are incorrect.</w:t>
      </w:r>
      <w:r>
        <w:rPr>
          <w:spacing w:val="40"/>
        </w:rPr>
        <w:t> </w:t>
      </w:r>
      <w:r>
        <w:rPr/>
        <w:t>The fourth is over-reliance: a CFO should not make major investment, borrowing or restructuring decisions based only on an AI recom-</w:t>
      </w:r>
      <w:r>
        <w:rPr>
          <w:spacing w:val="-2"/>
        </w:rPr>
        <w:t>mendation.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Human judgement remains essential because financial decisions involve strategy, risk, ethics, </w:t>
      </w:r>
      <w:r>
        <w:rPr/>
        <w:t>stake-holders and uncertain future conditions.</w:t>
      </w:r>
      <w:r>
        <w:rPr>
          <w:spacing w:val="40"/>
        </w:rPr>
        <w:t> </w:t>
      </w:r>
      <w:r>
        <w:rPr/>
        <w:t>For this reason, AI should be used to support analysis rather than</w:t>
      </w:r>
      <w:r>
        <w:rPr>
          <w:spacing w:val="-11"/>
        </w:rPr>
        <w:t> </w:t>
      </w:r>
      <w:r>
        <w:rPr/>
        <w:t>replace</w:t>
      </w:r>
      <w:r>
        <w:rPr>
          <w:spacing w:val="-11"/>
        </w:rPr>
        <w:t> </w:t>
      </w:r>
      <w:r>
        <w:rPr/>
        <w:t>professional</w:t>
      </w:r>
      <w:r>
        <w:rPr>
          <w:spacing w:val="-11"/>
        </w:rPr>
        <w:t> </w:t>
      </w:r>
      <w:r>
        <w:rPr/>
        <w:t>responsibility. The</w:t>
      </w:r>
      <w:r>
        <w:rPr>
          <w:spacing w:val="-11"/>
        </w:rPr>
        <w:t> </w:t>
      </w:r>
      <w:r>
        <w:rPr/>
        <w:t>final</w:t>
      </w:r>
      <w:r>
        <w:rPr>
          <w:spacing w:val="-11"/>
        </w:rPr>
        <w:t> </w:t>
      </w:r>
      <w:r>
        <w:rPr/>
        <w:t>decision</w:t>
      </w:r>
      <w:r>
        <w:rPr>
          <w:spacing w:val="-11"/>
        </w:rPr>
        <w:t> </w:t>
      </w:r>
      <w:r>
        <w:rPr/>
        <w:t>should</w:t>
      </w:r>
      <w:r>
        <w:rPr>
          <w:spacing w:val="-11"/>
        </w:rPr>
        <w:t> </w:t>
      </w:r>
      <w:r>
        <w:rPr/>
        <w:t>always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based</w:t>
      </w:r>
      <w:r>
        <w:rPr>
          <w:spacing w:val="-11"/>
        </w:rPr>
        <w:t> </w:t>
      </w:r>
      <w:r>
        <w:rPr/>
        <w:t>on</w:t>
      </w:r>
      <w:r>
        <w:rPr>
          <w:spacing w:val="-11"/>
        </w:rPr>
        <w:t> </w:t>
      </w:r>
      <w:r>
        <w:rPr/>
        <w:t>verified</w:t>
      </w:r>
      <w:r>
        <w:rPr>
          <w:spacing w:val="-11"/>
        </w:rPr>
        <w:t> </w:t>
      </w:r>
      <w:r>
        <w:rPr/>
        <w:t>financial information, appropriate financial techniques and human judgement.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Heading1"/>
        <w:numPr>
          <w:ilvl w:val="0"/>
          <w:numId w:val="2"/>
        </w:numPr>
        <w:tabs>
          <w:tab w:pos="595" w:val="left" w:leader="none"/>
        </w:tabs>
        <w:spacing w:line="240" w:lineRule="auto" w:before="132" w:after="0"/>
        <w:ind w:left="595" w:right="0" w:hanging="430"/>
        <w:jc w:val="left"/>
      </w:pPr>
      <w:bookmarkStart w:name="Conclusion" w:id="74"/>
      <w:bookmarkEnd w:id="74"/>
      <w:r>
        <w:rPr>
          <w:b w:val="0"/>
        </w:rPr>
      </w:r>
      <w:bookmarkStart w:name="References" w:id="75"/>
      <w:bookmarkEnd w:id="75"/>
      <w:r>
        <w:rPr>
          <w:b w:val="0"/>
        </w:rPr>
      </w:r>
      <w:bookmarkStart w:name="Appendices" w:id="76"/>
      <w:bookmarkEnd w:id="76"/>
      <w:r>
        <w:rPr>
          <w:b w:val="0"/>
        </w:rPr>
      </w:r>
      <w:bookmarkStart w:name="_bookmark37" w:id="77"/>
      <w:bookmarkEnd w:id="77"/>
      <w:r>
        <w:rPr>
          <w:b w:val="0"/>
        </w:rPr>
      </w:r>
      <w:r>
        <w:rPr>
          <w:color w:val="0E2C59"/>
          <w:spacing w:val="-2"/>
        </w:rPr>
        <w:t>Conclusion</w:t>
      </w:r>
    </w:p>
    <w:p>
      <w:pPr>
        <w:pStyle w:val="BodyText"/>
        <w:spacing w:line="256" w:lineRule="auto" w:before="230"/>
        <w:ind w:left="165" w:right="1296"/>
        <w:jc w:val="both"/>
      </w:pPr>
      <w:r>
        <w:rPr/>
        <w:t>This report has evaluated the financial performance and management of Marriott International from 2021 to 2025.</w:t>
      </w:r>
      <w:r>
        <w:rPr>
          <w:spacing w:val="40"/>
        </w:rPr>
        <w:t> </w:t>
      </w:r>
      <w:r>
        <w:rPr/>
        <w:t>The financial analysis demonstrates a strong recovery and improvement in Marriott’s operating performance.</w:t>
      </w:r>
      <w:r>
        <w:rPr>
          <w:spacing w:val="40"/>
        </w:rPr>
        <w:t> </w:t>
      </w:r>
      <w:r>
        <w:rPr/>
        <w:t>Revenue increased from $13.857 billion in 2021 to $26.186 billion in </w:t>
      </w:r>
      <w:r>
        <w:rPr/>
        <w:t>2025, while</w:t>
      </w:r>
      <w:r>
        <w:rPr>
          <w:spacing w:val="-12"/>
        </w:rPr>
        <w:t> </w:t>
      </w:r>
      <w:r>
        <w:rPr/>
        <w:t>operating</w:t>
      </w:r>
      <w:r>
        <w:rPr>
          <w:spacing w:val="-12"/>
        </w:rPr>
        <w:t> </w:t>
      </w:r>
      <w:r>
        <w:rPr/>
        <w:t>income</w:t>
      </w:r>
      <w:r>
        <w:rPr>
          <w:spacing w:val="-11"/>
        </w:rPr>
        <w:t> </w:t>
      </w:r>
      <w:r>
        <w:rPr/>
        <w:t>increased</w:t>
      </w:r>
      <w:r>
        <w:rPr>
          <w:spacing w:val="-12"/>
        </w:rPr>
        <w:t> </w:t>
      </w:r>
      <w:r>
        <w:rPr/>
        <w:t>from</w:t>
      </w:r>
      <w:r>
        <w:rPr>
          <w:spacing w:val="-11"/>
        </w:rPr>
        <w:t> </w:t>
      </w:r>
      <w:r>
        <w:rPr/>
        <w:t>$1.750</w:t>
      </w:r>
      <w:r>
        <w:rPr>
          <w:spacing w:val="-12"/>
        </w:rPr>
        <w:t> </w:t>
      </w:r>
      <w:r>
        <w:rPr/>
        <w:t>billion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$4.141</w:t>
      </w:r>
      <w:r>
        <w:rPr>
          <w:spacing w:val="-11"/>
        </w:rPr>
        <w:t> </w:t>
      </w:r>
      <w:r>
        <w:rPr/>
        <w:t>billion.</w:t>
      </w:r>
      <w:r>
        <w:rPr>
          <w:spacing w:val="2"/>
        </w:rPr>
        <w:t> </w:t>
      </w:r>
      <w:r>
        <w:rPr/>
        <w:t>Net</w:t>
      </w:r>
      <w:r>
        <w:rPr>
          <w:spacing w:val="-11"/>
        </w:rPr>
        <w:t> </w:t>
      </w:r>
      <w:r>
        <w:rPr/>
        <w:t>income</w:t>
      </w:r>
      <w:r>
        <w:rPr>
          <w:spacing w:val="-12"/>
        </w:rPr>
        <w:t> </w:t>
      </w:r>
      <w:r>
        <w:rPr/>
        <w:t>also</w:t>
      </w:r>
      <w:r>
        <w:rPr>
          <w:spacing w:val="-12"/>
        </w:rPr>
        <w:t> </w:t>
      </w:r>
      <w:r>
        <w:rPr/>
        <w:t>increased</w:t>
      </w:r>
      <w:r>
        <w:rPr>
          <w:spacing w:val="-11"/>
        </w:rPr>
        <w:t> </w:t>
      </w:r>
      <w:r>
        <w:rPr>
          <w:spacing w:val="-4"/>
        </w:rPr>
        <w:t>from</w:t>
      </w:r>
    </w:p>
    <w:p>
      <w:pPr>
        <w:pStyle w:val="BodyText"/>
        <w:spacing w:before="2"/>
        <w:ind w:left="165"/>
        <w:jc w:val="both"/>
      </w:pPr>
      <w:r>
        <w:rPr/>
        <w:t>$1.099</w:t>
      </w:r>
      <w:r>
        <w:rPr>
          <w:spacing w:val="-7"/>
        </w:rPr>
        <w:t> </w:t>
      </w:r>
      <w:r>
        <w:rPr/>
        <w:t>billion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$2.601</w:t>
      </w:r>
      <w:r>
        <w:rPr>
          <w:spacing w:val="-7"/>
        </w:rPr>
        <w:t> </w:t>
      </w:r>
      <w:r>
        <w:rPr/>
        <w:t>billion</w:t>
      </w:r>
      <w:r>
        <w:rPr>
          <w:spacing w:val="-6"/>
        </w:rPr>
        <w:t> </w:t>
      </w:r>
      <w:r>
        <w:rPr/>
        <w:t>over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same</w:t>
      </w:r>
      <w:r>
        <w:rPr>
          <w:spacing w:val="-7"/>
        </w:rPr>
        <w:t> </w:t>
      </w:r>
      <w:r>
        <w:rPr>
          <w:spacing w:val="-2"/>
        </w:rPr>
        <w:t>period.</w:t>
      </w:r>
    </w:p>
    <w:p>
      <w:pPr>
        <w:pStyle w:val="BodyText"/>
        <w:spacing w:line="256" w:lineRule="auto" w:before="153"/>
        <w:ind w:left="165" w:right="1296"/>
        <w:jc w:val="both"/>
      </w:pPr>
      <w:r>
        <w:rPr/>
        <w:t>The</w:t>
      </w:r>
      <w:r>
        <w:rPr>
          <w:spacing w:val="-9"/>
        </w:rPr>
        <w:t> </w:t>
      </w:r>
      <w:r>
        <w:rPr/>
        <w:t>main</w:t>
      </w:r>
      <w:r>
        <w:rPr>
          <w:spacing w:val="-9"/>
        </w:rPr>
        <w:t> </w:t>
      </w:r>
      <w:r>
        <w:rPr/>
        <w:t>strength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Marriott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its</w:t>
      </w:r>
      <w:r>
        <w:rPr>
          <w:spacing w:val="-9"/>
        </w:rPr>
        <w:t> </w:t>
      </w:r>
      <w:r>
        <w:rPr/>
        <w:t>profitable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asset-light</w:t>
      </w:r>
      <w:r>
        <w:rPr>
          <w:spacing w:val="-9"/>
        </w:rPr>
        <w:t> </w:t>
      </w:r>
      <w:r>
        <w:rPr/>
        <w:t>business</w:t>
      </w:r>
      <w:r>
        <w:rPr>
          <w:spacing w:val="-9"/>
        </w:rPr>
        <w:t> </w:t>
      </w:r>
      <w:r>
        <w:rPr/>
        <w:t>model. The</w:t>
      </w:r>
      <w:r>
        <w:rPr>
          <w:spacing w:val="-9"/>
        </w:rPr>
        <w:t> </w:t>
      </w:r>
      <w:r>
        <w:rPr/>
        <w:t>company</w:t>
      </w:r>
      <w:r>
        <w:rPr>
          <w:spacing w:val="-9"/>
        </w:rPr>
        <w:t> </w:t>
      </w:r>
      <w:r>
        <w:rPr/>
        <w:t>can</w:t>
      </w:r>
      <w:r>
        <w:rPr>
          <w:spacing w:val="-9"/>
        </w:rPr>
        <w:t> </w:t>
      </w:r>
      <w:r>
        <w:rPr/>
        <w:t>expand its</w:t>
      </w:r>
      <w:r>
        <w:rPr>
          <w:spacing w:val="-5"/>
        </w:rPr>
        <w:t> </w:t>
      </w:r>
      <w:r>
        <w:rPr/>
        <w:t>global</w:t>
      </w:r>
      <w:r>
        <w:rPr>
          <w:spacing w:val="-5"/>
        </w:rPr>
        <w:t> </w:t>
      </w:r>
      <w:r>
        <w:rPr/>
        <w:t>hotel</w:t>
      </w:r>
      <w:r>
        <w:rPr>
          <w:spacing w:val="-5"/>
        </w:rPr>
        <w:t> </w:t>
      </w:r>
      <w:r>
        <w:rPr/>
        <w:t>network</w:t>
      </w:r>
      <w:r>
        <w:rPr>
          <w:spacing w:val="-5"/>
        </w:rPr>
        <w:t> </w:t>
      </w:r>
      <w:r>
        <w:rPr/>
        <w:t>through</w:t>
      </w:r>
      <w:r>
        <w:rPr>
          <w:spacing w:val="-5"/>
        </w:rPr>
        <w:t> </w:t>
      </w:r>
      <w:r>
        <w:rPr/>
        <w:t>franchise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management</w:t>
      </w:r>
      <w:r>
        <w:rPr>
          <w:spacing w:val="-5"/>
        </w:rPr>
        <w:t> </w:t>
      </w:r>
      <w:r>
        <w:rPr/>
        <w:t>agreements</w:t>
      </w:r>
      <w:r>
        <w:rPr>
          <w:spacing w:val="-5"/>
        </w:rPr>
        <w:t> </w:t>
      </w:r>
      <w:r>
        <w:rPr/>
        <w:t>without</w:t>
      </w:r>
      <w:r>
        <w:rPr>
          <w:spacing w:val="-5"/>
        </w:rPr>
        <w:t> </w:t>
      </w:r>
      <w:r>
        <w:rPr/>
        <w:t>having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own</w:t>
      </w:r>
      <w:r>
        <w:rPr>
          <w:spacing w:val="-5"/>
        </w:rPr>
        <w:t> </w:t>
      </w:r>
      <w:r>
        <w:rPr/>
        <w:t>most</w:t>
      </w:r>
      <w:r>
        <w:rPr>
          <w:spacing w:val="-5"/>
        </w:rPr>
        <w:t> </w:t>
      </w:r>
      <w:r>
        <w:rPr/>
        <w:t>of the underlying hotel properties, supporting strong operating cash flow.</w:t>
      </w:r>
    </w:p>
    <w:p>
      <w:pPr>
        <w:pStyle w:val="BodyText"/>
        <w:spacing w:line="256" w:lineRule="auto" w:before="136"/>
        <w:ind w:left="165" w:right="1296"/>
        <w:jc w:val="both"/>
      </w:pPr>
      <w:r>
        <w:rPr/>
        <w:t>However, liquidity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main</w:t>
      </w:r>
      <w:r>
        <w:rPr>
          <w:spacing w:val="-1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weakness.</w:t>
      </w:r>
      <w:r>
        <w:rPr>
          <w:spacing w:val="27"/>
        </w:rPr>
        <w:t> </w:t>
      </w:r>
      <w:r>
        <w:rPr/>
        <w:t>The</w:t>
      </w:r>
      <w:r>
        <w:rPr>
          <w:spacing w:val="-1"/>
        </w:rPr>
        <w:t> </w:t>
      </w:r>
      <w:r>
        <w:rPr/>
        <w:t>current</w:t>
      </w:r>
      <w:r>
        <w:rPr>
          <w:spacing w:val="-1"/>
        </w:rPr>
        <w:t> </w:t>
      </w:r>
      <w:r>
        <w:rPr/>
        <w:t>ratio</w:t>
      </w:r>
      <w:r>
        <w:rPr>
          <w:spacing w:val="-1"/>
        </w:rPr>
        <w:t> </w:t>
      </w:r>
      <w:r>
        <w:rPr/>
        <w:t>remained</w:t>
      </w:r>
      <w:r>
        <w:rPr>
          <w:spacing w:val="-1"/>
        </w:rPr>
        <w:t> </w:t>
      </w:r>
      <w:r>
        <w:rPr/>
        <w:t>below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throughout</w:t>
      </w:r>
      <w:r>
        <w:rPr>
          <w:spacing w:val="-1"/>
        </w:rPr>
        <w:t> </w:t>
      </w:r>
      <w:r>
        <w:rPr/>
        <w:t>the five-year period and was approximately 0.43 in 2025.</w:t>
      </w:r>
      <w:r>
        <w:rPr>
          <w:spacing w:val="40"/>
        </w:rPr>
        <w:t> </w:t>
      </w:r>
      <w:r>
        <w:rPr/>
        <w:t>Debt has also increased, with long-term </w:t>
      </w:r>
      <w:r>
        <w:rPr/>
        <w:t>debt reaching approximately $14.995 billion in 2025 and interest expense increasing to $809 million.</w:t>
      </w:r>
      <w:r>
        <w:rPr>
          <w:spacing w:val="26"/>
        </w:rPr>
        <w:t> </w:t>
      </w:r>
      <w:r>
        <w:rPr/>
        <w:t>Mar-riott should therefore maintain strong debt management and avoid excessive shareholder distributions when liquidity is under pressure.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Working capital management should focus on faster receivables collection, effective supplier negotia-tions, stronger</w:t>
      </w:r>
      <w:r>
        <w:rPr>
          <w:spacing w:val="-2"/>
        </w:rPr>
        <w:t> </w:t>
      </w:r>
      <w:r>
        <w:rPr/>
        <w:t>cash</w:t>
      </w:r>
      <w:r>
        <w:rPr>
          <w:spacing w:val="-2"/>
        </w:rPr>
        <w:t> </w:t>
      </w:r>
      <w:r>
        <w:rPr/>
        <w:t>forecasting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sufficient</w:t>
      </w:r>
      <w:r>
        <w:rPr>
          <w:spacing w:val="-2"/>
        </w:rPr>
        <w:t> </w:t>
      </w:r>
      <w:r>
        <w:rPr/>
        <w:t>liquidity</w:t>
      </w:r>
      <w:r>
        <w:rPr>
          <w:spacing w:val="-2"/>
        </w:rPr>
        <w:t> </w:t>
      </w:r>
      <w:r>
        <w:rPr/>
        <w:t>reserves.</w:t>
      </w:r>
      <w:r>
        <w:rPr>
          <w:spacing w:val="26"/>
        </w:rPr>
        <w:t> </w:t>
      </w:r>
      <w:r>
        <w:rPr/>
        <w:t>Marriott’s</w:t>
      </w:r>
      <w:r>
        <w:rPr>
          <w:spacing w:val="-2"/>
        </w:rPr>
        <w:t> </w:t>
      </w:r>
      <w:r>
        <w:rPr/>
        <w:t>existing</w:t>
      </w:r>
      <w:r>
        <w:rPr>
          <w:spacing w:val="-2"/>
        </w:rPr>
        <w:t> </w:t>
      </w:r>
      <w:r>
        <w:rPr/>
        <w:t>credit</w:t>
      </w:r>
      <w:r>
        <w:rPr>
          <w:spacing w:val="-2"/>
        </w:rPr>
        <w:t> </w:t>
      </w:r>
      <w:r>
        <w:rPr/>
        <w:t>facility</w:t>
      </w:r>
      <w:r>
        <w:rPr>
          <w:spacing w:val="-2"/>
        </w:rPr>
        <w:t> </w:t>
      </w:r>
      <w:r>
        <w:rPr/>
        <w:t>pro-vides an important source of financial flexibility.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</w:t>
      </w:r>
      <w:r>
        <w:rPr>
          <w:spacing w:val="-14"/>
        </w:rPr>
        <w:t> </w:t>
      </w:r>
      <w:r>
        <w:rPr/>
        <w:t>recommended</w:t>
      </w:r>
      <w:r>
        <w:rPr>
          <w:spacing w:val="-14"/>
        </w:rPr>
        <w:t> </w:t>
      </w:r>
      <w:r>
        <w:rPr/>
        <w:t>financial</w:t>
      </w:r>
      <w:r>
        <w:rPr>
          <w:spacing w:val="-14"/>
        </w:rPr>
        <w:t> </w:t>
      </w:r>
      <w:r>
        <w:rPr/>
        <w:t>restructuring</w:t>
      </w:r>
      <w:r>
        <w:rPr>
          <w:spacing w:val="-13"/>
        </w:rPr>
        <w:t> </w:t>
      </w:r>
      <w:r>
        <w:rPr/>
        <w:t>strategy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major</w:t>
      </w:r>
      <w:r>
        <w:rPr>
          <w:spacing w:val="-14"/>
        </w:rPr>
        <w:t> </w:t>
      </w:r>
      <w:r>
        <w:rPr/>
        <w:t>emergency</w:t>
      </w:r>
      <w:r>
        <w:rPr>
          <w:spacing w:val="-14"/>
        </w:rPr>
        <w:t> </w:t>
      </w:r>
      <w:r>
        <w:rPr/>
        <w:t>restructuring.</w:t>
      </w:r>
      <w:r>
        <w:rPr>
          <w:spacing w:val="-7"/>
        </w:rPr>
        <w:t> </w:t>
      </w:r>
      <w:r>
        <w:rPr/>
        <w:t>Instead,</w:t>
      </w:r>
      <w:r>
        <w:rPr>
          <w:spacing w:val="-14"/>
        </w:rPr>
        <w:t> </w:t>
      </w:r>
      <w:r>
        <w:rPr/>
        <w:t>Mar-riott should focus on debt maturity management, controlled share repurchases, continued asset-light expansion and selective acquisitions.</w:t>
      </w:r>
      <w:r>
        <w:rPr>
          <w:spacing w:val="40"/>
        </w:rPr>
        <w:t> </w:t>
      </w:r>
      <w:r>
        <w:rPr/>
        <w:t>International currency risk, taxation, inflation and ESG issues should also be considered.</w:t>
      </w:r>
    </w:p>
    <w:p>
      <w:pPr>
        <w:pStyle w:val="BodyText"/>
        <w:spacing w:line="256" w:lineRule="auto" w:before="137"/>
        <w:ind w:left="165" w:right="1296"/>
        <w:jc w:val="both"/>
      </w:pPr>
      <w:r>
        <w:rPr/>
        <w:t>The</w:t>
      </w:r>
      <w:r>
        <w:rPr>
          <w:spacing w:val="-1"/>
        </w:rPr>
        <w:t> </w:t>
      </w:r>
      <w:r>
        <w:rPr/>
        <w:t>investment</w:t>
      </w:r>
      <w:r>
        <w:rPr>
          <w:spacing w:val="-1"/>
        </w:rPr>
        <w:t> </w:t>
      </w:r>
      <w:r>
        <w:rPr/>
        <w:t>appraisal clearly</w:t>
      </w:r>
      <w:r>
        <w:rPr>
          <w:spacing w:val="-1"/>
        </w:rPr>
        <w:t> </w:t>
      </w:r>
      <w:r>
        <w:rPr/>
        <w:t>identifies</w:t>
      </w:r>
      <w:r>
        <w:rPr>
          <w:spacing w:val="-1"/>
        </w:rPr>
        <w:t> </w:t>
      </w:r>
      <w:r>
        <w:rPr/>
        <w:t>Project</w:t>
      </w:r>
      <w:r>
        <w:rPr>
          <w:spacing w:val="-1"/>
        </w:rPr>
        <w:t> </w:t>
      </w:r>
      <w:r>
        <w:rPr/>
        <w:t>C 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best</w:t>
      </w:r>
      <w:r>
        <w:rPr>
          <w:spacing w:val="-1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investment, with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3.6-year </w:t>
      </w:r>
      <w:r>
        <w:rPr>
          <w:spacing w:val="-2"/>
        </w:rPr>
        <w:t>payback</w:t>
      </w:r>
      <w:r>
        <w:rPr>
          <w:spacing w:val="-9"/>
        </w:rPr>
        <w:t> </w:t>
      </w:r>
      <w:r>
        <w:rPr>
          <w:spacing w:val="-2"/>
        </w:rPr>
        <w:t>period,</w:t>
      </w:r>
      <w:r>
        <w:rPr>
          <w:spacing w:val="-5"/>
        </w:rPr>
        <w:t> </w:t>
      </w:r>
      <w:r>
        <w:rPr>
          <w:spacing w:val="-2"/>
        </w:rPr>
        <w:t>12%</w:t>
      </w:r>
      <w:r>
        <w:rPr>
          <w:spacing w:val="-9"/>
        </w:rPr>
        <w:t> </w:t>
      </w:r>
      <w:r>
        <w:rPr>
          <w:spacing w:val="-2"/>
        </w:rPr>
        <w:t>ARR,</w:t>
      </w:r>
      <w:r>
        <w:rPr>
          <w:spacing w:val="-9"/>
        </w:rPr>
        <w:t> </w:t>
      </w:r>
      <w:r>
        <w:rPr>
          <w:spacing w:val="-2"/>
        </w:rPr>
        <w:t>positive</w:t>
      </w:r>
      <w:r>
        <w:rPr>
          <w:spacing w:val="-9"/>
        </w:rPr>
        <w:t> </w:t>
      </w:r>
      <w:r>
        <w:rPr>
          <w:spacing w:val="-2"/>
        </w:rPr>
        <w:t>NPV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approximately</w:t>
      </w:r>
      <w:r>
        <w:rPr>
          <w:spacing w:val="-9"/>
        </w:rPr>
        <w:t> </w:t>
      </w:r>
      <w:r>
        <w:rPr>
          <w:spacing w:val="-2"/>
        </w:rPr>
        <w:t>£0.86</w:t>
      </w:r>
      <w:r>
        <w:rPr>
          <w:spacing w:val="-9"/>
        </w:rPr>
        <w:t> </w:t>
      </w:r>
      <w:r>
        <w:rPr>
          <w:spacing w:val="-2"/>
        </w:rPr>
        <w:t>million,</w:t>
      </w:r>
      <w:r>
        <w:rPr>
          <w:spacing w:val="-5"/>
        </w:rPr>
        <w:t> </w:t>
      </w:r>
      <w:r>
        <w:rPr>
          <w:spacing w:val="-2"/>
        </w:rPr>
        <w:t>PI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approximately</w:t>
      </w:r>
      <w:r>
        <w:rPr>
          <w:spacing w:val="-9"/>
        </w:rPr>
        <w:t> </w:t>
      </w:r>
      <w:r>
        <w:rPr>
          <w:spacing w:val="-2"/>
        </w:rPr>
        <w:t>1.017</w:t>
      </w:r>
      <w:r>
        <w:rPr>
          <w:spacing w:val="-9"/>
        </w:rPr>
        <w:t> </w:t>
      </w:r>
      <w:r>
        <w:rPr>
          <w:spacing w:val="-2"/>
        </w:rPr>
        <w:t>and </w:t>
      </w:r>
      <w:r>
        <w:rPr/>
        <w:t>IRR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approximately</w:t>
      </w:r>
      <w:r>
        <w:rPr>
          <w:spacing w:val="-5"/>
        </w:rPr>
        <w:t> </w:t>
      </w:r>
      <w:r>
        <w:rPr/>
        <w:t>8.59%. Projects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B</w:t>
      </w:r>
      <w:r>
        <w:rPr>
          <w:spacing w:val="-4"/>
        </w:rPr>
        <w:t> </w:t>
      </w:r>
      <w:r>
        <w:rPr/>
        <w:t>fail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achieve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required</w:t>
      </w:r>
      <w:r>
        <w:rPr>
          <w:spacing w:val="-4"/>
        </w:rPr>
        <w:t> </w:t>
      </w:r>
      <w:r>
        <w:rPr/>
        <w:t>8%</w:t>
      </w:r>
      <w:r>
        <w:rPr>
          <w:spacing w:val="-4"/>
        </w:rPr>
        <w:t> </w:t>
      </w:r>
      <w:r>
        <w:rPr/>
        <w:t>return. If</w:t>
      </w:r>
      <w:r>
        <w:rPr>
          <w:spacing w:val="-4"/>
        </w:rPr>
        <w:t> </w:t>
      </w:r>
      <w:r>
        <w:rPr/>
        <w:t>Marriott</w:t>
      </w:r>
      <w:r>
        <w:rPr>
          <w:spacing w:val="-4"/>
        </w:rPr>
        <w:t> </w:t>
      </w:r>
      <w:r>
        <w:rPr/>
        <w:t>must </w:t>
      </w:r>
      <w:r>
        <w:rPr>
          <w:spacing w:val="-2"/>
        </w:rPr>
        <w:t>use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full</w:t>
      </w:r>
      <w:r>
        <w:rPr>
          <w:spacing w:val="-11"/>
        </w:rPr>
        <w:t> </w:t>
      </w:r>
      <w:r>
        <w:rPr>
          <w:spacing w:val="-2"/>
        </w:rPr>
        <w:t>£100</w:t>
      </w:r>
      <w:r>
        <w:rPr>
          <w:spacing w:val="-10"/>
        </w:rPr>
        <w:t> </w:t>
      </w:r>
      <w:r>
        <w:rPr>
          <w:spacing w:val="-2"/>
        </w:rPr>
        <w:t>million</w:t>
      </w:r>
      <w:r>
        <w:rPr>
          <w:spacing w:val="-11"/>
        </w:rPr>
        <w:t> </w:t>
      </w:r>
      <w:r>
        <w:rPr>
          <w:spacing w:val="-2"/>
        </w:rPr>
        <w:t>budget,</w:t>
      </w:r>
      <w:r>
        <w:rPr>
          <w:spacing w:val="-8"/>
        </w:rPr>
        <w:t> </w:t>
      </w:r>
      <w:r>
        <w:rPr>
          <w:spacing w:val="-2"/>
        </w:rPr>
        <w:t>Projects</w:t>
      </w:r>
      <w:r>
        <w:rPr>
          <w:spacing w:val="-10"/>
        </w:rPr>
        <w:t> </w:t>
      </w:r>
      <w:r>
        <w:rPr>
          <w:spacing w:val="-2"/>
        </w:rPr>
        <w:t>B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C</w:t>
      </w:r>
      <w:r>
        <w:rPr>
          <w:spacing w:val="-10"/>
        </w:rPr>
        <w:t> </w:t>
      </w:r>
      <w:r>
        <w:rPr>
          <w:spacing w:val="-2"/>
        </w:rPr>
        <w:t>provide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best</w:t>
      </w:r>
      <w:r>
        <w:rPr>
          <w:spacing w:val="-11"/>
        </w:rPr>
        <w:t> </w:t>
      </w:r>
      <w:r>
        <w:rPr>
          <w:spacing w:val="-2"/>
        </w:rPr>
        <w:t>combination</w:t>
      </w:r>
      <w:r>
        <w:rPr>
          <w:spacing w:val="-10"/>
        </w:rPr>
        <w:t> </w:t>
      </w:r>
      <w:r>
        <w:rPr>
          <w:spacing w:val="-2"/>
        </w:rPr>
        <w:t>based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combined</w:t>
      </w:r>
      <w:r>
        <w:rPr>
          <w:spacing w:val="-11"/>
        </w:rPr>
        <w:t> </w:t>
      </w:r>
      <w:r>
        <w:rPr>
          <w:spacing w:val="-2"/>
        </w:rPr>
        <w:t>NPV; </w:t>
      </w:r>
      <w:r>
        <w:rPr/>
        <w:t>however,</w:t>
      </w:r>
      <w:r>
        <w:rPr>
          <w:spacing w:val="-7"/>
        </w:rPr>
        <w:t> </w:t>
      </w:r>
      <w:r>
        <w:rPr/>
        <w:t>if</w:t>
      </w:r>
      <w:r>
        <w:rPr>
          <w:spacing w:val="-7"/>
        </w:rPr>
        <w:t> </w:t>
      </w:r>
      <w:r>
        <w:rPr/>
        <w:t>£100</w:t>
      </w:r>
      <w:r>
        <w:rPr>
          <w:spacing w:val="-7"/>
        </w:rPr>
        <w:t> </w:t>
      </w:r>
      <w:r>
        <w:rPr/>
        <w:t>million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only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maximum</w:t>
      </w:r>
      <w:r>
        <w:rPr>
          <w:spacing w:val="-7"/>
        </w:rPr>
        <w:t> </w:t>
      </w:r>
      <w:r>
        <w:rPr/>
        <w:t>investment</w:t>
      </w:r>
      <w:r>
        <w:rPr>
          <w:spacing w:val="-7"/>
        </w:rPr>
        <w:t> </w:t>
      </w:r>
      <w:r>
        <w:rPr/>
        <w:t>limit,</w:t>
      </w:r>
      <w:r>
        <w:rPr>
          <w:spacing w:val="-7"/>
        </w:rPr>
        <w:t> </w:t>
      </w:r>
      <w:r>
        <w:rPr/>
        <w:t>Project</w:t>
      </w:r>
      <w:r>
        <w:rPr>
          <w:spacing w:val="-7"/>
        </w:rPr>
        <w:t> </w:t>
      </w:r>
      <w:r>
        <w:rPr/>
        <w:t>C</w:t>
      </w:r>
      <w:r>
        <w:rPr>
          <w:spacing w:val="-7"/>
        </w:rPr>
        <w:t> </w:t>
      </w:r>
      <w:r>
        <w:rPr/>
        <w:t>alone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financially</w:t>
      </w:r>
      <w:r>
        <w:rPr>
          <w:spacing w:val="-7"/>
        </w:rPr>
        <w:t> </w:t>
      </w:r>
      <w:r>
        <w:rPr/>
        <w:t>preferable, since investing in Projects A or B would destroy value.</w:t>
      </w:r>
    </w:p>
    <w:p>
      <w:pPr>
        <w:pStyle w:val="BodyText"/>
        <w:spacing w:line="256" w:lineRule="auto" w:before="137"/>
        <w:ind w:left="165" w:right="1296"/>
        <w:jc w:val="both"/>
      </w:pPr>
      <w:r>
        <w:rPr>
          <w:spacing w:val="-2"/>
        </w:rPr>
        <w:t>Overall,</w:t>
      </w:r>
      <w:r>
        <w:rPr>
          <w:spacing w:val="-4"/>
        </w:rPr>
        <w:t> </w:t>
      </w:r>
      <w:r>
        <w:rPr>
          <w:spacing w:val="-2"/>
        </w:rPr>
        <w:t>Marriott</w:t>
      </w:r>
      <w:r>
        <w:rPr>
          <w:spacing w:val="-6"/>
        </w:rPr>
        <w:t> </w:t>
      </w:r>
      <w:r>
        <w:rPr>
          <w:spacing w:val="-2"/>
        </w:rPr>
        <w:t>has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strong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profitable</w:t>
      </w:r>
      <w:r>
        <w:rPr>
          <w:spacing w:val="-6"/>
        </w:rPr>
        <w:t> </w:t>
      </w:r>
      <w:r>
        <w:rPr>
          <w:spacing w:val="-2"/>
        </w:rPr>
        <w:t>financial</w:t>
      </w:r>
      <w:r>
        <w:rPr>
          <w:spacing w:val="-6"/>
        </w:rPr>
        <w:t> </w:t>
      </w:r>
      <w:r>
        <w:rPr>
          <w:spacing w:val="-2"/>
        </w:rPr>
        <w:t>position</w:t>
      </w:r>
      <w:r>
        <w:rPr>
          <w:spacing w:val="-6"/>
        </w:rPr>
        <w:t> </w:t>
      </w:r>
      <w:r>
        <w:rPr>
          <w:spacing w:val="-2"/>
        </w:rPr>
        <w:t>but</w:t>
      </w:r>
      <w:r>
        <w:rPr>
          <w:spacing w:val="-6"/>
        </w:rPr>
        <w:t> </w:t>
      </w:r>
      <w:r>
        <w:rPr>
          <w:spacing w:val="-2"/>
        </w:rPr>
        <w:t>needs</w:t>
      </w:r>
      <w:r>
        <w:rPr>
          <w:spacing w:val="-6"/>
        </w:rPr>
        <w:t> </w:t>
      </w:r>
      <w:r>
        <w:rPr>
          <w:spacing w:val="-2"/>
        </w:rPr>
        <w:t>careful</w:t>
      </w:r>
      <w:r>
        <w:rPr>
          <w:spacing w:val="-6"/>
        </w:rPr>
        <w:t> </w:t>
      </w:r>
      <w:r>
        <w:rPr>
          <w:spacing w:val="-2"/>
        </w:rPr>
        <w:t>management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6"/>
        </w:rPr>
        <w:t> </w:t>
      </w:r>
      <w:r>
        <w:rPr>
          <w:spacing w:val="-2"/>
        </w:rPr>
        <w:t>liquidity </w:t>
      </w:r>
      <w:r>
        <w:rPr/>
        <w:t>and</w:t>
      </w:r>
      <w:r>
        <w:rPr>
          <w:spacing w:val="-4"/>
        </w:rPr>
        <w:t> </w:t>
      </w:r>
      <w:r>
        <w:rPr/>
        <w:t>leverage.</w:t>
      </w:r>
      <w:r>
        <w:rPr>
          <w:spacing w:val="22"/>
        </w:rPr>
        <w:t> </w:t>
      </w:r>
      <w:r>
        <w:rPr/>
        <w:t>As</w:t>
      </w:r>
      <w:r>
        <w:rPr>
          <w:spacing w:val="-4"/>
        </w:rPr>
        <w:t> </w:t>
      </w:r>
      <w:r>
        <w:rPr/>
        <w:t>CFO,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priority</w:t>
      </w:r>
      <w:r>
        <w:rPr>
          <w:spacing w:val="-4"/>
        </w:rPr>
        <w:t> </w:t>
      </w:r>
      <w:r>
        <w:rPr/>
        <w:t>should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protect</w:t>
      </w:r>
      <w:r>
        <w:rPr>
          <w:spacing w:val="-4"/>
        </w:rPr>
        <w:t> </w:t>
      </w:r>
      <w:r>
        <w:rPr/>
        <w:t>cash</w:t>
      </w:r>
      <w:r>
        <w:rPr>
          <w:spacing w:val="-4"/>
        </w:rPr>
        <w:t> </w:t>
      </w:r>
      <w:r>
        <w:rPr/>
        <w:t>flow,</w:t>
      </w:r>
      <w:r>
        <w:rPr>
          <w:spacing w:val="-2"/>
        </w:rPr>
        <w:t> </w:t>
      </w:r>
      <w:r>
        <w:rPr/>
        <w:t>maintain</w:t>
      </w:r>
      <w:r>
        <w:rPr>
          <w:spacing w:val="-4"/>
        </w:rPr>
        <w:t> </w:t>
      </w:r>
      <w:r>
        <w:rPr/>
        <w:t>financial</w:t>
      </w:r>
      <w:r>
        <w:rPr>
          <w:spacing w:val="-4"/>
        </w:rPr>
        <w:t> </w:t>
      </w:r>
      <w:r>
        <w:rPr/>
        <w:t>flexibility,</w:t>
      </w:r>
      <w:r>
        <w:rPr>
          <w:spacing w:val="-2"/>
        </w:rPr>
        <w:t> </w:t>
      </w:r>
      <w:r>
        <w:rPr/>
        <w:t>invest selectively and create sustainable long-term shareholder value.</w:t>
      </w:r>
    </w:p>
    <w:p>
      <w:pPr>
        <w:pStyle w:val="BodyText"/>
        <w:spacing w:after="0" w:line="256" w:lineRule="auto"/>
        <w:jc w:val="both"/>
        <w:sectPr>
          <w:pgSz w:w="11910" w:h="16840"/>
          <w:pgMar w:header="686" w:footer="0" w:top="1280" w:bottom="280" w:left="1275" w:right="141"/>
        </w:sectPr>
      </w:pPr>
    </w:p>
    <w:p>
      <w:pPr>
        <w:pStyle w:val="Heading1"/>
        <w:ind w:left="165" w:firstLine="0"/>
      </w:pPr>
      <w:r>
        <w:rPr>
          <w:color w:val="0E2C59"/>
          <w:spacing w:val="-2"/>
        </w:rPr>
        <w:t>References</w:t>
      </w: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230" w:after="0"/>
        <w:ind w:left="557" w:right="0" w:hanging="363"/>
        <w:jc w:val="left"/>
        <w:rPr>
          <w:sz w:val="22"/>
        </w:rPr>
      </w:pPr>
      <w:bookmarkStart w:name="_bookmark38" w:id="78"/>
      <w:bookmarkEnd w:id="78"/>
      <w:r>
        <w:rPr/>
      </w:r>
      <w:r>
        <w:rPr>
          <w:sz w:val="22"/>
        </w:rPr>
        <w:t>Marriott</w:t>
      </w:r>
      <w:r>
        <w:rPr>
          <w:spacing w:val="9"/>
          <w:sz w:val="22"/>
        </w:rPr>
        <w:t> </w:t>
      </w:r>
      <w:r>
        <w:rPr>
          <w:sz w:val="22"/>
        </w:rPr>
        <w:t>International,</w:t>
      </w:r>
      <w:r>
        <w:rPr>
          <w:spacing w:val="14"/>
          <w:sz w:val="22"/>
        </w:rPr>
        <w:t> </w:t>
      </w:r>
      <w:r>
        <w:rPr>
          <w:sz w:val="22"/>
        </w:rPr>
        <w:t>Inc.</w:t>
      </w:r>
      <w:r>
        <w:rPr>
          <w:spacing w:val="53"/>
          <w:sz w:val="22"/>
        </w:rPr>
        <w:t> </w:t>
      </w:r>
      <w:r>
        <w:rPr>
          <w:sz w:val="22"/>
        </w:rPr>
        <w:t>(2026)</w:t>
      </w:r>
      <w:r>
        <w:rPr>
          <w:spacing w:val="9"/>
          <w:sz w:val="22"/>
        </w:rPr>
        <w:t> </w:t>
      </w:r>
      <w:r>
        <w:rPr>
          <w:i/>
          <w:sz w:val="22"/>
        </w:rPr>
        <w:t>2025</w:t>
      </w:r>
      <w:r>
        <w:rPr>
          <w:i/>
          <w:spacing w:val="9"/>
          <w:sz w:val="22"/>
        </w:rPr>
        <w:t> </w:t>
      </w:r>
      <w:r>
        <w:rPr>
          <w:i/>
          <w:sz w:val="22"/>
        </w:rPr>
        <w:t>Form</w:t>
      </w:r>
      <w:r>
        <w:rPr>
          <w:i/>
          <w:spacing w:val="10"/>
          <w:sz w:val="22"/>
        </w:rPr>
        <w:t> </w:t>
      </w:r>
      <w:r>
        <w:rPr>
          <w:i/>
          <w:sz w:val="22"/>
        </w:rPr>
        <w:t>10-K</w:t>
      </w:r>
      <w:r>
        <w:rPr>
          <w:sz w:val="22"/>
        </w:rPr>
        <w:t>.</w:t>
      </w:r>
      <w:r>
        <w:rPr>
          <w:spacing w:val="9"/>
          <w:sz w:val="22"/>
        </w:rPr>
        <w:t> </w:t>
      </w:r>
      <w:r>
        <w:rPr>
          <w:sz w:val="22"/>
        </w:rPr>
        <w:t>U.S.</w:t>
      </w:r>
      <w:r>
        <w:rPr>
          <w:spacing w:val="9"/>
          <w:sz w:val="22"/>
        </w:rPr>
        <w:t> </w:t>
      </w:r>
      <w:r>
        <w:rPr>
          <w:sz w:val="22"/>
        </w:rPr>
        <w:t>Securities</w:t>
      </w:r>
      <w:r>
        <w:rPr>
          <w:spacing w:val="10"/>
          <w:sz w:val="22"/>
        </w:rPr>
        <w:t> </w:t>
      </w:r>
      <w:r>
        <w:rPr>
          <w:sz w:val="22"/>
        </w:rPr>
        <w:t>and</w:t>
      </w:r>
      <w:r>
        <w:rPr>
          <w:spacing w:val="9"/>
          <w:sz w:val="22"/>
        </w:rPr>
        <w:t> </w:t>
      </w:r>
      <w:r>
        <w:rPr>
          <w:sz w:val="22"/>
        </w:rPr>
        <w:t>Exchange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Commission.</w:t>
      </w:r>
    </w:p>
    <w:p>
      <w:pPr>
        <w:pStyle w:val="BodyText"/>
        <w:spacing w:before="18"/>
        <w:ind w:left="557" w:right="11"/>
      </w:pPr>
      <w:r>
        <w:rPr>
          <w:spacing w:val="-2"/>
        </w:rPr>
        <w:t>Available</w:t>
      </w:r>
      <w:r>
        <w:rPr>
          <w:spacing w:val="-6"/>
        </w:rPr>
        <w:t> </w:t>
      </w:r>
      <w:r>
        <w:rPr>
          <w:spacing w:val="-2"/>
        </w:rPr>
        <w:t>at: </w:t>
      </w:r>
      <w:hyperlink r:id="rId8">
        <w:r>
          <w:rPr>
            <w:rFonts w:ascii="Courier New"/>
            <w:color w:val="0E2C59"/>
            <w:spacing w:val="-2"/>
          </w:rPr>
          <w:t>https://www.sec.gov/Archives/edgar/data/1048286/000104828</w:t>
        </w:r>
      </w:hyperlink>
      <w:hyperlink r:id="rId9">
        <w:r>
          <w:rPr>
            <w:rFonts w:ascii="Courier New"/>
            <w:color w:val="0E2C59"/>
            <w:spacing w:val="-2"/>
          </w:rPr>
          <w:t>626000007/</w:t>
        </w:r>
      </w:hyperlink>
      <w:r>
        <w:rPr>
          <w:rFonts w:ascii="Courier New"/>
          <w:color w:val="0E2C59"/>
          <w:spacing w:val="-2"/>
        </w:rPr>
        <w:t> </w:t>
      </w:r>
      <w:hyperlink r:id="rId8">
        <w:r>
          <w:rPr>
            <w:rFonts w:ascii="Courier New"/>
            <w:color w:val="0E2C59"/>
          </w:rPr>
          <w:t>mar-20251231.htm</w:t>
        </w:r>
        <w:r>
          <w:rPr>
            <w:rFonts w:ascii="Courier New"/>
            <w:color w:val="0E2C59"/>
            <w:spacing w:val="-47"/>
          </w:rPr>
          <w:t> </w:t>
        </w:r>
      </w:hyperlink>
      <w:r>
        <w:rPr/>
        <w:t>(Accessed: 12 August 2026).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1" w:after="0"/>
        <w:ind w:left="557" w:right="0" w:hanging="363"/>
        <w:jc w:val="left"/>
        <w:rPr>
          <w:sz w:val="22"/>
        </w:rPr>
      </w:pPr>
      <w:bookmarkStart w:name="_bookmark39" w:id="79"/>
      <w:bookmarkEnd w:id="79"/>
      <w:r>
        <w:rPr/>
      </w:r>
      <w:r>
        <w:rPr>
          <w:sz w:val="22"/>
        </w:rPr>
        <w:t>Marriott</w:t>
      </w:r>
      <w:r>
        <w:rPr>
          <w:spacing w:val="9"/>
          <w:sz w:val="22"/>
        </w:rPr>
        <w:t> </w:t>
      </w:r>
      <w:r>
        <w:rPr>
          <w:sz w:val="22"/>
        </w:rPr>
        <w:t>International,</w:t>
      </w:r>
      <w:r>
        <w:rPr>
          <w:spacing w:val="14"/>
          <w:sz w:val="22"/>
        </w:rPr>
        <w:t> </w:t>
      </w:r>
      <w:r>
        <w:rPr>
          <w:sz w:val="22"/>
        </w:rPr>
        <w:t>Inc.</w:t>
      </w:r>
      <w:r>
        <w:rPr>
          <w:spacing w:val="53"/>
          <w:sz w:val="22"/>
        </w:rPr>
        <w:t> </w:t>
      </w:r>
      <w:r>
        <w:rPr>
          <w:sz w:val="22"/>
        </w:rPr>
        <w:t>(2025)</w:t>
      </w:r>
      <w:r>
        <w:rPr>
          <w:spacing w:val="9"/>
          <w:sz w:val="22"/>
        </w:rPr>
        <w:t> </w:t>
      </w:r>
      <w:r>
        <w:rPr>
          <w:i/>
          <w:sz w:val="22"/>
        </w:rPr>
        <w:t>2024</w:t>
      </w:r>
      <w:r>
        <w:rPr>
          <w:i/>
          <w:spacing w:val="9"/>
          <w:sz w:val="22"/>
        </w:rPr>
        <w:t> </w:t>
      </w:r>
      <w:r>
        <w:rPr>
          <w:i/>
          <w:sz w:val="22"/>
        </w:rPr>
        <w:t>Form</w:t>
      </w:r>
      <w:r>
        <w:rPr>
          <w:i/>
          <w:spacing w:val="10"/>
          <w:sz w:val="22"/>
        </w:rPr>
        <w:t> </w:t>
      </w:r>
      <w:r>
        <w:rPr>
          <w:i/>
          <w:sz w:val="22"/>
        </w:rPr>
        <w:t>10-K</w:t>
      </w:r>
      <w:r>
        <w:rPr>
          <w:sz w:val="22"/>
        </w:rPr>
        <w:t>.</w:t>
      </w:r>
      <w:r>
        <w:rPr>
          <w:spacing w:val="9"/>
          <w:sz w:val="22"/>
        </w:rPr>
        <w:t> </w:t>
      </w:r>
      <w:r>
        <w:rPr>
          <w:sz w:val="22"/>
        </w:rPr>
        <w:t>U.S.</w:t>
      </w:r>
      <w:r>
        <w:rPr>
          <w:spacing w:val="9"/>
          <w:sz w:val="22"/>
        </w:rPr>
        <w:t> </w:t>
      </w:r>
      <w:r>
        <w:rPr>
          <w:sz w:val="22"/>
        </w:rPr>
        <w:t>Securities</w:t>
      </w:r>
      <w:r>
        <w:rPr>
          <w:spacing w:val="10"/>
          <w:sz w:val="22"/>
        </w:rPr>
        <w:t> </w:t>
      </w:r>
      <w:r>
        <w:rPr>
          <w:sz w:val="22"/>
        </w:rPr>
        <w:t>and</w:t>
      </w:r>
      <w:r>
        <w:rPr>
          <w:spacing w:val="9"/>
          <w:sz w:val="22"/>
        </w:rPr>
        <w:t> </w:t>
      </w:r>
      <w:r>
        <w:rPr>
          <w:sz w:val="22"/>
        </w:rPr>
        <w:t>Exchange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Commission.</w:t>
      </w:r>
    </w:p>
    <w:p>
      <w:pPr>
        <w:pStyle w:val="BodyText"/>
        <w:spacing w:before="18"/>
        <w:ind w:left="557" w:right="11"/>
      </w:pPr>
      <w:r>
        <w:rPr>
          <w:spacing w:val="-2"/>
        </w:rPr>
        <w:t>Available</w:t>
      </w:r>
      <w:r>
        <w:rPr>
          <w:spacing w:val="-6"/>
        </w:rPr>
        <w:t> </w:t>
      </w:r>
      <w:r>
        <w:rPr>
          <w:spacing w:val="-2"/>
        </w:rPr>
        <w:t>at: </w:t>
      </w:r>
      <w:hyperlink r:id="rId10">
        <w:r>
          <w:rPr>
            <w:rFonts w:ascii="Courier New"/>
            <w:color w:val="0E2C59"/>
            <w:spacing w:val="-2"/>
          </w:rPr>
          <w:t>https://www.sec.gov/Archives/edgar/data/1048286/000162828</w:t>
        </w:r>
      </w:hyperlink>
      <w:hyperlink r:id="rId11">
        <w:r>
          <w:rPr>
            <w:rFonts w:ascii="Courier New"/>
            <w:color w:val="0E2C59"/>
            <w:spacing w:val="-2"/>
          </w:rPr>
          <w:t>025004818/</w:t>
        </w:r>
      </w:hyperlink>
      <w:r>
        <w:rPr>
          <w:rFonts w:ascii="Courier New"/>
          <w:color w:val="0E2C59"/>
          <w:spacing w:val="-2"/>
        </w:rPr>
        <w:t> </w:t>
      </w:r>
      <w:hyperlink r:id="rId10">
        <w:r>
          <w:rPr>
            <w:rFonts w:ascii="Courier New"/>
            <w:color w:val="0E2C59"/>
          </w:rPr>
          <w:t>mar-20241231.htm</w:t>
        </w:r>
        <w:r>
          <w:rPr>
            <w:rFonts w:ascii="Courier New"/>
            <w:color w:val="0E2C59"/>
            <w:spacing w:val="-47"/>
          </w:rPr>
          <w:t> </w:t>
        </w:r>
      </w:hyperlink>
      <w:r>
        <w:rPr/>
        <w:t>(Accessed: 12 August 2026).</w:t>
      </w:r>
    </w:p>
    <w:p>
      <w:pPr>
        <w:pStyle w:val="BodyText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1" w:after="0"/>
        <w:ind w:left="557" w:right="0" w:hanging="363"/>
        <w:jc w:val="left"/>
        <w:rPr>
          <w:sz w:val="22"/>
        </w:rPr>
      </w:pPr>
      <w:r>
        <w:rPr>
          <w:sz w:val="22"/>
        </w:rPr>
        <w:t>Marriott</w:t>
      </w:r>
      <w:r>
        <w:rPr>
          <w:spacing w:val="9"/>
          <w:sz w:val="22"/>
        </w:rPr>
        <w:t> </w:t>
      </w:r>
      <w:r>
        <w:rPr>
          <w:sz w:val="22"/>
        </w:rPr>
        <w:t>International,</w:t>
      </w:r>
      <w:r>
        <w:rPr>
          <w:spacing w:val="14"/>
          <w:sz w:val="22"/>
        </w:rPr>
        <w:t> </w:t>
      </w:r>
      <w:r>
        <w:rPr>
          <w:sz w:val="22"/>
        </w:rPr>
        <w:t>Inc.</w:t>
      </w:r>
      <w:r>
        <w:rPr>
          <w:spacing w:val="53"/>
          <w:sz w:val="22"/>
        </w:rPr>
        <w:t> </w:t>
      </w:r>
      <w:r>
        <w:rPr>
          <w:sz w:val="22"/>
        </w:rPr>
        <w:t>(2023)</w:t>
      </w:r>
      <w:r>
        <w:rPr>
          <w:spacing w:val="9"/>
          <w:sz w:val="22"/>
        </w:rPr>
        <w:t> </w:t>
      </w:r>
      <w:r>
        <w:rPr>
          <w:i/>
          <w:sz w:val="22"/>
        </w:rPr>
        <w:t>2022</w:t>
      </w:r>
      <w:r>
        <w:rPr>
          <w:i/>
          <w:spacing w:val="9"/>
          <w:sz w:val="22"/>
        </w:rPr>
        <w:t> </w:t>
      </w:r>
      <w:r>
        <w:rPr>
          <w:i/>
          <w:sz w:val="22"/>
        </w:rPr>
        <w:t>Form</w:t>
      </w:r>
      <w:r>
        <w:rPr>
          <w:i/>
          <w:spacing w:val="10"/>
          <w:sz w:val="22"/>
        </w:rPr>
        <w:t> </w:t>
      </w:r>
      <w:r>
        <w:rPr>
          <w:i/>
          <w:sz w:val="22"/>
        </w:rPr>
        <w:t>10-K</w:t>
      </w:r>
      <w:r>
        <w:rPr>
          <w:sz w:val="22"/>
        </w:rPr>
        <w:t>.</w:t>
      </w:r>
      <w:r>
        <w:rPr>
          <w:spacing w:val="9"/>
          <w:sz w:val="22"/>
        </w:rPr>
        <w:t> </w:t>
      </w:r>
      <w:r>
        <w:rPr>
          <w:sz w:val="22"/>
        </w:rPr>
        <w:t>U.S.</w:t>
      </w:r>
      <w:r>
        <w:rPr>
          <w:spacing w:val="9"/>
          <w:sz w:val="22"/>
        </w:rPr>
        <w:t> </w:t>
      </w:r>
      <w:r>
        <w:rPr>
          <w:sz w:val="22"/>
        </w:rPr>
        <w:t>Securities</w:t>
      </w:r>
      <w:r>
        <w:rPr>
          <w:spacing w:val="10"/>
          <w:sz w:val="22"/>
        </w:rPr>
        <w:t> </w:t>
      </w:r>
      <w:r>
        <w:rPr>
          <w:sz w:val="22"/>
        </w:rPr>
        <w:t>and</w:t>
      </w:r>
      <w:r>
        <w:rPr>
          <w:spacing w:val="9"/>
          <w:sz w:val="22"/>
        </w:rPr>
        <w:t> </w:t>
      </w:r>
      <w:r>
        <w:rPr>
          <w:sz w:val="22"/>
        </w:rPr>
        <w:t>Exchange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Commission.</w:t>
      </w:r>
    </w:p>
    <w:p>
      <w:pPr>
        <w:pStyle w:val="BodyText"/>
        <w:spacing w:before="18"/>
        <w:ind w:left="557" w:right="11"/>
      </w:pPr>
      <w:r>
        <w:rPr>
          <w:spacing w:val="-2"/>
        </w:rPr>
        <w:t>Available</w:t>
      </w:r>
      <w:r>
        <w:rPr>
          <w:spacing w:val="-6"/>
        </w:rPr>
        <w:t> </w:t>
      </w:r>
      <w:r>
        <w:rPr>
          <w:spacing w:val="-2"/>
        </w:rPr>
        <w:t>at: </w:t>
      </w:r>
      <w:hyperlink r:id="rId12">
        <w:r>
          <w:rPr>
            <w:rFonts w:ascii="Courier New"/>
            <w:color w:val="0E2C59"/>
            <w:spacing w:val="-2"/>
          </w:rPr>
          <w:t>https://www.sec.gov/Archives/edgar/data/1048286/000162828</w:t>
        </w:r>
      </w:hyperlink>
      <w:hyperlink r:id="rId13">
        <w:r>
          <w:rPr>
            <w:rFonts w:ascii="Courier New"/>
            <w:color w:val="0E2C59"/>
            <w:spacing w:val="-2"/>
          </w:rPr>
          <w:t>023003485/</w:t>
        </w:r>
      </w:hyperlink>
      <w:r>
        <w:rPr>
          <w:rFonts w:ascii="Courier New"/>
          <w:color w:val="0E2C59"/>
          <w:spacing w:val="-2"/>
        </w:rPr>
        <w:t> </w:t>
      </w:r>
      <w:hyperlink r:id="rId12">
        <w:r>
          <w:rPr>
            <w:rFonts w:ascii="Courier New"/>
            <w:color w:val="0E2C59"/>
          </w:rPr>
          <w:t>mar-20221231.htm</w:t>
        </w:r>
        <w:r>
          <w:rPr>
            <w:rFonts w:ascii="Courier New"/>
            <w:color w:val="0E2C59"/>
            <w:spacing w:val="-47"/>
          </w:rPr>
          <w:t> </w:t>
        </w:r>
      </w:hyperlink>
      <w:r>
        <w:rPr/>
        <w:t>(Accessed: 12 August 2026).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0" w:after="0"/>
        <w:ind w:left="557" w:right="0" w:hanging="363"/>
        <w:jc w:val="left"/>
        <w:rPr>
          <w:sz w:val="22"/>
        </w:rPr>
      </w:pPr>
      <w:r>
        <w:rPr>
          <w:sz w:val="22"/>
        </w:rPr>
        <w:t>Marriott</w:t>
      </w:r>
      <w:r>
        <w:rPr>
          <w:spacing w:val="9"/>
          <w:sz w:val="22"/>
        </w:rPr>
        <w:t> </w:t>
      </w:r>
      <w:r>
        <w:rPr>
          <w:sz w:val="22"/>
        </w:rPr>
        <w:t>International,</w:t>
      </w:r>
      <w:r>
        <w:rPr>
          <w:spacing w:val="14"/>
          <w:sz w:val="22"/>
        </w:rPr>
        <w:t> </w:t>
      </w:r>
      <w:r>
        <w:rPr>
          <w:sz w:val="22"/>
        </w:rPr>
        <w:t>Inc.</w:t>
      </w:r>
      <w:r>
        <w:rPr>
          <w:spacing w:val="53"/>
          <w:sz w:val="22"/>
        </w:rPr>
        <w:t> </w:t>
      </w:r>
      <w:r>
        <w:rPr>
          <w:sz w:val="22"/>
        </w:rPr>
        <w:t>(2022)</w:t>
      </w:r>
      <w:r>
        <w:rPr>
          <w:spacing w:val="9"/>
          <w:sz w:val="22"/>
        </w:rPr>
        <w:t> </w:t>
      </w:r>
      <w:r>
        <w:rPr>
          <w:i/>
          <w:sz w:val="22"/>
        </w:rPr>
        <w:t>2021</w:t>
      </w:r>
      <w:r>
        <w:rPr>
          <w:i/>
          <w:spacing w:val="9"/>
          <w:sz w:val="22"/>
        </w:rPr>
        <w:t> </w:t>
      </w:r>
      <w:r>
        <w:rPr>
          <w:i/>
          <w:sz w:val="22"/>
        </w:rPr>
        <w:t>Form</w:t>
      </w:r>
      <w:r>
        <w:rPr>
          <w:i/>
          <w:spacing w:val="10"/>
          <w:sz w:val="22"/>
        </w:rPr>
        <w:t> </w:t>
      </w:r>
      <w:r>
        <w:rPr>
          <w:i/>
          <w:sz w:val="22"/>
        </w:rPr>
        <w:t>10-K</w:t>
      </w:r>
      <w:r>
        <w:rPr>
          <w:sz w:val="22"/>
        </w:rPr>
        <w:t>.</w:t>
      </w:r>
      <w:r>
        <w:rPr>
          <w:spacing w:val="9"/>
          <w:sz w:val="22"/>
        </w:rPr>
        <w:t> </w:t>
      </w:r>
      <w:r>
        <w:rPr>
          <w:sz w:val="22"/>
        </w:rPr>
        <w:t>U.S.</w:t>
      </w:r>
      <w:r>
        <w:rPr>
          <w:spacing w:val="9"/>
          <w:sz w:val="22"/>
        </w:rPr>
        <w:t> </w:t>
      </w:r>
      <w:r>
        <w:rPr>
          <w:sz w:val="22"/>
        </w:rPr>
        <w:t>Securities</w:t>
      </w:r>
      <w:r>
        <w:rPr>
          <w:spacing w:val="10"/>
          <w:sz w:val="22"/>
        </w:rPr>
        <w:t> </w:t>
      </w:r>
      <w:r>
        <w:rPr>
          <w:sz w:val="22"/>
        </w:rPr>
        <w:t>and</w:t>
      </w:r>
      <w:r>
        <w:rPr>
          <w:spacing w:val="9"/>
          <w:sz w:val="22"/>
        </w:rPr>
        <w:t> </w:t>
      </w:r>
      <w:r>
        <w:rPr>
          <w:sz w:val="22"/>
        </w:rPr>
        <w:t>Exchange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Commission.</w:t>
      </w:r>
    </w:p>
    <w:p>
      <w:pPr>
        <w:pStyle w:val="BodyText"/>
        <w:spacing w:before="18"/>
        <w:ind w:left="557" w:right="11"/>
      </w:pPr>
      <w:r>
        <w:rPr>
          <w:spacing w:val="-2"/>
        </w:rPr>
        <w:t>Available</w:t>
      </w:r>
      <w:r>
        <w:rPr>
          <w:spacing w:val="-6"/>
        </w:rPr>
        <w:t> </w:t>
      </w:r>
      <w:r>
        <w:rPr>
          <w:spacing w:val="-2"/>
        </w:rPr>
        <w:t>at: </w:t>
      </w:r>
      <w:hyperlink r:id="rId14">
        <w:r>
          <w:rPr>
            <w:rFonts w:ascii="Courier New"/>
            <w:color w:val="0E2C59"/>
            <w:spacing w:val="-2"/>
          </w:rPr>
          <w:t>https://www.sec.gov/Archives/edgar/data/1048286/000162828</w:t>
        </w:r>
      </w:hyperlink>
      <w:hyperlink r:id="rId15">
        <w:r>
          <w:rPr>
            <w:rFonts w:ascii="Courier New"/>
            <w:color w:val="0E2C59"/>
            <w:spacing w:val="-2"/>
          </w:rPr>
          <w:t>022002666/</w:t>
        </w:r>
      </w:hyperlink>
      <w:r>
        <w:rPr>
          <w:rFonts w:ascii="Courier New"/>
          <w:color w:val="0E2C59"/>
          <w:spacing w:val="-2"/>
        </w:rPr>
        <w:t> </w:t>
      </w:r>
      <w:hyperlink r:id="rId14">
        <w:r>
          <w:rPr>
            <w:rFonts w:ascii="Courier New"/>
            <w:color w:val="0E2C59"/>
          </w:rPr>
          <w:t>mar-20211231.htm</w:t>
        </w:r>
        <w:r>
          <w:rPr>
            <w:rFonts w:ascii="Courier New"/>
            <w:color w:val="0E2C59"/>
            <w:spacing w:val="-47"/>
          </w:rPr>
          <w:t> </w:t>
        </w:r>
      </w:hyperlink>
      <w:r>
        <w:rPr/>
        <w:t>(Accessed: 12 August 2026).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0" w:after="0"/>
        <w:ind w:left="557" w:right="947" w:hanging="364"/>
        <w:jc w:val="left"/>
        <w:rPr>
          <w:sz w:val="22"/>
        </w:rPr>
      </w:pPr>
      <w:bookmarkStart w:name="_bookmark40" w:id="80"/>
      <w:bookmarkEnd w:id="80"/>
      <w:r>
        <w:rPr/>
      </w:r>
      <w:r>
        <w:rPr>
          <w:spacing w:val="-2"/>
          <w:sz w:val="22"/>
        </w:rPr>
        <w:t>Marriott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International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(n.d.)</w:t>
      </w:r>
      <w:r>
        <w:rPr>
          <w:sz w:val="22"/>
        </w:rPr>
        <w:t> </w:t>
      </w:r>
      <w:r>
        <w:rPr>
          <w:i/>
          <w:spacing w:val="-2"/>
          <w:sz w:val="22"/>
        </w:rPr>
        <w:t>About</w:t>
      </w:r>
      <w:r>
        <w:rPr>
          <w:i/>
          <w:spacing w:val="-9"/>
          <w:sz w:val="22"/>
        </w:rPr>
        <w:t> </w:t>
      </w:r>
      <w:r>
        <w:rPr>
          <w:i/>
          <w:spacing w:val="-2"/>
          <w:sz w:val="22"/>
        </w:rPr>
        <w:t>Marriott</w:t>
      </w:r>
      <w:r>
        <w:rPr>
          <w:i/>
          <w:spacing w:val="-9"/>
          <w:sz w:val="22"/>
        </w:rPr>
        <w:t> </w:t>
      </w:r>
      <w:r>
        <w:rPr>
          <w:i/>
          <w:spacing w:val="-2"/>
          <w:sz w:val="22"/>
        </w:rPr>
        <w:t>International</w:t>
      </w:r>
      <w:r>
        <w:rPr>
          <w:spacing w:val="-2"/>
          <w:sz w:val="22"/>
        </w:rPr>
        <w:t>.</w:t>
      </w:r>
      <w:r>
        <w:rPr>
          <w:sz w:val="22"/>
        </w:rPr>
        <w:t> </w:t>
      </w:r>
      <w:r>
        <w:rPr>
          <w:spacing w:val="-2"/>
          <w:sz w:val="22"/>
        </w:rPr>
        <w:t>Available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at: </w:t>
      </w:r>
      <w:hyperlink r:id="rId16">
        <w:r>
          <w:rPr>
            <w:rFonts w:ascii="Courier New"/>
            <w:color w:val="0E2C59"/>
            <w:spacing w:val="-2"/>
            <w:sz w:val="22"/>
          </w:rPr>
          <w:t>https://www.marrio</w:t>
        </w:r>
      </w:hyperlink>
      <w:r>
        <w:rPr>
          <w:rFonts w:ascii="Courier New"/>
          <w:color w:val="0E2C59"/>
          <w:spacing w:val="-2"/>
          <w:sz w:val="22"/>
        </w:rPr>
        <w:t>tt. </w:t>
      </w:r>
      <w:hyperlink r:id="rId16">
        <w:r>
          <w:rPr>
            <w:rFonts w:ascii="Courier New"/>
            <w:color w:val="0E2C59"/>
            <w:sz w:val="22"/>
          </w:rPr>
          <w:t>com/marriott/aboutmarriott.mi</w:t>
        </w:r>
        <w:r>
          <w:rPr>
            <w:rFonts w:ascii="Courier New"/>
            <w:color w:val="0E2C59"/>
            <w:spacing w:val="-53"/>
            <w:sz w:val="22"/>
          </w:rPr>
          <w:t> </w:t>
        </w:r>
      </w:hyperlink>
      <w:r>
        <w:rPr>
          <w:sz w:val="22"/>
        </w:rPr>
        <w:t>(Accessed: 12 August 2026).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0" w:after="0"/>
        <w:ind w:left="557" w:right="1296" w:hanging="364"/>
        <w:jc w:val="left"/>
        <w:rPr>
          <w:sz w:val="22"/>
        </w:rPr>
      </w:pPr>
      <w:bookmarkStart w:name="_bookmark41" w:id="81"/>
      <w:bookmarkEnd w:id="81"/>
      <w:r>
        <w:rPr/>
      </w:r>
      <w:r>
        <w:rPr>
          <w:sz w:val="22"/>
        </w:rPr>
        <w:t>Marriott</w:t>
      </w:r>
      <w:r>
        <w:rPr>
          <w:spacing w:val="-14"/>
          <w:sz w:val="22"/>
        </w:rPr>
        <w:t> </w:t>
      </w:r>
      <w:r>
        <w:rPr>
          <w:sz w:val="22"/>
        </w:rPr>
        <w:t>International</w:t>
      </w:r>
      <w:r>
        <w:rPr>
          <w:spacing w:val="-13"/>
          <w:sz w:val="22"/>
        </w:rPr>
        <w:t> </w:t>
      </w:r>
      <w:r>
        <w:rPr>
          <w:sz w:val="22"/>
        </w:rPr>
        <w:t>(n.d.) </w:t>
      </w:r>
      <w:r>
        <w:rPr>
          <w:i/>
          <w:sz w:val="22"/>
        </w:rPr>
        <w:t>Company</w:t>
      </w:r>
      <w:r>
        <w:rPr>
          <w:i/>
          <w:spacing w:val="-14"/>
          <w:sz w:val="22"/>
        </w:rPr>
        <w:t> </w:t>
      </w:r>
      <w:r>
        <w:rPr>
          <w:i/>
          <w:sz w:val="22"/>
        </w:rPr>
        <w:t>History</w:t>
      </w:r>
      <w:r>
        <w:rPr>
          <w:sz w:val="22"/>
        </w:rPr>
        <w:t>. Available</w:t>
      </w:r>
      <w:r>
        <w:rPr>
          <w:spacing w:val="-14"/>
          <w:sz w:val="22"/>
        </w:rPr>
        <w:t> </w:t>
      </w:r>
      <w:r>
        <w:rPr>
          <w:sz w:val="22"/>
        </w:rPr>
        <w:t>at:</w:t>
      </w:r>
      <w:r>
        <w:rPr>
          <w:spacing w:val="-2"/>
          <w:sz w:val="22"/>
        </w:rPr>
        <w:t> </w:t>
      </w:r>
      <w:hyperlink r:id="rId17">
        <w:r>
          <w:rPr>
            <w:rFonts w:ascii="Courier New"/>
            <w:color w:val="0E2C59"/>
            <w:sz w:val="22"/>
          </w:rPr>
          <w:t>https://www.marriott.com/</w:t>
        </w:r>
      </w:hyperlink>
      <w:r>
        <w:rPr>
          <w:rFonts w:ascii="Courier New"/>
          <w:color w:val="0E2C59"/>
          <w:sz w:val="22"/>
        </w:rPr>
        <w:t> </w:t>
      </w:r>
      <w:hyperlink r:id="rId17">
        <w:r>
          <w:rPr>
            <w:rFonts w:ascii="Courier New"/>
            <w:color w:val="0E2C59"/>
            <w:sz w:val="22"/>
          </w:rPr>
          <w:t>about/culture-and-values/history.mi</w:t>
        </w:r>
        <w:r>
          <w:rPr>
            <w:rFonts w:ascii="Courier New"/>
            <w:color w:val="0E2C59"/>
            <w:spacing w:val="-50"/>
            <w:sz w:val="22"/>
          </w:rPr>
          <w:t> </w:t>
        </w:r>
      </w:hyperlink>
      <w:r>
        <w:rPr>
          <w:sz w:val="22"/>
        </w:rPr>
        <w:t>(Accessed: 12 August 2026).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71" w:lineRule="exact" w:before="0" w:after="0"/>
        <w:ind w:left="557" w:right="0" w:hanging="363"/>
        <w:jc w:val="left"/>
        <w:rPr>
          <w:rFonts w:ascii="Courier New"/>
          <w:sz w:val="22"/>
        </w:rPr>
      </w:pPr>
      <w:bookmarkStart w:name="_bookmark42" w:id="82"/>
      <w:bookmarkEnd w:id="82"/>
      <w:r>
        <w:rPr/>
      </w:r>
      <w:r>
        <w:rPr>
          <w:sz w:val="22"/>
        </w:rPr>
        <w:t>Marriott</w:t>
      </w:r>
      <w:r>
        <w:rPr>
          <w:spacing w:val="4"/>
          <w:sz w:val="22"/>
        </w:rPr>
        <w:t> </w:t>
      </w:r>
      <w:r>
        <w:rPr>
          <w:sz w:val="22"/>
        </w:rPr>
        <w:t>International</w:t>
      </w:r>
      <w:r>
        <w:rPr>
          <w:spacing w:val="5"/>
          <w:sz w:val="22"/>
        </w:rPr>
        <w:t> </w:t>
      </w:r>
      <w:r>
        <w:rPr>
          <w:sz w:val="22"/>
        </w:rPr>
        <w:t>(n.d.)</w:t>
      </w:r>
      <w:r>
        <w:rPr>
          <w:spacing w:val="40"/>
          <w:sz w:val="22"/>
        </w:rPr>
        <w:t> </w:t>
      </w:r>
      <w:r>
        <w:rPr>
          <w:i/>
          <w:sz w:val="22"/>
        </w:rPr>
        <w:t>Serve</w:t>
      </w:r>
      <w:r>
        <w:rPr>
          <w:i/>
          <w:spacing w:val="4"/>
          <w:sz w:val="22"/>
        </w:rPr>
        <w:t> </w:t>
      </w:r>
      <w:r>
        <w:rPr>
          <w:i/>
          <w:sz w:val="22"/>
        </w:rPr>
        <w:t>360:</w:t>
      </w:r>
      <w:r>
        <w:rPr>
          <w:i/>
          <w:spacing w:val="28"/>
          <w:sz w:val="22"/>
        </w:rPr>
        <w:t> </w:t>
      </w:r>
      <w:r>
        <w:rPr>
          <w:i/>
          <w:sz w:val="22"/>
        </w:rPr>
        <w:t>Sustainability</w:t>
      </w:r>
      <w:r>
        <w:rPr>
          <w:i/>
          <w:spacing w:val="5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5"/>
          <w:sz w:val="22"/>
        </w:rPr>
        <w:t> </w:t>
      </w:r>
      <w:r>
        <w:rPr>
          <w:i/>
          <w:sz w:val="22"/>
        </w:rPr>
        <w:t>Social</w:t>
      </w:r>
      <w:r>
        <w:rPr>
          <w:i/>
          <w:spacing w:val="5"/>
          <w:sz w:val="22"/>
        </w:rPr>
        <w:t> </w:t>
      </w:r>
      <w:r>
        <w:rPr>
          <w:i/>
          <w:sz w:val="22"/>
        </w:rPr>
        <w:t>Impact</w:t>
      </w:r>
      <w:r>
        <w:rPr>
          <w:sz w:val="22"/>
        </w:rPr>
        <w:t>.</w:t>
      </w:r>
      <w:r>
        <w:rPr>
          <w:spacing w:val="39"/>
          <w:sz w:val="22"/>
        </w:rPr>
        <w:t> </w:t>
      </w:r>
      <w:r>
        <w:rPr>
          <w:sz w:val="22"/>
        </w:rPr>
        <w:t>Available</w:t>
      </w:r>
      <w:r>
        <w:rPr>
          <w:spacing w:val="5"/>
          <w:sz w:val="22"/>
        </w:rPr>
        <w:t> </w:t>
      </w:r>
      <w:r>
        <w:rPr>
          <w:sz w:val="22"/>
        </w:rPr>
        <w:t>at:</w:t>
      </w:r>
      <w:r>
        <w:rPr>
          <w:spacing w:val="28"/>
          <w:sz w:val="22"/>
        </w:rPr>
        <w:t> </w:t>
      </w:r>
      <w:hyperlink r:id="rId18">
        <w:r>
          <w:rPr>
            <w:rFonts w:ascii="Courier New"/>
            <w:color w:val="0E2C59"/>
            <w:spacing w:val="-2"/>
            <w:sz w:val="22"/>
          </w:rPr>
          <w:t>https:</w:t>
        </w:r>
      </w:hyperlink>
    </w:p>
    <w:p>
      <w:pPr>
        <w:pStyle w:val="BodyText"/>
        <w:spacing w:line="271" w:lineRule="exact"/>
        <w:ind w:left="557"/>
      </w:pPr>
      <w:hyperlink r:id="rId18">
        <w:r>
          <w:rPr>
            <w:rFonts w:ascii="Courier New"/>
            <w:color w:val="0E2C59"/>
            <w:spacing w:val="-2"/>
          </w:rPr>
          <w:t>//serve360.marriott.com/sustainable-goals/</w:t>
        </w:r>
        <w:r>
          <w:rPr>
            <w:rFonts w:ascii="Courier New"/>
            <w:color w:val="0E2C59"/>
            <w:spacing w:val="-65"/>
          </w:rPr>
          <w:t> </w:t>
        </w:r>
      </w:hyperlink>
      <w:r>
        <w:rPr>
          <w:spacing w:val="-2"/>
        </w:rPr>
        <w:t>(Accessed:</w:t>
      </w:r>
      <w:r>
        <w:rPr>
          <w:spacing w:val="28"/>
        </w:rPr>
        <w:t> </w:t>
      </w:r>
      <w:r>
        <w:rPr>
          <w:spacing w:val="-2"/>
        </w:rPr>
        <w:t>12</w:t>
      </w:r>
      <w:r>
        <w:rPr>
          <w:spacing w:val="13"/>
        </w:rPr>
        <w:t> </w:t>
      </w:r>
      <w:r>
        <w:rPr>
          <w:spacing w:val="-2"/>
        </w:rPr>
        <w:t>August</w:t>
      </w:r>
      <w:r>
        <w:rPr>
          <w:spacing w:val="12"/>
        </w:rPr>
        <w:t> </w:t>
      </w:r>
      <w:r>
        <w:rPr>
          <w:spacing w:val="-2"/>
        </w:rPr>
        <w:t>2026).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0" w:after="0"/>
        <w:ind w:left="557" w:right="1197" w:hanging="364"/>
        <w:jc w:val="left"/>
        <w:rPr>
          <w:sz w:val="22"/>
        </w:rPr>
      </w:pPr>
      <w:bookmarkStart w:name="_bookmark43" w:id="83"/>
      <w:bookmarkEnd w:id="83"/>
      <w:r>
        <w:rPr/>
      </w:r>
      <w:r>
        <w:rPr>
          <w:sz w:val="22"/>
        </w:rPr>
        <w:t>Marriott International (2024) </w:t>
      </w:r>
      <w:r>
        <w:rPr>
          <w:i/>
          <w:sz w:val="22"/>
        </w:rPr>
        <w:t>2024 ESG Progress Report</w:t>
      </w:r>
      <w:r>
        <w:rPr>
          <w:sz w:val="22"/>
        </w:rPr>
        <w:t>.</w:t>
      </w:r>
      <w:r>
        <w:rPr>
          <w:spacing w:val="40"/>
          <w:sz w:val="22"/>
        </w:rPr>
        <w:t> </w:t>
      </w:r>
      <w:r>
        <w:rPr>
          <w:sz w:val="22"/>
        </w:rPr>
        <w:t>Available at:</w:t>
      </w:r>
      <w:r>
        <w:rPr>
          <w:spacing w:val="35"/>
          <w:sz w:val="22"/>
        </w:rPr>
        <w:t> </w:t>
      </w:r>
      <w:hyperlink r:id="rId19">
        <w:r>
          <w:rPr>
            <w:rFonts w:ascii="Courier New"/>
            <w:color w:val="0E2C59"/>
            <w:sz w:val="22"/>
          </w:rPr>
          <w:t>https://serve360.</w:t>
        </w:r>
      </w:hyperlink>
      <w:r>
        <w:rPr>
          <w:rFonts w:ascii="Courier New"/>
          <w:color w:val="0E2C59"/>
          <w:sz w:val="22"/>
        </w:rPr>
        <w:t> </w:t>
      </w:r>
      <w:hyperlink r:id="rId19">
        <w:r>
          <w:rPr>
            <w:rFonts w:ascii="Courier New"/>
            <w:color w:val="0E2C59"/>
            <w:spacing w:val="-2"/>
            <w:sz w:val="22"/>
          </w:rPr>
          <w:t>marriott.com/wp-content/uploads/2024/07/2024ESGProgress.pdf</w:t>
        </w:r>
        <w:r>
          <w:rPr>
            <w:rFonts w:ascii="Courier New"/>
            <w:color w:val="0E2C59"/>
            <w:spacing w:val="-91"/>
            <w:sz w:val="22"/>
          </w:rPr>
          <w:t> </w:t>
        </w:r>
      </w:hyperlink>
      <w:r>
        <w:rPr>
          <w:spacing w:val="-2"/>
          <w:sz w:val="22"/>
        </w:rPr>
        <w:t>(Accessed: </w:t>
      </w:r>
      <w:r>
        <w:rPr>
          <w:sz w:val="22"/>
        </w:rPr>
        <w:t>12 August 2026).</w:t>
      </w:r>
    </w:p>
    <w:p>
      <w:pPr>
        <w:pStyle w:val="BodyText"/>
        <w:spacing w:before="19"/>
      </w:pPr>
    </w:p>
    <w:p>
      <w:pPr>
        <w:pStyle w:val="ListParagraph"/>
        <w:numPr>
          <w:ilvl w:val="0"/>
          <w:numId w:val="8"/>
        </w:numPr>
        <w:tabs>
          <w:tab w:pos="557" w:val="left" w:leader="none"/>
        </w:tabs>
        <w:spacing w:line="240" w:lineRule="auto" w:before="0" w:after="0"/>
        <w:ind w:left="557" w:right="522" w:hanging="364"/>
        <w:jc w:val="left"/>
        <w:rPr>
          <w:sz w:val="22"/>
        </w:rPr>
      </w:pPr>
      <w:bookmarkStart w:name="_bookmark44" w:id="84"/>
      <w:bookmarkEnd w:id="84"/>
      <w:r>
        <w:rPr/>
      </w:r>
      <w:r>
        <w:rPr>
          <w:spacing w:val="-2"/>
          <w:sz w:val="22"/>
        </w:rPr>
        <w:t>StockAnalysis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(n.d.)</w:t>
      </w:r>
      <w:r>
        <w:rPr>
          <w:sz w:val="22"/>
        </w:rPr>
        <w:t> </w:t>
      </w:r>
      <w:r>
        <w:rPr>
          <w:i/>
          <w:spacing w:val="-2"/>
          <w:sz w:val="22"/>
        </w:rPr>
        <w:t>Marriott</w:t>
      </w:r>
      <w:r>
        <w:rPr>
          <w:i/>
          <w:spacing w:val="-10"/>
          <w:sz w:val="22"/>
        </w:rPr>
        <w:t> </w:t>
      </w:r>
      <w:r>
        <w:rPr>
          <w:i/>
          <w:spacing w:val="-2"/>
          <w:sz w:val="22"/>
        </w:rPr>
        <w:t>International</w:t>
      </w:r>
      <w:r>
        <w:rPr>
          <w:i/>
          <w:spacing w:val="-10"/>
          <w:sz w:val="22"/>
        </w:rPr>
        <w:t> </w:t>
      </w:r>
      <w:r>
        <w:rPr>
          <w:i/>
          <w:spacing w:val="-2"/>
          <w:sz w:val="22"/>
        </w:rPr>
        <w:t>Financial</w:t>
      </w:r>
      <w:r>
        <w:rPr>
          <w:i/>
          <w:spacing w:val="-10"/>
          <w:sz w:val="22"/>
        </w:rPr>
        <w:t> </w:t>
      </w:r>
      <w:r>
        <w:rPr>
          <w:i/>
          <w:spacing w:val="-2"/>
          <w:sz w:val="22"/>
        </w:rPr>
        <w:t>Ratios</w:t>
      </w:r>
      <w:r>
        <w:rPr>
          <w:spacing w:val="-2"/>
          <w:sz w:val="22"/>
        </w:rPr>
        <w:t>.</w:t>
      </w:r>
      <w:r>
        <w:rPr>
          <w:sz w:val="22"/>
        </w:rPr>
        <w:t> </w:t>
      </w:r>
      <w:r>
        <w:rPr>
          <w:spacing w:val="-2"/>
          <w:sz w:val="22"/>
        </w:rPr>
        <w:t>Available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at: </w:t>
      </w:r>
      <w:hyperlink r:id="rId20">
        <w:r>
          <w:rPr>
            <w:rFonts w:ascii="Courier New"/>
            <w:color w:val="0E2C59"/>
            <w:spacing w:val="-2"/>
            <w:sz w:val="22"/>
          </w:rPr>
          <w:t>https://stockana</w:t>
        </w:r>
      </w:hyperlink>
      <w:hyperlink r:id="rId21">
        <w:r>
          <w:rPr>
            <w:rFonts w:ascii="Courier New"/>
            <w:color w:val="0E2C59"/>
            <w:spacing w:val="-2"/>
            <w:sz w:val="22"/>
          </w:rPr>
          <w:t>lysis</w:t>
        </w:r>
      </w:hyperlink>
      <w:r>
        <w:rPr>
          <w:rFonts w:ascii="Courier New"/>
          <w:color w:val="0E2C59"/>
          <w:spacing w:val="-2"/>
          <w:sz w:val="22"/>
        </w:rPr>
        <w:t>. </w:t>
      </w:r>
      <w:hyperlink r:id="rId20">
        <w:r>
          <w:rPr>
            <w:rFonts w:ascii="Courier New"/>
            <w:color w:val="0E2C59"/>
            <w:sz w:val="22"/>
          </w:rPr>
          <w:t>com/stocks/mar/financials/ratios/</w:t>
        </w:r>
        <w:r>
          <w:rPr>
            <w:rFonts w:ascii="Courier New"/>
            <w:color w:val="0E2C59"/>
            <w:spacing w:val="-54"/>
            <w:sz w:val="22"/>
          </w:rPr>
          <w:t> </w:t>
        </w:r>
      </w:hyperlink>
      <w:r>
        <w:rPr>
          <w:sz w:val="22"/>
        </w:rPr>
        <w:t>(Accessed: 12 August 2026).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686" w:footer="0" w:top="1280" w:bottom="280" w:left="1275" w:right="141"/>
        </w:sectPr>
      </w:pPr>
    </w:p>
    <w:p>
      <w:pPr>
        <w:pStyle w:val="Heading1"/>
        <w:ind w:left="165" w:firstLine="0"/>
      </w:pPr>
      <w:r>
        <w:rPr>
          <w:color w:val="0E2C59"/>
          <w:spacing w:val="-2"/>
        </w:rPr>
        <w:t>Appendices</w:t>
      </w:r>
    </w:p>
    <w:p>
      <w:pPr>
        <w:pStyle w:val="Heading2"/>
        <w:spacing w:before="264"/>
        <w:ind w:left="165" w:firstLine="0"/>
      </w:pPr>
      <w:r>
        <w:rPr>
          <w:color w:val="0E2C59"/>
        </w:rPr>
        <w:t>Appendix</w:t>
      </w:r>
      <w:r>
        <w:rPr>
          <w:color w:val="0E2C59"/>
          <w:spacing w:val="-9"/>
        </w:rPr>
        <w:t> </w:t>
      </w:r>
      <w:r>
        <w:rPr>
          <w:color w:val="0E2C59"/>
        </w:rPr>
        <w:t>A</w:t>
      </w:r>
      <w:r>
        <w:rPr>
          <w:color w:val="0E2C59"/>
          <w:spacing w:val="-9"/>
        </w:rPr>
        <w:t> </w:t>
      </w:r>
      <w:r>
        <w:rPr>
          <w:color w:val="0E2C59"/>
        </w:rPr>
        <w:t>—</w:t>
      </w:r>
      <w:r>
        <w:rPr>
          <w:color w:val="0E2C59"/>
          <w:spacing w:val="-9"/>
        </w:rPr>
        <w:t> </w:t>
      </w:r>
      <w:r>
        <w:rPr>
          <w:color w:val="0E2C59"/>
        </w:rPr>
        <w:t>Key</w:t>
      </w:r>
      <w:r>
        <w:rPr>
          <w:color w:val="0E2C59"/>
          <w:spacing w:val="-9"/>
        </w:rPr>
        <w:t> </w:t>
      </w:r>
      <w:r>
        <w:rPr>
          <w:color w:val="0E2C59"/>
        </w:rPr>
        <w:t>Financial</w:t>
      </w:r>
      <w:r>
        <w:rPr>
          <w:color w:val="0E2C59"/>
          <w:spacing w:val="-9"/>
        </w:rPr>
        <w:t> </w:t>
      </w:r>
      <w:r>
        <w:rPr>
          <w:color w:val="0E2C59"/>
          <w:spacing w:val="-4"/>
        </w:rPr>
        <w:t>Data</w:t>
      </w:r>
    </w:p>
    <w:p>
      <w:pPr>
        <w:pStyle w:val="BodyText"/>
        <w:spacing w:before="61"/>
        <w:rPr>
          <w:b/>
          <w:sz w:val="20"/>
        </w:rPr>
      </w:pPr>
    </w:p>
    <w:tbl>
      <w:tblPr>
        <w:tblW w:w="0" w:type="auto"/>
        <w:jc w:val="left"/>
        <w:tblInd w:w="1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70"/>
        <w:gridCol w:w="840"/>
        <w:gridCol w:w="840"/>
        <w:gridCol w:w="840"/>
        <w:gridCol w:w="840"/>
        <w:gridCol w:w="840"/>
      </w:tblGrid>
      <w:tr>
        <w:trPr>
          <w:trHeight w:val="370" w:hRule="atLeast"/>
        </w:trPr>
        <w:tc>
          <w:tcPr>
            <w:tcW w:w="247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Measure</w:t>
            </w:r>
          </w:p>
        </w:tc>
        <w:tc>
          <w:tcPr>
            <w:tcW w:w="84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2021</w:t>
            </w:r>
          </w:p>
        </w:tc>
        <w:tc>
          <w:tcPr>
            <w:tcW w:w="84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9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2022</w:t>
            </w:r>
          </w:p>
        </w:tc>
        <w:tc>
          <w:tcPr>
            <w:tcW w:w="84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20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2023</w:t>
            </w:r>
          </w:p>
        </w:tc>
        <w:tc>
          <w:tcPr>
            <w:tcW w:w="84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21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2024</w:t>
            </w:r>
          </w:p>
        </w:tc>
        <w:tc>
          <w:tcPr>
            <w:tcW w:w="84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2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2025</w:t>
            </w:r>
          </w:p>
        </w:tc>
      </w:tr>
      <w:tr>
        <w:trPr>
          <w:trHeight w:val="316" w:hRule="atLeast"/>
        </w:trPr>
        <w:tc>
          <w:tcPr>
            <w:tcW w:w="24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Revenue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13,857</w:t>
            </w:r>
          </w:p>
        </w:tc>
        <w:tc>
          <w:tcPr>
            <w:tcW w:w="8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20,773</w:t>
            </w:r>
          </w:p>
        </w:tc>
        <w:tc>
          <w:tcPr>
            <w:tcW w:w="8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23,713</w:t>
            </w:r>
          </w:p>
        </w:tc>
        <w:tc>
          <w:tcPr>
            <w:tcW w:w="8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25,100</w:t>
            </w:r>
          </w:p>
        </w:tc>
        <w:tc>
          <w:tcPr>
            <w:tcW w:w="8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26,186</w:t>
            </w:r>
          </w:p>
        </w:tc>
      </w:tr>
      <w:tr>
        <w:trPr>
          <w:trHeight w:val="270" w:hRule="atLeast"/>
        </w:trPr>
        <w:tc>
          <w:tcPr>
            <w:tcW w:w="247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Operating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income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1,750</w:t>
            </w:r>
          </w:p>
        </w:tc>
        <w:tc>
          <w:tcPr>
            <w:tcW w:w="840" w:type="dxa"/>
          </w:tcPr>
          <w:p>
            <w:pPr>
              <w:pStyle w:val="TableParagraph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3,462</w:t>
            </w:r>
          </w:p>
        </w:tc>
        <w:tc>
          <w:tcPr>
            <w:tcW w:w="840" w:type="dxa"/>
          </w:tcPr>
          <w:p>
            <w:pPr>
              <w:pStyle w:val="TableParagraph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3,864</w:t>
            </w:r>
          </w:p>
        </w:tc>
        <w:tc>
          <w:tcPr>
            <w:tcW w:w="840" w:type="dxa"/>
          </w:tcPr>
          <w:p>
            <w:pPr>
              <w:pStyle w:val="TableParagraph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3,767</w:t>
            </w:r>
          </w:p>
        </w:tc>
        <w:tc>
          <w:tcPr>
            <w:tcW w:w="840" w:type="dxa"/>
          </w:tcPr>
          <w:p>
            <w:pPr>
              <w:pStyle w:val="TableParagraph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4,141</w:t>
            </w:r>
          </w:p>
        </w:tc>
      </w:tr>
      <w:tr>
        <w:trPr>
          <w:trHeight w:val="270" w:hRule="atLeast"/>
        </w:trPr>
        <w:tc>
          <w:tcPr>
            <w:tcW w:w="247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Net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income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1,099</w:t>
            </w:r>
          </w:p>
        </w:tc>
        <w:tc>
          <w:tcPr>
            <w:tcW w:w="840" w:type="dxa"/>
          </w:tcPr>
          <w:p>
            <w:pPr>
              <w:pStyle w:val="TableParagraph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2,358</w:t>
            </w:r>
          </w:p>
        </w:tc>
        <w:tc>
          <w:tcPr>
            <w:tcW w:w="840" w:type="dxa"/>
          </w:tcPr>
          <w:p>
            <w:pPr>
              <w:pStyle w:val="TableParagraph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3,083</w:t>
            </w:r>
          </w:p>
        </w:tc>
        <w:tc>
          <w:tcPr>
            <w:tcW w:w="840" w:type="dxa"/>
          </w:tcPr>
          <w:p>
            <w:pPr>
              <w:pStyle w:val="TableParagraph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2,375</w:t>
            </w:r>
          </w:p>
        </w:tc>
        <w:tc>
          <w:tcPr>
            <w:tcW w:w="840" w:type="dxa"/>
          </w:tcPr>
          <w:p>
            <w:pPr>
              <w:pStyle w:val="TableParagraph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2,601</w:t>
            </w:r>
          </w:p>
        </w:tc>
      </w:tr>
      <w:tr>
        <w:trPr>
          <w:trHeight w:val="270" w:hRule="atLeast"/>
        </w:trPr>
        <w:tc>
          <w:tcPr>
            <w:tcW w:w="247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assets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3,626</w:t>
            </w:r>
          </w:p>
        </w:tc>
        <w:tc>
          <w:tcPr>
            <w:tcW w:w="840" w:type="dxa"/>
          </w:tcPr>
          <w:p>
            <w:pPr>
              <w:pStyle w:val="TableParagraph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3,313</w:t>
            </w:r>
          </w:p>
        </w:tc>
        <w:tc>
          <w:tcPr>
            <w:tcW w:w="840" w:type="dxa"/>
          </w:tcPr>
          <w:p>
            <w:pPr>
              <w:pStyle w:val="TableParagraph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3,311</w:t>
            </w:r>
          </w:p>
        </w:tc>
        <w:tc>
          <w:tcPr>
            <w:tcW w:w="840" w:type="dxa"/>
          </w:tcPr>
          <w:p>
            <w:pPr>
              <w:pStyle w:val="TableParagraph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3,485</w:t>
            </w:r>
          </w:p>
        </w:tc>
        <w:tc>
          <w:tcPr>
            <w:tcW w:w="840" w:type="dxa"/>
          </w:tcPr>
          <w:p>
            <w:pPr>
              <w:pStyle w:val="TableParagraph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3,584</w:t>
            </w:r>
          </w:p>
        </w:tc>
      </w:tr>
      <w:tr>
        <w:trPr>
          <w:trHeight w:val="270" w:hRule="atLeast"/>
        </w:trPr>
        <w:tc>
          <w:tcPr>
            <w:tcW w:w="247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liabilities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6,407</w:t>
            </w:r>
          </w:p>
        </w:tc>
        <w:tc>
          <w:tcPr>
            <w:tcW w:w="840" w:type="dxa"/>
          </w:tcPr>
          <w:p>
            <w:pPr>
              <w:pStyle w:val="TableParagraph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7,339</w:t>
            </w:r>
          </w:p>
        </w:tc>
        <w:tc>
          <w:tcPr>
            <w:tcW w:w="840" w:type="dxa"/>
          </w:tcPr>
          <w:p>
            <w:pPr>
              <w:pStyle w:val="TableParagraph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7,762</w:t>
            </w:r>
          </w:p>
        </w:tc>
        <w:tc>
          <w:tcPr>
            <w:tcW w:w="840" w:type="dxa"/>
          </w:tcPr>
          <w:p>
            <w:pPr>
              <w:pStyle w:val="TableParagraph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8,649</w:t>
            </w:r>
          </w:p>
        </w:tc>
        <w:tc>
          <w:tcPr>
            <w:tcW w:w="840" w:type="dxa"/>
          </w:tcPr>
          <w:p>
            <w:pPr>
              <w:pStyle w:val="TableParagraph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8,398</w:t>
            </w:r>
          </w:p>
        </w:tc>
      </w:tr>
      <w:tr>
        <w:trPr>
          <w:trHeight w:val="324" w:hRule="atLeast"/>
        </w:trPr>
        <w:tc>
          <w:tcPr>
            <w:tcW w:w="247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Operating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cash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flow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($m)</w:t>
            </w:r>
          </w:p>
        </w:tc>
        <w:tc>
          <w:tcPr>
            <w:tcW w:w="84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1,177</w:t>
            </w:r>
          </w:p>
        </w:tc>
        <w:tc>
          <w:tcPr>
            <w:tcW w:w="84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9"/>
              <w:rPr>
                <w:sz w:val="22"/>
              </w:rPr>
            </w:pPr>
            <w:r>
              <w:rPr>
                <w:spacing w:val="-2"/>
                <w:sz w:val="22"/>
              </w:rPr>
              <w:t>2,363</w:t>
            </w:r>
          </w:p>
        </w:tc>
        <w:tc>
          <w:tcPr>
            <w:tcW w:w="84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20"/>
              <w:rPr>
                <w:sz w:val="22"/>
              </w:rPr>
            </w:pPr>
            <w:r>
              <w:rPr>
                <w:spacing w:val="-2"/>
                <w:sz w:val="22"/>
              </w:rPr>
              <w:t>3,170</w:t>
            </w:r>
          </w:p>
        </w:tc>
        <w:tc>
          <w:tcPr>
            <w:tcW w:w="84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21"/>
              <w:rPr>
                <w:sz w:val="22"/>
              </w:rPr>
            </w:pPr>
            <w:r>
              <w:rPr>
                <w:spacing w:val="-2"/>
                <w:sz w:val="22"/>
              </w:rPr>
              <w:t>2,749</w:t>
            </w:r>
          </w:p>
        </w:tc>
        <w:tc>
          <w:tcPr>
            <w:tcW w:w="84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22"/>
              <w:rPr>
                <w:sz w:val="22"/>
              </w:rPr>
            </w:pPr>
            <w:r>
              <w:rPr>
                <w:spacing w:val="-2"/>
                <w:sz w:val="22"/>
              </w:rPr>
              <w:t>3,212</w:t>
            </w:r>
          </w:p>
        </w:tc>
      </w:tr>
    </w:tbl>
    <w:p>
      <w:pPr>
        <w:pStyle w:val="BodyText"/>
        <w:spacing w:before="113"/>
        <w:rPr>
          <w:b/>
          <w:sz w:val="24"/>
        </w:rPr>
      </w:pPr>
    </w:p>
    <w:p>
      <w:pPr>
        <w:spacing w:before="0"/>
        <w:ind w:left="165" w:right="0" w:firstLine="0"/>
        <w:jc w:val="left"/>
        <w:rPr>
          <w:b/>
          <w:sz w:val="24"/>
        </w:rPr>
      </w:pPr>
      <w:r>
        <w:rPr>
          <w:b/>
          <w:color w:val="0E2C59"/>
          <w:sz w:val="24"/>
        </w:rPr>
        <w:t>Appendix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z w:val="24"/>
        </w:rPr>
        <w:t>B</w:t>
      </w:r>
      <w:r>
        <w:rPr>
          <w:b/>
          <w:color w:val="0E2C59"/>
          <w:spacing w:val="-7"/>
          <w:sz w:val="24"/>
        </w:rPr>
        <w:t> </w:t>
      </w:r>
      <w:r>
        <w:rPr>
          <w:b/>
          <w:color w:val="0E2C59"/>
          <w:sz w:val="24"/>
        </w:rPr>
        <w:t>—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z w:val="24"/>
        </w:rPr>
        <w:t>Ratio</w:t>
      </w:r>
      <w:r>
        <w:rPr>
          <w:b/>
          <w:color w:val="0E2C59"/>
          <w:spacing w:val="-7"/>
          <w:sz w:val="24"/>
        </w:rPr>
        <w:t> </w:t>
      </w:r>
      <w:r>
        <w:rPr>
          <w:b/>
          <w:color w:val="0E2C59"/>
          <w:spacing w:val="-2"/>
          <w:sz w:val="24"/>
        </w:rPr>
        <w:t>Summary</w:t>
      </w:r>
    </w:p>
    <w:p>
      <w:pPr>
        <w:pStyle w:val="BodyText"/>
        <w:spacing w:before="61"/>
        <w:rPr>
          <w:b/>
          <w:sz w:val="20"/>
        </w:rPr>
      </w:pPr>
    </w:p>
    <w:tbl>
      <w:tblPr>
        <w:tblW w:w="0" w:type="auto"/>
        <w:jc w:val="left"/>
        <w:tblInd w:w="1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80"/>
        <w:gridCol w:w="911"/>
        <w:gridCol w:w="911"/>
        <w:gridCol w:w="911"/>
        <w:gridCol w:w="911"/>
        <w:gridCol w:w="911"/>
      </w:tblGrid>
      <w:tr>
        <w:trPr>
          <w:trHeight w:val="370" w:hRule="atLeast"/>
        </w:trPr>
        <w:tc>
          <w:tcPr>
            <w:tcW w:w="178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Ratio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6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2021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5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2022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4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2023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4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2024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3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2025</w:t>
            </w:r>
          </w:p>
        </w:tc>
      </w:tr>
      <w:tr>
        <w:trPr>
          <w:trHeight w:val="316" w:hRule="atLeast"/>
        </w:trPr>
        <w:tc>
          <w:tcPr>
            <w:tcW w:w="178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Operating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margin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12.63%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5"/>
              <w:rPr>
                <w:sz w:val="22"/>
              </w:rPr>
            </w:pPr>
            <w:r>
              <w:rPr>
                <w:spacing w:val="-2"/>
                <w:sz w:val="22"/>
              </w:rPr>
              <w:t>16.67%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16.29%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15.01%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3"/>
              <w:rPr>
                <w:sz w:val="22"/>
              </w:rPr>
            </w:pPr>
            <w:r>
              <w:rPr>
                <w:spacing w:val="-2"/>
                <w:sz w:val="22"/>
              </w:rPr>
              <w:t>15.81%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Net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margin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7.93%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2"/>
                <w:sz w:val="22"/>
              </w:rPr>
              <w:t>11.35%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13.00%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9.46%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2"/>
                <w:sz w:val="22"/>
              </w:rPr>
              <w:t>9.93%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Current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ratio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0.57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4"/>
                <w:sz w:val="22"/>
              </w:rPr>
              <w:t>0.45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0.43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0.40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4"/>
                <w:sz w:val="22"/>
              </w:rPr>
              <w:t>0.43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Quick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ratio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0.53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4"/>
                <w:sz w:val="22"/>
              </w:rPr>
              <w:t>0.42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0.39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0.37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4"/>
                <w:sz w:val="22"/>
              </w:rPr>
              <w:t>0.39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ROA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4.30%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2"/>
                <w:sz w:val="22"/>
              </w:rPr>
              <w:t>9.50%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12.01%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9.07%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2"/>
                <w:sz w:val="22"/>
              </w:rPr>
              <w:t>9.44%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Asset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turnover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0.54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4"/>
                <w:sz w:val="22"/>
              </w:rPr>
              <w:t>0.84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0.92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0.96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4"/>
                <w:sz w:val="22"/>
              </w:rPr>
              <w:t>0.95</w:t>
            </w:r>
          </w:p>
        </w:tc>
      </w:tr>
      <w:tr>
        <w:trPr>
          <w:trHeight w:val="270" w:hRule="atLeast"/>
        </w:trPr>
        <w:tc>
          <w:tcPr>
            <w:tcW w:w="1780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Receivable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days</w:t>
            </w:r>
          </w:p>
        </w:tc>
        <w:tc>
          <w:tcPr>
            <w:tcW w:w="911" w:type="dxa"/>
          </w:tcPr>
          <w:p>
            <w:pPr>
              <w:pStyle w:val="TableParagraph"/>
              <w:ind w:right="116"/>
              <w:rPr>
                <w:sz w:val="22"/>
              </w:rPr>
            </w:pPr>
            <w:r>
              <w:rPr>
                <w:spacing w:val="-4"/>
                <w:sz w:val="22"/>
              </w:rPr>
              <w:t>52.2</w:t>
            </w:r>
          </w:p>
        </w:tc>
        <w:tc>
          <w:tcPr>
            <w:tcW w:w="911" w:type="dxa"/>
          </w:tcPr>
          <w:p>
            <w:pPr>
              <w:pStyle w:val="TableParagraph"/>
              <w:ind w:right="115"/>
              <w:rPr>
                <w:sz w:val="22"/>
              </w:rPr>
            </w:pPr>
            <w:r>
              <w:rPr>
                <w:spacing w:val="-4"/>
                <w:sz w:val="22"/>
              </w:rPr>
              <w:t>45.2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41.7</w:t>
            </w:r>
          </w:p>
        </w:tc>
        <w:tc>
          <w:tcPr>
            <w:tcW w:w="911" w:type="dxa"/>
          </w:tcPr>
          <w:p>
            <w:pPr>
              <w:pStyle w:val="TableParagraph"/>
              <w:ind w:right="114"/>
              <w:rPr>
                <w:sz w:val="22"/>
              </w:rPr>
            </w:pPr>
            <w:r>
              <w:rPr>
                <w:spacing w:val="-4"/>
                <w:sz w:val="22"/>
              </w:rPr>
              <w:t>40.6</w:t>
            </w:r>
          </w:p>
        </w:tc>
        <w:tc>
          <w:tcPr>
            <w:tcW w:w="911" w:type="dxa"/>
          </w:tcPr>
          <w:p>
            <w:pPr>
              <w:pStyle w:val="TableParagraph"/>
              <w:ind w:right="113"/>
              <w:rPr>
                <w:sz w:val="22"/>
              </w:rPr>
            </w:pPr>
            <w:r>
              <w:rPr>
                <w:spacing w:val="-4"/>
                <w:sz w:val="22"/>
              </w:rPr>
              <w:t>40.5</w:t>
            </w:r>
          </w:p>
        </w:tc>
      </w:tr>
      <w:tr>
        <w:trPr>
          <w:trHeight w:val="324" w:hRule="atLeast"/>
        </w:trPr>
        <w:tc>
          <w:tcPr>
            <w:tcW w:w="178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Debt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Assets</w:t>
            </w:r>
          </w:p>
        </w:tc>
        <w:tc>
          <w:tcPr>
            <w:tcW w:w="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>39.7%</w:t>
            </w:r>
          </w:p>
        </w:tc>
        <w:tc>
          <w:tcPr>
            <w:tcW w:w="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5"/>
              <w:rPr>
                <w:sz w:val="22"/>
              </w:rPr>
            </w:pPr>
            <w:r>
              <w:rPr>
                <w:spacing w:val="-2"/>
                <w:sz w:val="22"/>
              </w:rPr>
              <w:t>40.6%</w:t>
            </w:r>
          </w:p>
        </w:tc>
        <w:tc>
          <w:tcPr>
            <w:tcW w:w="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46.2%</w:t>
            </w:r>
          </w:p>
        </w:tc>
        <w:tc>
          <w:tcPr>
            <w:tcW w:w="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4"/>
              <w:rPr>
                <w:sz w:val="22"/>
              </w:rPr>
            </w:pPr>
            <w:r>
              <w:rPr>
                <w:spacing w:val="-2"/>
                <w:sz w:val="22"/>
              </w:rPr>
              <w:t>55.2%</w:t>
            </w:r>
          </w:p>
        </w:tc>
        <w:tc>
          <w:tcPr>
            <w:tcW w:w="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3"/>
              <w:rPr>
                <w:sz w:val="22"/>
              </w:rPr>
            </w:pPr>
            <w:r>
              <w:rPr>
                <w:spacing w:val="-2"/>
                <w:sz w:val="22"/>
              </w:rPr>
              <w:t>58.8%</w:t>
            </w:r>
          </w:p>
        </w:tc>
      </w:tr>
    </w:tbl>
    <w:p>
      <w:pPr>
        <w:pStyle w:val="BodyText"/>
        <w:spacing w:before="115"/>
        <w:rPr>
          <w:b/>
          <w:sz w:val="24"/>
        </w:rPr>
      </w:pPr>
    </w:p>
    <w:p>
      <w:pPr>
        <w:spacing w:before="0"/>
        <w:ind w:left="165" w:right="0" w:firstLine="0"/>
        <w:jc w:val="left"/>
        <w:rPr>
          <w:b/>
          <w:sz w:val="24"/>
        </w:rPr>
      </w:pPr>
      <w:r>
        <w:rPr>
          <w:b/>
          <w:color w:val="0E2C59"/>
          <w:sz w:val="24"/>
        </w:rPr>
        <w:t>Appendix</w:t>
      </w:r>
      <w:r>
        <w:rPr>
          <w:b/>
          <w:color w:val="0E2C59"/>
          <w:spacing w:val="-13"/>
          <w:sz w:val="24"/>
        </w:rPr>
        <w:t> </w:t>
      </w:r>
      <w:r>
        <w:rPr>
          <w:b/>
          <w:color w:val="0E2C59"/>
          <w:sz w:val="24"/>
        </w:rPr>
        <w:t>C</w:t>
      </w:r>
      <w:r>
        <w:rPr>
          <w:b/>
          <w:color w:val="0E2C59"/>
          <w:spacing w:val="-12"/>
          <w:sz w:val="24"/>
        </w:rPr>
        <w:t> </w:t>
      </w:r>
      <w:r>
        <w:rPr>
          <w:b/>
          <w:color w:val="0E2C59"/>
          <w:sz w:val="24"/>
        </w:rPr>
        <w:t>—</w:t>
      </w:r>
      <w:r>
        <w:rPr>
          <w:b/>
          <w:color w:val="0E2C59"/>
          <w:spacing w:val="-12"/>
          <w:sz w:val="24"/>
        </w:rPr>
        <w:t> </w:t>
      </w:r>
      <w:r>
        <w:rPr>
          <w:b/>
          <w:color w:val="0E2C59"/>
          <w:sz w:val="24"/>
        </w:rPr>
        <w:t>Investment</w:t>
      </w:r>
      <w:r>
        <w:rPr>
          <w:b/>
          <w:color w:val="0E2C59"/>
          <w:spacing w:val="-12"/>
          <w:sz w:val="24"/>
        </w:rPr>
        <w:t> </w:t>
      </w:r>
      <w:r>
        <w:rPr>
          <w:b/>
          <w:color w:val="0E2C59"/>
          <w:spacing w:val="-2"/>
          <w:sz w:val="24"/>
        </w:rPr>
        <w:t>Appraisal</w:t>
      </w:r>
    </w:p>
    <w:p>
      <w:pPr>
        <w:pStyle w:val="BodyText"/>
        <w:spacing w:before="61"/>
        <w:rPr>
          <w:b/>
          <w:sz w:val="20"/>
        </w:rPr>
      </w:pPr>
    </w:p>
    <w:tbl>
      <w:tblPr>
        <w:tblW w:w="0" w:type="auto"/>
        <w:jc w:val="left"/>
        <w:tblInd w:w="2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1"/>
        <w:gridCol w:w="1136"/>
        <w:gridCol w:w="1136"/>
        <w:gridCol w:w="1136"/>
      </w:tblGrid>
      <w:tr>
        <w:trPr>
          <w:trHeight w:val="370" w:hRule="atLeast"/>
        </w:trPr>
        <w:tc>
          <w:tcPr>
            <w:tcW w:w="1761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Measure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A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B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Project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C</w:t>
            </w:r>
          </w:p>
        </w:tc>
      </w:tr>
      <w:tr>
        <w:trPr>
          <w:trHeight w:val="316" w:hRule="atLeast"/>
        </w:trPr>
        <w:tc>
          <w:tcPr>
            <w:tcW w:w="176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Initial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investment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  <w:tc>
          <w:tcPr>
            <w:tcW w:w="11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4"/>
                <w:sz w:val="22"/>
              </w:rPr>
              <w:t>£50m</w:t>
            </w:r>
          </w:p>
        </w:tc>
      </w:tr>
      <w:tr>
        <w:trPr>
          <w:trHeight w:val="270" w:hRule="atLeast"/>
        </w:trPr>
        <w:tc>
          <w:tcPr>
            <w:tcW w:w="176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Payback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z w:val="22"/>
              </w:rPr>
              <w:t>4.50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z w:val="22"/>
              </w:rPr>
              <w:t>4.55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z w:val="22"/>
              </w:rPr>
              <w:t>3.60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years</w:t>
            </w:r>
          </w:p>
        </w:tc>
      </w:tr>
      <w:tr>
        <w:trPr>
          <w:trHeight w:val="270" w:hRule="atLeast"/>
        </w:trPr>
        <w:tc>
          <w:tcPr>
            <w:tcW w:w="176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ARR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3.20%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4.00%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12.00%</w:t>
            </w:r>
          </w:p>
        </w:tc>
      </w:tr>
      <w:tr>
        <w:trPr>
          <w:trHeight w:val="270" w:hRule="atLeast"/>
        </w:trPr>
        <w:tc>
          <w:tcPr>
            <w:tcW w:w="176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NPV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@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8%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£6.54m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£6.08m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rFonts w:ascii="Calibri" w:hAnsi="Calibri"/>
                <w:spacing w:val="-2"/>
                <w:w w:val="105"/>
                <w:sz w:val="22"/>
              </w:rPr>
              <w:t>+</w:t>
            </w:r>
            <w:r>
              <w:rPr>
                <w:spacing w:val="-2"/>
                <w:w w:val="105"/>
                <w:sz w:val="22"/>
              </w:rPr>
              <w:t>£0.86m</w:t>
            </w:r>
          </w:p>
        </w:tc>
      </w:tr>
      <w:tr>
        <w:trPr>
          <w:trHeight w:val="270" w:hRule="atLeast"/>
        </w:trPr>
        <w:tc>
          <w:tcPr>
            <w:tcW w:w="1761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PI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0.869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0.878</w:t>
            </w:r>
          </w:p>
        </w:tc>
        <w:tc>
          <w:tcPr>
            <w:tcW w:w="1136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1.017</w:t>
            </w:r>
          </w:p>
        </w:tc>
      </w:tr>
      <w:tr>
        <w:trPr>
          <w:trHeight w:val="267" w:hRule="atLeast"/>
        </w:trPr>
        <w:tc>
          <w:tcPr>
            <w:tcW w:w="1761" w:type="dxa"/>
          </w:tcPr>
          <w:p>
            <w:pPr>
              <w:pStyle w:val="TableParagraph"/>
              <w:spacing w:line="247" w:lineRule="exact"/>
              <w:ind w:left="119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IRR</w:t>
            </w:r>
          </w:p>
        </w:tc>
        <w:tc>
          <w:tcPr>
            <w:tcW w:w="1136" w:type="dxa"/>
          </w:tcPr>
          <w:p>
            <w:pPr>
              <w:pStyle w:val="TableParagraph"/>
              <w:spacing w:line="247" w:lineRule="exact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2.72%</w:t>
            </w:r>
          </w:p>
        </w:tc>
        <w:tc>
          <w:tcPr>
            <w:tcW w:w="1136" w:type="dxa"/>
          </w:tcPr>
          <w:p>
            <w:pPr>
              <w:pStyle w:val="TableParagraph"/>
              <w:spacing w:line="247" w:lineRule="exact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3.26%</w:t>
            </w:r>
          </w:p>
        </w:tc>
        <w:tc>
          <w:tcPr>
            <w:tcW w:w="1136" w:type="dxa"/>
          </w:tcPr>
          <w:p>
            <w:pPr>
              <w:pStyle w:val="TableParagraph"/>
              <w:spacing w:line="247" w:lineRule="exact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8.59%</w:t>
            </w:r>
          </w:p>
        </w:tc>
      </w:tr>
      <w:tr>
        <w:trPr>
          <w:trHeight w:val="328" w:hRule="atLeast"/>
        </w:trPr>
        <w:tc>
          <w:tcPr>
            <w:tcW w:w="176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4"/>
              <w:ind w:left="11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Decision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4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Reject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4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Reject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 w:before="4"/>
              <w:ind w:right="11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Accept</w:t>
            </w:r>
          </w:p>
        </w:tc>
      </w:tr>
    </w:tbl>
    <w:p>
      <w:pPr>
        <w:pStyle w:val="TableParagraph"/>
        <w:spacing w:after="0" w:line="240" w:lineRule="auto"/>
        <w:rPr>
          <w:b/>
          <w:sz w:val="22"/>
        </w:rPr>
        <w:sectPr>
          <w:pgSz w:w="11910" w:h="16840"/>
          <w:pgMar w:header="686" w:footer="0" w:top="1280" w:bottom="280" w:left="1275" w:right="141"/>
        </w:sectPr>
      </w:pPr>
    </w:p>
    <w:p>
      <w:pPr>
        <w:spacing w:before="137"/>
        <w:ind w:left="165" w:right="0" w:firstLine="0"/>
        <w:jc w:val="left"/>
        <w:rPr>
          <w:b/>
          <w:sz w:val="24"/>
        </w:rPr>
      </w:pPr>
      <w:r>
        <w:rPr>
          <w:b/>
          <w:color w:val="0E2C59"/>
          <w:sz w:val="24"/>
        </w:rPr>
        <w:t>Appendix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z w:val="24"/>
        </w:rPr>
        <w:t>D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z w:val="24"/>
        </w:rPr>
        <w:t>—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z w:val="24"/>
        </w:rPr>
        <w:t>Capital</w:t>
      </w:r>
      <w:r>
        <w:rPr>
          <w:b/>
          <w:color w:val="0E2C59"/>
          <w:spacing w:val="-8"/>
          <w:sz w:val="24"/>
        </w:rPr>
        <w:t> </w:t>
      </w:r>
      <w:r>
        <w:rPr>
          <w:b/>
          <w:color w:val="0E2C59"/>
          <w:spacing w:val="-2"/>
          <w:sz w:val="24"/>
        </w:rPr>
        <w:t>Rationing</w:t>
      </w:r>
    </w:p>
    <w:p>
      <w:pPr>
        <w:pStyle w:val="BodyText"/>
        <w:spacing w:before="61"/>
        <w:rPr>
          <w:b/>
          <w:sz w:val="20"/>
        </w:rPr>
      </w:pPr>
    </w:p>
    <w:tbl>
      <w:tblPr>
        <w:tblW w:w="0" w:type="auto"/>
        <w:jc w:val="left"/>
        <w:tblInd w:w="5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4"/>
        <w:gridCol w:w="1778"/>
        <w:gridCol w:w="1712"/>
        <w:gridCol w:w="3342"/>
      </w:tblGrid>
      <w:tr>
        <w:trPr>
          <w:trHeight w:val="370" w:hRule="atLeast"/>
        </w:trPr>
        <w:tc>
          <w:tcPr>
            <w:tcW w:w="1464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Combination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Total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investment</w:t>
            </w:r>
          </w:p>
        </w:tc>
        <w:tc>
          <w:tcPr>
            <w:tcW w:w="1712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right="118"/>
              <w:rPr>
                <w:b/>
                <w:sz w:val="22"/>
              </w:rPr>
            </w:pPr>
            <w:r>
              <w:rPr>
                <w:b/>
                <w:sz w:val="22"/>
              </w:rPr>
              <w:t>Combined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NPV</w:t>
            </w:r>
          </w:p>
        </w:tc>
        <w:tc>
          <w:tcPr>
            <w:tcW w:w="3342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line="240" w:lineRule="auto" w:before="47"/>
              <w:ind w:left="118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Decision</w:t>
            </w:r>
          </w:p>
        </w:tc>
      </w:tr>
      <w:tr>
        <w:trPr>
          <w:trHeight w:val="316" w:hRule="atLeast"/>
        </w:trPr>
        <w:tc>
          <w:tcPr>
            <w:tcW w:w="146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B</w:t>
            </w:r>
          </w:p>
        </w:tc>
        <w:tc>
          <w:tcPr>
            <w:tcW w:w="177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£100m</w:t>
            </w:r>
          </w:p>
        </w:tc>
        <w:tc>
          <w:tcPr>
            <w:tcW w:w="171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7" w:lineRule="exact" w:before="30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£12.62m</w:t>
            </w:r>
          </w:p>
        </w:tc>
        <w:tc>
          <w:tcPr>
            <w:tcW w:w="334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6"/>
              <w:ind w:left="11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Reject</w:t>
            </w:r>
          </w:p>
        </w:tc>
      </w:tr>
      <w:tr>
        <w:trPr>
          <w:trHeight w:val="270" w:hRule="atLeast"/>
        </w:trPr>
        <w:tc>
          <w:tcPr>
            <w:tcW w:w="1464" w:type="dxa"/>
          </w:tcPr>
          <w:p>
            <w:pPr>
              <w:pStyle w:val="TableParagraph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C</w:t>
            </w:r>
          </w:p>
        </w:tc>
        <w:tc>
          <w:tcPr>
            <w:tcW w:w="1778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£100m</w:t>
            </w:r>
          </w:p>
        </w:tc>
        <w:tc>
          <w:tcPr>
            <w:tcW w:w="1712" w:type="dxa"/>
          </w:tcPr>
          <w:p>
            <w:pPr>
              <w:pStyle w:val="TableParagraph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£5.69m</w:t>
            </w:r>
          </w:p>
        </w:tc>
        <w:tc>
          <w:tcPr>
            <w:tcW w:w="3342" w:type="dxa"/>
          </w:tcPr>
          <w:p>
            <w:pPr>
              <w:pStyle w:val="TableParagraph"/>
              <w:ind w:left="118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Reject</w:t>
            </w:r>
          </w:p>
        </w:tc>
      </w:tr>
      <w:tr>
        <w:trPr>
          <w:trHeight w:val="324" w:hRule="atLeast"/>
        </w:trPr>
        <w:tc>
          <w:tcPr>
            <w:tcW w:w="146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9"/>
              <w:jc w:val="left"/>
              <w:rPr>
                <w:sz w:val="22"/>
              </w:rPr>
            </w:pPr>
            <w:r>
              <w:rPr>
                <w:sz w:val="22"/>
              </w:rPr>
              <w:t>B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C</w:t>
            </w:r>
          </w:p>
        </w:tc>
        <w:tc>
          <w:tcPr>
            <w:tcW w:w="177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right="118"/>
              <w:rPr>
                <w:sz w:val="22"/>
              </w:rPr>
            </w:pPr>
            <w:r>
              <w:rPr>
                <w:spacing w:val="-2"/>
                <w:sz w:val="22"/>
              </w:rPr>
              <w:t>£100m</w:t>
            </w:r>
          </w:p>
        </w:tc>
        <w:tc>
          <w:tcPr>
            <w:tcW w:w="171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53" w:lineRule="exact"/>
              <w:ind w:right="118"/>
              <w:rPr>
                <w:sz w:val="22"/>
              </w:rPr>
            </w:pPr>
            <w:r>
              <w:rPr>
                <w:rFonts w:ascii="Verdana" w:hAnsi="Verdana"/>
                <w:i/>
                <w:spacing w:val="-2"/>
                <w:sz w:val="22"/>
              </w:rPr>
              <w:t>−</w:t>
            </w:r>
            <w:r>
              <w:rPr>
                <w:spacing w:val="-2"/>
                <w:sz w:val="22"/>
              </w:rPr>
              <w:t>£5.22m</w:t>
            </w:r>
          </w:p>
        </w:tc>
        <w:tc>
          <w:tcPr>
            <w:tcW w:w="334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40" w:lineRule="auto"/>
              <w:ind w:left="118"/>
              <w:jc w:val="left"/>
              <w:rPr>
                <w:sz w:val="22"/>
              </w:rPr>
            </w:pPr>
            <w:r>
              <w:rPr>
                <w:sz w:val="22"/>
              </w:rPr>
              <w:t>Best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full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£100m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must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invested</w:t>
            </w:r>
          </w:p>
        </w:tc>
      </w:tr>
    </w:tbl>
    <w:p>
      <w:pPr>
        <w:pStyle w:val="BodyText"/>
        <w:spacing w:before="176"/>
        <w:rPr>
          <w:b/>
          <w:sz w:val="24"/>
        </w:rPr>
      </w:pPr>
    </w:p>
    <w:p>
      <w:pPr>
        <w:pStyle w:val="BodyText"/>
        <w:spacing w:line="256" w:lineRule="auto"/>
        <w:ind w:left="165" w:right="1258"/>
      </w:pPr>
      <w:r>
        <w:rPr>
          <w:b/>
        </w:rPr>
        <w:t>Final</w:t>
      </w:r>
      <w:r>
        <w:rPr>
          <w:b/>
          <w:spacing w:val="-9"/>
        </w:rPr>
        <w:t> </w:t>
      </w:r>
      <w:r>
        <w:rPr>
          <w:b/>
        </w:rPr>
        <w:t>CFO</w:t>
      </w:r>
      <w:r>
        <w:rPr>
          <w:b/>
          <w:spacing w:val="-9"/>
        </w:rPr>
        <w:t> </w:t>
      </w:r>
      <w:r>
        <w:rPr>
          <w:b/>
        </w:rPr>
        <w:t>recommendation: </w:t>
      </w:r>
      <w:r>
        <w:rPr/>
        <w:t>Project</w:t>
      </w:r>
      <w:r>
        <w:rPr>
          <w:spacing w:val="-9"/>
        </w:rPr>
        <w:t> </w:t>
      </w:r>
      <w:r>
        <w:rPr/>
        <w:t>C</w:t>
      </w:r>
      <w:r>
        <w:rPr>
          <w:spacing w:val="-9"/>
        </w:rPr>
        <w:t> </w:t>
      </w:r>
      <w:r>
        <w:rPr/>
        <w:t>alone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£100m</w:t>
      </w:r>
      <w:r>
        <w:rPr>
          <w:spacing w:val="-9"/>
        </w:rPr>
        <w:t> </w:t>
      </w:r>
      <w:r>
        <w:rPr/>
        <w:t>is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maximum</w:t>
      </w:r>
      <w:r>
        <w:rPr>
          <w:spacing w:val="-9"/>
        </w:rPr>
        <w:t> </w:t>
      </w:r>
      <w:r>
        <w:rPr/>
        <w:t>limit;</w:t>
      </w:r>
      <w:r>
        <w:rPr>
          <w:spacing w:val="-8"/>
        </w:rPr>
        <w:t> </w:t>
      </w:r>
      <w:r>
        <w:rPr/>
        <w:t>Projects</w:t>
      </w:r>
      <w:r>
        <w:rPr>
          <w:spacing w:val="-9"/>
        </w:rPr>
        <w:t> </w:t>
      </w:r>
      <w:r>
        <w:rPr/>
        <w:t>B</w:t>
      </w:r>
      <w:r>
        <w:rPr>
          <w:spacing w:val="-9"/>
        </w:rPr>
        <w:t> </w:t>
      </w:r>
      <w:r>
        <w:rPr/>
        <w:t>+</w:t>
      </w:r>
      <w:r>
        <w:rPr>
          <w:spacing w:val="-9"/>
        </w:rPr>
        <w:t> </w:t>
      </w:r>
      <w:r>
        <w:rPr/>
        <w:t>C</w:t>
      </w:r>
      <w:r>
        <w:rPr>
          <w:spacing w:val="-9"/>
        </w:rPr>
        <w:t> </w:t>
      </w:r>
      <w:r>
        <w:rPr/>
        <w:t>only</w:t>
      </w:r>
      <w:r>
        <w:rPr>
          <w:spacing w:val="-9"/>
        </w:rPr>
        <w:t> </w:t>
      </w:r>
      <w:r>
        <w:rPr/>
        <w:t>if the full £100m must be invested.</w:t>
      </w:r>
    </w:p>
    <w:sectPr>
      <w:pgSz w:w="11910" w:h="16840"/>
      <w:pgMar w:header="686" w:footer="0" w:top="1280" w:bottom="280" w:left="1275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516224">
              <wp:simplePos x="0" y="0"/>
              <wp:positionH relativeFrom="page">
                <wp:posOffset>914400</wp:posOffset>
              </wp:positionH>
              <wp:positionV relativeFrom="page">
                <wp:posOffset>600621</wp:posOffset>
              </wp:positionV>
              <wp:extent cx="573151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31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31510" h="0">
                            <a:moveTo>
                              <a:pt x="0" y="0"/>
                            </a:moveTo>
                            <a:lnTo>
                              <a:pt x="5731205" y="0"/>
                            </a:lnTo>
                          </a:path>
                        </a:pathLst>
                      </a:custGeom>
                      <a:ln w="505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00256" from="72pt,47.293015pt" to="523.2760pt,47.293015pt" stroked="true" strokeweight=".398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516736">
              <wp:simplePos x="0" y="0"/>
              <wp:positionH relativeFrom="page">
                <wp:posOffset>901700</wp:posOffset>
              </wp:positionH>
              <wp:positionV relativeFrom="page">
                <wp:posOffset>422929</wp:posOffset>
              </wp:positionV>
              <wp:extent cx="3371215" cy="1784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37121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Financial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Performance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and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Management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—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Marriott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International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pt;margin-top:33.301571pt;width:265.45pt;height:14.05pt;mso-position-horizontal-relative:page;mso-position-vertical-relative:page;z-index:-16799744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Financial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Performance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Management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—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Marriott</w:t>
                    </w:r>
                    <w:r>
                      <w:rPr>
                        <w:spacing w:val="-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International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517248">
              <wp:simplePos x="0" y="0"/>
              <wp:positionH relativeFrom="page">
                <wp:posOffset>6506378</wp:posOffset>
              </wp:positionH>
              <wp:positionV relativeFrom="page">
                <wp:posOffset>422929</wp:posOffset>
              </wp:positionV>
              <wp:extent cx="190500" cy="17843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90500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2.313293pt;margin-top:33.301571pt;width:15pt;height:14.05pt;mso-position-horizontal-relative:page;mso-position-vertical-relative:page;z-index:-1679923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[%1]"/>
      <w:lvlJc w:val="left"/>
      <w:pPr>
        <w:ind w:left="557" w:hanging="3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52" w:hanging="3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45" w:hanging="3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38" w:hanging="3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31" w:hanging="3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24" w:hanging="3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17" w:hanging="3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10" w:hanging="3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3" w:hanging="36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710" w:hanging="18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6" w:hanging="18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73" w:hanging="1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50" w:hanging="1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27" w:hanging="1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04" w:hanging="1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81" w:hanging="1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58" w:hanging="1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35" w:hanging="186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upperLetter"/>
      <w:lvlText w:val="%1."/>
      <w:lvlJc w:val="left"/>
      <w:pPr>
        <w:ind w:left="165" w:hanging="26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2" w:hanging="26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25" w:hanging="2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58" w:hanging="2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91" w:hanging="2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24" w:hanging="2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7" w:hanging="2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90" w:hanging="2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23" w:hanging="265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470" w:hanging="2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0" w:hanging="2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81" w:hanging="2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82" w:hanging="2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3" w:hanging="2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84" w:hanging="2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5" w:hanging="2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86" w:hanging="2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87" w:hanging="273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26" w:hanging="2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7" w:hanging="2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5" w:hanging="2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32" w:hanging="2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70" w:hanging="2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08" w:hanging="2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45" w:hanging="2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83" w:hanging="2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20" w:hanging="27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26" w:hanging="2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2" w:hanging="2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5" w:hanging="2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8" w:hanging="2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91" w:hanging="2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84" w:hanging="2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76" w:hanging="2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69" w:hanging="2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62" w:hanging="27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595" w:hanging="43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0E2C59"/>
        <w:spacing w:val="0"/>
        <w:w w:val="102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02" w:hanging="53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0E2C59"/>
        <w:spacing w:val="0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87" w:hanging="5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75" w:hanging="5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63" w:hanging="5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50" w:hanging="5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38" w:hanging="5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26" w:hanging="5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14" w:hanging="53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492" w:hanging="32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0E2C59"/>
        <w:spacing w:val="0"/>
        <w:w w:val="99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4" w:hanging="50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E2C59"/>
        <w:spacing w:val="0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54" w:hanging="50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8" w:hanging="50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63" w:hanging="50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17" w:hanging="50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71" w:hanging="50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26" w:hanging="50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80" w:hanging="502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137"/>
      <w:ind w:left="492" w:hanging="327"/>
    </w:pPr>
    <w:rPr>
      <w:rFonts w:ascii="Times New Roman" w:hAnsi="Times New Roman" w:eastAsia="Times New Roman" w:cs="Times New Roman"/>
      <w:b/>
      <w:bCs/>
      <w:sz w:val="22"/>
      <w:szCs w:val="22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18"/>
      <w:ind w:left="994" w:hanging="502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32"/>
      <w:ind w:left="595" w:hanging="43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702" w:hanging="537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71"/>
      <w:ind w:right="1131"/>
      <w:jc w:val="center"/>
      <w:outlineLvl w:val="3"/>
    </w:pPr>
    <w:rPr>
      <w:rFonts w:ascii="Times New Roman" w:hAnsi="Times New Roman" w:eastAsia="Times New Roman" w:cs="Times New Roman"/>
      <w:i/>
      <w:iCs/>
      <w:sz w:val="24"/>
      <w:szCs w:val="24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165"/>
      <w:outlineLvl w:val="4"/>
    </w:pPr>
    <w:rPr>
      <w:rFonts w:ascii="Times New Roman" w:hAnsi="Times New Roman" w:eastAsia="Times New Roman" w:cs="Times New Roman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right="1131"/>
      <w:jc w:val="center"/>
    </w:pPr>
    <w:rPr>
      <w:rFonts w:ascii="Times New Roman" w:hAnsi="Times New Roman" w:eastAsia="Times New Roman" w:cs="Times New Roman"/>
      <w:b/>
      <w:bCs/>
      <w:sz w:val="41"/>
      <w:szCs w:val="41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8"/>
      <w:ind w:left="702" w:hanging="537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51" w:lineRule="exact"/>
      <w:jc w:val="right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hyperlink" Target="https://www.sec.gov/Archives/edgar/data/1048286/000104828626000007/mar-20251231.htm" TargetMode="External"/><Relationship Id="rId9" Type="http://schemas.openxmlformats.org/officeDocument/2006/relationships/hyperlink" Target="https://www.sec.gov/Archives/edgar/data/1048286/000104828626000007/" TargetMode="External"/><Relationship Id="rId10" Type="http://schemas.openxmlformats.org/officeDocument/2006/relationships/hyperlink" Target="https://www.sec.gov/Archives/edgar/data/1048286/000162828025004818/mar-20241231.htm" TargetMode="External"/><Relationship Id="rId11" Type="http://schemas.openxmlformats.org/officeDocument/2006/relationships/hyperlink" Target="https://www.sec.gov/Archives/edgar/data/1048286/000162828025004818/" TargetMode="External"/><Relationship Id="rId12" Type="http://schemas.openxmlformats.org/officeDocument/2006/relationships/hyperlink" Target="https://www.sec.gov/Archives/edgar/data/1048286/000162828023003485/mar-20221231.htm" TargetMode="External"/><Relationship Id="rId13" Type="http://schemas.openxmlformats.org/officeDocument/2006/relationships/hyperlink" Target="https://www.sec.gov/Archives/edgar/data/1048286/000162828023003485/" TargetMode="External"/><Relationship Id="rId14" Type="http://schemas.openxmlformats.org/officeDocument/2006/relationships/hyperlink" Target="https://www.sec.gov/Archives/edgar/data/1048286/000162828022002666/mar-20211231.htm" TargetMode="External"/><Relationship Id="rId15" Type="http://schemas.openxmlformats.org/officeDocument/2006/relationships/hyperlink" Target="https://www.sec.gov/Archives/edgar/data/1048286/000162828022002666/" TargetMode="External"/><Relationship Id="rId16" Type="http://schemas.openxmlformats.org/officeDocument/2006/relationships/hyperlink" Target="https://www.marriott.com/marriott/aboutmarriott.mi" TargetMode="External"/><Relationship Id="rId17" Type="http://schemas.openxmlformats.org/officeDocument/2006/relationships/hyperlink" Target="https://www.marriott.com/about/culture-and-values/history.mi" TargetMode="External"/><Relationship Id="rId18" Type="http://schemas.openxmlformats.org/officeDocument/2006/relationships/hyperlink" Target="https://serve360.marriott.com/sustainable-goals/" TargetMode="External"/><Relationship Id="rId19" Type="http://schemas.openxmlformats.org/officeDocument/2006/relationships/hyperlink" Target="https://serve360.marriott.com/wp-content/uploads/2024/07/2024ESGProgress.pdf" TargetMode="External"/><Relationship Id="rId20" Type="http://schemas.openxmlformats.org/officeDocument/2006/relationships/hyperlink" Target="https://stockanalysis.com/stocks/mar/financials/ratios/" TargetMode="External"/><Relationship Id="rId21" Type="http://schemas.openxmlformats.org/officeDocument/2006/relationships/hyperlink" Target="https://stockanalysis/" TargetMode="External"/><Relationship Id="rId2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Aryahans Bipinchandra Solanki</dc:creator>
  <dc:title>Financial Performance and Management of Marriott International</dc:title>
  <dcterms:created xsi:type="dcterms:W3CDTF">2026-08-13T03:21:46Z</dcterms:created>
  <dcterms:modified xsi:type="dcterms:W3CDTF">2026-08-13T03:21:46Z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2026-08-13T00:00:00Z</vt:filetime>
  </property>
  <property fmtid="{D5CDD505-2E9C-101B-9397-08002B2CF9AE}" pid="4" name="Creator">
    <vt:lpwstr>LaTeX with hyperref</vt:lpwstr>
  </property>
  <property fmtid="{D5CDD505-2E9C-101B-9397-08002B2CF9AE}" pid="5" name="LastSaved">
    <vt:filetime>2026-08-13T00:00:00Z</vt:filetime>
  </property>
  <property fmtid="{D5CDD505-2E9C-101B-9397-08002B2CF9AE}" pid="6" name="PTEX.Fullbanner">
    <vt:lpwstr>This is pdfTeX, Version 3.141592653-2.6-1.40.27 (TeX Live 2025) kpathsea version 6.4.1</vt:lpwstr>
  </property>
  <property fmtid="{D5CDD505-2E9C-101B-9397-08002B2CF9AE}" pid="7" name="Producer">
    <vt:lpwstr>pdfTeX-1.40.27</vt:lpwstr>
  </property>
</Properties>
</file>