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B8750" w14:textId="50E5BB70" w:rsidR="00DC42A4" w:rsidRPr="00DC42A4" w:rsidRDefault="00DC42A4" w:rsidP="00DC42A4">
      <w:r>
        <w:t xml:space="preserve">1.1 </w:t>
      </w:r>
      <w:r w:rsidRPr="00DC42A4">
        <w:t>People professionals bridge the gap between organisations and their employees, while providing support and advice to both. Good people professionals possess specialist knowledge, empathy, ethical judgement, strategic and critical thinking and are role-models for good behaviour. The Profession Map benchmarks the specific skills and competencies needed for all career stages within HR and L&amp;D and serves as a guide for development and progression for people professionals (CIPD, 2021). </w:t>
      </w:r>
    </w:p>
    <w:p w14:paraId="117CF8B1" w14:textId="1ACC0CBD" w:rsidR="00DC42A4" w:rsidRPr="00DC42A4" w:rsidRDefault="00DC42A4" w:rsidP="00DC42A4">
      <w:r w:rsidRPr="00DC42A4">
        <w:t>People professionals add value to the organisation through putting “the best people on the field” and getting them to play together (Welch, 2018), or in other words, selecting and developing employees in line with organisational strategy. As noted by Marchington et al. (2020), organisations increasingly rely on human capability and innovation for competitive advantage. </w:t>
      </w:r>
    </w:p>
    <w:p w14:paraId="27520A89" w14:textId="21117937" w:rsidR="00DC42A4" w:rsidRDefault="00DC42A4" w:rsidP="00DC42A4">
      <w:r w:rsidRPr="00DC42A4">
        <w:t>The profession not only plays a strategic role in recruitment. Torrington et al. (2020) identify six key HR objectives: staffing, performance, change, administration, reputation and wellbeing—all of which are central to people practice. People professionals also support compliance, reduce risk, and enhance employer branding. Building leadership capability, enhancing employee engagement and influencing organisational culture are additional values added by people professionals (Ulrich, 2016; Guest, 2017).</w:t>
      </w:r>
    </w:p>
    <w:p w14:paraId="353100F6" w14:textId="4F045D7A" w:rsidR="00DC42A4" w:rsidRPr="00DC42A4" w:rsidRDefault="00DC42A4" w:rsidP="00DC42A4">
      <w:r>
        <w:t>1.2</w:t>
      </w:r>
      <w:r w:rsidRPr="00DC42A4">
        <w:t> Self-direction is a personal value of mine that I began nurturing long before starting my career in HR, whilst solo travelling after university. Through this experience, I was able to gain confidence by embracing independence and self-reliance while navigating diverse cultures, unfamiliar landscapes, and figuring it out for myself. According to Schwartz’s Theory of Basic Human Values (1992), self-direction is one of the ten universal values, closely associated with independent thought, creativity, and exploration—qualities that align strongly with how I approach both life and work.</w:t>
      </w:r>
    </w:p>
    <w:p w14:paraId="33FEB7CF" w14:textId="77777777" w:rsidR="00DC42A4" w:rsidRPr="00DC42A4" w:rsidRDefault="00DC42A4" w:rsidP="00DC42A4">
      <w:r w:rsidRPr="00DC42A4">
        <w:t>This is evident in my current role, particularly in a solo project that I embarked upon one month into my position as an HR Administrator. I was delegated the task of updating the training matrices; however, I found that there were a lot of errors and inconsistencies within the existing spreadsheets, including previous data entry mistakes and broken conditional formatting. With my manager’s permission, I decided to create brand new training matrices, uploading the training details from scratch based on the physical employee training folders.</w:t>
      </w:r>
    </w:p>
    <w:p w14:paraId="4DDE3CE4" w14:textId="7DC14F08" w:rsidR="00DC42A4" w:rsidRPr="00DC42A4" w:rsidRDefault="00DC42A4" w:rsidP="00DC42A4">
      <w:r w:rsidRPr="00DC42A4">
        <w:t>Rather than simply replicating the existing structure, I wanted to improve on it. Drawing on my self-direction, I took the initiative to research Excel functions independently until I found tools that would make the matrices more accessible, efficient, and valuable to the organisation. This aligns with Bartram’s model, which highlights "leading and deciding" and "analysing and interpreting" as key workplace behaviours</w:t>
      </w:r>
      <w:r w:rsidR="00117FEE">
        <w:t xml:space="preserve">, </w:t>
      </w:r>
      <w:r w:rsidRPr="00DC42A4">
        <w:t xml:space="preserve">both of which are activated </w:t>
      </w:r>
      <w:r w:rsidR="00117FEE">
        <w:t>when</w:t>
      </w:r>
      <w:r w:rsidRPr="00DC42A4">
        <w:t xml:space="preserve"> demonstrat</w:t>
      </w:r>
      <w:r w:rsidR="00117FEE">
        <w:t>ing</w:t>
      </w:r>
      <w:r w:rsidRPr="00DC42A4">
        <w:t xml:space="preserve"> autonomy and proactive problem-solving</w:t>
      </w:r>
      <w:r w:rsidR="00117FEE">
        <w:t xml:space="preserve"> (Bartram, 2005)</w:t>
      </w:r>
    </w:p>
    <w:p w14:paraId="61D2D59C" w14:textId="7C01EF65" w:rsidR="00DC42A4" w:rsidRPr="00DC42A4" w:rsidRDefault="00DC42A4" w:rsidP="00DC42A4">
      <w:r w:rsidRPr="00DC42A4">
        <w:lastRenderedPageBreak/>
        <w:t xml:space="preserve">This all paid off, as I received praise for the improved usability and accuracy of the matrix. I was able to demonstrate how my ability to self-direct and take initiative, without waiting for instruction, could lead to meaningful and high-quality outcomes. </w:t>
      </w:r>
    </w:p>
    <w:p w14:paraId="7059B941" w14:textId="01E1E62E" w:rsidR="00DC42A4" w:rsidRDefault="00DC42A4" w:rsidP="00DC42A4">
      <w:r w:rsidRPr="00DC42A4">
        <w:t>The reason I wanted to take on this project, was due to my personal belief in the ethical value of integrity (CIPD, 2021). It is the employers duty to minimise health and safety risks, and provide opportunities for development for employees through training, and keeping an organised and accurate record of this training, especially when related to health and safety, is crucial to adherence with legal compliance and best practice. I wanted to rebuild the training matrices as I believed it was the morally right thing to do, as it would ensure that the training record was an honest reflection of the guidance we had provided employees, and the result would highlight the way forward in regard to improvement in this area.</w:t>
      </w:r>
    </w:p>
    <w:p w14:paraId="3DF6CDDD" w14:textId="77777777" w:rsidR="00DC42A4" w:rsidRPr="00DC42A4" w:rsidRDefault="00DC42A4" w:rsidP="00DC42A4"/>
    <w:p w14:paraId="28244CAE" w14:textId="327B2D4E" w:rsidR="00DC42A4" w:rsidRPr="00DC42A4" w:rsidRDefault="00DC42A4" w:rsidP="00DC42A4">
      <w:r>
        <w:t xml:space="preserve">1.3 </w:t>
      </w:r>
      <w:r w:rsidRPr="00DC42A4">
        <w:t>People practitioners play a vital role in organisations, bridging the gap between leadership and the workforce; therefore, it is essential that they are able to influence others with their communication style to enable a positive work culture, compliance with the law and alignment with organisational strategies.</w:t>
      </w:r>
    </w:p>
    <w:p w14:paraId="139E7CC4" w14:textId="6EA34DAC" w:rsidR="00DC42A4" w:rsidRPr="00DC42A4" w:rsidRDefault="00DC42A4" w:rsidP="00DC42A4">
      <w:r w:rsidRPr="00DC42A4">
        <w:t>People professionals</w:t>
      </w:r>
      <w:r w:rsidR="000A0FD2">
        <w:t xml:space="preserve"> </w:t>
      </w:r>
      <w:r w:rsidRPr="00DC42A4">
        <w:t>are often relied upon for advice concerning a wide range of situations and have a duty to role-model good behaviour, which requires empathy, professional and ethical communication always, to build a good reputation, sense of trust and psychological safety. Without this, other individuals within the organisation may feel that they cannot approach HR with sensitive issues, leading to unethical and illegal matters going unreported (Oglebsy et al., 2025). It is important to demonstrate expertise in discussions related to policy and legislation. People professionals must be able to guide colleagues through complex legal situations and must remain informed and up-to-date with legislation. </w:t>
      </w:r>
    </w:p>
    <w:p w14:paraId="42251E9B" w14:textId="1967037C" w:rsidR="00DC42A4" w:rsidRPr="00DC42A4" w:rsidRDefault="00DC42A4" w:rsidP="00DC42A4">
      <w:r w:rsidRPr="00DC42A4">
        <w:t>In addition to supporting employees, people professionals must be able to influence senior leaders and encourage them to also communicate and behave in an ethical way that values employees and reflects a positive work culture, to avoid leadership turnover and reputational damage in the long run. Many leaders have stepped down following scandals, such as the UK chairman of KPMG who was forced to resign due to a comment he made in relation to pay cuts, where he told staff to “stop moaning” (Gallacher, 2022). This incident highlights the importance of HR’s role in influencing senior leaders and advising them on the impact of messaging and communication, particularly directed at employees (CIPD, 2025).</w:t>
      </w:r>
    </w:p>
    <w:p w14:paraId="2513EB04" w14:textId="6A727CD2" w:rsidR="00DC42A4" w:rsidRPr="00DC42A4" w:rsidRDefault="00DC42A4" w:rsidP="00DC42A4">
      <w:r w:rsidRPr="00DC42A4">
        <w:t xml:space="preserve">Confidence and professional courage are key when in the position of challenging </w:t>
      </w:r>
      <w:r w:rsidR="000A0FD2">
        <w:t xml:space="preserve">senior management </w:t>
      </w:r>
      <w:r w:rsidRPr="00DC42A4">
        <w:t xml:space="preserve">in instances where it is the right thing to do. The same courage applies to influencing a group, as groups can be susceptible to favour unanimous standpoints </w:t>
      </w:r>
      <w:r w:rsidRPr="00DC42A4">
        <w:lastRenderedPageBreak/>
        <w:t>over unpopular ones that may be more correct, to avoid conflict and protect harmony, a bias known as groupthink which can hinder quality decision-making (Levine, 2019; Mazzitelli and Belgacem, 2025). To effectively challenge groupthink, the best practice is to formulate an evidence-based argument, rather than one based on instinct and personal judgements. With the adequate data to support the viewpoint, the argument becomes more convincing and of higher quality (Barrends et al., 2014).</w:t>
      </w:r>
    </w:p>
    <w:p w14:paraId="621DB35B" w14:textId="332B1F9E" w:rsidR="00DC42A4" w:rsidRDefault="00DC42A4" w:rsidP="00DC42A4"/>
    <w:p w14:paraId="13C4A6CD" w14:textId="7F1FC7D7" w:rsidR="00DC42A4" w:rsidRPr="00DC42A4" w:rsidRDefault="00DC42A4" w:rsidP="00DC42A4">
      <w:r>
        <w:t xml:space="preserve">1.4 </w:t>
      </w:r>
      <w:r w:rsidRPr="00DC42A4">
        <w:t>Unethical behaviour can take on many forms, depending on intent and perceived justification. Counterproductive Work Behaviour, identified by Robinson and Bennett (1995), encompasses intentional absenteeism, overt aggression and deliberate lack of productivity (Carpenter et al., 2020). In contrast, Unethical Pro-organisational Behaviour includes behaviours such as bending rules and hiding errors to benefit the organisation (Jha and Singh, 2021). It can be argued that ethical behaviour is not innate but rather learned; and that exposure to unethical behaviours can be a learning experience for all involved, highlighting behaviours to be avoided in future (Smith and Kouchaki, 2021). </w:t>
      </w:r>
    </w:p>
    <w:p w14:paraId="7A3FB90C" w14:textId="7140ED99" w:rsidR="00DC42A4" w:rsidRPr="00DC42A4" w:rsidRDefault="00DC42A4" w:rsidP="00DC42A4">
      <w:r w:rsidRPr="00DC42A4">
        <w:t>Reporting unethical matters informally first is best practice as oftentimes, it can be resolved more quickly when dealt with informally. All complaints should be taken seriously, but document as much as possible, and specifying any rules or policies broken will ensure that there is evidence to support the claim. If it cannot be resolved informally, escalating to a formal procedure such as a grievance is appropriate, so that an investigation can take place (Acas, 2023). </w:t>
      </w:r>
    </w:p>
    <w:p w14:paraId="2E25FD21" w14:textId="1F8B227C" w:rsidR="00DC42A4" w:rsidRPr="00DC42A4" w:rsidRDefault="00DC42A4" w:rsidP="00DC42A4">
      <w:r w:rsidRPr="00DC42A4">
        <w:t>Illegal behaviour, on the other hand, should never be dealt with informally. Escalating to a grievance procedure or reporting to an external governing body is the best course of action. Disclosing workplace behaviours in the public interest is known as whistle blowing, and includes behaviours such as criminal offences, breaches of legal obligations, and dangers to health and safety as “qualifying disclosures” (ACAS, 2024). Being a whistleblower can have negative backlash, including deterioration in existing workplace relationships, expensive legal fees to go to tribunal against your employer that has more resources, and victimisation, which is a form of discrimination where you suffer a detriment, or are treated less favourably for being raising or giving evidence in a complaint (Equality Act, 2010).</w:t>
      </w:r>
    </w:p>
    <w:p w14:paraId="026CB2BC" w14:textId="77777777" w:rsidR="00DC42A4" w:rsidRPr="00DC42A4" w:rsidRDefault="00DC42A4" w:rsidP="00DC42A4">
      <w:r w:rsidRPr="00DC42A4">
        <w:t xml:space="preserve">Unethical and illegal behaviour can prompt reflection on the underlying organisational culture, unveiling problematic values, leadership, or workplace norms. Highly individualistic, competitive and political work cultures may be more susceptible to unethical behaviour (Gifford et al., 2019). Additionally, unclear policies or weak security (CIPD, 2023; Cressey, 1953) and lack of psychological safety and employee voice (IPA, 2017) can provide an opportunity for dishonest and unethical behaviour to take place </w:t>
      </w:r>
      <w:r w:rsidRPr="00DC42A4">
        <w:lastRenderedPageBreak/>
        <w:t xml:space="preserve">and go unreported. It is important to reflect on incidents of unethical behaviour and ask why it happened in the first place. </w:t>
      </w:r>
    </w:p>
    <w:p w14:paraId="48C2CB95" w14:textId="77777777" w:rsidR="00DC42A4" w:rsidRDefault="00DC42A4" w:rsidP="00DC42A4"/>
    <w:p w14:paraId="041152D7" w14:textId="77777777" w:rsidR="00DC42A4" w:rsidRPr="00DC42A4" w:rsidRDefault="00DC42A4" w:rsidP="00DC42A4">
      <w:r>
        <w:t xml:space="preserve">2.1 </w:t>
      </w:r>
      <w:r w:rsidRPr="00DC42A4">
        <w:t>Creating a workplace where individuals feel included, valued, and treated fairly is essential not only from a moral perspective but also for ensuring long-term organisational success. I believe that feeling included, valued and fairly treated is critical to long-term fulfilment and satisfaction a role, and without these factors, it’s no surprise when people start to look elsewhere. Nobody deserves to have to show up in an environment where they feel ostracised, unappreciated and treated poorly. </w:t>
      </w:r>
    </w:p>
    <w:p w14:paraId="27A3B80E" w14:textId="77777777" w:rsidR="00DC42A4" w:rsidRPr="00DC42A4" w:rsidRDefault="00DC42A4" w:rsidP="00DC42A4">
      <w:r w:rsidRPr="00DC42A4">
        <w:t>Maslow’s Hierarchy of Needs identifies belonging and esteem as fundamental psychological needs. In a workplace context, this means that employees are unlikely to feel motivated to reach their full potential if they feel excluded or unfairly treated. Feeling included fosters psychological safety, enabling individuals to express concerns and ideas without fear of judgment, and is key to enabling employee voice (Edmonson, 1999). Social Identity Theory explains that people derive part of their self-worth from the groups they belong to. If employees perceive their identity to be devalued or marginalised in the workplace, it can lead to disengagement and reduced motivation (Tajfel and Turner, 1979). Conversely, when inclusion is embedded in workplace culture, it promotes a stronger sense of belonging and commitment. Equity theory suggests that perceptions of fairness in workload, recognition, and progression opportunities influence employee motivation. If individuals believe they are being treated unfairly in comparison to their peers, it can lead to dissatisfaction, lower productivity, or even turnover. Therefore, fair practices are essential not only for employee well-being but also for retention and engagement (Adams, 1965).</w:t>
      </w:r>
    </w:p>
    <w:p w14:paraId="08918856" w14:textId="4ED8C288" w:rsidR="00DC42A4" w:rsidRDefault="00DC42A4" w:rsidP="00DC42A4"/>
    <w:p w14:paraId="24FE86B8" w14:textId="452B7056" w:rsidR="00DC42A4" w:rsidRPr="00DC42A4" w:rsidRDefault="00DC42A4" w:rsidP="00DC42A4">
      <w:r>
        <w:t xml:space="preserve">2.2 </w:t>
      </w:r>
      <w:r w:rsidRPr="00DC42A4">
        <w:t xml:space="preserve">My organisation has a very multicultural workforce, with most employees being English Second Language (ESL). Many sources claim that a culturally diverse workforce offers benefits, and when leveraged correctly, it can be a key factor in achieving competitive advantage and success (Hogemark, 2018; Lima et al., 2025; Young, 2021; Rubin, 2011). Inevitably, however, there will be communication barriers that must be overcome to harness the full potential of the workforce. </w:t>
      </w:r>
    </w:p>
    <w:p w14:paraId="671C6353" w14:textId="35586F99" w:rsidR="00DC42A4" w:rsidRPr="00DC42A4" w:rsidRDefault="00DC42A4" w:rsidP="00DC42A4">
      <w:r w:rsidRPr="00DC42A4">
        <w:t>Many workers would have a baseline knowledge of English as part of the minimum requirements for their visa (</w:t>
      </w:r>
      <w:hyperlink r:id="rId7" w:history="1">
        <w:r w:rsidRPr="00DC42A4">
          <w:rPr>
            <w:rStyle w:val="Hyperlink"/>
          </w:rPr>
          <w:t>GOV.UK</w:t>
        </w:r>
      </w:hyperlink>
      <w:r w:rsidRPr="00DC42A4">
        <w:t xml:space="preserve">, 2016), but this does not necessarily mean that there are no barriers to </w:t>
      </w:r>
      <w:r w:rsidR="000A0FD2">
        <w:t>communication.</w:t>
      </w:r>
      <w:r w:rsidRPr="00DC42A4">
        <w:t xml:space="preserve"> Amongst ESL workers, there may be differences in the terminology used and cultural interpretation of terminology (Kumar, 2023; Young, 2021). Furthermore, being less proficient in a language than their peers may lead others to perceive them as less capable, prohibiting them from advancing in their career (Young, 2021). </w:t>
      </w:r>
    </w:p>
    <w:p w14:paraId="3C7FE46A" w14:textId="718F24E0" w:rsidR="00DC42A4" w:rsidRPr="00DC42A4" w:rsidRDefault="00DC42A4" w:rsidP="00DC42A4">
      <w:r w:rsidRPr="00DC42A4">
        <w:lastRenderedPageBreak/>
        <w:t xml:space="preserve">Conducting a needs analysis </w:t>
      </w:r>
      <w:r w:rsidR="000A0FD2">
        <w:t xml:space="preserve">assessing </w:t>
      </w:r>
      <w:r w:rsidRPr="00DC42A4">
        <w:t xml:space="preserve">the extent to which language barriers obstruct employees would be an important first step before </w:t>
      </w:r>
      <w:r w:rsidR="008D70E7" w:rsidRPr="00DC42A4">
        <w:t>implement</w:t>
      </w:r>
      <w:r w:rsidR="008D70E7">
        <w:t>ation</w:t>
      </w:r>
      <w:r w:rsidRPr="00DC42A4">
        <w:t xml:space="preserve">. If this process were to involve utilising a focus group, it is best to ensure that a diverse panel of employees are selected. Linguistic differences in the workplace can be </w:t>
      </w:r>
      <w:r w:rsidR="008D70E7" w:rsidRPr="00DC42A4">
        <w:t>alleviated</w:t>
      </w:r>
      <w:r w:rsidRPr="00DC42A4">
        <w:t xml:space="preserve"> with several strategies. The first is ensuring that training is made available in multiple languages or can be undertaken with an interpreter. Furthermore, language learning initiatives could be introduced to enhance their linguistic competence, such as in the case of Phillip Morris International (PMI), who collaborated with Rosetta Stone to bring their language learning services to the PMI employees, saving an estimated $2.5 million in training costs per year (Rosetta Stone, n.d). This strategy not only gives ESL employees a resource to improve their </w:t>
      </w:r>
      <w:r w:rsidR="008D70E7" w:rsidRPr="00DC42A4">
        <w:t>English but</w:t>
      </w:r>
      <w:r w:rsidRPr="00DC42A4">
        <w:t xml:space="preserve"> gives native </w:t>
      </w:r>
      <w:r w:rsidR="008D70E7" w:rsidRPr="00DC42A4">
        <w:t>English-speaking</w:t>
      </w:r>
      <w:r w:rsidRPr="00DC42A4">
        <w:t xml:space="preserve"> employees access to foster mutual understanding and cultural exchange by learning another language. </w:t>
      </w:r>
    </w:p>
    <w:p w14:paraId="116A8C27" w14:textId="77777777" w:rsidR="00DC42A4" w:rsidRDefault="00DC42A4" w:rsidP="00DC42A4">
      <w:r w:rsidRPr="00DC42A4">
        <w:t>To assess whether this strategy is successful, feedback could be collected through interviews or surveys with both employees and managers, to identify levels of engagement the language learning services, and determine if there had been any improvements to team communication and performance. Measuring potential savings of training costs in cases where the language learning initiative eliminated the need for interpreters could also indicate the success of this initiative. </w:t>
      </w:r>
    </w:p>
    <w:p w14:paraId="555C53F4" w14:textId="77777777" w:rsidR="00DC42A4" w:rsidRPr="00DC42A4" w:rsidRDefault="00DC42A4" w:rsidP="00DC42A4"/>
    <w:p w14:paraId="706DB369" w14:textId="77777777" w:rsidR="00DC42A4" w:rsidRPr="00DC42A4" w:rsidRDefault="00DC42A4" w:rsidP="00DC42A4">
      <w:r>
        <w:t xml:space="preserve">2.3 </w:t>
      </w:r>
      <w:r w:rsidRPr="00DC42A4">
        <w:t>Being able to work inclusively with others and build positive working relations is essential to people management roles. Based on my own reflections, I believe that I have some qualities that enable me to do this.</w:t>
      </w:r>
    </w:p>
    <w:p w14:paraId="3B88BBC8" w14:textId="431FB41A" w:rsidR="00DC42A4" w:rsidRPr="00DC42A4" w:rsidRDefault="00DC42A4" w:rsidP="00DC42A4">
      <w:r w:rsidRPr="00DC42A4">
        <w:t xml:space="preserve">When working with others, I </w:t>
      </w:r>
      <w:r w:rsidR="008D70E7" w:rsidRPr="00DC42A4">
        <w:t>try</w:t>
      </w:r>
      <w:r w:rsidRPr="00DC42A4">
        <w:t xml:space="preserve"> to consider and understand their perspective by actively asking questions and prompting discussions towards elaboration, to get the full picture. This way, I can get to know what their desired outcome is and do my best to bring this into fruition. </w:t>
      </w:r>
    </w:p>
    <w:p w14:paraId="0798AC38" w14:textId="15C7A4E5" w:rsidR="00DC42A4" w:rsidRPr="00DC42A4" w:rsidRDefault="00DC42A4" w:rsidP="00DC42A4">
      <w:r w:rsidRPr="00DC42A4">
        <w:t xml:space="preserve">Some feedback that I got in my three-month probation review was from a newly appointed supervisor who I had worked alongside as he reviewed and made changes to his </w:t>
      </w:r>
      <w:r w:rsidR="008D70E7" w:rsidRPr="00DC42A4">
        <w:t>department’s</w:t>
      </w:r>
      <w:r w:rsidRPr="00DC42A4">
        <w:t xml:space="preserve"> SOPs for the first time. I assisted mainly with the literacy aspect of the task, as the supervisor is ESL. It was a learning experience for me as I came to understand more about the production processes, and I asked a lot of questions to ensure that I was accurately interpreting the details of the changes he wanted to make. His feedback about me said that I was “patient, a good listener, and had a gift for making people feel heard”. I think that me taking time to ask the questions and really understand what he meant is what prompted him to say that. </w:t>
      </w:r>
    </w:p>
    <w:p w14:paraId="07139B8A" w14:textId="77777777" w:rsidR="00DC42A4" w:rsidRPr="00DC42A4" w:rsidRDefault="00DC42A4" w:rsidP="00DC42A4">
      <w:r w:rsidRPr="00DC42A4">
        <w:t xml:space="preserve">I have also received some feedback regarding my communication from my manager, who pointed out that occasionally, my tone can come off as blunt and abrupt. She highlighted the importance of incorporating a softer tone to ensure that others find me </w:t>
      </w:r>
      <w:r w:rsidRPr="00DC42A4">
        <w:lastRenderedPageBreak/>
        <w:t>to be approachable, which I took on board. She has since said that she has seen a noticeable difference in my tone and communication. </w:t>
      </w:r>
    </w:p>
    <w:p w14:paraId="064321EC" w14:textId="1642C3A5" w:rsidR="00DC42A4" w:rsidRDefault="00DC42A4" w:rsidP="00DC42A4"/>
    <w:p w14:paraId="6FF84DEB" w14:textId="4B9626E0" w:rsidR="00DC42A4" w:rsidRPr="00DC42A4" w:rsidRDefault="00DC42A4" w:rsidP="00DC42A4">
      <w:r>
        <w:t xml:space="preserve">3.1 </w:t>
      </w:r>
      <w:r w:rsidRPr="00DC42A4">
        <w:t xml:space="preserve">There has been a shift in the HR profession, moving towards a need for HR to serve as a strategic business partner, however, the strategic nature of HR is not recognised by business leaders across the board.  The operational activities of the role would still be present, therefore, to actualise the vision of HR being a strategic partner, HR would need to balance the two roles, making operational processes more efficient to make time for strategic focus </w:t>
      </w:r>
      <w:r w:rsidR="00DD558F">
        <w:t>(</w:t>
      </w:r>
      <w:r w:rsidRPr="00DC42A4">
        <w:t>Delany and Tregaskis, 2019).</w:t>
      </w:r>
    </w:p>
    <w:p w14:paraId="512B4E52" w14:textId="2D357261" w:rsidR="00DC42A4" w:rsidRPr="00DC42A4" w:rsidRDefault="00DC42A4" w:rsidP="00DC42A4">
      <w:r w:rsidRPr="00DC42A4">
        <w:t>Alongside developing the people management capability of line managers to reduce escalation to HR when possible, developing people practitioners in a way that builds knowledge and competency surrounding business acumen and strategic planning would be essential to achieving this. The CIPD and ACAS offer courses in this area (Delany and Tregaskis, 2019). </w:t>
      </w:r>
    </w:p>
    <w:p w14:paraId="16BDE841" w14:textId="3139D27D" w:rsidR="00DC42A4" w:rsidRPr="00DC42A4" w:rsidRDefault="00DC42A4" w:rsidP="00DC42A4">
      <w:r w:rsidRPr="00DC42A4">
        <w:t>Technological innovation remains a constant driver of change across industries, and it is important that HR professionals keep themselves and their team up to date with the operational and ethical aspects of technology.  Technological advancements may streamline work and make processes more efficient, but it’s vital that the workforce is upskilled in accordance with the advancements. Younger generations tend to be more technolog</w:t>
      </w:r>
      <w:r>
        <w:t>ically</w:t>
      </w:r>
      <w:r w:rsidRPr="00DC42A4">
        <w:t xml:space="preserve"> literate; </w:t>
      </w:r>
      <w:r w:rsidR="008D70E7" w:rsidRPr="00DC42A4">
        <w:t>therefore,</w:t>
      </w:r>
      <w:r w:rsidRPr="00DC42A4">
        <w:t xml:space="preserve"> it is of interest for organisations to bridge the generation gap, in line with inclusivity initiatives (Southern, 2023). </w:t>
      </w:r>
    </w:p>
    <w:p w14:paraId="0E83C528" w14:textId="19DB0516" w:rsidR="00DC42A4" w:rsidRPr="00DC42A4" w:rsidRDefault="00DC42A4" w:rsidP="00DC42A4">
      <w:r w:rsidRPr="00DC42A4">
        <w:t>Most notably, the surge in generative AI technology is bound to change the working world. Already the fastest adopted technology in history (Southern, 2023; Overton, 2024), AI has been proposed as a solution to an array of HR problems. However, it brings with it unchartered territory when it comes to implications on GDPR, and the legal implications of AI use must be considered by all people professionals who wish to harness the full potential of AI in an ethical manner (CIPD, 2025; Brown, 2018). </w:t>
      </w:r>
    </w:p>
    <w:p w14:paraId="2E15175A" w14:textId="702F4434" w:rsidR="00DC42A4" w:rsidRDefault="00DC42A4" w:rsidP="00DC42A4"/>
    <w:p w14:paraId="6819137E" w14:textId="124CE000" w:rsidR="00DC42A4" w:rsidRDefault="00DC42A4" w:rsidP="00DC42A4">
      <w:r>
        <w:t xml:space="preserve">3.2 </w:t>
      </w:r>
      <w:r w:rsidRPr="00DC42A4">
        <w:t>Based on my reflections and the feedback of others, I believe that the greatest strength evident in my work is my passion for learning, specifically, trying new approaches, combined with my knowledge of technology. I was fortunate enough to have the opportunity to learn and use a variety of software throughout my education, including Microsoft Office, as well as photo, video and audio editing software. As a result, I am confident approaching unfamiliar software and quickly adapted to using the HR information systems.</w:t>
      </w:r>
      <w:r w:rsidRPr="00DC42A4">
        <w:br/>
        <w:t xml:space="preserve">My technological skills allowed me to leverage Excel functions to improve the efficiency and accessibility of existing spreadsheets to enhance the experience of users, such as </w:t>
      </w:r>
      <w:r w:rsidRPr="00DC42A4">
        <w:lastRenderedPageBreak/>
        <w:t xml:space="preserve">the senior management team. In the training matrices, I have introduced features such as filtered tables to alleviate strain on the eyes for users prone to misalignment errors and used data validation to create dropdown menus. The most popular update I have made to the matrix was linking SOP documents into the corresponding title cells, so they can be opened in a single click, bypassing the process of opening several folders to get to the document manually. The managerial response to this feature was overwhelmingly positive, with one calling it a “game changer”. </w:t>
      </w:r>
      <w:r w:rsidRPr="00DC42A4">
        <w:br/>
        <w:t>An area of weakness that I need to develop is my knowledge of the wider people profession. Where I am confident in my current responsibilities, which mainly concern recruitment, onboarding, training and compliance, I sometimes struggle to understand other aspects of the profession that I have not yet had education and experience in, such as workforce management. I believe I would benefit from some wider reading about unfamiliar areas of the field. </w:t>
      </w:r>
    </w:p>
    <w:p w14:paraId="7CF99D16" w14:textId="77777777" w:rsidR="00DC42A4" w:rsidRPr="00DC42A4" w:rsidRDefault="00DC42A4" w:rsidP="00DC42A4"/>
    <w:p w14:paraId="17BEF6BA" w14:textId="41F1CC7D" w:rsidR="00DC42A4" w:rsidRPr="00DC42A4" w:rsidRDefault="00DC42A4" w:rsidP="00DC42A4">
      <w:r>
        <w:t xml:space="preserve">3.3 </w:t>
      </w:r>
      <w:r w:rsidRPr="00DC42A4">
        <w:t xml:space="preserve">Recently, my organisation has collaborated with Rosetta Stone, to bring free language learning services to all employees within the organisation. I intend to begin learning Polish, as it is one of the commonly spoken languages amongst our ESL employees. Occasionally at work, I run into language barriers with employees when they come to the HR office with queries, and resort to using google translate or asking a colleague to provide translation services. My ideal outcome would be to utilise Rosetta Stone to develop a basic level of Polish language skills that would enable me to carry out conversations without the assistance of a colleague, preventing interruptions to their day at work. Furthermore, this would be beneficial for my administration duties, as I have run into problems whilst auditing employee folders and finding documentation written in Polish, which makes the process more time-consuming as I am unable to identify what </w:t>
      </w:r>
      <w:r w:rsidR="00DD558F">
        <w:t>it</w:t>
      </w:r>
      <w:r w:rsidRPr="00DC42A4">
        <w:t xml:space="preserve"> is at first glance. Finally, I believe that investing effort into learning a foreign language could have a positive effect on morale</w:t>
      </w:r>
      <w:r w:rsidR="00DD558F">
        <w:t>.</w:t>
      </w:r>
    </w:p>
    <w:p w14:paraId="2BEE4B38" w14:textId="65926582" w:rsidR="00DC42A4" w:rsidRPr="00DC42A4" w:rsidRDefault="00DC42A4" w:rsidP="00DC42A4">
      <w:r w:rsidRPr="00DC42A4">
        <w:t>I will be attending a Mental Health First Aider training course. As the first port</w:t>
      </w:r>
      <w:r w:rsidR="00DD558F">
        <w:t>-</w:t>
      </w:r>
      <w:r w:rsidRPr="00DC42A4">
        <w:t>of</w:t>
      </w:r>
      <w:r w:rsidR="00DD558F">
        <w:t>-</w:t>
      </w:r>
      <w:r w:rsidRPr="00DC42A4">
        <w:t>call for that are employees experiencing issues, I personally believe it is critical for all people professionals to be trained in mental health first aid. When somebody is in distress, saying the wrong thing may exacerbate the problem, and I want to possess knowledge of the best practice when facing this type of situation. Mental health can be difficult to navigate, and with the additional factor of professional boundaries, I have found myself unsure of what to say and relying on my colleagues to affirm my approach to queries of this nat</w:t>
      </w:r>
      <w:r w:rsidR="00DD558F">
        <w:t>u</w:t>
      </w:r>
      <w:r w:rsidRPr="00DC42A4">
        <w:t>re. </w:t>
      </w:r>
    </w:p>
    <w:p w14:paraId="6FC86C65" w14:textId="723388BE" w:rsidR="00DC42A4" w:rsidRPr="00DC42A4" w:rsidRDefault="00DC42A4" w:rsidP="00DC42A4">
      <w:r w:rsidRPr="00DC42A4">
        <w:t xml:space="preserve">I am new to my role and have significantly less employee relationship management experience than my </w:t>
      </w:r>
      <w:r w:rsidR="008D70E7" w:rsidRPr="00DC42A4">
        <w:t>colleagues and</w:t>
      </w:r>
      <w:r w:rsidRPr="00DC42A4">
        <w:t xml:space="preserve"> am actively seeking opportunities to gain confidence. I believe that knowing the correct way to address employees at their most </w:t>
      </w:r>
      <w:r w:rsidRPr="00DC42A4">
        <w:lastRenderedPageBreak/>
        <w:t>vulnerable would give me the confidence to assist in any situation, and in turn add value to my team. </w:t>
      </w:r>
    </w:p>
    <w:p w14:paraId="716DF209" w14:textId="1DA225A8" w:rsidR="00DC42A4" w:rsidRPr="00DC42A4" w:rsidRDefault="00DC42A4" w:rsidP="00DC42A4">
      <w:r w:rsidRPr="00DC42A4">
        <w:br/>
      </w:r>
      <w:r>
        <w:t xml:space="preserve">3.4 </w:t>
      </w:r>
      <w:r w:rsidRPr="00DC42A4">
        <w:t xml:space="preserve">I volunteered to be my department’s fire warden and undertook a fire warden training course. During the course, I had the opportunity to learn about the cause, prevention and mitigation of fires, as well as how to identify hazards and correctly use different types of fire extinguishers. This course has indirectly facilitated my career progression by allowing me to cultivate transferable leadership and effective communication skills through the responsibility I have in emergency drill situations to direct my colleagues to safety in a high-pressure situation. Having applied </w:t>
      </w:r>
      <w:r w:rsidR="008D70E7" w:rsidRPr="00DC42A4">
        <w:t>what</w:t>
      </w:r>
      <w:r w:rsidR="008D70E7">
        <w:t xml:space="preserve"> </w:t>
      </w:r>
      <w:r w:rsidRPr="00DC42A4">
        <w:t>I learnt in practice drills, I have become more confident in my ability to deal with a crisis calmly.</w:t>
      </w:r>
    </w:p>
    <w:p w14:paraId="21EB49EB" w14:textId="77777777" w:rsidR="00DC42A4" w:rsidRPr="00DC42A4" w:rsidRDefault="00DC42A4" w:rsidP="00DC42A4">
      <w:r w:rsidRPr="00DC42A4">
        <w:t>I signed up for tystysgrif-sgilliau-iaith, an extracurricular opportunity I discovered through my university. This certification is a means of proving your ability to communicate confidently and professionally in the Welsh language. To earn the qualification, I had to complete a presentation about a topic from my university course. I chose to present on the principles of evidence-based practice, and translating what I had previously written about this topic for my CIPD course into Welsh allowed me to revisit and reflect on this concept. The second part of the qualification was a written exam, in which I corrected Welsh grammar, translated prose from English into Welsh, and wrote freely in Welsh. This has helped me in my current role, as the experience gave me exposure to professional terms and vocabulary that I had never used before, thus improving communication with my colleagues with whom I speak Welsh with. Additionally. I believe it will be beneficial to my future endeavours, as here in Wales, many organisations have a legal duty to provide services in the Welsh language under the Welsh Language (Wales) Measures of 2011. </w:t>
      </w:r>
    </w:p>
    <w:p w14:paraId="5A7F7F95" w14:textId="22FD53C9" w:rsidR="00DC42A4" w:rsidRDefault="00DC42A4" w:rsidP="00DC42A4">
      <w:r w:rsidRPr="00DC42A4">
        <w:t>I attended a CIPD Employment Rights Bill seminar, so that I could learn about the changes to employment law that will be introduced starting this autumn, to 2027. This seminar was a great opportunity to develop my knowledge and start preparing for future changes that my organisation will have to adapt to. There are a lot of changes happening surrounding trade union laws, and gender equality protections surrounding menopause and menstrual problems</w:t>
      </w:r>
      <w:r w:rsidR="008D70E7">
        <w:t xml:space="preserve"> and more</w:t>
      </w:r>
      <w:r w:rsidRPr="00DC42A4">
        <w:t xml:space="preserve">. The CIPD also provided a link to a summary sheet, with a timeline of how the changes will be staggered, which I will likely refer to over time. </w:t>
      </w:r>
    </w:p>
    <w:p w14:paraId="0E06E072" w14:textId="77777777" w:rsidR="000A0FD2" w:rsidRDefault="000A0FD2" w:rsidP="00DC42A4"/>
    <w:p w14:paraId="19426FCF" w14:textId="77777777" w:rsidR="000A0FD2" w:rsidRDefault="000A0FD2" w:rsidP="00DC42A4"/>
    <w:p w14:paraId="12080A7F" w14:textId="77777777" w:rsidR="00117FEE" w:rsidRDefault="00117FEE" w:rsidP="00DC42A4"/>
    <w:p w14:paraId="3892480B" w14:textId="77777777" w:rsidR="00117FEE" w:rsidRDefault="00117FEE" w:rsidP="00DC42A4"/>
    <w:p w14:paraId="64E5617E" w14:textId="77777777" w:rsidR="00117FEE" w:rsidRDefault="00117FEE" w:rsidP="00DC42A4"/>
    <w:p w14:paraId="20A6D136" w14:textId="64E2C2B8" w:rsidR="00117FEE" w:rsidRPr="00DC42A4" w:rsidRDefault="00117FEE" w:rsidP="00DC42A4">
      <w:r>
        <w:lastRenderedPageBreak/>
        <w:t>CPD PLAN</w:t>
      </w:r>
    </w:p>
    <w:tbl>
      <w:tblPr>
        <w:tblStyle w:val="TableGrid"/>
        <w:tblW w:w="0" w:type="auto"/>
        <w:tblLook w:val="04A0" w:firstRow="1" w:lastRow="0" w:firstColumn="1" w:lastColumn="0" w:noHBand="0" w:noVBand="1"/>
      </w:tblPr>
      <w:tblGrid>
        <w:gridCol w:w="1763"/>
        <w:gridCol w:w="1789"/>
        <w:gridCol w:w="1797"/>
        <w:gridCol w:w="1785"/>
        <w:gridCol w:w="1882"/>
      </w:tblGrid>
      <w:tr w:rsidR="008D70E7" w14:paraId="0DBC3FB6" w14:textId="77777777">
        <w:tc>
          <w:tcPr>
            <w:tcW w:w="1803" w:type="dxa"/>
          </w:tcPr>
          <w:p w14:paraId="74EEC85A" w14:textId="636377A0" w:rsidR="008D70E7" w:rsidRDefault="008D70E7" w:rsidP="00DC42A4">
            <w:r>
              <w:t>Key Dates</w:t>
            </w:r>
          </w:p>
        </w:tc>
        <w:tc>
          <w:tcPr>
            <w:tcW w:w="1803" w:type="dxa"/>
          </w:tcPr>
          <w:p w14:paraId="078914DE" w14:textId="560766F6" w:rsidR="008D70E7" w:rsidRDefault="008D70E7" w:rsidP="00DC42A4">
            <w:r>
              <w:t>What I did</w:t>
            </w:r>
          </w:p>
        </w:tc>
        <w:tc>
          <w:tcPr>
            <w:tcW w:w="1803" w:type="dxa"/>
          </w:tcPr>
          <w:p w14:paraId="30F238FA" w14:textId="7D64C477" w:rsidR="008D70E7" w:rsidRDefault="008D70E7" w:rsidP="00DC42A4">
            <w:r>
              <w:t>Why</w:t>
            </w:r>
          </w:p>
        </w:tc>
        <w:tc>
          <w:tcPr>
            <w:tcW w:w="1803" w:type="dxa"/>
          </w:tcPr>
          <w:p w14:paraId="5780AEBA" w14:textId="76A29AE0" w:rsidR="008D70E7" w:rsidRDefault="008D70E7" w:rsidP="00DC42A4">
            <w:r>
              <w:t>What I learned</w:t>
            </w:r>
          </w:p>
        </w:tc>
        <w:tc>
          <w:tcPr>
            <w:tcW w:w="1804" w:type="dxa"/>
          </w:tcPr>
          <w:p w14:paraId="7EBC0296" w14:textId="42FC799D" w:rsidR="008D70E7" w:rsidRDefault="008D70E7" w:rsidP="00DC42A4">
            <w:r>
              <w:t>How I will use</w:t>
            </w:r>
          </w:p>
        </w:tc>
      </w:tr>
      <w:tr w:rsidR="008D70E7" w14:paraId="6435AA25" w14:textId="77777777">
        <w:tc>
          <w:tcPr>
            <w:tcW w:w="1803" w:type="dxa"/>
          </w:tcPr>
          <w:p w14:paraId="09E4EF7A" w14:textId="6F7EBD9F" w:rsidR="008D70E7" w:rsidRDefault="000A0FD2" w:rsidP="00DC42A4">
            <w:r>
              <w:t>4/5/25</w:t>
            </w:r>
          </w:p>
        </w:tc>
        <w:tc>
          <w:tcPr>
            <w:tcW w:w="1803" w:type="dxa"/>
          </w:tcPr>
          <w:p w14:paraId="2EC3E44D" w14:textId="67613EDF" w:rsidR="008D70E7" w:rsidRDefault="008D70E7" w:rsidP="00DC42A4">
            <w:r>
              <w:t>Fire warden training</w:t>
            </w:r>
          </w:p>
        </w:tc>
        <w:tc>
          <w:tcPr>
            <w:tcW w:w="1803" w:type="dxa"/>
          </w:tcPr>
          <w:p w14:paraId="2C1A34AB" w14:textId="1B3D3CAE" w:rsidR="008D70E7" w:rsidRDefault="000A0FD2" w:rsidP="00DC42A4">
            <w:r>
              <w:t>Contribute to organisational health and safety</w:t>
            </w:r>
          </w:p>
        </w:tc>
        <w:tc>
          <w:tcPr>
            <w:tcW w:w="1803" w:type="dxa"/>
          </w:tcPr>
          <w:p w14:paraId="04633DAC" w14:textId="6D9F1BBB" w:rsidR="008D70E7" w:rsidRDefault="000A0FD2" w:rsidP="00DC42A4">
            <w:r>
              <w:t>Safety information and staying calm in a crisis</w:t>
            </w:r>
          </w:p>
        </w:tc>
        <w:tc>
          <w:tcPr>
            <w:tcW w:w="1804" w:type="dxa"/>
          </w:tcPr>
          <w:p w14:paraId="6E418FC7" w14:textId="58872DED" w:rsidR="008D70E7" w:rsidRDefault="000A0FD2" w:rsidP="00DC42A4">
            <w:r>
              <w:t>Practically to assist in fire drills, transferrable crisis management skills applicable elsewhere</w:t>
            </w:r>
          </w:p>
        </w:tc>
      </w:tr>
      <w:tr w:rsidR="008D70E7" w14:paraId="0F54AF91" w14:textId="77777777">
        <w:tc>
          <w:tcPr>
            <w:tcW w:w="1803" w:type="dxa"/>
          </w:tcPr>
          <w:p w14:paraId="79CD3A29" w14:textId="08735B40" w:rsidR="008D70E7" w:rsidRDefault="000A0FD2" w:rsidP="00DC42A4">
            <w:r>
              <w:t>28/7/25</w:t>
            </w:r>
          </w:p>
        </w:tc>
        <w:tc>
          <w:tcPr>
            <w:tcW w:w="1803" w:type="dxa"/>
          </w:tcPr>
          <w:p w14:paraId="513D263D" w14:textId="2287DCFE" w:rsidR="008D70E7" w:rsidRDefault="008D70E7" w:rsidP="00DC42A4">
            <w:r>
              <w:t>Employment Rights Bill Seminar</w:t>
            </w:r>
          </w:p>
        </w:tc>
        <w:tc>
          <w:tcPr>
            <w:tcW w:w="1803" w:type="dxa"/>
          </w:tcPr>
          <w:p w14:paraId="31F0C901" w14:textId="227193BB" w:rsidR="008D70E7" w:rsidRDefault="008D70E7" w:rsidP="00DC42A4">
            <w:r>
              <w:t>To stay informed on changes to legislation</w:t>
            </w:r>
          </w:p>
        </w:tc>
        <w:tc>
          <w:tcPr>
            <w:tcW w:w="1803" w:type="dxa"/>
          </w:tcPr>
          <w:p w14:paraId="7D5BF2D7" w14:textId="4319B709" w:rsidR="008D70E7" w:rsidRDefault="000A0FD2" w:rsidP="00DC42A4">
            <w:r>
              <w:t>Changes to trade union laws, unfair dismissal, gender equality, family rights and more</w:t>
            </w:r>
          </w:p>
        </w:tc>
        <w:tc>
          <w:tcPr>
            <w:tcW w:w="1804" w:type="dxa"/>
          </w:tcPr>
          <w:p w14:paraId="4B802D3F" w14:textId="089DD501" w:rsidR="008D70E7" w:rsidRDefault="000A0FD2" w:rsidP="00DC42A4">
            <w:r>
              <w:t>Planning for implementation of changes, and advising employees in the future</w:t>
            </w:r>
          </w:p>
        </w:tc>
      </w:tr>
      <w:tr w:rsidR="008D70E7" w14:paraId="2E919DB0" w14:textId="77777777">
        <w:tc>
          <w:tcPr>
            <w:tcW w:w="1803" w:type="dxa"/>
          </w:tcPr>
          <w:p w14:paraId="3EE013CF" w14:textId="1F8D1C2A" w:rsidR="008D70E7" w:rsidRDefault="000A0FD2" w:rsidP="00DC42A4">
            <w:r>
              <w:t>2025</w:t>
            </w:r>
          </w:p>
        </w:tc>
        <w:tc>
          <w:tcPr>
            <w:tcW w:w="1803" w:type="dxa"/>
          </w:tcPr>
          <w:p w14:paraId="3564C6A3" w14:textId="4A01AAD7" w:rsidR="008D70E7" w:rsidRDefault="008D70E7" w:rsidP="00DC42A4">
            <w:r>
              <w:t>Tystysgrif-Sgilliau-Iaith</w:t>
            </w:r>
          </w:p>
        </w:tc>
        <w:tc>
          <w:tcPr>
            <w:tcW w:w="1803" w:type="dxa"/>
          </w:tcPr>
          <w:p w14:paraId="76253E44" w14:textId="4B87C1DC" w:rsidR="008D70E7" w:rsidRDefault="008D70E7" w:rsidP="00DC42A4">
            <w:r>
              <w:t>Certify my Welsh Speaking abilities</w:t>
            </w:r>
          </w:p>
        </w:tc>
        <w:tc>
          <w:tcPr>
            <w:tcW w:w="1803" w:type="dxa"/>
          </w:tcPr>
          <w:p w14:paraId="0DD2BBDB" w14:textId="2400225D" w:rsidR="008D70E7" w:rsidRDefault="008D70E7" w:rsidP="00DC42A4">
            <w:r>
              <w:t>Business and HR related terminology in Welsh</w:t>
            </w:r>
          </w:p>
        </w:tc>
        <w:tc>
          <w:tcPr>
            <w:tcW w:w="1804" w:type="dxa"/>
          </w:tcPr>
          <w:p w14:paraId="687D6B7E" w14:textId="1E37C188" w:rsidR="008D70E7" w:rsidRDefault="008D70E7" w:rsidP="00DC42A4">
            <w:r>
              <w:t>Communicating professionally in Welsh</w:t>
            </w:r>
          </w:p>
        </w:tc>
      </w:tr>
    </w:tbl>
    <w:p w14:paraId="29287ECF" w14:textId="684E4E58" w:rsidR="00DC42A4" w:rsidRDefault="00DC42A4" w:rsidP="00DC42A4"/>
    <w:tbl>
      <w:tblPr>
        <w:tblStyle w:val="TableGrid"/>
        <w:tblW w:w="0" w:type="auto"/>
        <w:tblLook w:val="04A0" w:firstRow="1" w:lastRow="0" w:firstColumn="1" w:lastColumn="0" w:noHBand="0" w:noVBand="1"/>
      </w:tblPr>
      <w:tblGrid>
        <w:gridCol w:w="1722"/>
        <w:gridCol w:w="1730"/>
        <w:gridCol w:w="2217"/>
        <w:gridCol w:w="1772"/>
        <w:gridCol w:w="1575"/>
      </w:tblGrid>
      <w:tr w:rsidR="00DD558F" w14:paraId="06DB9E1D" w14:textId="77777777">
        <w:tc>
          <w:tcPr>
            <w:tcW w:w="1803" w:type="dxa"/>
          </w:tcPr>
          <w:p w14:paraId="30B92702" w14:textId="24C44483" w:rsidR="008D70E7" w:rsidRDefault="008D70E7" w:rsidP="00DC42A4">
            <w:r>
              <w:t>Want/need to learn</w:t>
            </w:r>
          </w:p>
        </w:tc>
        <w:tc>
          <w:tcPr>
            <w:tcW w:w="1803" w:type="dxa"/>
          </w:tcPr>
          <w:p w14:paraId="4A1A39AA" w14:textId="12BBDD77" w:rsidR="008D70E7" w:rsidRDefault="008D70E7" w:rsidP="00DC42A4">
            <w:r>
              <w:t xml:space="preserve">What I will do </w:t>
            </w:r>
          </w:p>
        </w:tc>
        <w:tc>
          <w:tcPr>
            <w:tcW w:w="1803" w:type="dxa"/>
          </w:tcPr>
          <w:p w14:paraId="6B23029A" w14:textId="4AEA0334" w:rsidR="008D70E7" w:rsidRDefault="008D70E7" w:rsidP="00DC42A4">
            <w:r>
              <w:t>Resources/Support needed</w:t>
            </w:r>
          </w:p>
        </w:tc>
        <w:tc>
          <w:tcPr>
            <w:tcW w:w="1803" w:type="dxa"/>
          </w:tcPr>
          <w:p w14:paraId="3927B19A" w14:textId="5F1F64ED" w:rsidR="008D70E7" w:rsidRDefault="008D70E7" w:rsidP="00DC42A4">
            <w:r>
              <w:t>Success Criteria</w:t>
            </w:r>
          </w:p>
        </w:tc>
        <w:tc>
          <w:tcPr>
            <w:tcW w:w="1804" w:type="dxa"/>
          </w:tcPr>
          <w:p w14:paraId="42D52AE6" w14:textId="4677EEB8" w:rsidR="008D70E7" w:rsidRDefault="008D70E7" w:rsidP="00DC42A4">
            <w:r>
              <w:t>Target Date</w:t>
            </w:r>
          </w:p>
        </w:tc>
      </w:tr>
      <w:tr w:rsidR="00DD558F" w14:paraId="0F16D333" w14:textId="77777777">
        <w:tc>
          <w:tcPr>
            <w:tcW w:w="1803" w:type="dxa"/>
          </w:tcPr>
          <w:p w14:paraId="324D68DF" w14:textId="664FF3B4" w:rsidR="008D70E7" w:rsidRDefault="00DD558F" w:rsidP="00DC42A4">
            <w:r>
              <w:t>Language Skills</w:t>
            </w:r>
          </w:p>
        </w:tc>
        <w:tc>
          <w:tcPr>
            <w:tcW w:w="1803" w:type="dxa"/>
          </w:tcPr>
          <w:p w14:paraId="5EBCFE8A" w14:textId="1000396B" w:rsidR="008D70E7" w:rsidRDefault="00DD558F" w:rsidP="00DC42A4">
            <w:r>
              <w:t>Rosetta Stone Polish</w:t>
            </w:r>
          </w:p>
        </w:tc>
        <w:tc>
          <w:tcPr>
            <w:tcW w:w="1803" w:type="dxa"/>
          </w:tcPr>
          <w:p w14:paraId="137DD192" w14:textId="31927C78" w:rsidR="008D70E7" w:rsidRDefault="00DD558F" w:rsidP="00DC42A4">
            <w:r>
              <w:t>Provided for free by organisation</w:t>
            </w:r>
          </w:p>
        </w:tc>
        <w:tc>
          <w:tcPr>
            <w:tcW w:w="1803" w:type="dxa"/>
          </w:tcPr>
          <w:p w14:paraId="5CDD94EB" w14:textId="05D25B3E" w:rsidR="008D70E7" w:rsidRDefault="00DD558F" w:rsidP="00DC42A4">
            <w:r>
              <w:t>Hold conversations without interpreter</w:t>
            </w:r>
          </w:p>
        </w:tc>
        <w:tc>
          <w:tcPr>
            <w:tcW w:w="1804" w:type="dxa"/>
          </w:tcPr>
          <w:p w14:paraId="3BA6F521" w14:textId="0B0BB78C" w:rsidR="008D70E7" w:rsidRDefault="00DD558F" w:rsidP="00DC42A4">
            <w:r>
              <w:t>Aug 2026</w:t>
            </w:r>
          </w:p>
        </w:tc>
      </w:tr>
      <w:tr w:rsidR="00DD558F" w14:paraId="6A19B67B" w14:textId="77777777">
        <w:tc>
          <w:tcPr>
            <w:tcW w:w="1803" w:type="dxa"/>
          </w:tcPr>
          <w:p w14:paraId="79B107B1" w14:textId="086D4583" w:rsidR="008D70E7" w:rsidRDefault="00DD558F" w:rsidP="00DC42A4">
            <w:r>
              <w:t>Responding to distressed individuals</w:t>
            </w:r>
          </w:p>
        </w:tc>
        <w:tc>
          <w:tcPr>
            <w:tcW w:w="1803" w:type="dxa"/>
          </w:tcPr>
          <w:p w14:paraId="17810C09" w14:textId="5B8D3F23" w:rsidR="008D70E7" w:rsidRDefault="00DD558F" w:rsidP="00DC42A4">
            <w:r>
              <w:t>Mental Health First Aider</w:t>
            </w:r>
          </w:p>
        </w:tc>
        <w:tc>
          <w:tcPr>
            <w:tcW w:w="1803" w:type="dxa"/>
          </w:tcPr>
          <w:p w14:paraId="4CB77D20" w14:textId="211F6C03" w:rsidR="008D70E7" w:rsidRDefault="00DD558F" w:rsidP="00DC42A4">
            <w:r>
              <w:t>Provided for free by organisation</w:t>
            </w:r>
          </w:p>
        </w:tc>
        <w:tc>
          <w:tcPr>
            <w:tcW w:w="1803" w:type="dxa"/>
          </w:tcPr>
          <w:p w14:paraId="364815E2" w14:textId="5EBE370E" w:rsidR="008D70E7" w:rsidRDefault="00DD558F" w:rsidP="00DC42A4">
            <w:r>
              <w:t>Knowledge and confidence</w:t>
            </w:r>
          </w:p>
        </w:tc>
        <w:tc>
          <w:tcPr>
            <w:tcW w:w="1804" w:type="dxa"/>
          </w:tcPr>
          <w:p w14:paraId="067C501A" w14:textId="7C340DE5" w:rsidR="008D70E7" w:rsidRDefault="00DD558F" w:rsidP="00DC42A4">
            <w:r>
              <w:t>Dec 2025</w:t>
            </w:r>
          </w:p>
        </w:tc>
      </w:tr>
      <w:tr w:rsidR="00DD558F" w14:paraId="4074C3BB" w14:textId="77777777">
        <w:tc>
          <w:tcPr>
            <w:tcW w:w="1803" w:type="dxa"/>
          </w:tcPr>
          <w:p w14:paraId="777A7FFF" w14:textId="78CCD742" w:rsidR="008D70E7" w:rsidRDefault="00DD558F" w:rsidP="00DC42A4">
            <w:r>
              <w:t>Business acumen and commercial insight</w:t>
            </w:r>
          </w:p>
        </w:tc>
        <w:tc>
          <w:tcPr>
            <w:tcW w:w="1803" w:type="dxa"/>
          </w:tcPr>
          <w:p w14:paraId="318D4862" w14:textId="5131A30C" w:rsidR="008D70E7" w:rsidRDefault="00DD558F" w:rsidP="00DC42A4">
            <w:r>
              <w:t>CIPD Business Acumen Introductory Programme</w:t>
            </w:r>
          </w:p>
        </w:tc>
        <w:tc>
          <w:tcPr>
            <w:tcW w:w="1803" w:type="dxa"/>
          </w:tcPr>
          <w:p w14:paraId="141E9D10" w14:textId="72ADE239" w:rsidR="008D70E7" w:rsidRDefault="00117FEE" w:rsidP="00DC42A4">
            <w:r>
              <w:t>Funding</w:t>
            </w:r>
          </w:p>
        </w:tc>
        <w:tc>
          <w:tcPr>
            <w:tcW w:w="1803" w:type="dxa"/>
          </w:tcPr>
          <w:p w14:paraId="757C30E5" w14:textId="763EA9B3" w:rsidR="008D70E7" w:rsidRDefault="00117FEE" w:rsidP="00DC42A4">
            <w:r>
              <w:t>Learn more about strategy and to what extent it is used in my organisation</w:t>
            </w:r>
          </w:p>
        </w:tc>
        <w:tc>
          <w:tcPr>
            <w:tcW w:w="1804" w:type="dxa"/>
          </w:tcPr>
          <w:p w14:paraId="386CC956" w14:textId="756BFBB0" w:rsidR="008D70E7" w:rsidRDefault="00DD558F" w:rsidP="00DC42A4">
            <w:r>
              <w:t>Dec 2025</w:t>
            </w:r>
          </w:p>
        </w:tc>
      </w:tr>
    </w:tbl>
    <w:p w14:paraId="45006404" w14:textId="77777777" w:rsidR="008D70E7" w:rsidRDefault="008D70E7" w:rsidP="00DC42A4"/>
    <w:p w14:paraId="5A920629" w14:textId="77777777" w:rsidR="00117FEE" w:rsidRDefault="00117FEE" w:rsidP="00DC42A4"/>
    <w:p w14:paraId="2B0B351D" w14:textId="77777777" w:rsidR="00117FEE" w:rsidRDefault="00117FEE" w:rsidP="00DC42A4"/>
    <w:p w14:paraId="17194510" w14:textId="77777777" w:rsidR="00117FEE" w:rsidRDefault="00117FEE" w:rsidP="00DC42A4"/>
    <w:p w14:paraId="45F9B2F2" w14:textId="23186DFB" w:rsidR="00117FEE" w:rsidRPr="00117FEE" w:rsidRDefault="00DC42A4" w:rsidP="00117FEE">
      <w:pPr>
        <w:spacing w:line="240" w:lineRule="auto"/>
        <w:rPr>
          <w:sz w:val="20"/>
          <w:szCs w:val="20"/>
        </w:rPr>
      </w:pPr>
      <w:r>
        <w:lastRenderedPageBreak/>
        <w:t>Bibliography</w:t>
      </w:r>
    </w:p>
    <w:p w14:paraId="683F839B" w14:textId="77777777" w:rsidR="00EE0025" w:rsidRDefault="00117FEE" w:rsidP="00EE0025">
      <w:pPr>
        <w:pStyle w:val="ListParagraph"/>
        <w:numPr>
          <w:ilvl w:val="0"/>
          <w:numId w:val="5"/>
        </w:numPr>
        <w:spacing w:line="240" w:lineRule="auto"/>
        <w:rPr>
          <w:sz w:val="20"/>
          <w:szCs w:val="20"/>
        </w:rPr>
      </w:pPr>
      <w:r w:rsidRPr="00EE0025">
        <w:rPr>
          <w:sz w:val="20"/>
          <w:szCs w:val="20"/>
        </w:rPr>
        <w:t xml:space="preserve">CIPD (2021) </w:t>
      </w:r>
      <w:r w:rsidRPr="00EE0025">
        <w:rPr>
          <w:i/>
          <w:iCs/>
          <w:sz w:val="20"/>
          <w:szCs w:val="20"/>
        </w:rPr>
        <w:t>The Profession Map</w:t>
      </w:r>
      <w:r w:rsidRPr="00EE0025">
        <w:rPr>
          <w:sz w:val="20"/>
          <w:szCs w:val="20"/>
        </w:rPr>
        <w:t>. [Online] Available at: https://peopleprofession.cipd.org/profession-map (Accessed: 5 August 2025).</w:t>
      </w:r>
    </w:p>
    <w:p w14:paraId="604FAB8E" w14:textId="26716BC1" w:rsidR="00117FEE" w:rsidRPr="00EE0025" w:rsidRDefault="00EE0025" w:rsidP="00EE0025">
      <w:pPr>
        <w:pStyle w:val="ListParagraph"/>
        <w:numPr>
          <w:ilvl w:val="0"/>
          <w:numId w:val="5"/>
        </w:numPr>
        <w:spacing w:line="240" w:lineRule="auto"/>
        <w:rPr>
          <w:sz w:val="20"/>
          <w:szCs w:val="20"/>
        </w:rPr>
      </w:pPr>
      <w:r>
        <w:rPr>
          <w:sz w:val="20"/>
          <w:szCs w:val="20"/>
        </w:rPr>
        <w:t>G</w:t>
      </w:r>
      <w:r w:rsidR="00117FEE" w:rsidRPr="00EE0025">
        <w:rPr>
          <w:sz w:val="20"/>
          <w:szCs w:val="20"/>
        </w:rPr>
        <w:t xml:space="preserve">uest, D. (2017) ‘Human resource management and employee well-being: Towards a new analytic framework’, </w:t>
      </w:r>
      <w:r w:rsidR="00117FEE" w:rsidRPr="00EE0025">
        <w:rPr>
          <w:i/>
          <w:iCs/>
          <w:sz w:val="20"/>
          <w:szCs w:val="20"/>
        </w:rPr>
        <w:t>Human Resource Management Journal</w:t>
      </w:r>
      <w:r w:rsidR="00117FEE" w:rsidRPr="00EE0025">
        <w:rPr>
          <w:sz w:val="20"/>
          <w:szCs w:val="20"/>
        </w:rPr>
        <w:t>, 27(1), pp. 22–38.</w:t>
      </w:r>
    </w:p>
    <w:p w14:paraId="6B755BB2" w14:textId="77777777"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Marchington, M., Wilkinson, A., Donnelly, R. and Kynighou, A. (2020) </w:t>
      </w:r>
      <w:r w:rsidRPr="00117FEE">
        <w:rPr>
          <w:i/>
          <w:iCs/>
          <w:sz w:val="20"/>
          <w:szCs w:val="20"/>
        </w:rPr>
        <w:t>Human Resource Management at Work: The Definitive Guide</w:t>
      </w:r>
      <w:r w:rsidRPr="00117FEE">
        <w:rPr>
          <w:sz w:val="20"/>
          <w:szCs w:val="20"/>
        </w:rPr>
        <w:t>. 6th edn. London: CIPD/Kogan Page.</w:t>
      </w:r>
    </w:p>
    <w:p w14:paraId="104BB833" w14:textId="77777777"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Torrington, D., Hall, L., Taylor, S. and Atkinson, C. (2020) </w:t>
      </w:r>
      <w:r w:rsidRPr="00117FEE">
        <w:rPr>
          <w:i/>
          <w:iCs/>
          <w:sz w:val="20"/>
          <w:szCs w:val="20"/>
        </w:rPr>
        <w:t>Human Resource Management</w:t>
      </w:r>
      <w:r w:rsidRPr="00117FEE">
        <w:rPr>
          <w:sz w:val="20"/>
          <w:szCs w:val="20"/>
        </w:rPr>
        <w:t>. 11th edn. Harlow: Pearson Education.</w:t>
      </w:r>
    </w:p>
    <w:p w14:paraId="4EFF59FF" w14:textId="77777777"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Ulrich, D. (2016) </w:t>
      </w:r>
      <w:r w:rsidRPr="00117FEE">
        <w:rPr>
          <w:i/>
          <w:iCs/>
          <w:sz w:val="20"/>
          <w:szCs w:val="20"/>
        </w:rPr>
        <w:t>HR from the Outside In: Six Competencies for the Future of Human Resources</w:t>
      </w:r>
      <w:r w:rsidRPr="00117FEE">
        <w:rPr>
          <w:sz w:val="20"/>
          <w:szCs w:val="20"/>
        </w:rPr>
        <w:t>. New York: McGraw-Hill Education.</w:t>
      </w:r>
    </w:p>
    <w:p w14:paraId="336ABED2" w14:textId="09D6BCE7"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Welch, J. and Welch, S. (2018) </w:t>
      </w:r>
      <w:r w:rsidRPr="00117FEE">
        <w:rPr>
          <w:i/>
          <w:iCs/>
          <w:sz w:val="20"/>
          <w:szCs w:val="20"/>
        </w:rPr>
        <w:t>So many leaders get this wrong</w:t>
      </w:r>
      <w:r w:rsidRPr="00117FEE">
        <w:rPr>
          <w:sz w:val="20"/>
          <w:szCs w:val="20"/>
        </w:rPr>
        <w:t xml:space="preserve">, </w:t>
      </w:r>
      <w:r w:rsidRPr="00117FEE">
        <w:rPr>
          <w:i/>
          <w:iCs/>
          <w:sz w:val="20"/>
          <w:szCs w:val="20"/>
        </w:rPr>
        <w:t>LinkedIn</w:t>
      </w:r>
      <w:r w:rsidRPr="00117FEE">
        <w:rPr>
          <w:sz w:val="20"/>
          <w:szCs w:val="20"/>
        </w:rPr>
        <w:t>. Available at: https://www.linkedin.com/pulse/so-many-leaders-get-wrong-jack-welch (Accessed: 08 May 2024).</w:t>
      </w:r>
    </w:p>
    <w:p w14:paraId="21275894" w14:textId="77777777" w:rsidR="00117FEE" w:rsidRPr="00117FEE" w:rsidRDefault="00117FEE" w:rsidP="00117FEE">
      <w:pPr>
        <w:pStyle w:val="NormalWeb"/>
        <w:numPr>
          <w:ilvl w:val="0"/>
          <w:numId w:val="5"/>
        </w:numPr>
        <w:spacing w:before="240" w:after="240" w:line="240" w:lineRule="auto"/>
        <w:rPr>
          <w:rFonts w:asciiTheme="minorHAnsi" w:hAnsiTheme="minorHAnsi"/>
          <w:sz w:val="20"/>
          <w:szCs w:val="20"/>
        </w:rPr>
      </w:pPr>
      <w:r w:rsidRPr="00117FEE">
        <w:rPr>
          <w:rFonts w:asciiTheme="minorHAnsi" w:hAnsiTheme="minorHAnsi" w:cs="Arial"/>
          <w:sz w:val="20"/>
          <w:szCs w:val="20"/>
        </w:rPr>
        <w:t xml:space="preserve">Bartram, D. (2005) ‘The Great Eight competencies: A criterion-centric approach to validation’, </w:t>
      </w:r>
      <w:r w:rsidRPr="00117FEE">
        <w:rPr>
          <w:rFonts w:asciiTheme="minorHAnsi" w:hAnsiTheme="minorHAnsi" w:cs="Arial"/>
          <w:i/>
          <w:iCs/>
          <w:sz w:val="20"/>
          <w:szCs w:val="20"/>
        </w:rPr>
        <w:t>Journal of Applied Psychology</w:t>
      </w:r>
      <w:r w:rsidRPr="00117FEE">
        <w:rPr>
          <w:rFonts w:asciiTheme="minorHAnsi" w:hAnsiTheme="minorHAnsi" w:cs="Arial"/>
          <w:sz w:val="20"/>
          <w:szCs w:val="20"/>
        </w:rPr>
        <w:t>, 90(6), pp. 1185–1203.</w:t>
      </w:r>
    </w:p>
    <w:p w14:paraId="7D7DFAE1" w14:textId="77777777" w:rsidR="00117FEE" w:rsidRPr="00117FEE" w:rsidRDefault="00117FEE" w:rsidP="00117FEE">
      <w:pPr>
        <w:pStyle w:val="NormalWeb"/>
        <w:numPr>
          <w:ilvl w:val="0"/>
          <w:numId w:val="5"/>
        </w:numPr>
        <w:spacing w:before="240" w:after="240" w:line="240" w:lineRule="auto"/>
        <w:rPr>
          <w:rFonts w:asciiTheme="minorHAnsi" w:hAnsiTheme="minorHAnsi"/>
          <w:sz w:val="20"/>
          <w:szCs w:val="20"/>
        </w:rPr>
      </w:pPr>
      <w:r w:rsidRPr="00117FEE">
        <w:rPr>
          <w:rFonts w:asciiTheme="minorHAnsi" w:hAnsiTheme="minorHAnsi" w:cs="Arial"/>
          <w:sz w:val="20"/>
          <w:szCs w:val="20"/>
        </w:rPr>
        <w:t xml:space="preserve">Schwartz, S.H. (1992) ‘Universals in the content and structure of values: Theoretical advances and empirical tests in 20 countries’, </w:t>
      </w:r>
      <w:r w:rsidRPr="00117FEE">
        <w:rPr>
          <w:rFonts w:asciiTheme="minorHAnsi" w:hAnsiTheme="minorHAnsi" w:cs="Arial"/>
          <w:i/>
          <w:iCs/>
          <w:sz w:val="20"/>
          <w:szCs w:val="20"/>
        </w:rPr>
        <w:t>Advances in Experimental Social Psychology</w:t>
      </w:r>
      <w:r w:rsidRPr="00117FEE">
        <w:rPr>
          <w:rFonts w:asciiTheme="minorHAnsi" w:hAnsiTheme="minorHAnsi" w:cs="Arial"/>
          <w:sz w:val="20"/>
          <w:szCs w:val="20"/>
        </w:rPr>
        <w:t>, 25, pp. 1–65.</w:t>
      </w:r>
    </w:p>
    <w:p w14:paraId="150C9DE3" w14:textId="5A19DF03" w:rsidR="00117FEE" w:rsidRPr="00117FEE" w:rsidRDefault="00117FEE" w:rsidP="00117FEE">
      <w:pPr>
        <w:pStyle w:val="NormalWeb"/>
        <w:numPr>
          <w:ilvl w:val="0"/>
          <w:numId w:val="5"/>
        </w:numPr>
        <w:spacing w:before="240" w:after="240" w:line="240" w:lineRule="auto"/>
        <w:rPr>
          <w:rFonts w:asciiTheme="minorHAnsi" w:hAnsiTheme="minorHAnsi"/>
          <w:sz w:val="20"/>
          <w:szCs w:val="20"/>
        </w:rPr>
      </w:pPr>
      <w:r w:rsidRPr="00117FEE">
        <w:rPr>
          <w:rFonts w:asciiTheme="minorHAnsi" w:hAnsiTheme="minorHAnsi" w:cs="Arial"/>
          <w:sz w:val="20"/>
          <w:szCs w:val="20"/>
        </w:rPr>
        <w:t xml:space="preserve">Schwartz, S. H. (2012). An Overview of the Schwartz Theory of Basic Values. Online Readings in Psychology and Culture, 2(1). </w:t>
      </w:r>
      <w:hyperlink r:id="rId8" w:history="1">
        <w:r w:rsidRPr="00117FEE">
          <w:rPr>
            <w:rStyle w:val="Hyperlink"/>
            <w:rFonts w:asciiTheme="minorHAnsi" w:hAnsiTheme="minorHAnsi" w:cs="Arial"/>
            <w:color w:val="auto"/>
            <w:sz w:val="20"/>
            <w:szCs w:val="20"/>
          </w:rPr>
          <w:t>http://dx.doi.org/10.9707/2307-0919.1116</w:t>
        </w:r>
      </w:hyperlink>
    </w:p>
    <w:p w14:paraId="65AD7D81" w14:textId="109A1645" w:rsidR="00117FEE" w:rsidRPr="00117FEE" w:rsidRDefault="00117FEE" w:rsidP="00117FEE">
      <w:pPr>
        <w:pStyle w:val="NormalWeb"/>
        <w:numPr>
          <w:ilvl w:val="0"/>
          <w:numId w:val="5"/>
        </w:numPr>
        <w:spacing w:before="240" w:after="240" w:line="240" w:lineRule="auto"/>
        <w:rPr>
          <w:rFonts w:asciiTheme="minorHAnsi" w:hAnsiTheme="minorHAnsi"/>
          <w:sz w:val="20"/>
          <w:szCs w:val="20"/>
        </w:rPr>
      </w:pPr>
      <w:r w:rsidRPr="00117FEE">
        <w:rPr>
          <w:rFonts w:asciiTheme="minorHAnsi" w:hAnsiTheme="minorHAnsi" w:cs="Arial"/>
          <w:sz w:val="20"/>
          <w:szCs w:val="20"/>
        </w:rPr>
        <w:t xml:space="preserve">Oglesby, M.T., Boudreaux, M. and Manix, K.G. (2025). Reputation Matters: How HR Personnel Reputation and Organizational Trust Influence the Reporting of Sexual Harassment. </w:t>
      </w:r>
      <w:r w:rsidRPr="00117FEE">
        <w:rPr>
          <w:rFonts w:asciiTheme="minorHAnsi" w:hAnsiTheme="minorHAnsi" w:cs="Arial"/>
          <w:i/>
          <w:iCs/>
          <w:sz w:val="20"/>
          <w:szCs w:val="20"/>
        </w:rPr>
        <w:t>Corporate Reputation Review</w:t>
      </w:r>
      <w:r w:rsidRPr="00117FEE">
        <w:rPr>
          <w:rFonts w:asciiTheme="minorHAnsi" w:hAnsiTheme="minorHAnsi" w:cs="Arial"/>
          <w:sz w:val="20"/>
          <w:szCs w:val="20"/>
        </w:rPr>
        <w:t>. doi:</w:t>
      </w:r>
      <w:hyperlink r:id="rId9" w:history="1">
        <w:r w:rsidRPr="00117FEE">
          <w:rPr>
            <w:rStyle w:val="Hyperlink"/>
            <w:rFonts w:asciiTheme="minorHAnsi" w:hAnsiTheme="minorHAnsi" w:cs="Arial"/>
            <w:color w:val="auto"/>
            <w:sz w:val="20"/>
            <w:szCs w:val="20"/>
          </w:rPr>
          <w:t>https://doi.org/10.1057/s41299-025-00228-3</w:t>
        </w:r>
      </w:hyperlink>
      <w:r w:rsidRPr="00117FEE">
        <w:rPr>
          <w:rFonts w:asciiTheme="minorHAnsi" w:hAnsiTheme="minorHAnsi" w:cs="Arial"/>
          <w:sz w:val="20"/>
          <w:szCs w:val="20"/>
        </w:rPr>
        <w:t>.</w:t>
      </w:r>
    </w:p>
    <w:p w14:paraId="6BBC3415" w14:textId="4A6DB385" w:rsidR="00117FEE" w:rsidRPr="00117FEE" w:rsidRDefault="00117FEE" w:rsidP="00117FEE">
      <w:pPr>
        <w:pStyle w:val="NormalWeb"/>
        <w:numPr>
          <w:ilvl w:val="0"/>
          <w:numId w:val="5"/>
        </w:numPr>
        <w:spacing w:before="240" w:after="240" w:line="240" w:lineRule="auto"/>
        <w:rPr>
          <w:rFonts w:asciiTheme="minorHAnsi" w:hAnsiTheme="minorHAnsi"/>
          <w:sz w:val="20"/>
          <w:szCs w:val="20"/>
        </w:rPr>
      </w:pPr>
      <w:r w:rsidRPr="00117FEE">
        <w:rPr>
          <w:rFonts w:asciiTheme="minorHAnsi" w:hAnsiTheme="minorHAnsi" w:cs="Arial"/>
          <w:sz w:val="20"/>
          <w:szCs w:val="20"/>
        </w:rPr>
        <w:t>Levine, J.M. and Argote, L. (2019). Group and Organizational Learning. pp.2–20. doi:</w:t>
      </w:r>
      <w:hyperlink r:id="rId10" w:history="1">
        <w:r w:rsidRPr="00117FEE">
          <w:rPr>
            <w:rStyle w:val="Hyperlink"/>
            <w:rFonts w:asciiTheme="minorHAnsi" w:hAnsiTheme="minorHAnsi" w:cs="Arial"/>
            <w:color w:val="auto"/>
            <w:sz w:val="20"/>
            <w:szCs w:val="20"/>
          </w:rPr>
          <w:t>https://doi.org/10.1093/oxfordhb/9780190263362.013.3</w:t>
        </w:r>
      </w:hyperlink>
      <w:r w:rsidRPr="00117FEE">
        <w:rPr>
          <w:rFonts w:asciiTheme="minorHAnsi" w:hAnsiTheme="minorHAnsi" w:cs="Arial"/>
          <w:sz w:val="20"/>
          <w:szCs w:val="20"/>
        </w:rPr>
        <w:t>.</w:t>
      </w:r>
    </w:p>
    <w:p w14:paraId="2B045E4D" w14:textId="1D07283D" w:rsidR="00117FEE" w:rsidRPr="00117FEE" w:rsidRDefault="00117FEE" w:rsidP="00117FEE">
      <w:pPr>
        <w:pStyle w:val="NormalWeb"/>
        <w:numPr>
          <w:ilvl w:val="0"/>
          <w:numId w:val="5"/>
        </w:numPr>
        <w:spacing w:before="240" w:after="240" w:line="240" w:lineRule="auto"/>
        <w:rPr>
          <w:rFonts w:asciiTheme="minorHAnsi" w:hAnsiTheme="minorHAnsi"/>
          <w:sz w:val="20"/>
          <w:szCs w:val="20"/>
        </w:rPr>
      </w:pPr>
      <w:r w:rsidRPr="00117FEE">
        <w:rPr>
          <w:rFonts w:asciiTheme="minorHAnsi" w:hAnsiTheme="minorHAnsi" w:cs="Arial"/>
          <w:sz w:val="20"/>
          <w:szCs w:val="20"/>
        </w:rPr>
        <w:t>Mazzitelli, D. and Belgacem, I. (2025). Corporate Social Responsibility and Cognitive Bias: A Systematic Literature Review.</w:t>
      </w:r>
      <w:r w:rsidRPr="00117FEE">
        <w:rPr>
          <w:rFonts w:asciiTheme="minorHAnsi" w:hAnsiTheme="minorHAnsi" w:cs="Arial"/>
          <w:i/>
          <w:iCs/>
          <w:sz w:val="20"/>
          <w:szCs w:val="20"/>
        </w:rPr>
        <w:t>Journal of Sustainability Research</w:t>
      </w:r>
      <w:r w:rsidRPr="00117FEE">
        <w:rPr>
          <w:rFonts w:asciiTheme="minorHAnsi" w:hAnsiTheme="minorHAnsi" w:cs="Arial"/>
          <w:sz w:val="20"/>
          <w:szCs w:val="20"/>
        </w:rPr>
        <w:t>, 7(3). doi:</w:t>
      </w:r>
      <w:hyperlink r:id="rId11" w:history="1">
        <w:r w:rsidRPr="00117FEE">
          <w:rPr>
            <w:rStyle w:val="Hyperlink"/>
            <w:rFonts w:asciiTheme="minorHAnsi" w:hAnsiTheme="minorHAnsi" w:cs="Arial"/>
            <w:color w:val="auto"/>
            <w:sz w:val="20"/>
            <w:szCs w:val="20"/>
          </w:rPr>
          <w:t>https://doi.org/10.20900/jsr20250043</w:t>
        </w:r>
      </w:hyperlink>
      <w:r w:rsidRPr="00117FEE">
        <w:rPr>
          <w:rFonts w:asciiTheme="minorHAnsi" w:hAnsiTheme="minorHAnsi" w:cs="Arial"/>
          <w:sz w:val="20"/>
          <w:szCs w:val="20"/>
        </w:rPr>
        <w:t>.</w:t>
      </w:r>
    </w:p>
    <w:p w14:paraId="32D2EAA4" w14:textId="51684BEE" w:rsidR="00117FEE" w:rsidRPr="00117FEE" w:rsidRDefault="00117FEE" w:rsidP="00117FEE">
      <w:pPr>
        <w:pStyle w:val="NormalWeb"/>
        <w:numPr>
          <w:ilvl w:val="0"/>
          <w:numId w:val="5"/>
        </w:numPr>
        <w:spacing w:before="240" w:after="240" w:line="240" w:lineRule="auto"/>
        <w:rPr>
          <w:rFonts w:asciiTheme="minorHAnsi" w:hAnsiTheme="minorHAnsi"/>
          <w:sz w:val="20"/>
          <w:szCs w:val="20"/>
        </w:rPr>
      </w:pPr>
      <w:r w:rsidRPr="00117FEE">
        <w:rPr>
          <w:rFonts w:asciiTheme="minorHAnsi" w:hAnsiTheme="minorHAnsi" w:cs="Arial"/>
          <w:sz w:val="20"/>
          <w:szCs w:val="20"/>
        </w:rPr>
        <w:t xml:space="preserve">Gallacher, J. (2022). </w:t>
      </w:r>
      <w:r w:rsidRPr="00117FEE">
        <w:rPr>
          <w:rFonts w:asciiTheme="minorHAnsi" w:hAnsiTheme="minorHAnsi" w:cs="Arial"/>
          <w:i/>
          <w:iCs/>
          <w:sz w:val="20"/>
          <w:szCs w:val="20"/>
        </w:rPr>
        <w:t>What to do when leadership fails, part one - HR Magazine</w:t>
      </w:r>
      <w:r w:rsidRPr="00117FEE">
        <w:rPr>
          <w:rFonts w:asciiTheme="minorHAnsi" w:hAnsiTheme="minorHAnsi" w:cs="Arial"/>
          <w:sz w:val="20"/>
          <w:szCs w:val="20"/>
        </w:rPr>
        <w:t xml:space="preserve">. [online] HR Magazine. Available at: </w:t>
      </w:r>
      <w:hyperlink r:id="rId12" w:history="1">
        <w:r w:rsidRPr="00117FEE">
          <w:rPr>
            <w:rStyle w:val="Hyperlink"/>
            <w:rFonts w:asciiTheme="minorHAnsi" w:hAnsiTheme="minorHAnsi" w:cs="Arial"/>
            <w:color w:val="auto"/>
            <w:sz w:val="20"/>
            <w:szCs w:val="20"/>
          </w:rPr>
          <w:t>https://www.hrmagazine.co.uk/content/features/what-to-do-when-leadership-fails-part-one/</w:t>
        </w:r>
      </w:hyperlink>
      <w:r w:rsidRPr="00117FEE">
        <w:rPr>
          <w:rFonts w:asciiTheme="minorHAnsi" w:hAnsiTheme="minorHAnsi" w:cs="Arial"/>
          <w:sz w:val="20"/>
          <w:szCs w:val="20"/>
        </w:rPr>
        <w:t xml:space="preserve"> [Accessed 29 Jul. 2025].</w:t>
      </w:r>
    </w:p>
    <w:p w14:paraId="3A140F7C" w14:textId="34B45B99" w:rsidR="00117FEE" w:rsidRPr="00117FEE" w:rsidRDefault="00117FEE" w:rsidP="00117FEE">
      <w:pPr>
        <w:pStyle w:val="NormalWeb"/>
        <w:numPr>
          <w:ilvl w:val="0"/>
          <w:numId w:val="5"/>
        </w:numPr>
        <w:spacing w:before="240" w:after="240" w:line="240" w:lineRule="auto"/>
        <w:rPr>
          <w:rFonts w:asciiTheme="minorHAnsi" w:hAnsiTheme="minorHAnsi"/>
          <w:sz w:val="20"/>
          <w:szCs w:val="20"/>
        </w:rPr>
      </w:pPr>
      <w:r w:rsidRPr="00117FEE">
        <w:rPr>
          <w:rFonts w:asciiTheme="minorHAnsi" w:hAnsiTheme="minorHAnsi" w:cs="Arial"/>
          <w:sz w:val="20"/>
          <w:szCs w:val="20"/>
        </w:rPr>
        <w:t xml:space="preserve">CIPD. (2025b). </w:t>
      </w:r>
      <w:r w:rsidRPr="00117FEE">
        <w:rPr>
          <w:rFonts w:asciiTheme="minorHAnsi" w:hAnsiTheme="minorHAnsi" w:cs="Arial"/>
          <w:i/>
          <w:iCs/>
          <w:sz w:val="20"/>
          <w:szCs w:val="20"/>
        </w:rPr>
        <w:t>CIPD | Role of HR in selecting and developing senior leaders</w:t>
      </w:r>
      <w:r w:rsidRPr="00117FEE">
        <w:rPr>
          <w:rFonts w:asciiTheme="minorHAnsi" w:hAnsiTheme="minorHAnsi" w:cs="Arial"/>
          <w:sz w:val="20"/>
          <w:szCs w:val="20"/>
        </w:rPr>
        <w:t xml:space="preserve">. [online] Available at: </w:t>
      </w:r>
      <w:hyperlink r:id="rId13" w:history="1">
        <w:r w:rsidRPr="00117FEE">
          <w:rPr>
            <w:rStyle w:val="Hyperlink"/>
            <w:rFonts w:asciiTheme="minorHAnsi" w:hAnsiTheme="minorHAnsi" w:cs="Arial"/>
            <w:color w:val="auto"/>
            <w:sz w:val="20"/>
            <w:szCs w:val="20"/>
          </w:rPr>
          <w:t>https://www.cipd.org/uk/knowledge/reports/hr-role-developing-senior-leaders/</w:t>
        </w:r>
      </w:hyperlink>
      <w:r w:rsidRPr="00117FEE">
        <w:rPr>
          <w:rFonts w:asciiTheme="minorHAnsi" w:hAnsiTheme="minorHAnsi" w:cs="Arial"/>
          <w:sz w:val="20"/>
          <w:szCs w:val="20"/>
        </w:rPr>
        <w:t>.</w:t>
      </w:r>
    </w:p>
    <w:p w14:paraId="4E6000E0" w14:textId="141733E8" w:rsidR="00117FEE" w:rsidRPr="00117FEE" w:rsidRDefault="00117FEE" w:rsidP="00117FEE">
      <w:pPr>
        <w:pStyle w:val="NormalWeb"/>
        <w:numPr>
          <w:ilvl w:val="0"/>
          <w:numId w:val="5"/>
        </w:numPr>
        <w:shd w:val="clear" w:color="auto" w:fill="FFFFFF"/>
        <w:spacing w:after="0" w:line="240" w:lineRule="auto"/>
        <w:rPr>
          <w:rFonts w:asciiTheme="minorHAnsi" w:hAnsiTheme="minorHAnsi"/>
          <w:sz w:val="20"/>
          <w:szCs w:val="20"/>
        </w:rPr>
      </w:pPr>
      <w:r w:rsidRPr="00117FEE">
        <w:rPr>
          <w:rFonts w:asciiTheme="minorHAnsi" w:hAnsiTheme="minorHAnsi" w:cs="Arial"/>
          <w:sz w:val="20"/>
          <w:szCs w:val="20"/>
        </w:rPr>
        <w:t>Equality Act 2010, c.15. Available at: https://www.legislation.gov.uk/ukpga/2010/15/section/27 [Accessed 5 August 2025].</w:t>
      </w:r>
    </w:p>
    <w:p w14:paraId="4756989C" w14:textId="09860ED7" w:rsidR="00117FEE" w:rsidRPr="00117FEE" w:rsidRDefault="00117FEE" w:rsidP="00117FEE">
      <w:pPr>
        <w:pStyle w:val="NormalWeb"/>
        <w:numPr>
          <w:ilvl w:val="0"/>
          <w:numId w:val="5"/>
        </w:numPr>
        <w:shd w:val="clear" w:color="auto" w:fill="FFFFFF"/>
        <w:spacing w:after="0" w:line="240" w:lineRule="auto"/>
        <w:rPr>
          <w:rFonts w:asciiTheme="minorHAnsi" w:hAnsiTheme="minorHAnsi"/>
          <w:sz w:val="20"/>
          <w:szCs w:val="20"/>
        </w:rPr>
      </w:pPr>
      <w:r w:rsidRPr="00117FEE">
        <w:rPr>
          <w:rFonts w:asciiTheme="minorHAnsi" w:hAnsiTheme="minorHAnsi" w:cs="Arial"/>
          <w:sz w:val="20"/>
          <w:szCs w:val="20"/>
        </w:rPr>
        <w:t xml:space="preserve">Acas (2024). </w:t>
      </w:r>
      <w:r w:rsidRPr="00117FEE">
        <w:rPr>
          <w:rFonts w:asciiTheme="minorHAnsi" w:hAnsiTheme="minorHAnsi" w:cs="Arial"/>
          <w:i/>
          <w:iCs/>
          <w:sz w:val="20"/>
          <w:szCs w:val="20"/>
        </w:rPr>
        <w:t>The Law on Whistleblowing at work: Whistleblowing at Work</w:t>
      </w:r>
      <w:r w:rsidRPr="00117FEE">
        <w:rPr>
          <w:rFonts w:asciiTheme="minorHAnsi" w:hAnsiTheme="minorHAnsi" w:cs="Arial"/>
          <w:sz w:val="20"/>
          <w:szCs w:val="20"/>
        </w:rPr>
        <w:t>. [online] Acas. Available at: https://www.acas.org.uk/whistleblowing-at-work.</w:t>
      </w:r>
    </w:p>
    <w:p w14:paraId="393C3030" w14:textId="499E97FA" w:rsidR="00117FEE" w:rsidRPr="00117FEE" w:rsidRDefault="00117FEE" w:rsidP="00117FEE">
      <w:pPr>
        <w:pStyle w:val="NormalWeb"/>
        <w:numPr>
          <w:ilvl w:val="0"/>
          <w:numId w:val="5"/>
        </w:numPr>
        <w:shd w:val="clear" w:color="auto" w:fill="FFFFFF"/>
        <w:spacing w:after="0" w:line="240" w:lineRule="auto"/>
        <w:rPr>
          <w:rFonts w:asciiTheme="minorHAnsi" w:hAnsiTheme="minorHAnsi"/>
          <w:sz w:val="20"/>
          <w:szCs w:val="20"/>
        </w:rPr>
      </w:pPr>
      <w:r w:rsidRPr="00117FEE">
        <w:rPr>
          <w:rFonts w:asciiTheme="minorHAnsi" w:hAnsiTheme="minorHAnsi" w:cs="Arial"/>
          <w:sz w:val="20"/>
          <w:szCs w:val="20"/>
        </w:rPr>
        <w:t xml:space="preserve">Cressey, D.R. (1953). </w:t>
      </w:r>
      <w:r w:rsidRPr="00117FEE">
        <w:rPr>
          <w:rFonts w:asciiTheme="minorHAnsi" w:hAnsiTheme="minorHAnsi" w:cs="Arial"/>
          <w:i/>
          <w:iCs/>
          <w:sz w:val="20"/>
          <w:szCs w:val="20"/>
        </w:rPr>
        <w:t>Other People’s Money</w:t>
      </w:r>
      <w:r w:rsidRPr="00117FEE">
        <w:rPr>
          <w:rFonts w:asciiTheme="minorHAnsi" w:hAnsiTheme="minorHAnsi" w:cs="Arial"/>
          <w:sz w:val="20"/>
          <w:szCs w:val="20"/>
        </w:rPr>
        <w:t>.</w:t>
      </w:r>
    </w:p>
    <w:p w14:paraId="08FDEED8" w14:textId="6FEC8082" w:rsidR="00117FEE" w:rsidRPr="00117FEE" w:rsidRDefault="00117FEE" w:rsidP="00117FEE">
      <w:pPr>
        <w:pStyle w:val="NormalWeb"/>
        <w:numPr>
          <w:ilvl w:val="0"/>
          <w:numId w:val="5"/>
        </w:numPr>
        <w:shd w:val="clear" w:color="auto" w:fill="FFFFFF"/>
        <w:spacing w:after="0" w:line="240" w:lineRule="auto"/>
        <w:rPr>
          <w:rFonts w:asciiTheme="minorHAnsi" w:hAnsiTheme="minorHAnsi"/>
          <w:sz w:val="20"/>
          <w:szCs w:val="20"/>
        </w:rPr>
      </w:pPr>
      <w:r w:rsidRPr="00117FEE">
        <w:rPr>
          <w:rFonts w:asciiTheme="minorHAnsi" w:hAnsiTheme="minorHAnsi" w:cs="Arial"/>
          <w:sz w:val="20"/>
          <w:szCs w:val="20"/>
        </w:rPr>
        <w:t xml:space="preserve">IPA (2017). </w:t>
      </w:r>
      <w:r w:rsidRPr="00117FEE">
        <w:rPr>
          <w:rFonts w:asciiTheme="minorHAnsi" w:hAnsiTheme="minorHAnsi" w:cs="Arial"/>
          <w:i/>
          <w:iCs/>
          <w:sz w:val="20"/>
          <w:szCs w:val="20"/>
        </w:rPr>
        <w:t>What Is Employee Voice?</w:t>
      </w:r>
      <w:r w:rsidRPr="00117FEE">
        <w:rPr>
          <w:rFonts w:asciiTheme="minorHAnsi" w:hAnsiTheme="minorHAnsi" w:cs="Arial"/>
          <w:sz w:val="20"/>
          <w:szCs w:val="20"/>
        </w:rPr>
        <w:t xml:space="preserve"> [online] Involvement &amp; Participation Association. Available at: https://www.ipa-involve.com/employee-voice.</w:t>
      </w:r>
    </w:p>
    <w:p w14:paraId="10C07B96" w14:textId="77777777" w:rsidR="00117FEE" w:rsidRPr="00117FEE" w:rsidRDefault="00117FEE" w:rsidP="00117FEE">
      <w:pPr>
        <w:pStyle w:val="NormalWeb"/>
        <w:numPr>
          <w:ilvl w:val="0"/>
          <w:numId w:val="5"/>
        </w:numPr>
        <w:shd w:val="clear" w:color="auto" w:fill="FFFFFF"/>
        <w:spacing w:after="0" w:line="240" w:lineRule="auto"/>
        <w:rPr>
          <w:rFonts w:asciiTheme="minorHAnsi" w:hAnsiTheme="minorHAnsi"/>
          <w:sz w:val="20"/>
          <w:szCs w:val="20"/>
        </w:rPr>
      </w:pPr>
      <w:r w:rsidRPr="00117FEE">
        <w:rPr>
          <w:rFonts w:asciiTheme="minorHAnsi" w:hAnsiTheme="minorHAnsi" w:cs="Arial"/>
          <w:sz w:val="20"/>
          <w:szCs w:val="20"/>
        </w:rPr>
        <w:t xml:space="preserve">Cifas and CIPD (2023). </w:t>
      </w:r>
      <w:r w:rsidRPr="00117FEE">
        <w:rPr>
          <w:rFonts w:asciiTheme="minorHAnsi" w:hAnsiTheme="minorHAnsi" w:cs="Arial"/>
          <w:i/>
          <w:iCs/>
          <w:sz w:val="20"/>
          <w:szCs w:val="20"/>
        </w:rPr>
        <w:t>CIPD | Staff fraud and dishonesty</w:t>
      </w:r>
      <w:r w:rsidRPr="00117FEE">
        <w:rPr>
          <w:rFonts w:asciiTheme="minorHAnsi" w:hAnsiTheme="minorHAnsi" w:cs="Arial"/>
          <w:sz w:val="20"/>
          <w:szCs w:val="20"/>
        </w:rPr>
        <w:t>. [online] CIPD. Available at: https://www.cipd.org/uk/knowledge/guides/staff-fraud/.</w:t>
      </w:r>
    </w:p>
    <w:p w14:paraId="3588B3EC" w14:textId="23135E2C" w:rsidR="00117FEE" w:rsidRPr="00117FEE" w:rsidRDefault="00117FEE" w:rsidP="00117FEE">
      <w:pPr>
        <w:pStyle w:val="NormalWeb"/>
        <w:numPr>
          <w:ilvl w:val="0"/>
          <w:numId w:val="5"/>
        </w:numPr>
        <w:shd w:val="clear" w:color="auto" w:fill="FFFFFF"/>
        <w:spacing w:after="0" w:line="240" w:lineRule="auto"/>
        <w:rPr>
          <w:rFonts w:asciiTheme="minorHAnsi" w:hAnsiTheme="minorHAnsi"/>
          <w:sz w:val="20"/>
          <w:szCs w:val="20"/>
        </w:rPr>
      </w:pPr>
      <w:r w:rsidRPr="00117FEE">
        <w:rPr>
          <w:rFonts w:asciiTheme="minorHAnsi" w:hAnsiTheme="minorHAnsi" w:cs="Arial"/>
          <w:sz w:val="20"/>
          <w:szCs w:val="20"/>
        </w:rPr>
        <w:t xml:space="preserve">Gifford, J., Green, M., Barrends, E., Janssen, B., Capezio, A. and Ngo, N. (2019). </w:t>
      </w:r>
      <w:r w:rsidRPr="00117FEE">
        <w:rPr>
          <w:rFonts w:asciiTheme="minorHAnsi" w:hAnsiTheme="minorHAnsi" w:cs="Arial"/>
          <w:i/>
          <w:iCs/>
          <w:sz w:val="20"/>
          <w:szCs w:val="20"/>
        </w:rPr>
        <w:t>Rotten apples, bad barrels and sticky situations: a review of unethical workplace behaviour</w:t>
      </w:r>
      <w:r w:rsidRPr="00117FEE">
        <w:rPr>
          <w:rFonts w:asciiTheme="minorHAnsi" w:hAnsiTheme="minorHAnsi" w:cs="Arial"/>
          <w:sz w:val="20"/>
          <w:szCs w:val="20"/>
        </w:rPr>
        <w:t>. [online] CIPD. Available at: https://www.cipd.org/uk/knowledge/evidence-reviews/ethical-behaviour/.</w:t>
      </w:r>
    </w:p>
    <w:p w14:paraId="586B41DE" w14:textId="77777777" w:rsidR="00117FEE" w:rsidRPr="00117FEE" w:rsidRDefault="00117FEE" w:rsidP="00117FEE">
      <w:pPr>
        <w:pStyle w:val="NormalWeb"/>
        <w:numPr>
          <w:ilvl w:val="0"/>
          <w:numId w:val="5"/>
        </w:numPr>
        <w:shd w:val="clear" w:color="auto" w:fill="FFFFFF"/>
        <w:spacing w:after="0" w:line="240" w:lineRule="auto"/>
        <w:rPr>
          <w:rFonts w:asciiTheme="minorHAnsi" w:hAnsiTheme="minorHAnsi"/>
          <w:sz w:val="20"/>
          <w:szCs w:val="20"/>
        </w:rPr>
      </w:pPr>
      <w:r w:rsidRPr="00117FEE">
        <w:rPr>
          <w:rFonts w:asciiTheme="minorHAnsi" w:hAnsiTheme="minorHAnsi" w:cs="Arial"/>
          <w:sz w:val="20"/>
          <w:szCs w:val="20"/>
          <w:shd w:val="clear" w:color="auto" w:fill="FFFFFF"/>
        </w:rPr>
        <w:t xml:space="preserve">Smith, I. and Kouchaki, M. (2021). </w:t>
      </w:r>
      <w:r w:rsidRPr="00117FEE">
        <w:rPr>
          <w:rFonts w:asciiTheme="minorHAnsi" w:hAnsiTheme="minorHAnsi" w:cs="Arial"/>
          <w:i/>
          <w:iCs/>
          <w:sz w:val="20"/>
          <w:szCs w:val="20"/>
          <w:shd w:val="clear" w:color="auto" w:fill="FFFFFF"/>
        </w:rPr>
        <w:t>Building an Ethical Company</w:t>
      </w:r>
      <w:r w:rsidRPr="00117FEE">
        <w:rPr>
          <w:rFonts w:asciiTheme="minorHAnsi" w:hAnsiTheme="minorHAnsi" w:cs="Arial"/>
          <w:sz w:val="20"/>
          <w:szCs w:val="20"/>
          <w:shd w:val="clear" w:color="auto" w:fill="FFFFFF"/>
        </w:rPr>
        <w:t xml:space="preserve">. [online] Harvard Business Review. Available at: </w:t>
      </w:r>
      <w:hyperlink r:id="rId14" w:history="1">
        <w:r w:rsidRPr="00117FEE">
          <w:rPr>
            <w:rStyle w:val="Hyperlink"/>
            <w:rFonts w:asciiTheme="minorHAnsi" w:hAnsiTheme="minorHAnsi" w:cs="Arial"/>
            <w:color w:val="auto"/>
            <w:sz w:val="20"/>
            <w:szCs w:val="20"/>
            <w:shd w:val="clear" w:color="auto" w:fill="FFFFFF"/>
          </w:rPr>
          <w:t>https://hbr.org/2021/11/building-an-ethical-company</w:t>
        </w:r>
      </w:hyperlink>
      <w:r w:rsidRPr="00117FEE">
        <w:rPr>
          <w:rFonts w:asciiTheme="minorHAnsi" w:hAnsiTheme="minorHAnsi" w:cs="Arial"/>
          <w:sz w:val="20"/>
          <w:szCs w:val="20"/>
          <w:shd w:val="clear" w:color="auto" w:fill="FFFFFF"/>
        </w:rPr>
        <w:t>.</w:t>
      </w:r>
    </w:p>
    <w:p w14:paraId="51F493BA" w14:textId="77777777" w:rsidR="00EE0025" w:rsidRPr="00EE0025" w:rsidRDefault="00117FEE" w:rsidP="0072537C">
      <w:pPr>
        <w:pStyle w:val="NormalWeb"/>
        <w:numPr>
          <w:ilvl w:val="0"/>
          <w:numId w:val="5"/>
        </w:numPr>
        <w:shd w:val="clear" w:color="auto" w:fill="FFFFFF"/>
        <w:spacing w:after="240" w:line="240" w:lineRule="auto"/>
        <w:rPr>
          <w:rFonts w:asciiTheme="minorHAnsi" w:hAnsiTheme="minorHAnsi"/>
          <w:sz w:val="20"/>
          <w:szCs w:val="20"/>
        </w:rPr>
      </w:pPr>
      <w:r w:rsidRPr="00EE0025">
        <w:rPr>
          <w:rFonts w:asciiTheme="minorHAnsi" w:hAnsiTheme="minorHAnsi" w:cs="Arial"/>
          <w:sz w:val="20"/>
          <w:szCs w:val="20"/>
        </w:rPr>
        <w:lastRenderedPageBreak/>
        <w:t xml:space="preserve">Jha, J.K. and Singh, M. (2021). Who cares about ethical practices at workplace? A taxonomy of employees’ unethical conduct from top management perspective. </w:t>
      </w:r>
      <w:r w:rsidRPr="00EE0025">
        <w:rPr>
          <w:rFonts w:asciiTheme="minorHAnsi" w:hAnsiTheme="minorHAnsi" w:cs="Arial"/>
          <w:i/>
          <w:iCs/>
          <w:sz w:val="20"/>
          <w:szCs w:val="20"/>
        </w:rPr>
        <w:t>International Journal of Organizational Analysis</w:t>
      </w:r>
      <w:r w:rsidRPr="00EE0025">
        <w:rPr>
          <w:rFonts w:asciiTheme="minorHAnsi" w:hAnsiTheme="minorHAnsi" w:cs="Arial"/>
          <w:sz w:val="20"/>
          <w:szCs w:val="20"/>
        </w:rPr>
        <w:t>, 31(2). doi:https://doi.org/10.1108/ijoa-07-2020-2321.</w:t>
      </w:r>
    </w:p>
    <w:p w14:paraId="60656A4D" w14:textId="731A45CC" w:rsidR="00EE0025" w:rsidRPr="00EE0025" w:rsidRDefault="00117FEE" w:rsidP="0072537C">
      <w:pPr>
        <w:pStyle w:val="NormalWeb"/>
        <w:numPr>
          <w:ilvl w:val="0"/>
          <w:numId w:val="5"/>
        </w:numPr>
        <w:shd w:val="clear" w:color="auto" w:fill="FFFFFF"/>
        <w:spacing w:after="240" w:line="240" w:lineRule="auto"/>
        <w:rPr>
          <w:rFonts w:asciiTheme="minorHAnsi" w:hAnsiTheme="minorHAnsi"/>
          <w:sz w:val="20"/>
          <w:szCs w:val="20"/>
        </w:rPr>
      </w:pPr>
      <w:r w:rsidRPr="00EE0025">
        <w:rPr>
          <w:rFonts w:asciiTheme="minorHAnsi" w:hAnsiTheme="minorHAnsi" w:cs="Arial"/>
          <w:sz w:val="20"/>
          <w:szCs w:val="20"/>
        </w:rPr>
        <w:t xml:space="preserve">Robinson, S.L. and Bennett, R.J. (1995). A Typology of Deviant Workplace Behaviors: A Multidimensional Scaling Study. </w:t>
      </w:r>
      <w:r w:rsidRPr="00EE0025">
        <w:rPr>
          <w:rFonts w:asciiTheme="minorHAnsi" w:hAnsiTheme="minorHAnsi" w:cs="Arial"/>
          <w:i/>
          <w:iCs/>
          <w:sz w:val="20"/>
          <w:szCs w:val="20"/>
        </w:rPr>
        <w:t>Academy of Management Journal</w:t>
      </w:r>
      <w:r w:rsidRPr="00EE0025">
        <w:rPr>
          <w:rFonts w:asciiTheme="minorHAnsi" w:hAnsiTheme="minorHAnsi" w:cs="Arial"/>
          <w:sz w:val="20"/>
          <w:szCs w:val="20"/>
        </w:rPr>
        <w:t>, 38(2), pp.555–572. doi:https://doi.org/10.5465/256693.</w:t>
      </w:r>
    </w:p>
    <w:p w14:paraId="27E550A6" w14:textId="72C73C69" w:rsidR="00EE0025" w:rsidRPr="00EE0025" w:rsidRDefault="00117FEE" w:rsidP="005007E9">
      <w:pPr>
        <w:pStyle w:val="NormalWeb"/>
        <w:numPr>
          <w:ilvl w:val="0"/>
          <w:numId w:val="5"/>
        </w:numPr>
        <w:shd w:val="clear" w:color="auto" w:fill="FFFFFF"/>
        <w:spacing w:after="240" w:line="240" w:lineRule="auto"/>
        <w:rPr>
          <w:rFonts w:asciiTheme="minorHAnsi" w:hAnsiTheme="minorHAnsi"/>
          <w:sz w:val="20"/>
          <w:szCs w:val="20"/>
        </w:rPr>
      </w:pPr>
      <w:r w:rsidRPr="00EE0025">
        <w:rPr>
          <w:rFonts w:asciiTheme="minorHAnsi" w:hAnsiTheme="minorHAnsi" w:cs="Arial"/>
          <w:sz w:val="20"/>
          <w:szCs w:val="20"/>
        </w:rPr>
        <w:t xml:space="preserve">Carpenter, N.C., Whitman, D.S. and Amrhein, R. (2020). Unit-Level Counterproductive Work Behavior (CWB): A Conceptual Review and Quantitative Summary. </w:t>
      </w:r>
      <w:r w:rsidRPr="00EE0025">
        <w:rPr>
          <w:rFonts w:asciiTheme="minorHAnsi" w:hAnsiTheme="minorHAnsi" w:cs="Arial"/>
          <w:i/>
          <w:iCs/>
          <w:sz w:val="20"/>
          <w:szCs w:val="20"/>
        </w:rPr>
        <w:t>Journal of Management</w:t>
      </w:r>
      <w:r w:rsidRPr="00EE0025">
        <w:rPr>
          <w:rFonts w:asciiTheme="minorHAnsi" w:hAnsiTheme="minorHAnsi" w:cs="Arial"/>
          <w:sz w:val="20"/>
          <w:szCs w:val="20"/>
        </w:rPr>
        <w:t>, 47(6), pp.1498–1527. doi:https://doi.org/10.1177/0149206320978812.</w:t>
      </w:r>
    </w:p>
    <w:p w14:paraId="15A4F8D0" w14:textId="6F68F0A8" w:rsidR="00117FEE" w:rsidRPr="00EE0025" w:rsidRDefault="00117FEE" w:rsidP="00131EDF">
      <w:pPr>
        <w:pStyle w:val="NormalWeb"/>
        <w:numPr>
          <w:ilvl w:val="0"/>
          <w:numId w:val="5"/>
        </w:numPr>
        <w:shd w:val="clear" w:color="auto" w:fill="FFFFFF"/>
        <w:spacing w:after="240" w:line="240" w:lineRule="auto"/>
        <w:rPr>
          <w:rFonts w:asciiTheme="minorHAnsi" w:hAnsiTheme="minorHAnsi"/>
          <w:sz w:val="20"/>
          <w:szCs w:val="20"/>
        </w:rPr>
      </w:pPr>
      <w:r w:rsidRPr="00EE0025">
        <w:rPr>
          <w:rFonts w:asciiTheme="minorHAnsi" w:hAnsiTheme="minorHAnsi" w:cs="Arial"/>
          <w:sz w:val="20"/>
          <w:szCs w:val="20"/>
        </w:rPr>
        <w:t xml:space="preserve">Acas (2023). </w:t>
      </w:r>
      <w:r w:rsidRPr="00EE0025">
        <w:rPr>
          <w:rFonts w:asciiTheme="minorHAnsi" w:hAnsiTheme="minorHAnsi" w:cs="Arial"/>
          <w:i/>
          <w:iCs/>
          <w:sz w:val="20"/>
          <w:szCs w:val="20"/>
        </w:rPr>
        <w:t>Informal meetings - Talking to your employer about a problem</w:t>
      </w:r>
      <w:r w:rsidRPr="00EE0025">
        <w:rPr>
          <w:rFonts w:asciiTheme="minorHAnsi" w:hAnsiTheme="minorHAnsi" w:cs="Arial"/>
          <w:sz w:val="20"/>
          <w:szCs w:val="20"/>
        </w:rPr>
        <w:t xml:space="preserve">. [online] Acas. Available at: </w:t>
      </w:r>
      <w:hyperlink r:id="rId15" w:history="1">
        <w:r w:rsidRPr="00EE0025">
          <w:rPr>
            <w:rStyle w:val="Hyperlink"/>
            <w:rFonts w:asciiTheme="minorHAnsi" w:hAnsiTheme="minorHAnsi" w:cs="Arial"/>
            <w:sz w:val="20"/>
            <w:szCs w:val="20"/>
          </w:rPr>
          <w:t>https://www.acas.org.uk/how-to-raise-a-problem-at-work/going-to-an-informal-meeting</w:t>
        </w:r>
      </w:hyperlink>
      <w:r w:rsidRPr="00EE0025">
        <w:rPr>
          <w:rFonts w:asciiTheme="minorHAnsi" w:hAnsiTheme="minorHAnsi" w:cs="Arial"/>
          <w:sz w:val="20"/>
          <w:szCs w:val="20"/>
        </w:rPr>
        <w:t>.</w:t>
      </w:r>
    </w:p>
    <w:p w14:paraId="62054E80" w14:textId="0AFC8C74" w:rsidR="00117FEE" w:rsidRPr="00117FEE" w:rsidRDefault="00117FEE" w:rsidP="00FD159F">
      <w:pPr>
        <w:pStyle w:val="NormalWeb"/>
        <w:numPr>
          <w:ilvl w:val="0"/>
          <w:numId w:val="5"/>
        </w:numPr>
        <w:spacing w:after="240" w:line="240" w:lineRule="auto"/>
        <w:rPr>
          <w:rFonts w:asciiTheme="minorHAnsi" w:hAnsiTheme="minorHAnsi"/>
          <w:sz w:val="20"/>
          <w:szCs w:val="20"/>
        </w:rPr>
      </w:pPr>
      <w:r w:rsidRPr="00117FEE">
        <w:rPr>
          <w:rFonts w:asciiTheme="minorHAnsi" w:hAnsiTheme="minorHAnsi"/>
          <w:sz w:val="20"/>
          <w:szCs w:val="20"/>
        </w:rPr>
        <w:t xml:space="preserve">Adams, J.S. (1965) ‘Inequity in social exchange’, </w:t>
      </w:r>
      <w:r w:rsidRPr="00117FEE">
        <w:rPr>
          <w:rFonts w:asciiTheme="minorHAnsi" w:hAnsiTheme="minorHAnsi"/>
          <w:i/>
          <w:iCs/>
          <w:sz w:val="20"/>
          <w:szCs w:val="20"/>
        </w:rPr>
        <w:t>Advances in Experimental Social Psychology</w:t>
      </w:r>
      <w:r w:rsidRPr="00117FEE">
        <w:rPr>
          <w:rFonts w:asciiTheme="minorHAnsi" w:hAnsiTheme="minorHAnsi"/>
          <w:sz w:val="20"/>
          <w:szCs w:val="20"/>
        </w:rPr>
        <w:t>, 2, pp. 267–299.</w:t>
      </w:r>
    </w:p>
    <w:p w14:paraId="00A17858" w14:textId="77777777"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Cox, T. and Blake, S. (1991) ‘Managing cultural diversity: Implications for organizational competitiveness’, </w:t>
      </w:r>
      <w:r w:rsidRPr="00117FEE">
        <w:rPr>
          <w:i/>
          <w:iCs/>
          <w:sz w:val="20"/>
          <w:szCs w:val="20"/>
        </w:rPr>
        <w:t>Academy of Management Perspectives</w:t>
      </w:r>
      <w:r w:rsidRPr="00117FEE">
        <w:rPr>
          <w:sz w:val="20"/>
          <w:szCs w:val="20"/>
        </w:rPr>
        <w:t>, 5(3), pp. 45–56.</w:t>
      </w:r>
    </w:p>
    <w:p w14:paraId="4D927467" w14:textId="77777777"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Edmondson, A. (1999) ‘Psychological safety and learning behavior in work teams’, </w:t>
      </w:r>
      <w:r w:rsidRPr="00117FEE">
        <w:rPr>
          <w:i/>
          <w:iCs/>
          <w:sz w:val="20"/>
          <w:szCs w:val="20"/>
        </w:rPr>
        <w:t>Administrative Science Quarterly</w:t>
      </w:r>
      <w:r w:rsidRPr="00117FEE">
        <w:rPr>
          <w:sz w:val="20"/>
          <w:szCs w:val="20"/>
        </w:rPr>
        <w:t>, 44(2), pp. 350–383.</w:t>
      </w:r>
    </w:p>
    <w:p w14:paraId="0688623F" w14:textId="77777777"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Maslow, A.H. (1943) ‘A theory of human motivation’, </w:t>
      </w:r>
      <w:r w:rsidRPr="00117FEE">
        <w:rPr>
          <w:i/>
          <w:iCs/>
          <w:sz w:val="20"/>
          <w:szCs w:val="20"/>
        </w:rPr>
        <w:t>Psychological Review</w:t>
      </w:r>
      <w:r w:rsidRPr="00117FEE">
        <w:rPr>
          <w:sz w:val="20"/>
          <w:szCs w:val="20"/>
        </w:rPr>
        <w:t>, 50(4), pp. 370–396.</w:t>
      </w:r>
    </w:p>
    <w:p w14:paraId="392DCD20" w14:textId="77777777"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McKinsey &amp; Company (2023) </w:t>
      </w:r>
      <w:r w:rsidRPr="00117FEE">
        <w:rPr>
          <w:i/>
          <w:iCs/>
          <w:sz w:val="20"/>
          <w:szCs w:val="20"/>
        </w:rPr>
        <w:t>Diversity wins: How inclusion matters</w:t>
      </w:r>
      <w:r w:rsidRPr="00117FEE">
        <w:rPr>
          <w:sz w:val="20"/>
          <w:szCs w:val="20"/>
        </w:rPr>
        <w:t>. Available at: https://www.mckinsey.com (Accessed: 4 August 2025).</w:t>
      </w:r>
    </w:p>
    <w:p w14:paraId="68DC3B66" w14:textId="71E05361"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Tajfel, H. and Turner, J.C. (1979) ‘An integrative theory of intergroup conflict’, in Austin, W.G. and Worchel, S. (eds.) </w:t>
      </w:r>
      <w:r w:rsidRPr="00117FEE">
        <w:rPr>
          <w:i/>
          <w:iCs/>
          <w:sz w:val="20"/>
          <w:szCs w:val="20"/>
        </w:rPr>
        <w:t>The Social Psychology of Intergroup Relations</w:t>
      </w:r>
      <w:r w:rsidRPr="00117FEE">
        <w:rPr>
          <w:sz w:val="20"/>
          <w:szCs w:val="20"/>
        </w:rPr>
        <w:t>. Monterey, CA: Brooks/Cole, pp. 33–47.</w:t>
      </w:r>
    </w:p>
    <w:p w14:paraId="182E1357" w14:textId="0E18D29D" w:rsidR="00117FEE" w:rsidRPr="00117FEE" w:rsidRDefault="00117FEE" w:rsidP="00117FEE">
      <w:pPr>
        <w:pStyle w:val="NormalWeb"/>
        <w:numPr>
          <w:ilvl w:val="0"/>
          <w:numId w:val="5"/>
        </w:numPr>
        <w:spacing w:after="0" w:line="240" w:lineRule="auto"/>
        <w:rPr>
          <w:rFonts w:asciiTheme="minorHAnsi" w:hAnsiTheme="minorHAnsi"/>
          <w:sz w:val="20"/>
          <w:szCs w:val="20"/>
        </w:rPr>
      </w:pPr>
      <w:r w:rsidRPr="00117FEE">
        <w:rPr>
          <w:rFonts w:asciiTheme="minorHAnsi" w:hAnsiTheme="minorHAnsi" w:cs="Arial"/>
          <w:sz w:val="20"/>
          <w:szCs w:val="20"/>
        </w:rPr>
        <w:t>Rosetta Stone. (n.d.)</w:t>
      </w:r>
      <w:r w:rsidRPr="00117FEE">
        <w:rPr>
          <w:rFonts w:asciiTheme="minorHAnsi" w:hAnsiTheme="minorHAnsi" w:cs="Arial"/>
          <w:i/>
          <w:iCs/>
          <w:sz w:val="20"/>
          <w:szCs w:val="20"/>
        </w:rPr>
        <w:t>Philip Morris International case study</w:t>
      </w:r>
      <w:r w:rsidRPr="00117FEE">
        <w:rPr>
          <w:rFonts w:asciiTheme="minorHAnsi" w:hAnsiTheme="minorHAnsi" w:cs="Arial"/>
          <w:sz w:val="20"/>
          <w:szCs w:val="20"/>
        </w:rPr>
        <w:t>. Available at:</w:t>
      </w:r>
      <w:hyperlink r:id="rId16" w:history="1">
        <w:r w:rsidRPr="00117FEE">
          <w:rPr>
            <w:rStyle w:val="Hyperlink"/>
            <w:rFonts w:asciiTheme="minorHAnsi" w:hAnsiTheme="minorHAnsi" w:cs="Arial"/>
            <w:color w:val="auto"/>
            <w:sz w:val="20"/>
            <w:szCs w:val="20"/>
          </w:rPr>
          <w:t xml:space="preserve"> https://resources.rosettastone.com/CDN/uk/pdfs/enterprise/pmi-case-study-updated.pdf</w:t>
        </w:r>
      </w:hyperlink>
      <w:r w:rsidRPr="00117FEE">
        <w:rPr>
          <w:rFonts w:asciiTheme="minorHAnsi" w:hAnsiTheme="minorHAnsi" w:cs="Arial"/>
          <w:sz w:val="20"/>
          <w:szCs w:val="20"/>
        </w:rPr>
        <w:t xml:space="preserve"> (Accessed: 3 August 2025).</w:t>
      </w:r>
    </w:p>
    <w:p w14:paraId="76C79BF7" w14:textId="4188399E" w:rsidR="00117FEE" w:rsidRPr="00117FEE" w:rsidRDefault="00117FEE" w:rsidP="00117FEE">
      <w:pPr>
        <w:pStyle w:val="NormalWeb"/>
        <w:numPr>
          <w:ilvl w:val="0"/>
          <w:numId w:val="5"/>
        </w:numPr>
        <w:spacing w:after="240" w:line="240" w:lineRule="auto"/>
        <w:rPr>
          <w:rFonts w:asciiTheme="minorHAnsi" w:hAnsiTheme="minorHAnsi"/>
          <w:sz w:val="20"/>
          <w:szCs w:val="20"/>
        </w:rPr>
      </w:pPr>
      <w:r w:rsidRPr="00117FEE">
        <w:rPr>
          <w:rFonts w:asciiTheme="minorHAnsi" w:hAnsiTheme="minorHAnsi" w:cs="Arial"/>
          <w:sz w:val="20"/>
          <w:szCs w:val="20"/>
        </w:rPr>
        <w:t xml:space="preserve">Rubin, J.P. (2011). </w:t>
      </w:r>
      <w:r w:rsidRPr="00117FEE">
        <w:rPr>
          <w:rFonts w:asciiTheme="minorHAnsi" w:hAnsiTheme="minorHAnsi" w:cs="Arial"/>
          <w:i/>
          <w:iCs/>
          <w:sz w:val="20"/>
          <w:szCs w:val="20"/>
        </w:rPr>
        <w:t>Reducing the Impact of Language Barriers</w:t>
      </w:r>
      <w:r w:rsidRPr="00117FEE">
        <w:rPr>
          <w:rFonts w:asciiTheme="minorHAnsi" w:hAnsiTheme="minorHAnsi" w:cs="Arial"/>
          <w:sz w:val="20"/>
          <w:szCs w:val="20"/>
        </w:rPr>
        <w:t>. [online] Available at: https://images.forbes.com/forbesinsights/StudyPDFs/Rosetta_Stone_Report.pdf.</w:t>
      </w:r>
    </w:p>
    <w:p w14:paraId="62B74658" w14:textId="77777777" w:rsidR="00117FEE" w:rsidRPr="00117FEE" w:rsidRDefault="00117FEE" w:rsidP="00117FEE">
      <w:pPr>
        <w:pStyle w:val="NormalWeb"/>
        <w:numPr>
          <w:ilvl w:val="0"/>
          <w:numId w:val="5"/>
        </w:numPr>
        <w:spacing w:after="240" w:line="240" w:lineRule="auto"/>
        <w:rPr>
          <w:rFonts w:asciiTheme="minorHAnsi" w:hAnsiTheme="minorHAnsi"/>
          <w:sz w:val="20"/>
          <w:szCs w:val="20"/>
        </w:rPr>
      </w:pPr>
      <w:r w:rsidRPr="00117FEE">
        <w:rPr>
          <w:rFonts w:asciiTheme="minorHAnsi" w:hAnsiTheme="minorHAnsi" w:cs="Arial"/>
          <w:sz w:val="20"/>
          <w:szCs w:val="20"/>
        </w:rPr>
        <w:t xml:space="preserve">Young, J. (2021). </w:t>
      </w:r>
      <w:r w:rsidRPr="00117FEE">
        <w:rPr>
          <w:rFonts w:asciiTheme="minorHAnsi" w:hAnsiTheme="minorHAnsi" w:cs="Arial"/>
          <w:i/>
          <w:iCs/>
          <w:sz w:val="20"/>
          <w:szCs w:val="20"/>
        </w:rPr>
        <w:t>Exploring the opportunities and challenges MANAGING MULTICULTURAL TEAMS</w:t>
      </w:r>
      <w:r w:rsidRPr="00117FEE">
        <w:rPr>
          <w:rFonts w:asciiTheme="minorHAnsi" w:hAnsiTheme="minorHAnsi" w:cs="Arial"/>
          <w:sz w:val="20"/>
          <w:szCs w:val="20"/>
        </w:rPr>
        <w:t>. [online] Available at: https://www.cipd.org/globalassets/media/knowledge/knowledge-hub/reports/managing-multicultural-teams_tcm18-94625.pdf.</w:t>
      </w:r>
    </w:p>
    <w:p w14:paraId="4FBB5A18" w14:textId="5E967904" w:rsidR="00117FEE" w:rsidRPr="00117FEE" w:rsidRDefault="00117FEE" w:rsidP="00117FEE">
      <w:pPr>
        <w:pStyle w:val="ListParagraph"/>
        <w:numPr>
          <w:ilvl w:val="0"/>
          <w:numId w:val="5"/>
        </w:numPr>
        <w:spacing w:after="240" w:line="240" w:lineRule="auto"/>
        <w:rPr>
          <w:sz w:val="20"/>
          <w:szCs w:val="20"/>
        </w:rPr>
      </w:pPr>
      <w:r w:rsidRPr="00117FEE">
        <w:rPr>
          <w:rFonts w:cs="Arial"/>
          <w:sz w:val="20"/>
          <w:szCs w:val="20"/>
        </w:rPr>
        <w:t xml:space="preserve">Kumar, A.P. (2023). Examining Strategies for Overcoming Language Barriers in International Business Communication. </w:t>
      </w:r>
      <w:r w:rsidRPr="00117FEE">
        <w:rPr>
          <w:rFonts w:cs="Arial"/>
          <w:i/>
          <w:iCs/>
          <w:sz w:val="20"/>
          <w:szCs w:val="20"/>
        </w:rPr>
        <w:t>International journal of innovative research in engineering &amp; multidisciplinary physical sciences</w:t>
      </w:r>
      <w:r w:rsidRPr="00117FEE">
        <w:rPr>
          <w:rFonts w:cs="Arial"/>
          <w:sz w:val="20"/>
          <w:szCs w:val="20"/>
        </w:rPr>
        <w:t>, 11(2). doi:https://doi.org/10.37082/ijirmps.v11.i2.230438.</w:t>
      </w:r>
    </w:p>
    <w:p w14:paraId="27A83928" w14:textId="2C159026" w:rsidR="00117FEE" w:rsidRPr="00117FEE" w:rsidRDefault="00117FEE" w:rsidP="00117FEE">
      <w:pPr>
        <w:pStyle w:val="NormalWeb"/>
        <w:numPr>
          <w:ilvl w:val="0"/>
          <w:numId w:val="5"/>
        </w:numPr>
        <w:spacing w:after="240" w:line="240" w:lineRule="auto"/>
        <w:rPr>
          <w:rFonts w:asciiTheme="minorHAnsi" w:hAnsiTheme="minorHAnsi"/>
          <w:sz w:val="20"/>
          <w:szCs w:val="20"/>
        </w:rPr>
      </w:pPr>
      <w:r w:rsidRPr="00117FEE">
        <w:rPr>
          <w:rFonts w:asciiTheme="minorHAnsi" w:hAnsiTheme="minorHAnsi" w:cs="Arial"/>
          <w:sz w:val="20"/>
          <w:szCs w:val="20"/>
        </w:rPr>
        <w:t xml:space="preserve">GOV.UK (2016). </w:t>
      </w:r>
      <w:r w:rsidRPr="00117FEE">
        <w:rPr>
          <w:rFonts w:asciiTheme="minorHAnsi" w:hAnsiTheme="minorHAnsi" w:cs="Arial"/>
          <w:i/>
          <w:iCs/>
          <w:sz w:val="20"/>
          <w:szCs w:val="20"/>
        </w:rPr>
        <w:t>Immigration Rules</w:t>
      </w:r>
      <w:r w:rsidRPr="00117FEE">
        <w:rPr>
          <w:rFonts w:asciiTheme="minorHAnsi" w:hAnsiTheme="minorHAnsi" w:cs="Arial"/>
          <w:sz w:val="20"/>
          <w:szCs w:val="20"/>
        </w:rPr>
        <w:t xml:space="preserve">. [online] GOV.UK. Available at: </w:t>
      </w:r>
      <w:hyperlink r:id="rId17" w:history="1">
        <w:r w:rsidRPr="00117FEE">
          <w:rPr>
            <w:rStyle w:val="Hyperlink"/>
            <w:rFonts w:asciiTheme="minorHAnsi" w:hAnsiTheme="minorHAnsi" w:cs="Arial"/>
            <w:sz w:val="20"/>
            <w:szCs w:val="20"/>
          </w:rPr>
          <w:t>https://www.gov.uk/guidance/immigration-rules</w:t>
        </w:r>
      </w:hyperlink>
      <w:r w:rsidRPr="00117FEE">
        <w:rPr>
          <w:rFonts w:asciiTheme="minorHAnsi" w:hAnsiTheme="minorHAnsi" w:cs="Arial"/>
          <w:sz w:val="20"/>
          <w:szCs w:val="20"/>
        </w:rPr>
        <w:t>.</w:t>
      </w:r>
    </w:p>
    <w:p w14:paraId="08C159B9" w14:textId="0D932ECC" w:rsidR="00117FEE" w:rsidRPr="00117FEE" w:rsidRDefault="00117FEE" w:rsidP="00117FEE">
      <w:pPr>
        <w:pStyle w:val="NormalWeb"/>
        <w:numPr>
          <w:ilvl w:val="0"/>
          <w:numId w:val="5"/>
        </w:numPr>
        <w:spacing w:after="240" w:line="240" w:lineRule="auto"/>
        <w:rPr>
          <w:rFonts w:asciiTheme="minorHAnsi" w:hAnsiTheme="minorHAnsi"/>
          <w:sz w:val="20"/>
          <w:szCs w:val="20"/>
        </w:rPr>
      </w:pPr>
      <w:r w:rsidRPr="00117FEE">
        <w:rPr>
          <w:rFonts w:asciiTheme="minorHAnsi" w:hAnsiTheme="minorHAnsi" w:cs="Arial"/>
          <w:sz w:val="20"/>
          <w:szCs w:val="20"/>
        </w:rPr>
        <w:t xml:space="preserve">GOV.UK. (n.d.). </w:t>
      </w:r>
      <w:r w:rsidRPr="00117FEE">
        <w:rPr>
          <w:rFonts w:asciiTheme="minorHAnsi" w:hAnsiTheme="minorHAnsi" w:cs="Arial"/>
          <w:i/>
          <w:iCs/>
          <w:sz w:val="20"/>
          <w:szCs w:val="20"/>
        </w:rPr>
        <w:t>Skilled Worker visa</w:t>
      </w:r>
      <w:r w:rsidRPr="00117FEE">
        <w:rPr>
          <w:rFonts w:asciiTheme="minorHAnsi" w:hAnsiTheme="minorHAnsi" w:cs="Arial"/>
          <w:sz w:val="20"/>
          <w:szCs w:val="20"/>
        </w:rPr>
        <w:t xml:space="preserve">. [online] Available at: </w:t>
      </w:r>
      <w:hyperlink r:id="rId18" w:history="1">
        <w:r w:rsidRPr="00117FEE">
          <w:rPr>
            <w:rStyle w:val="Hyperlink"/>
            <w:rFonts w:asciiTheme="minorHAnsi" w:hAnsiTheme="minorHAnsi" w:cs="Arial"/>
            <w:sz w:val="20"/>
            <w:szCs w:val="20"/>
          </w:rPr>
          <w:t>https://www.gov.uk/skilled-worker-visa/knowledge-of-english</w:t>
        </w:r>
      </w:hyperlink>
      <w:r w:rsidRPr="00117FEE">
        <w:rPr>
          <w:rFonts w:asciiTheme="minorHAnsi" w:hAnsiTheme="minorHAnsi" w:cs="Arial"/>
          <w:sz w:val="20"/>
          <w:szCs w:val="20"/>
        </w:rPr>
        <w:t>.</w:t>
      </w:r>
    </w:p>
    <w:p w14:paraId="2425B586" w14:textId="4AB7D856" w:rsidR="00117FEE" w:rsidRPr="00117FEE" w:rsidRDefault="00117FEE" w:rsidP="00117FEE">
      <w:pPr>
        <w:pStyle w:val="NormalWeb"/>
        <w:numPr>
          <w:ilvl w:val="0"/>
          <w:numId w:val="5"/>
        </w:numPr>
        <w:spacing w:after="240" w:line="240" w:lineRule="auto"/>
        <w:rPr>
          <w:rFonts w:asciiTheme="minorHAnsi" w:hAnsiTheme="minorHAnsi"/>
          <w:sz w:val="20"/>
          <w:szCs w:val="20"/>
        </w:rPr>
      </w:pPr>
      <w:r w:rsidRPr="00117FEE">
        <w:rPr>
          <w:rFonts w:asciiTheme="minorHAnsi" w:hAnsiTheme="minorHAnsi"/>
          <w:sz w:val="20"/>
          <w:szCs w:val="20"/>
        </w:rPr>
        <w:t xml:space="preserve">Brown, R. (2018). </w:t>
      </w:r>
      <w:r w:rsidRPr="00117FEE">
        <w:rPr>
          <w:rFonts w:asciiTheme="minorHAnsi" w:hAnsiTheme="minorHAnsi"/>
          <w:i/>
          <w:iCs/>
          <w:sz w:val="20"/>
          <w:szCs w:val="20"/>
        </w:rPr>
        <w:t>The data protection implications of using AI in recruitment</w:t>
      </w:r>
      <w:r w:rsidRPr="00117FEE">
        <w:rPr>
          <w:rFonts w:asciiTheme="minorHAnsi" w:hAnsiTheme="minorHAnsi"/>
          <w:sz w:val="20"/>
          <w:szCs w:val="20"/>
        </w:rPr>
        <w:t>. [online] www.peoplemanagement.co.uk. Available at: https://www.peoplemanagement.co.uk/article/1743398/data-protection-implications-using-ai-recruitment.</w:t>
      </w:r>
    </w:p>
    <w:p w14:paraId="5CC0F6E9" w14:textId="367B1CE2"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CIPD (2025). </w:t>
      </w:r>
      <w:r w:rsidRPr="00117FEE">
        <w:rPr>
          <w:i/>
          <w:iCs/>
          <w:sz w:val="20"/>
          <w:szCs w:val="20"/>
        </w:rPr>
        <w:t>CIPD | Preparing Your Organisation for AI Use</w:t>
      </w:r>
      <w:r w:rsidRPr="00117FEE">
        <w:rPr>
          <w:sz w:val="20"/>
          <w:szCs w:val="20"/>
        </w:rPr>
        <w:t>. [online] CIPD. Available at: https://www.cipd.org/uk/knowledge/guides/preparing-organisation-ai-use/.</w:t>
      </w:r>
    </w:p>
    <w:p w14:paraId="66ADB556" w14:textId="3BCD4BD3" w:rsidR="00117FEE" w:rsidRPr="00117FEE" w:rsidRDefault="00117FEE" w:rsidP="00117FEE">
      <w:pPr>
        <w:pStyle w:val="ListParagraph"/>
        <w:numPr>
          <w:ilvl w:val="0"/>
          <w:numId w:val="5"/>
        </w:numPr>
        <w:spacing w:line="240" w:lineRule="auto"/>
        <w:rPr>
          <w:sz w:val="20"/>
          <w:szCs w:val="20"/>
        </w:rPr>
      </w:pPr>
      <w:r w:rsidRPr="00117FEE">
        <w:rPr>
          <w:sz w:val="20"/>
          <w:szCs w:val="20"/>
        </w:rPr>
        <w:lastRenderedPageBreak/>
        <w:t xml:space="preserve">Overton, L. (2024). </w:t>
      </w:r>
      <w:r w:rsidRPr="00117FEE">
        <w:rPr>
          <w:i/>
          <w:iCs/>
          <w:sz w:val="20"/>
          <w:szCs w:val="20"/>
        </w:rPr>
        <w:t>CIPD | How L&amp;D can create value: Leveraging technologies to organisational advantage</w:t>
      </w:r>
      <w:r w:rsidRPr="00117FEE">
        <w:rPr>
          <w:sz w:val="20"/>
          <w:szCs w:val="20"/>
        </w:rPr>
        <w:t xml:space="preserve">. [online] CIPD. Available at: </w:t>
      </w:r>
      <w:hyperlink r:id="rId19" w:history="1">
        <w:r w:rsidRPr="00117FEE">
          <w:rPr>
            <w:rStyle w:val="Hyperlink"/>
            <w:color w:val="auto"/>
            <w:sz w:val="20"/>
            <w:szCs w:val="20"/>
          </w:rPr>
          <w:t>https://www.cipd.org/en/views-and-insights/thought-leadership/insight/learning-value-technology/</w:t>
        </w:r>
      </w:hyperlink>
      <w:r w:rsidRPr="00117FEE">
        <w:rPr>
          <w:sz w:val="20"/>
          <w:szCs w:val="20"/>
        </w:rPr>
        <w:t>.</w:t>
      </w:r>
    </w:p>
    <w:p w14:paraId="6304362F" w14:textId="1F14596F"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Southern, M.G. (2023). Generative AI Explodes: 77.8M Users In Just Two Years, Double The Rate of Tablets. </w:t>
      </w:r>
      <w:r w:rsidRPr="00117FEE">
        <w:rPr>
          <w:i/>
          <w:iCs/>
          <w:sz w:val="20"/>
          <w:szCs w:val="20"/>
        </w:rPr>
        <w:t>Searchenginejournal.com</w:t>
      </w:r>
      <w:r w:rsidRPr="00117FEE">
        <w:rPr>
          <w:sz w:val="20"/>
          <w:szCs w:val="20"/>
        </w:rPr>
        <w:t xml:space="preserve">. [online] 14 Aug. Available at: </w:t>
      </w:r>
      <w:hyperlink r:id="rId20" w:history="1">
        <w:r w:rsidRPr="00117FEE">
          <w:rPr>
            <w:rStyle w:val="Hyperlink"/>
            <w:color w:val="auto"/>
            <w:sz w:val="20"/>
            <w:szCs w:val="20"/>
          </w:rPr>
          <w:t>https://www.searchenginejournal.com/generative-ai-adoption-rate-eclipsing-smartphones-tablets/493857/</w:t>
        </w:r>
      </w:hyperlink>
      <w:r w:rsidRPr="00117FEE">
        <w:rPr>
          <w:sz w:val="20"/>
          <w:szCs w:val="20"/>
        </w:rPr>
        <w:t>.</w:t>
      </w:r>
    </w:p>
    <w:p w14:paraId="339F91FA" w14:textId="77777777" w:rsidR="00117FEE" w:rsidRPr="00117FEE" w:rsidRDefault="00117FEE" w:rsidP="00117FEE">
      <w:pPr>
        <w:pStyle w:val="ListParagraph"/>
        <w:numPr>
          <w:ilvl w:val="0"/>
          <w:numId w:val="5"/>
        </w:numPr>
        <w:spacing w:line="240" w:lineRule="auto"/>
        <w:rPr>
          <w:sz w:val="20"/>
          <w:szCs w:val="20"/>
        </w:rPr>
      </w:pPr>
      <w:r w:rsidRPr="00117FEE">
        <w:rPr>
          <w:sz w:val="20"/>
          <w:szCs w:val="20"/>
        </w:rPr>
        <w:t xml:space="preserve">Delany, K. and Tregaskis, O. (2019). </w:t>
      </w:r>
      <w:r w:rsidRPr="00117FEE">
        <w:rPr>
          <w:i/>
          <w:iCs/>
          <w:sz w:val="20"/>
          <w:szCs w:val="20"/>
        </w:rPr>
        <w:t>CIPD | Building a more strategic role for HR</w:t>
      </w:r>
      <w:r w:rsidRPr="00117FEE">
        <w:rPr>
          <w:sz w:val="20"/>
          <w:szCs w:val="20"/>
        </w:rPr>
        <w:t xml:space="preserve">. [online] CIPD. Available at: </w:t>
      </w:r>
      <w:hyperlink r:id="rId21" w:history="1">
        <w:r w:rsidRPr="00117FEE">
          <w:rPr>
            <w:rStyle w:val="Hyperlink"/>
            <w:color w:val="auto"/>
            <w:sz w:val="20"/>
            <w:szCs w:val="20"/>
          </w:rPr>
          <w:t>https://www.cipd.org/en/knowledge/bitesize-research/building-strategic-hr/</w:t>
        </w:r>
      </w:hyperlink>
      <w:r w:rsidRPr="00117FEE">
        <w:rPr>
          <w:sz w:val="20"/>
          <w:szCs w:val="20"/>
        </w:rPr>
        <w:t>.</w:t>
      </w:r>
    </w:p>
    <w:p w14:paraId="2628BFFF" w14:textId="0BAFE2B0" w:rsidR="00117FEE" w:rsidRPr="00117FEE" w:rsidRDefault="00117FEE" w:rsidP="00117FEE">
      <w:pPr>
        <w:spacing w:line="240" w:lineRule="auto"/>
        <w:rPr>
          <w:sz w:val="20"/>
          <w:szCs w:val="20"/>
        </w:rPr>
      </w:pPr>
    </w:p>
    <w:p w14:paraId="75C6EB62" w14:textId="77777777" w:rsidR="00117FEE" w:rsidRPr="00117FEE" w:rsidRDefault="00117FEE" w:rsidP="00117FEE">
      <w:pPr>
        <w:spacing w:line="240" w:lineRule="auto"/>
        <w:rPr>
          <w:sz w:val="20"/>
          <w:szCs w:val="20"/>
        </w:rPr>
      </w:pPr>
    </w:p>
    <w:p w14:paraId="7EE0FA4C" w14:textId="77777777" w:rsidR="00DC42A4" w:rsidRPr="00DC42A4" w:rsidRDefault="00DC42A4" w:rsidP="00DC42A4"/>
    <w:p w14:paraId="54877C34" w14:textId="77777777" w:rsidR="00DC42A4" w:rsidRDefault="00DC42A4"/>
    <w:sectPr w:rsidR="00DC42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DFA05" w14:textId="77777777" w:rsidR="00465C88" w:rsidRDefault="00465C88" w:rsidP="008D70E7">
      <w:pPr>
        <w:spacing w:after="0" w:line="240" w:lineRule="auto"/>
      </w:pPr>
      <w:r>
        <w:separator/>
      </w:r>
    </w:p>
  </w:endnote>
  <w:endnote w:type="continuationSeparator" w:id="0">
    <w:p w14:paraId="1B94E908" w14:textId="77777777" w:rsidR="00465C88" w:rsidRDefault="00465C88" w:rsidP="008D7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AA307" w14:textId="77777777" w:rsidR="00465C88" w:rsidRDefault="00465C88" w:rsidP="008D70E7">
      <w:pPr>
        <w:spacing w:after="0" w:line="240" w:lineRule="auto"/>
      </w:pPr>
      <w:r>
        <w:separator/>
      </w:r>
    </w:p>
  </w:footnote>
  <w:footnote w:type="continuationSeparator" w:id="0">
    <w:p w14:paraId="6E5B4A6B" w14:textId="77777777" w:rsidR="00465C88" w:rsidRDefault="00465C88" w:rsidP="008D7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8402A"/>
    <w:multiLevelType w:val="hybridMultilevel"/>
    <w:tmpl w:val="88F6F10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563871"/>
    <w:multiLevelType w:val="hybridMultilevel"/>
    <w:tmpl w:val="F09C485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8127D8"/>
    <w:multiLevelType w:val="hybridMultilevel"/>
    <w:tmpl w:val="D5E66A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268618C"/>
    <w:multiLevelType w:val="hybridMultilevel"/>
    <w:tmpl w:val="D5E66A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F7F2CDA"/>
    <w:multiLevelType w:val="hybridMultilevel"/>
    <w:tmpl w:val="D5E66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6416871">
    <w:abstractNumId w:val="4"/>
  </w:num>
  <w:num w:numId="2" w16cid:durableId="3748792">
    <w:abstractNumId w:val="3"/>
  </w:num>
  <w:num w:numId="3" w16cid:durableId="1138523806">
    <w:abstractNumId w:val="2"/>
  </w:num>
  <w:num w:numId="4" w16cid:durableId="501164328">
    <w:abstractNumId w:val="1"/>
  </w:num>
  <w:num w:numId="5" w16cid:durableId="83454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2A4"/>
    <w:rsid w:val="000A0FD2"/>
    <w:rsid w:val="00117FEE"/>
    <w:rsid w:val="001718BC"/>
    <w:rsid w:val="00465C88"/>
    <w:rsid w:val="008D70E7"/>
    <w:rsid w:val="00AA2968"/>
    <w:rsid w:val="00C36BF9"/>
    <w:rsid w:val="00DC42A4"/>
    <w:rsid w:val="00DD558F"/>
    <w:rsid w:val="00EE0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08DFF"/>
  <w15:chartTrackingRefBased/>
  <w15:docId w15:val="{BECAAE3F-5884-4230-ABFC-DF373E9C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2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42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42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42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42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42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2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2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2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2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42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42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42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42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42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2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2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2A4"/>
    <w:rPr>
      <w:rFonts w:eastAsiaTheme="majorEastAsia" w:cstheme="majorBidi"/>
      <w:color w:val="272727" w:themeColor="text1" w:themeTint="D8"/>
    </w:rPr>
  </w:style>
  <w:style w:type="paragraph" w:styleId="Title">
    <w:name w:val="Title"/>
    <w:basedOn w:val="Normal"/>
    <w:next w:val="Normal"/>
    <w:link w:val="TitleChar"/>
    <w:uiPriority w:val="10"/>
    <w:qFormat/>
    <w:rsid w:val="00DC42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2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2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2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2A4"/>
    <w:pPr>
      <w:spacing w:before="160"/>
      <w:jc w:val="center"/>
    </w:pPr>
    <w:rPr>
      <w:i/>
      <w:iCs/>
      <w:color w:val="404040" w:themeColor="text1" w:themeTint="BF"/>
    </w:rPr>
  </w:style>
  <w:style w:type="character" w:customStyle="1" w:styleId="QuoteChar">
    <w:name w:val="Quote Char"/>
    <w:basedOn w:val="DefaultParagraphFont"/>
    <w:link w:val="Quote"/>
    <w:uiPriority w:val="29"/>
    <w:rsid w:val="00DC42A4"/>
    <w:rPr>
      <w:i/>
      <w:iCs/>
      <w:color w:val="404040" w:themeColor="text1" w:themeTint="BF"/>
    </w:rPr>
  </w:style>
  <w:style w:type="paragraph" w:styleId="ListParagraph">
    <w:name w:val="List Paragraph"/>
    <w:basedOn w:val="Normal"/>
    <w:uiPriority w:val="34"/>
    <w:qFormat/>
    <w:rsid w:val="00DC42A4"/>
    <w:pPr>
      <w:ind w:left="720"/>
      <w:contextualSpacing/>
    </w:pPr>
  </w:style>
  <w:style w:type="character" w:styleId="IntenseEmphasis">
    <w:name w:val="Intense Emphasis"/>
    <w:basedOn w:val="DefaultParagraphFont"/>
    <w:uiPriority w:val="21"/>
    <w:qFormat/>
    <w:rsid w:val="00DC42A4"/>
    <w:rPr>
      <w:i/>
      <w:iCs/>
      <w:color w:val="0F4761" w:themeColor="accent1" w:themeShade="BF"/>
    </w:rPr>
  </w:style>
  <w:style w:type="paragraph" w:styleId="IntenseQuote">
    <w:name w:val="Intense Quote"/>
    <w:basedOn w:val="Normal"/>
    <w:next w:val="Normal"/>
    <w:link w:val="IntenseQuoteChar"/>
    <w:uiPriority w:val="30"/>
    <w:qFormat/>
    <w:rsid w:val="00DC42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42A4"/>
    <w:rPr>
      <w:i/>
      <w:iCs/>
      <w:color w:val="0F4761" w:themeColor="accent1" w:themeShade="BF"/>
    </w:rPr>
  </w:style>
  <w:style w:type="character" w:styleId="IntenseReference">
    <w:name w:val="Intense Reference"/>
    <w:basedOn w:val="DefaultParagraphFont"/>
    <w:uiPriority w:val="32"/>
    <w:qFormat/>
    <w:rsid w:val="00DC42A4"/>
    <w:rPr>
      <w:b/>
      <w:bCs/>
      <w:smallCaps/>
      <w:color w:val="0F4761" w:themeColor="accent1" w:themeShade="BF"/>
      <w:spacing w:val="5"/>
    </w:rPr>
  </w:style>
  <w:style w:type="paragraph" w:styleId="NormalWeb">
    <w:name w:val="Normal (Web)"/>
    <w:basedOn w:val="Normal"/>
    <w:uiPriority w:val="99"/>
    <w:unhideWhenUsed/>
    <w:rsid w:val="00DC42A4"/>
    <w:rPr>
      <w:rFonts w:ascii="Times New Roman" w:hAnsi="Times New Roman" w:cs="Times New Roman"/>
    </w:rPr>
  </w:style>
  <w:style w:type="character" w:styleId="Hyperlink">
    <w:name w:val="Hyperlink"/>
    <w:basedOn w:val="DefaultParagraphFont"/>
    <w:uiPriority w:val="99"/>
    <w:unhideWhenUsed/>
    <w:rsid w:val="00DC42A4"/>
    <w:rPr>
      <w:color w:val="467886" w:themeColor="hyperlink"/>
      <w:u w:val="single"/>
    </w:rPr>
  </w:style>
  <w:style w:type="character" w:styleId="UnresolvedMention">
    <w:name w:val="Unresolved Mention"/>
    <w:basedOn w:val="DefaultParagraphFont"/>
    <w:uiPriority w:val="99"/>
    <w:semiHidden/>
    <w:unhideWhenUsed/>
    <w:rsid w:val="00DC42A4"/>
    <w:rPr>
      <w:color w:val="605E5C"/>
      <w:shd w:val="clear" w:color="auto" w:fill="E1DFDD"/>
    </w:rPr>
  </w:style>
  <w:style w:type="paragraph" w:styleId="Header">
    <w:name w:val="header"/>
    <w:basedOn w:val="Normal"/>
    <w:link w:val="HeaderChar"/>
    <w:uiPriority w:val="99"/>
    <w:unhideWhenUsed/>
    <w:rsid w:val="008D7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0E7"/>
  </w:style>
  <w:style w:type="paragraph" w:styleId="Footer">
    <w:name w:val="footer"/>
    <w:basedOn w:val="Normal"/>
    <w:link w:val="FooterChar"/>
    <w:uiPriority w:val="99"/>
    <w:unhideWhenUsed/>
    <w:rsid w:val="008D7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0E7"/>
  </w:style>
  <w:style w:type="table" w:styleId="TableGrid">
    <w:name w:val="Table Grid"/>
    <w:basedOn w:val="TableNormal"/>
    <w:uiPriority w:val="39"/>
    <w:rsid w:val="008D7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2440">
      <w:bodyDiv w:val="1"/>
      <w:marLeft w:val="0"/>
      <w:marRight w:val="0"/>
      <w:marTop w:val="0"/>
      <w:marBottom w:val="0"/>
      <w:divBdr>
        <w:top w:val="none" w:sz="0" w:space="0" w:color="auto"/>
        <w:left w:val="none" w:sz="0" w:space="0" w:color="auto"/>
        <w:bottom w:val="none" w:sz="0" w:space="0" w:color="auto"/>
        <w:right w:val="none" w:sz="0" w:space="0" w:color="auto"/>
      </w:divBdr>
    </w:div>
    <w:div w:id="116946358">
      <w:bodyDiv w:val="1"/>
      <w:marLeft w:val="0"/>
      <w:marRight w:val="0"/>
      <w:marTop w:val="0"/>
      <w:marBottom w:val="0"/>
      <w:divBdr>
        <w:top w:val="none" w:sz="0" w:space="0" w:color="auto"/>
        <w:left w:val="none" w:sz="0" w:space="0" w:color="auto"/>
        <w:bottom w:val="none" w:sz="0" w:space="0" w:color="auto"/>
        <w:right w:val="none" w:sz="0" w:space="0" w:color="auto"/>
      </w:divBdr>
    </w:div>
    <w:div w:id="202904626">
      <w:bodyDiv w:val="1"/>
      <w:marLeft w:val="0"/>
      <w:marRight w:val="0"/>
      <w:marTop w:val="0"/>
      <w:marBottom w:val="0"/>
      <w:divBdr>
        <w:top w:val="none" w:sz="0" w:space="0" w:color="auto"/>
        <w:left w:val="none" w:sz="0" w:space="0" w:color="auto"/>
        <w:bottom w:val="none" w:sz="0" w:space="0" w:color="auto"/>
        <w:right w:val="none" w:sz="0" w:space="0" w:color="auto"/>
      </w:divBdr>
    </w:div>
    <w:div w:id="210581398">
      <w:bodyDiv w:val="1"/>
      <w:marLeft w:val="0"/>
      <w:marRight w:val="0"/>
      <w:marTop w:val="0"/>
      <w:marBottom w:val="0"/>
      <w:divBdr>
        <w:top w:val="none" w:sz="0" w:space="0" w:color="auto"/>
        <w:left w:val="none" w:sz="0" w:space="0" w:color="auto"/>
        <w:bottom w:val="none" w:sz="0" w:space="0" w:color="auto"/>
        <w:right w:val="none" w:sz="0" w:space="0" w:color="auto"/>
      </w:divBdr>
    </w:div>
    <w:div w:id="226844153">
      <w:bodyDiv w:val="1"/>
      <w:marLeft w:val="0"/>
      <w:marRight w:val="0"/>
      <w:marTop w:val="0"/>
      <w:marBottom w:val="0"/>
      <w:divBdr>
        <w:top w:val="none" w:sz="0" w:space="0" w:color="auto"/>
        <w:left w:val="none" w:sz="0" w:space="0" w:color="auto"/>
        <w:bottom w:val="none" w:sz="0" w:space="0" w:color="auto"/>
        <w:right w:val="none" w:sz="0" w:space="0" w:color="auto"/>
      </w:divBdr>
    </w:div>
    <w:div w:id="256181167">
      <w:bodyDiv w:val="1"/>
      <w:marLeft w:val="0"/>
      <w:marRight w:val="0"/>
      <w:marTop w:val="0"/>
      <w:marBottom w:val="0"/>
      <w:divBdr>
        <w:top w:val="none" w:sz="0" w:space="0" w:color="auto"/>
        <w:left w:val="none" w:sz="0" w:space="0" w:color="auto"/>
        <w:bottom w:val="none" w:sz="0" w:space="0" w:color="auto"/>
        <w:right w:val="none" w:sz="0" w:space="0" w:color="auto"/>
      </w:divBdr>
    </w:div>
    <w:div w:id="354968038">
      <w:bodyDiv w:val="1"/>
      <w:marLeft w:val="0"/>
      <w:marRight w:val="0"/>
      <w:marTop w:val="0"/>
      <w:marBottom w:val="0"/>
      <w:divBdr>
        <w:top w:val="none" w:sz="0" w:space="0" w:color="auto"/>
        <w:left w:val="none" w:sz="0" w:space="0" w:color="auto"/>
        <w:bottom w:val="none" w:sz="0" w:space="0" w:color="auto"/>
        <w:right w:val="none" w:sz="0" w:space="0" w:color="auto"/>
      </w:divBdr>
    </w:div>
    <w:div w:id="382601674">
      <w:bodyDiv w:val="1"/>
      <w:marLeft w:val="0"/>
      <w:marRight w:val="0"/>
      <w:marTop w:val="0"/>
      <w:marBottom w:val="0"/>
      <w:divBdr>
        <w:top w:val="none" w:sz="0" w:space="0" w:color="auto"/>
        <w:left w:val="none" w:sz="0" w:space="0" w:color="auto"/>
        <w:bottom w:val="none" w:sz="0" w:space="0" w:color="auto"/>
        <w:right w:val="none" w:sz="0" w:space="0" w:color="auto"/>
      </w:divBdr>
    </w:div>
    <w:div w:id="438330793">
      <w:bodyDiv w:val="1"/>
      <w:marLeft w:val="0"/>
      <w:marRight w:val="0"/>
      <w:marTop w:val="0"/>
      <w:marBottom w:val="0"/>
      <w:divBdr>
        <w:top w:val="none" w:sz="0" w:space="0" w:color="auto"/>
        <w:left w:val="none" w:sz="0" w:space="0" w:color="auto"/>
        <w:bottom w:val="none" w:sz="0" w:space="0" w:color="auto"/>
        <w:right w:val="none" w:sz="0" w:space="0" w:color="auto"/>
      </w:divBdr>
    </w:div>
    <w:div w:id="500436661">
      <w:bodyDiv w:val="1"/>
      <w:marLeft w:val="0"/>
      <w:marRight w:val="0"/>
      <w:marTop w:val="0"/>
      <w:marBottom w:val="0"/>
      <w:divBdr>
        <w:top w:val="none" w:sz="0" w:space="0" w:color="auto"/>
        <w:left w:val="none" w:sz="0" w:space="0" w:color="auto"/>
        <w:bottom w:val="none" w:sz="0" w:space="0" w:color="auto"/>
        <w:right w:val="none" w:sz="0" w:space="0" w:color="auto"/>
      </w:divBdr>
    </w:div>
    <w:div w:id="548802612">
      <w:bodyDiv w:val="1"/>
      <w:marLeft w:val="0"/>
      <w:marRight w:val="0"/>
      <w:marTop w:val="0"/>
      <w:marBottom w:val="0"/>
      <w:divBdr>
        <w:top w:val="none" w:sz="0" w:space="0" w:color="auto"/>
        <w:left w:val="none" w:sz="0" w:space="0" w:color="auto"/>
        <w:bottom w:val="none" w:sz="0" w:space="0" w:color="auto"/>
        <w:right w:val="none" w:sz="0" w:space="0" w:color="auto"/>
      </w:divBdr>
    </w:div>
    <w:div w:id="727850171">
      <w:bodyDiv w:val="1"/>
      <w:marLeft w:val="0"/>
      <w:marRight w:val="0"/>
      <w:marTop w:val="0"/>
      <w:marBottom w:val="0"/>
      <w:divBdr>
        <w:top w:val="none" w:sz="0" w:space="0" w:color="auto"/>
        <w:left w:val="none" w:sz="0" w:space="0" w:color="auto"/>
        <w:bottom w:val="none" w:sz="0" w:space="0" w:color="auto"/>
        <w:right w:val="none" w:sz="0" w:space="0" w:color="auto"/>
      </w:divBdr>
    </w:div>
    <w:div w:id="731542700">
      <w:bodyDiv w:val="1"/>
      <w:marLeft w:val="0"/>
      <w:marRight w:val="0"/>
      <w:marTop w:val="0"/>
      <w:marBottom w:val="0"/>
      <w:divBdr>
        <w:top w:val="none" w:sz="0" w:space="0" w:color="auto"/>
        <w:left w:val="none" w:sz="0" w:space="0" w:color="auto"/>
        <w:bottom w:val="none" w:sz="0" w:space="0" w:color="auto"/>
        <w:right w:val="none" w:sz="0" w:space="0" w:color="auto"/>
      </w:divBdr>
    </w:div>
    <w:div w:id="776339936">
      <w:bodyDiv w:val="1"/>
      <w:marLeft w:val="0"/>
      <w:marRight w:val="0"/>
      <w:marTop w:val="0"/>
      <w:marBottom w:val="0"/>
      <w:divBdr>
        <w:top w:val="none" w:sz="0" w:space="0" w:color="auto"/>
        <w:left w:val="none" w:sz="0" w:space="0" w:color="auto"/>
        <w:bottom w:val="none" w:sz="0" w:space="0" w:color="auto"/>
        <w:right w:val="none" w:sz="0" w:space="0" w:color="auto"/>
      </w:divBdr>
    </w:div>
    <w:div w:id="890194535">
      <w:bodyDiv w:val="1"/>
      <w:marLeft w:val="0"/>
      <w:marRight w:val="0"/>
      <w:marTop w:val="0"/>
      <w:marBottom w:val="0"/>
      <w:divBdr>
        <w:top w:val="none" w:sz="0" w:space="0" w:color="auto"/>
        <w:left w:val="none" w:sz="0" w:space="0" w:color="auto"/>
        <w:bottom w:val="none" w:sz="0" w:space="0" w:color="auto"/>
        <w:right w:val="none" w:sz="0" w:space="0" w:color="auto"/>
      </w:divBdr>
    </w:div>
    <w:div w:id="1008949669">
      <w:bodyDiv w:val="1"/>
      <w:marLeft w:val="0"/>
      <w:marRight w:val="0"/>
      <w:marTop w:val="0"/>
      <w:marBottom w:val="0"/>
      <w:divBdr>
        <w:top w:val="none" w:sz="0" w:space="0" w:color="auto"/>
        <w:left w:val="none" w:sz="0" w:space="0" w:color="auto"/>
        <w:bottom w:val="none" w:sz="0" w:space="0" w:color="auto"/>
        <w:right w:val="none" w:sz="0" w:space="0" w:color="auto"/>
      </w:divBdr>
    </w:div>
    <w:div w:id="1071850420">
      <w:bodyDiv w:val="1"/>
      <w:marLeft w:val="0"/>
      <w:marRight w:val="0"/>
      <w:marTop w:val="0"/>
      <w:marBottom w:val="0"/>
      <w:divBdr>
        <w:top w:val="none" w:sz="0" w:space="0" w:color="auto"/>
        <w:left w:val="none" w:sz="0" w:space="0" w:color="auto"/>
        <w:bottom w:val="none" w:sz="0" w:space="0" w:color="auto"/>
        <w:right w:val="none" w:sz="0" w:space="0" w:color="auto"/>
      </w:divBdr>
    </w:div>
    <w:div w:id="1142505366">
      <w:bodyDiv w:val="1"/>
      <w:marLeft w:val="0"/>
      <w:marRight w:val="0"/>
      <w:marTop w:val="0"/>
      <w:marBottom w:val="0"/>
      <w:divBdr>
        <w:top w:val="none" w:sz="0" w:space="0" w:color="auto"/>
        <w:left w:val="none" w:sz="0" w:space="0" w:color="auto"/>
        <w:bottom w:val="none" w:sz="0" w:space="0" w:color="auto"/>
        <w:right w:val="none" w:sz="0" w:space="0" w:color="auto"/>
      </w:divBdr>
    </w:div>
    <w:div w:id="1233588773">
      <w:bodyDiv w:val="1"/>
      <w:marLeft w:val="0"/>
      <w:marRight w:val="0"/>
      <w:marTop w:val="0"/>
      <w:marBottom w:val="0"/>
      <w:divBdr>
        <w:top w:val="none" w:sz="0" w:space="0" w:color="auto"/>
        <w:left w:val="none" w:sz="0" w:space="0" w:color="auto"/>
        <w:bottom w:val="none" w:sz="0" w:space="0" w:color="auto"/>
        <w:right w:val="none" w:sz="0" w:space="0" w:color="auto"/>
      </w:divBdr>
    </w:div>
    <w:div w:id="1395662878">
      <w:bodyDiv w:val="1"/>
      <w:marLeft w:val="0"/>
      <w:marRight w:val="0"/>
      <w:marTop w:val="0"/>
      <w:marBottom w:val="0"/>
      <w:divBdr>
        <w:top w:val="none" w:sz="0" w:space="0" w:color="auto"/>
        <w:left w:val="none" w:sz="0" w:space="0" w:color="auto"/>
        <w:bottom w:val="none" w:sz="0" w:space="0" w:color="auto"/>
        <w:right w:val="none" w:sz="0" w:space="0" w:color="auto"/>
      </w:divBdr>
    </w:div>
    <w:div w:id="1426266826">
      <w:bodyDiv w:val="1"/>
      <w:marLeft w:val="0"/>
      <w:marRight w:val="0"/>
      <w:marTop w:val="0"/>
      <w:marBottom w:val="0"/>
      <w:divBdr>
        <w:top w:val="none" w:sz="0" w:space="0" w:color="auto"/>
        <w:left w:val="none" w:sz="0" w:space="0" w:color="auto"/>
        <w:bottom w:val="none" w:sz="0" w:space="0" w:color="auto"/>
        <w:right w:val="none" w:sz="0" w:space="0" w:color="auto"/>
      </w:divBdr>
    </w:div>
    <w:div w:id="1442190102">
      <w:bodyDiv w:val="1"/>
      <w:marLeft w:val="0"/>
      <w:marRight w:val="0"/>
      <w:marTop w:val="0"/>
      <w:marBottom w:val="0"/>
      <w:divBdr>
        <w:top w:val="none" w:sz="0" w:space="0" w:color="auto"/>
        <w:left w:val="none" w:sz="0" w:space="0" w:color="auto"/>
        <w:bottom w:val="none" w:sz="0" w:space="0" w:color="auto"/>
        <w:right w:val="none" w:sz="0" w:space="0" w:color="auto"/>
      </w:divBdr>
    </w:div>
    <w:div w:id="1458135842">
      <w:bodyDiv w:val="1"/>
      <w:marLeft w:val="0"/>
      <w:marRight w:val="0"/>
      <w:marTop w:val="0"/>
      <w:marBottom w:val="0"/>
      <w:divBdr>
        <w:top w:val="none" w:sz="0" w:space="0" w:color="auto"/>
        <w:left w:val="none" w:sz="0" w:space="0" w:color="auto"/>
        <w:bottom w:val="none" w:sz="0" w:space="0" w:color="auto"/>
        <w:right w:val="none" w:sz="0" w:space="0" w:color="auto"/>
      </w:divBdr>
    </w:div>
    <w:div w:id="1481192471">
      <w:bodyDiv w:val="1"/>
      <w:marLeft w:val="0"/>
      <w:marRight w:val="0"/>
      <w:marTop w:val="0"/>
      <w:marBottom w:val="0"/>
      <w:divBdr>
        <w:top w:val="none" w:sz="0" w:space="0" w:color="auto"/>
        <w:left w:val="none" w:sz="0" w:space="0" w:color="auto"/>
        <w:bottom w:val="none" w:sz="0" w:space="0" w:color="auto"/>
        <w:right w:val="none" w:sz="0" w:space="0" w:color="auto"/>
      </w:divBdr>
    </w:div>
    <w:div w:id="1485464097">
      <w:bodyDiv w:val="1"/>
      <w:marLeft w:val="0"/>
      <w:marRight w:val="0"/>
      <w:marTop w:val="0"/>
      <w:marBottom w:val="0"/>
      <w:divBdr>
        <w:top w:val="none" w:sz="0" w:space="0" w:color="auto"/>
        <w:left w:val="none" w:sz="0" w:space="0" w:color="auto"/>
        <w:bottom w:val="none" w:sz="0" w:space="0" w:color="auto"/>
        <w:right w:val="none" w:sz="0" w:space="0" w:color="auto"/>
      </w:divBdr>
    </w:div>
    <w:div w:id="1650817874">
      <w:bodyDiv w:val="1"/>
      <w:marLeft w:val="0"/>
      <w:marRight w:val="0"/>
      <w:marTop w:val="0"/>
      <w:marBottom w:val="0"/>
      <w:divBdr>
        <w:top w:val="none" w:sz="0" w:space="0" w:color="auto"/>
        <w:left w:val="none" w:sz="0" w:space="0" w:color="auto"/>
        <w:bottom w:val="none" w:sz="0" w:space="0" w:color="auto"/>
        <w:right w:val="none" w:sz="0" w:space="0" w:color="auto"/>
      </w:divBdr>
    </w:div>
    <w:div w:id="1698964062">
      <w:bodyDiv w:val="1"/>
      <w:marLeft w:val="0"/>
      <w:marRight w:val="0"/>
      <w:marTop w:val="0"/>
      <w:marBottom w:val="0"/>
      <w:divBdr>
        <w:top w:val="none" w:sz="0" w:space="0" w:color="auto"/>
        <w:left w:val="none" w:sz="0" w:space="0" w:color="auto"/>
        <w:bottom w:val="none" w:sz="0" w:space="0" w:color="auto"/>
        <w:right w:val="none" w:sz="0" w:space="0" w:color="auto"/>
      </w:divBdr>
    </w:div>
    <w:div w:id="1771848030">
      <w:bodyDiv w:val="1"/>
      <w:marLeft w:val="0"/>
      <w:marRight w:val="0"/>
      <w:marTop w:val="0"/>
      <w:marBottom w:val="0"/>
      <w:divBdr>
        <w:top w:val="none" w:sz="0" w:space="0" w:color="auto"/>
        <w:left w:val="none" w:sz="0" w:space="0" w:color="auto"/>
        <w:bottom w:val="none" w:sz="0" w:space="0" w:color="auto"/>
        <w:right w:val="none" w:sz="0" w:space="0" w:color="auto"/>
      </w:divBdr>
    </w:div>
    <w:div w:id="1810173662">
      <w:bodyDiv w:val="1"/>
      <w:marLeft w:val="0"/>
      <w:marRight w:val="0"/>
      <w:marTop w:val="0"/>
      <w:marBottom w:val="0"/>
      <w:divBdr>
        <w:top w:val="none" w:sz="0" w:space="0" w:color="auto"/>
        <w:left w:val="none" w:sz="0" w:space="0" w:color="auto"/>
        <w:bottom w:val="none" w:sz="0" w:space="0" w:color="auto"/>
        <w:right w:val="none" w:sz="0" w:space="0" w:color="auto"/>
      </w:divBdr>
    </w:div>
    <w:div w:id="1893730497">
      <w:bodyDiv w:val="1"/>
      <w:marLeft w:val="0"/>
      <w:marRight w:val="0"/>
      <w:marTop w:val="0"/>
      <w:marBottom w:val="0"/>
      <w:divBdr>
        <w:top w:val="none" w:sz="0" w:space="0" w:color="auto"/>
        <w:left w:val="none" w:sz="0" w:space="0" w:color="auto"/>
        <w:bottom w:val="none" w:sz="0" w:space="0" w:color="auto"/>
        <w:right w:val="none" w:sz="0" w:space="0" w:color="auto"/>
      </w:divBdr>
    </w:div>
    <w:div w:id="2052263487">
      <w:bodyDiv w:val="1"/>
      <w:marLeft w:val="0"/>
      <w:marRight w:val="0"/>
      <w:marTop w:val="0"/>
      <w:marBottom w:val="0"/>
      <w:divBdr>
        <w:top w:val="none" w:sz="0" w:space="0" w:color="auto"/>
        <w:left w:val="none" w:sz="0" w:space="0" w:color="auto"/>
        <w:bottom w:val="none" w:sz="0" w:space="0" w:color="auto"/>
        <w:right w:val="none" w:sz="0" w:space="0" w:color="auto"/>
      </w:divBdr>
    </w:div>
    <w:div w:id="2072730072">
      <w:bodyDiv w:val="1"/>
      <w:marLeft w:val="0"/>
      <w:marRight w:val="0"/>
      <w:marTop w:val="0"/>
      <w:marBottom w:val="0"/>
      <w:divBdr>
        <w:top w:val="none" w:sz="0" w:space="0" w:color="auto"/>
        <w:left w:val="none" w:sz="0" w:space="0" w:color="auto"/>
        <w:bottom w:val="none" w:sz="0" w:space="0" w:color="auto"/>
        <w:right w:val="none" w:sz="0" w:space="0" w:color="auto"/>
      </w:divBdr>
    </w:div>
    <w:div w:id="2086029600">
      <w:bodyDiv w:val="1"/>
      <w:marLeft w:val="0"/>
      <w:marRight w:val="0"/>
      <w:marTop w:val="0"/>
      <w:marBottom w:val="0"/>
      <w:divBdr>
        <w:top w:val="none" w:sz="0" w:space="0" w:color="auto"/>
        <w:left w:val="none" w:sz="0" w:space="0" w:color="auto"/>
        <w:bottom w:val="none" w:sz="0" w:space="0" w:color="auto"/>
        <w:right w:val="none" w:sz="0" w:space="0" w:color="auto"/>
      </w:divBdr>
    </w:div>
    <w:div w:id="213027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9707/2307-0919.1116" TargetMode="External"/><Relationship Id="rId13" Type="http://schemas.openxmlformats.org/officeDocument/2006/relationships/hyperlink" Target="https://www.cipd.org/uk/knowledge/reports/hr-role-developing-senior-leaders/" TargetMode="External"/><Relationship Id="rId18" Type="http://schemas.openxmlformats.org/officeDocument/2006/relationships/hyperlink" Target="https://www.gov.uk/skilled-worker-visa/knowledge-of-english" TargetMode="External"/><Relationship Id="rId3" Type="http://schemas.openxmlformats.org/officeDocument/2006/relationships/settings" Target="settings.xml"/><Relationship Id="rId21" Type="http://schemas.openxmlformats.org/officeDocument/2006/relationships/hyperlink" Target="https://www.cipd.org/en/knowledge/bitesize-research/building-strategic-hr/" TargetMode="External"/><Relationship Id="rId7" Type="http://schemas.openxmlformats.org/officeDocument/2006/relationships/hyperlink" Target="http://gov.uk" TargetMode="External"/><Relationship Id="rId12" Type="http://schemas.openxmlformats.org/officeDocument/2006/relationships/hyperlink" Target="https://www.hrmagazine.co.uk/content/features/what-to-do-when-leadership-fails-part-one/" TargetMode="External"/><Relationship Id="rId17" Type="http://schemas.openxmlformats.org/officeDocument/2006/relationships/hyperlink" Target="https://www.gov.uk/guidance/immigration-rules" TargetMode="External"/><Relationship Id="rId2" Type="http://schemas.openxmlformats.org/officeDocument/2006/relationships/styles" Target="styles.xml"/><Relationship Id="rId16" Type="http://schemas.openxmlformats.org/officeDocument/2006/relationships/hyperlink" Target="https://resources.rosettastone.com/CDN/uk/pdfs/enterprise/pmi-case-study-updated.pdf" TargetMode="External"/><Relationship Id="rId20" Type="http://schemas.openxmlformats.org/officeDocument/2006/relationships/hyperlink" Target="https://www.searchenginejournal.com/generative-ai-adoption-rate-eclipsing-smartphones-tablets/49385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0900/jsr20250043" TargetMode="External"/><Relationship Id="rId5" Type="http://schemas.openxmlformats.org/officeDocument/2006/relationships/footnotes" Target="footnotes.xml"/><Relationship Id="rId15" Type="http://schemas.openxmlformats.org/officeDocument/2006/relationships/hyperlink" Target="https://www.acas.org.uk/how-to-raise-a-problem-at-work/going-to-an-informal-meeting" TargetMode="External"/><Relationship Id="rId23" Type="http://schemas.openxmlformats.org/officeDocument/2006/relationships/theme" Target="theme/theme1.xml"/><Relationship Id="rId10" Type="http://schemas.openxmlformats.org/officeDocument/2006/relationships/hyperlink" Target="https://doi.org/10.1093/oxfordhb/9780190263362.013.3" TargetMode="External"/><Relationship Id="rId19" Type="http://schemas.openxmlformats.org/officeDocument/2006/relationships/hyperlink" Target="https://www.cipd.org/en/views-and-insights/thought-leadership/insight/learning-value-technology/" TargetMode="External"/><Relationship Id="rId4" Type="http://schemas.openxmlformats.org/officeDocument/2006/relationships/webSettings" Target="webSettings.xml"/><Relationship Id="rId9" Type="http://schemas.openxmlformats.org/officeDocument/2006/relationships/hyperlink" Target="https://doi.org/10.1057/s41299-025-00228-3" TargetMode="External"/><Relationship Id="rId14" Type="http://schemas.openxmlformats.org/officeDocument/2006/relationships/hyperlink" Target="https://hbr.org/2021/11/building-an-ethical-compan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4912</Words>
  <Characters>28003</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Davies (2413580)</dc:creator>
  <cp:keywords/>
  <dc:description/>
  <cp:lastModifiedBy>James Moore</cp:lastModifiedBy>
  <cp:revision>2</cp:revision>
  <dcterms:created xsi:type="dcterms:W3CDTF">2025-08-07T13:02:00Z</dcterms:created>
  <dcterms:modified xsi:type="dcterms:W3CDTF">2025-08-07T13:02:00Z</dcterms:modified>
</cp:coreProperties>
</file>