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b w:val="1"/>
          <w:bCs w:val="1"/>
          <w:sz w:val="32"/>
          <w:szCs w:val="32"/>
        </w:rPr>
      </w:pPr>
      <w:bookmarkStart w:colFirst="0" w:colLast="0" w:name="_heading=h.xm5cl32971vu" w:id="0"/>
      <w:bookmarkEnd w:id="0"/>
      <w:r>
        <w:rPr>
          <w:rtl w:val="0"/>
        </w:rPr>
      </w:r>
    </w:p>
    <w:p w:rsidR="00000000" w:rsidDel="00000000" w:rsidP="00000000" w:rsidRDefault="00000000" w:rsidRPr="00000000" w14:paraId="00000002">
      <w:pPr>
        <w:pStyle w:val="Title"/>
        <w:jc w:val="center"/>
        <w:rPr>
          <w:b w:val="1"/>
          <w:bCs w:val="1"/>
          <w:sz w:val="32"/>
          <w:szCs w:val="32"/>
        </w:rPr>
      </w:pPr>
      <w:bookmarkStart w:colFirst="0" w:colLast="0" w:name="_heading=h.1e2nkaa1zcjp" w:id="1"/>
      <w:bookmarkEnd w:id="1"/>
      <w:r>
        <w:rPr>
          <w:rtl w:val="0"/>
        </w:rPr>
      </w:r>
    </w:p>
    <w:p w:rsidR="00000000" w:rsidDel="00000000" w:rsidP="00000000" w:rsidRDefault="00000000" w:rsidRPr="00000000" w14:paraId="00000003">
      <w:pPr>
        <w:pStyle w:val="Title"/>
        <w:jc w:val="center"/>
        <w:rPr/>
      </w:pPr>
      <w:bookmarkStart w:colFirst="0" w:colLast="0" w:name="_heading=h.8355jr31556g" w:id="2"/>
      <w:bookmarkEnd w:id="2"/>
      <w:r>
        <w:rPr>
          <w:b w:val="1"/>
          <w:bCs w:val="1"/>
          <w:sz w:val="32"/>
          <w:szCs w:val="32"/>
          <w:rtl w:val="0"/>
        </w:rPr>
        <w:t xml:space="preserve">Credit Risk Assessment Using Machine Learning Models: A Comparative Analysis of Logistic Regression and Random Forest</w:t>
      </w:r>
      <w:r>
        <w:rPr>
          <w:rtl w:val="0"/>
        </w:rPr>
        <w:t xml:space="preserve"> </w:t>
      </w:r>
      <w:r>
        <w:br w:type="page"/>
      </w:r>
      <w:r>
        <w:rPr>
          <w:rtl w:val="0"/>
        </w:rPr>
      </w:r>
    </w:p>
    <w:p w:rsidR="00000000" w:rsidDel="00000000" w:rsidP="00000000" w:rsidRDefault="00000000" w:rsidRPr="00000000" w14:paraId="00000004">
      <w:pPr>
        <w:jc w:val="center"/>
        <w:rPr>
          <w:b w:val="1"/>
          <w:bCs w:val="1"/>
          <w:sz w:val="28"/>
          <w:szCs w:val="28"/>
        </w:rPr>
      </w:pPr>
      <w:r>
        <w:rPr>
          <w:b w:val="1"/>
          <w:bCs w:val="1"/>
          <w:sz w:val="28"/>
          <w:szCs w:val="28"/>
          <w:rtl w:val="0"/>
        </w:rPr>
        <w:t xml:space="preserve">Table of Contents</w:t>
      </w:r>
    </w:p>
    <w:sdt>
      <w:sdtPr>
        <w:id w:val="-658770196"/>
        <w:docPartObj>
          <w:docPartGallery w:val="Table of Contents"/>
          <w:docPartUnique w:val="1"/>
        </w:docPartObj>
      </w:sdtPr>
      <w:sdtContent>
        <w:p w:rsidR="00000000" w:rsidDel="00000000" w:rsidP="00000000" w:rsidRDefault="00000000" w:rsidRPr="00000000" w14:paraId="00000005">
          <w:pPr>
            <w:widowControl w:val="0"/>
            <w:tabs>
              <w:tab w:val="right" w:leader="none" w:pos="12000"/>
            </w:tabs>
            <w:spacing w:after="0" w:before="60" w:line="240" w:lineRule="auto"/>
            <w:jc w:val="left"/>
            <w:rPr>
              <w:b w:val="1"/>
              <w:bCs w:val="1"/>
              <w:color w:val="000000"/>
              <w:u w:val="none"/>
            </w:rPr>
          </w:pPr>
          <w:r>
            <w:fldChar w:fldCharType="begin"/>
            <w:instrText xml:space="preserve"> TOC \h \u \z \t "Heading 1,1,Heading 2,2,Heading 3,3,Heading 5,5,Heading 6,6,"</w:instrText>
            <w:fldChar w:fldCharType="separate"/>
          </w:r>
          <w:hyperlink w:anchor="_heading=h.8355jr31556g">
            <w:r>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Credit Risk Assessment Using Machine Learning Models: A Comparative Analysis of Logistic Regression and Random Forest</w:t>
              <w:tab/>
              <w:t xml:space="preserve">1</w:t>
            </w:r>
          </w:hyperlink>
          <w:r>
            <w:rPr>
              <w:rtl w:val="0"/>
            </w:rPr>
          </w:r>
        </w:p>
        <w:p w:rsidR="00000000" w:rsidDel="00000000" w:rsidP="00000000" w:rsidRDefault="00000000" w:rsidRPr="00000000" w14:paraId="00000006">
          <w:pPr>
            <w:widowControl w:val="0"/>
            <w:tabs>
              <w:tab w:val="right" w:leader="none" w:pos="12000"/>
            </w:tabs>
            <w:spacing w:after="0" w:before="60" w:line="240" w:lineRule="auto"/>
            <w:jc w:val="left"/>
            <w:rPr>
              <w:b w:val="1"/>
              <w:bCs w:val="1"/>
              <w:color w:val="000000"/>
              <w:u w:val="none"/>
            </w:rPr>
          </w:pPr>
          <w:hyperlink w:anchor="_heading=h.dl71rvga8vbl">
            <w:r>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 Introduction</w:t>
              <w:tab/>
              <w:t xml:space="preserve">3</w:t>
            </w:r>
          </w:hyperlink>
          <w:r>
            <w:rPr>
              <w:rtl w:val="0"/>
            </w:rPr>
          </w:r>
        </w:p>
        <w:p w:rsidR="00000000" w:rsidDel="00000000" w:rsidP="00000000" w:rsidRDefault="00000000" w:rsidRPr="00000000" w14:paraId="00000007">
          <w:pPr>
            <w:widowControl w:val="0"/>
            <w:tabs>
              <w:tab w:val="right" w:leader="none" w:pos="12000"/>
            </w:tabs>
            <w:spacing w:after="0" w:before="60" w:line="240" w:lineRule="auto"/>
            <w:jc w:val="left"/>
            <w:rPr>
              <w:b w:val="1"/>
              <w:bCs w:val="1"/>
              <w:color w:val="000000"/>
              <w:u w:val="none"/>
            </w:rPr>
          </w:pPr>
          <w:hyperlink w:anchor="_heading=h.pma9g8y0vbmz">
            <w:r>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 Methodology</w:t>
              <w:tab/>
              <w:t xml:space="preserve">4</w:t>
            </w:r>
          </w:hyperlink>
          <w:r>
            <w:rPr>
              <w:rtl w:val="0"/>
            </w:rPr>
          </w:r>
        </w:p>
        <w:p w:rsidR="00000000" w:rsidDel="00000000" w:rsidP="00000000" w:rsidRDefault="00000000" w:rsidRPr="00000000" w14:paraId="00000008">
          <w:pPr>
            <w:widowControl w:val="0"/>
            <w:tabs>
              <w:tab w:val="right" w:leader="none" w:pos="12000"/>
            </w:tabs>
            <w:spacing w:after="0" w:before="60" w:line="240" w:lineRule="auto"/>
            <w:ind w:left="360" w:firstLine="0"/>
            <w:jc w:val="left"/>
            <w:rPr>
              <w:color w:val="000000"/>
              <w:u w:val="none"/>
            </w:rPr>
          </w:pPr>
          <w:hyperlink w:anchor="_heading=h.qexryc8q65aa">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Research Workflow</w:t>
              <w:tab/>
              <w:t xml:space="preserve">4</w:t>
            </w:r>
          </w:hyperlink>
          <w:r>
            <w:rPr>
              <w:rtl w:val="0"/>
            </w:rPr>
          </w:r>
        </w:p>
        <w:p w:rsidR="00000000" w:rsidDel="00000000" w:rsidP="00000000" w:rsidRDefault="00000000" w:rsidRPr="00000000" w14:paraId="00000009">
          <w:pPr>
            <w:widowControl w:val="0"/>
            <w:tabs>
              <w:tab w:val="right" w:leader="none" w:pos="12000"/>
            </w:tabs>
            <w:spacing w:after="0" w:before="60" w:line="240" w:lineRule="auto"/>
            <w:ind w:left="360" w:firstLine="0"/>
            <w:jc w:val="left"/>
            <w:rPr>
              <w:color w:val="000000"/>
              <w:u w:val="none"/>
            </w:rPr>
          </w:pPr>
          <w:hyperlink w:anchor="_heading=h.www81u67ib83">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Dataset Description</w:t>
              <w:tab/>
              <w:t xml:space="preserve">4</w:t>
            </w:r>
          </w:hyperlink>
          <w:r>
            <w:rPr>
              <w:rtl w:val="0"/>
            </w:rPr>
          </w:r>
        </w:p>
        <w:p w:rsidR="00000000" w:rsidDel="00000000" w:rsidP="00000000" w:rsidRDefault="00000000" w:rsidRPr="00000000" w14:paraId="0000000A">
          <w:pPr>
            <w:widowControl w:val="0"/>
            <w:tabs>
              <w:tab w:val="right" w:leader="none" w:pos="12000"/>
            </w:tabs>
            <w:spacing w:after="0" w:before="60" w:line="240" w:lineRule="auto"/>
            <w:ind w:left="360" w:firstLine="0"/>
            <w:jc w:val="left"/>
            <w:rPr>
              <w:color w:val="000000"/>
              <w:u w:val="none"/>
            </w:rPr>
          </w:pPr>
          <w:hyperlink w:anchor="_heading=h.2vl3ggb5goq4">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Exploratory Data Analysis</w:t>
              <w:tab/>
              <w:t xml:space="preserve">8</w:t>
            </w:r>
          </w:hyperlink>
          <w:r>
            <w:rPr>
              <w:rtl w:val="0"/>
            </w:rPr>
          </w:r>
        </w:p>
        <w:p w:rsidR="00000000" w:rsidDel="00000000" w:rsidP="00000000" w:rsidRDefault="00000000" w:rsidRPr="00000000" w14:paraId="0000000B">
          <w:pPr>
            <w:widowControl w:val="0"/>
            <w:tabs>
              <w:tab w:val="right" w:leader="none" w:pos="12000"/>
            </w:tabs>
            <w:spacing w:after="0" w:before="60" w:line="240" w:lineRule="auto"/>
            <w:ind w:left="360" w:firstLine="0"/>
            <w:jc w:val="left"/>
            <w:rPr>
              <w:color w:val="000000"/>
              <w:u w:val="none"/>
            </w:rPr>
          </w:pPr>
          <w:hyperlink w:anchor="_heading=h.8nbv1kppm830">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Data Preprocessing Pipeline</w:t>
              <w:tab/>
              <w:t xml:space="preserve">15</w:t>
            </w:r>
          </w:hyperlink>
          <w:r>
            <w:rPr>
              <w:rtl w:val="0"/>
            </w:rPr>
          </w:r>
        </w:p>
        <w:p w:rsidR="00000000" w:rsidDel="00000000" w:rsidP="00000000" w:rsidRDefault="00000000" w:rsidRPr="00000000" w14:paraId="0000000C">
          <w:pPr>
            <w:widowControl w:val="0"/>
            <w:tabs>
              <w:tab w:val="right" w:leader="none" w:pos="12000"/>
            </w:tabs>
            <w:spacing w:after="0" w:before="60" w:line="240" w:lineRule="auto"/>
            <w:ind w:left="360" w:firstLine="0"/>
            <w:jc w:val="left"/>
            <w:rPr>
              <w:color w:val="000000"/>
              <w:u w:val="none"/>
            </w:rPr>
          </w:pPr>
          <w:hyperlink w:anchor="_heading=h.8jr47hdret3o">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2.5 Model Development</w:t>
              <w:tab/>
              <w:t xml:space="preserve">16</w:t>
            </w:r>
          </w:hyperlink>
          <w:r>
            <w:rPr>
              <w:rtl w:val="0"/>
            </w:rPr>
          </w:r>
        </w:p>
        <w:p w:rsidR="00000000" w:rsidDel="00000000" w:rsidP="00000000" w:rsidRDefault="00000000" w:rsidRPr="00000000" w14:paraId="0000000D">
          <w:pPr>
            <w:widowControl w:val="0"/>
            <w:tabs>
              <w:tab w:val="right" w:leader="none" w:pos="12000"/>
            </w:tabs>
            <w:spacing w:after="0" w:before="60" w:line="240" w:lineRule="auto"/>
            <w:ind w:left="360" w:firstLine="0"/>
            <w:jc w:val="left"/>
            <w:rPr>
              <w:color w:val="000000"/>
              <w:u w:val="none"/>
            </w:rPr>
          </w:pPr>
          <w:hyperlink w:anchor="_heading=h.5k06pn3zrg2n">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2.6 Hyperparameter Optimisation</w:t>
              <w:tab/>
              <w:t xml:space="preserve">19</w:t>
            </w:r>
          </w:hyperlink>
          <w:r>
            <w:rPr>
              <w:rtl w:val="0"/>
            </w:rPr>
          </w:r>
        </w:p>
        <w:p w:rsidR="00000000" w:rsidDel="00000000" w:rsidP="00000000" w:rsidRDefault="00000000" w:rsidRPr="00000000" w14:paraId="0000000E">
          <w:pPr>
            <w:widowControl w:val="0"/>
            <w:tabs>
              <w:tab w:val="right" w:leader="none" w:pos="12000"/>
            </w:tabs>
            <w:spacing w:after="0" w:before="60" w:line="240" w:lineRule="auto"/>
            <w:ind w:left="360" w:firstLine="0"/>
            <w:jc w:val="left"/>
            <w:rPr>
              <w:color w:val="000000"/>
              <w:u w:val="none"/>
            </w:rPr>
          </w:pPr>
          <w:hyperlink w:anchor="_heading=h.tw2w2s7tm22t">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2.7 Model Evaluation Metrics</w:t>
              <w:tab/>
              <w:t xml:space="preserve">19</w:t>
            </w:r>
          </w:hyperlink>
          <w:r>
            <w:rPr>
              <w:rtl w:val="0"/>
            </w:rPr>
          </w:r>
        </w:p>
        <w:p w:rsidR="00000000" w:rsidDel="00000000" w:rsidP="00000000" w:rsidRDefault="00000000" w:rsidRPr="00000000" w14:paraId="0000000F">
          <w:pPr>
            <w:widowControl w:val="0"/>
            <w:tabs>
              <w:tab w:val="right" w:leader="none" w:pos="12000"/>
            </w:tabs>
            <w:spacing w:after="0" w:before="60" w:line="240" w:lineRule="auto"/>
            <w:ind w:left="360" w:firstLine="0"/>
            <w:jc w:val="left"/>
            <w:rPr>
              <w:color w:val="000000"/>
              <w:u w:val="none"/>
            </w:rPr>
          </w:pPr>
          <w:hyperlink w:anchor="_heading=h.cbjiwnlel034">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2.8 Model Interpretation Techniques</w:t>
              <w:tab/>
              <w:t xml:space="preserve">21</w:t>
            </w:r>
          </w:hyperlink>
          <w:r>
            <w:rPr>
              <w:rtl w:val="0"/>
            </w:rPr>
          </w:r>
        </w:p>
        <w:p w:rsidR="00000000" w:rsidDel="00000000" w:rsidP="00000000" w:rsidRDefault="00000000" w:rsidRPr="00000000" w14:paraId="00000010">
          <w:pPr>
            <w:widowControl w:val="0"/>
            <w:tabs>
              <w:tab w:val="right" w:leader="none" w:pos="12000"/>
            </w:tabs>
            <w:spacing w:after="0" w:before="60" w:line="240" w:lineRule="auto"/>
            <w:jc w:val="left"/>
            <w:rPr>
              <w:b w:val="1"/>
              <w:bCs w:val="1"/>
              <w:color w:val="000000"/>
              <w:u w:val="none"/>
            </w:rPr>
          </w:pPr>
          <w:hyperlink w:anchor="_heading=h.21wkmldim5tr">
            <w:r>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 Experiments and Results</w:t>
              <w:tab/>
              <w:t xml:space="preserve">23</w:t>
            </w:r>
          </w:hyperlink>
          <w:r>
            <w:rPr>
              <w:rtl w:val="0"/>
            </w:rPr>
          </w:r>
        </w:p>
        <w:p w:rsidR="00000000" w:rsidDel="00000000" w:rsidP="00000000" w:rsidRDefault="00000000" w:rsidRPr="00000000" w14:paraId="00000011">
          <w:pPr>
            <w:widowControl w:val="0"/>
            <w:tabs>
              <w:tab w:val="right" w:leader="none" w:pos="12000"/>
            </w:tabs>
            <w:spacing w:after="0" w:before="60" w:line="240" w:lineRule="auto"/>
            <w:ind w:left="360" w:firstLine="0"/>
            <w:jc w:val="left"/>
            <w:rPr>
              <w:color w:val="000000"/>
              <w:u w:val="none"/>
            </w:rPr>
          </w:pPr>
          <w:hyperlink w:anchor="_heading=h.jg9ddxqmlve3">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Logistic Regression Results</w:t>
              <w:tab/>
              <w:t xml:space="preserve">23</w:t>
            </w:r>
          </w:hyperlink>
          <w:r>
            <w:rPr>
              <w:rtl w:val="0"/>
            </w:rPr>
          </w:r>
        </w:p>
        <w:p w:rsidR="00000000" w:rsidDel="00000000" w:rsidP="00000000" w:rsidRDefault="00000000" w:rsidRPr="00000000" w14:paraId="00000012">
          <w:pPr>
            <w:widowControl w:val="0"/>
            <w:tabs>
              <w:tab w:val="right" w:leader="none" w:pos="12000"/>
            </w:tabs>
            <w:spacing w:after="0" w:before="60" w:line="240" w:lineRule="auto"/>
            <w:ind w:left="360" w:firstLine="0"/>
            <w:jc w:val="left"/>
            <w:rPr>
              <w:color w:val="000000"/>
              <w:u w:val="none"/>
            </w:rPr>
          </w:pPr>
          <w:hyperlink w:anchor="_heading=h.74iiprz13vah">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Random Forest Results</w:t>
              <w:tab/>
              <w:t xml:space="preserve">24</w:t>
            </w:r>
          </w:hyperlink>
          <w:r>
            <w:rPr>
              <w:rtl w:val="0"/>
            </w:rPr>
          </w:r>
        </w:p>
        <w:p w:rsidR="00000000" w:rsidDel="00000000" w:rsidP="00000000" w:rsidRDefault="00000000" w:rsidRPr="00000000" w14:paraId="00000013">
          <w:pPr>
            <w:widowControl w:val="0"/>
            <w:tabs>
              <w:tab w:val="right" w:leader="none" w:pos="12000"/>
            </w:tabs>
            <w:spacing w:after="0" w:before="60" w:line="240" w:lineRule="auto"/>
            <w:ind w:left="360" w:firstLine="0"/>
            <w:jc w:val="left"/>
            <w:rPr>
              <w:color w:val="000000"/>
              <w:u w:val="none"/>
            </w:rPr>
          </w:pPr>
          <w:hyperlink w:anchor="_heading=h.e1pcgjbpq4wm">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Model Comparison</w:t>
              <w:tab/>
              <w:t xml:space="preserve">24</w:t>
            </w:r>
          </w:hyperlink>
          <w:r>
            <w:rPr>
              <w:rtl w:val="0"/>
            </w:rPr>
          </w:r>
        </w:p>
        <w:p w:rsidR="00000000" w:rsidDel="00000000" w:rsidP="00000000" w:rsidRDefault="00000000" w:rsidRPr="00000000" w14:paraId="00000014">
          <w:pPr>
            <w:widowControl w:val="0"/>
            <w:tabs>
              <w:tab w:val="right" w:leader="none" w:pos="12000"/>
            </w:tabs>
            <w:spacing w:after="0" w:before="60" w:line="240" w:lineRule="auto"/>
            <w:ind w:left="360" w:firstLine="0"/>
            <w:jc w:val="left"/>
            <w:rPr>
              <w:color w:val="000000"/>
              <w:u w:val="none"/>
            </w:rPr>
          </w:pPr>
          <w:hyperlink w:anchor="_heading=h.doacou92zk6q">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 Feature Importance and SHAP Analysis</w:t>
              <w:tab/>
              <w:t xml:space="preserve">26</w:t>
            </w:r>
          </w:hyperlink>
          <w:r>
            <w:rPr>
              <w:rtl w:val="0"/>
            </w:rPr>
          </w:r>
        </w:p>
        <w:p w:rsidR="00000000" w:rsidDel="00000000" w:rsidP="00000000" w:rsidRDefault="00000000" w:rsidRPr="00000000" w14:paraId="00000015">
          <w:pPr>
            <w:widowControl w:val="0"/>
            <w:tabs>
              <w:tab w:val="right" w:leader="none" w:pos="12000"/>
            </w:tabs>
            <w:spacing w:after="0" w:before="60" w:line="240" w:lineRule="auto"/>
            <w:jc w:val="left"/>
            <w:rPr>
              <w:b w:val="1"/>
              <w:bCs w:val="1"/>
              <w:color w:val="000000"/>
              <w:u w:val="none"/>
            </w:rPr>
          </w:pPr>
          <w:hyperlink w:anchor="_heading=h.f680af3t2ikt">
            <w:r>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 Discussion</w:t>
              <w:tab/>
              <w:t xml:space="preserve">29</w:t>
            </w:r>
          </w:hyperlink>
          <w:r>
            <w:rPr>
              <w:rtl w:val="0"/>
            </w:rPr>
          </w:r>
        </w:p>
        <w:p w:rsidR="00000000" w:rsidDel="00000000" w:rsidP="00000000" w:rsidRDefault="00000000" w:rsidRPr="00000000" w14:paraId="00000016">
          <w:pPr>
            <w:widowControl w:val="0"/>
            <w:tabs>
              <w:tab w:val="right" w:leader="none" w:pos="12000"/>
            </w:tabs>
            <w:spacing w:after="0" w:before="60" w:line="240" w:lineRule="auto"/>
            <w:jc w:val="left"/>
            <w:rPr>
              <w:b w:val="1"/>
              <w:bCs w:val="1"/>
              <w:color w:val="000000"/>
              <w:u w:val="none"/>
            </w:rPr>
          </w:pPr>
          <w:hyperlink w:anchor="_heading=h.3zogxictz41v">
            <w:r>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 Conclusion and Recommendations</w:t>
              <w:tab/>
              <w:t xml:space="preserve">31</w:t>
            </w:r>
          </w:hyperlink>
          <w:r>
            <w:rPr>
              <w:rtl w:val="0"/>
            </w:rPr>
          </w:r>
        </w:p>
        <w:p w:rsidR="00000000" w:rsidDel="00000000" w:rsidP="00000000" w:rsidRDefault="00000000" w:rsidRPr="00000000" w14:paraId="00000017">
          <w:pPr>
            <w:widowControl w:val="0"/>
            <w:tabs>
              <w:tab w:val="right" w:leader="none" w:pos="12000"/>
            </w:tabs>
            <w:spacing w:after="0" w:before="60" w:line="240" w:lineRule="auto"/>
            <w:ind w:left="360" w:firstLine="0"/>
            <w:jc w:val="left"/>
            <w:rPr>
              <w:color w:val="000000"/>
              <w:u w:val="none"/>
            </w:rPr>
          </w:pPr>
          <w:hyperlink w:anchor="_heading=h.j3i8rmqpk21c">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Conclusion</w:t>
              <w:tab/>
              <w:t xml:space="preserve">31</w:t>
            </w:r>
          </w:hyperlink>
          <w:r>
            <w:rPr>
              <w:rtl w:val="0"/>
            </w:rPr>
          </w:r>
        </w:p>
        <w:p w:rsidR="00000000" w:rsidDel="00000000" w:rsidP="00000000" w:rsidRDefault="00000000" w:rsidRPr="00000000" w14:paraId="00000018">
          <w:pPr>
            <w:widowControl w:val="0"/>
            <w:tabs>
              <w:tab w:val="right" w:leader="none" w:pos="12000"/>
            </w:tabs>
            <w:spacing w:after="0" w:before="60" w:line="240" w:lineRule="auto"/>
            <w:ind w:left="360" w:firstLine="0"/>
            <w:jc w:val="left"/>
            <w:rPr>
              <w:color w:val="000000"/>
              <w:u w:val="none"/>
            </w:rPr>
          </w:pPr>
          <w:hyperlink w:anchor="_heading=h.m7nn16z3lawx">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Recommendations</w:t>
              <w:tab/>
              <w:t xml:space="preserve">31</w:t>
            </w:r>
          </w:hyperlink>
          <w:r>
            <w:rPr>
              <w:rtl w:val="0"/>
            </w:rPr>
          </w:r>
        </w:p>
        <w:p w:rsidR="00000000" w:rsidDel="00000000" w:rsidP="00000000" w:rsidRDefault="00000000" w:rsidRPr="00000000" w14:paraId="00000019">
          <w:pPr>
            <w:widowControl w:val="0"/>
            <w:tabs>
              <w:tab w:val="right" w:leader="none" w:pos="12000"/>
            </w:tabs>
            <w:spacing w:after="0" w:before="60" w:line="240" w:lineRule="auto"/>
            <w:jc w:val="left"/>
            <w:rPr>
              <w:b w:val="1"/>
              <w:bCs w:val="1"/>
              <w:color w:val="000000"/>
              <w:u w:val="none"/>
            </w:rPr>
          </w:pPr>
          <w:r>
            <w:rPr>
              <w:b w:val="1"/>
              <w:bCs w:val="1"/>
              <w:color w:val="000000"/>
              <w:u w:val="none"/>
              <w:rtl w:val="0"/>
            </w:rPr>
            <w:t xml:space="preserve">References</w:t>
          </w:r>
          <w:hyperlink w:anchor="_heading=h.9tveis3xxdng">
            <w:r>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ab/>
              <w:t xml:space="preserve">33</w:t>
            </w:r>
          </w:hyperlink>
          <w:r>
            <w:rPr>
              <w:rtl w:val="0"/>
            </w:rPr>
          </w:r>
          <w:r>
            <w:fldChar w:fldCharType="end"/>
          </w:r>
        </w:p>
      </w:sdtContent>
    </w:sdt>
    <w:p w:rsidR="00000000" w:rsidDel="00000000" w:rsidP="00000000" w:rsidRDefault="00000000" w:rsidRPr="00000000" w14:paraId="0000001A">
      <w:pPr>
        <w:pStyle w:val="Heading1"/>
        <w:rPr/>
      </w:pPr>
      <w:bookmarkStart w:colFirst="0" w:colLast="0" w:name="_heading=h.pdckg8jgj5kb" w:id="3"/>
      <w:bookmarkEnd w:id="3"/>
      <w:r>
        <w:br w:type="page"/>
      </w:r>
      <w:r>
        <w:rPr>
          <w:rtl w:val="0"/>
        </w:rPr>
      </w:r>
    </w:p>
    <w:p w:rsidR="00000000" w:rsidDel="00000000" w:rsidP="00000000" w:rsidRDefault="00000000" w:rsidRPr="00000000" w14:paraId="0000001B">
      <w:pPr>
        <w:pStyle w:val="Heading1"/>
        <w:jc w:val="center"/>
        <w:rPr/>
      </w:pPr>
      <w:bookmarkStart w:colFirst="0" w:colLast="0" w:name="_heading=h.golrpdvsleb8" w:id="4"/>
      <w:bookmarkEnd w:id="4"/>
      <w:r>
        <w:rPr>
          <w:rtl w:val="0"/>
        </w:rPr>
        <w:t xml:space="preserve">List of Figures</w:t>
      </w:r>
    </w:p>
    <w:sdt>
      <w:sdtPr>
        <w:id w:val="2026681648"/>
        <w:docPartObj>
          <w:docPartGallery w:val="Table of Contents"/>
          <w:docPartUnique w:val="1"/>
        </w:docPartObj>
      </w:sdtPr>
      <w:sdtContent>
        <w:p w:rsidR="00000000" w:rsidDel="00000000" w:rsidP="00000000" w:rsidRDefault="00000000" w:rsidRPr="00000000" w14:paraId="0000001C">
          <w:pPr>
            <w:widowControl w:val="0"/>
            <w:tabs>
              <w:tab w:val="right" w:leader="none" w:pos="12000"/>
            </w:tabs>
            <w:spacing w:after="0" w:before="60" w:line="240" w:lineRule="auto"/>
            <w:ind w:left="0" w:firstLine="0"/>
            <w:jc w:val="left"/>
            <w:rPr>
              <w:color w:val="000000"/>
              <w:u w:val="none"/>
            </w:rPr>
          </w:pPr>
          <w:r>
            <w:fldChar w:fldCharType="begin"/>
            <w:instrText xml:space="preserve"> TOC \h \u \z \t "Heading 3,3,Heading 4,4,Heading 5,5,Heading 6,6,"</w:instrText>
            <w:fldChar w:fldCharType="separate"/>
          </w:r>
          <w:hyperlink w:anchor="_heading=h.i56kntrxdvbf">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Load Dataset</w:t>
              <w:tab/>
              <w:t xml:space="preserve">7</w:t>
            </w:r>
          </w:hyperlink>
          <w:r>
            <w:rPr>
              <w:rtl w:val="0"/>
            </w:rPr>
          </w:r>
        </w:p>
        <w:p w:rsidR="00000000" w:rsidDel="00000000" w:rsidP="00000000" w:rsidRDefault="00000000" w:rsidRPr="00000000" w14:paraId="0000001D">
          <w:pPr>
            <w:widowControl w:val="0"/>
            <w:tabs>
              <w:tab w:val="right" w:leader="none" w:pos="12000"/>
            </w:tabs>
            <w:spacing w:after="0" w:before="60" w:line="240" w:lineRule="auto"/>
            <w:ind w:left="0" w:firstLine="0"/>
            <w:jc w:val="left"/>
            <w:rPr>
              <w:color w:val="000000"/>
              <w:u w:val="none"/>
            </w:rPr>
          </w:pPr>
          <w:hyperlink w:anchor="_heading=h.rerfen4mvt86">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 Data Descriptions</w:t>
              <w:tab/>
              <w:t xml:space="preserve">8</w:t>
            </w:r>
          </w:hyperlink>
          <w:r>
            <w:rPr>
              <w:rtl w:val="0"/>
            </w:rPr>
          </w:r>
        </w:p>
        <w:p w:rsidR="00000000" w:rsidDel="00000000" w:rsidP="00000000" w:rsidRDefault="00000000" w:rsidRPr="00000000" w14:paraId="0000001E">
          <w:pPr>
            <w:widowControl w:val="0"/>
            <w:tabs>
              <w:tab w:val="right" w:leader="none" w:pos="12000"/>
            </w:tabs>
            <w:spacing w:after="0" w:before="60" w:line="240" w:lineRule="auto"/>
            <w:ind w:left="0" w:firstLine="0"/>
            <w:jc w:val="left"/>
            <w:rPr>
              <w:color w:val="000000"/>
              <w:u w:val="none"/>
            </w:rPr>
          </w:pPr>
          <w:hyperlink w:anchor="_heading=h.vfjn6cs6wt0k">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3: Missing Values by Feature</w:t>
              <w:tab/>
              <w:t xml:space="preserve">9</w:t>
            </w:r>
          </w:hyperlink>
          <w:r>
            <w:rPr>
              <w:rtl w:val="0"/>
            </w:rPr>
          </w:r>
        </w:p>
        <w:p w:rsidR="00000000" w:rsidDel="00000000" w:rsidP="00000000" w:rsidRDefault="00000000" w:rsidRPr="00000000" w14:paraId="0000001F">
          <w:pPr>
            <w:widowControl w:val="0"/>
            <w:tabs>
              <w:tab w:val="right" w:leader="none" w:pos="12000"/>
            </w:tabs>
            <w:spacing w:after="0" w:before="60" w:line="240" w:lineRule="auto"/>
            <w:ind w:left="0" w:firstLine="0"/>
            <w:jc w:val="left"/>
            <w:rPr>
              <w:color w:val="000000"/>
              <w:u w:val="none"/>
            </w:rPr>
          </w:pPr>
          <w:hyperlink w:anchor="_heading=h.913mh7iwjy0o">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4: Distribution of Loan Status</w:t>
              <w:tab/>
              <w:t xml:space="preserve">10</w:t>
            </w:r>
          </w:hyperlink>
          <w:r>
            <w:rPr>
              <w:rtl w:val="0"/>
            </w:rPr>
          </w:r>
        </w:p>
        <w:p w:rsidR="00000000" w:rsidDel="00000000" w:rsidP="00000000" w:rsidRDefault="00000000" w:rsidRPr="00000000" w14:paraId="00000020">
          <w:pPr>
            <w:widowControl w:val="0"/>
            <w:tabs>
              <w:tab w:val="right" w:leader="none" w:pos="12000"/>
            </w:tabs>
            <w:spacing w:after="0" w:before="60" w:line="240" w:lineRule="auto"/>
            <w:ind w:left="0" w:firstLine="0"/>
            <w:jc w:val="left"/>
            <w:rPr>
              <w:color w:val="000000"/>
              <w:u w:val="none"/>
            </w:rPr>
          </w:pPr>
          <w:hyperlink w:anchor="_heading=h.gt5gm8vvixin">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5: Distribution of Loan Grades</w:t>
              <w:tab/>
              <w:t xml:space="preserve">11</w:t>
            </w:r>
          </w:hyperlink>
          <w:r>
            <w:rPr>
              <w:rtl w:val="0"/>
            </w:rPr>
          </w:r>
        </w:p>
        <w:p w:rsidR="00000000" w:rsidDel="00000000" w:rsidP="00000000" w:rsidRDefault="00000000" w:rsidRPr="00000000" w14:paraId="00000021">
          <w:pPr>
            <w:widowControl w:val="0"/>
            <w:tabs>
              <w:tab w:val="right" w:leader="none" w:pos="12000"/>
            </w:tabs>
            <w:spacing w:after="0" w:before="60" w:line="240" w:lineRule="auto"/>
            <w:ind w:left="0" w:firstLine="0"/>
            <w:jc w:val="left"/>
            <w:rPr>
              <w:color w:val="000000"/>
              <w:u w:val="none"/>
            </w:rPr>
          </w:pPr>
          <w:hyperlink w:anchor="_heading=h.oq85xc2dgak7">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6: Annual Income Distribution</w:t>
              <w:tab/>
              <w:t xml:space="preserve">12</w:t>
            </w:r>
          </w:hyperlink>
          <w:r>
            <w:rPr>
              <w:rtl w:val="0"/>
            </w:rPr>
          </w:r>
        </w:p>
        <w:p w:rsidR="00000000" w:rsidDel="00000000" w:rsidP="00000000" w:rsidRDefault="00000000" w:rsidRPr="00000000" w14:paraId="00000022">
          <w:pPr>
            <w:widowControl w:val="0"/>
            <w:tabs>
              <w:tab w:val="right" w:leader="none" w:pos="12000"/>
            </w:tabs>
            <w:spacing w:after="0" w:before="60" w:line="240" w:lineRule="auto"/>
            <w:ind w:left="0" w:firstLine="0"/>
            <w:jc w:val="left"/>
            <w:rPr>
              <w:color w:val="000000"/>
              <w:u w:val="none"/>
            </w:rPr>
          </w:pPr>
          <w:hyperlink w:anchor="_heading=h.uigwb8asol9m">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7: Correlation Matrix Of Numerical Features</w:t>
              <w:tab/>
              <w:t xml:space="preserve">13</w:t>
            </w:r>
          </w:hyperlink>
          <w:r>
            <w:rPr>
              <w:rtl w:val="0"/>
            </w:rPr>
          </w:r>
        </w:p>
        <w:p w:rsidR="00000000" w:rsidDel="00000000" w:rsidP="00000000" w:rsidRDefault="00000000" w:rsidRPr="00000000" w14:paraId="00000023">
          <w:pPr>
            <w:widowControl w:val="0"/>
            <w:tabs>
              <w:tab w:val="right" w:leader="none" w:pos="12000"/>
            </w:tabs>
            <w:spacing w:after="0" w:before="60" w:line="240" w:lineRule="auto"/>
            <w:ind w:left="0" w:firstLine="0"/>
            <w:jc w:val="left"/>
            <w:rPr>
              <w:color w:val="000000"/>
              <w:u w:val="none"/>
            </w:rPr>
          </w:pPr>
          <w:hyperlink w:anchor="_heading=h.bkxx6zttumg3">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8: Interest Rate by Loan Status</w:t>
              <w:tab/>
              <w:t xml:space="preserve">14</w:t>
            </w:r>
          </w:hyperlink>
          <w:r>
            <w:rPr>
              <w:rtl w:val="0"/>
            </w:rPr>
          </w:r>
        </w:p>
        <w:p w:rsidR="00000000" w:rsidDel="00000000" w:rsidP="00000000" w:rsidRDefault="00000000" w:rsidRPr="00000000" w14:paraId="00000024">
          <w:pPr>
            <w:widowControl w:val="0"/>
            <w:tabs>
              <w:tab w:val="right" w:leader="none" w:pos="12000"/>
            </w:tabs>
            <w:spacing w:after="0" w:before="60" w:line="240" w:lineRule="auto"/>
            <w:ind w:left="0" w:firstLine="0"/>
            <w:jc w:val="left"/>
            <w:rPr>
              <w:color w:val="000000"/>
              <w:u w:val="none"/>
            </w:rPr>
          </w:pPr>
          <w:hyperlink w:anchor="_heading=h.eeyr9ylk91zo">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9: Loan Distribution by Home Ownership</w:t>
              <w:tab/>
              <w:t xml:space="preserve">15</w:t>
            </w:r>
          </w:hyperlink>
          <w:r>
            <w:rPr>
              <w:rtl w:val="0"/>
            </w:rPr>
          </w:r>
        </w:p>
        <w:p w:rsidR="00000000" w:rsidDel="00000000" w:rsidP="00000000" w:rsidRDefault="00000000" w:rsidRPr="00000000" w14:paraId="00000025">
          <w:pPr>
            <w:widowControl w:val="0"/>
            <w:tabs>
              <w:tab w:val="right" w:leader="none" w:pos="12000"/>
            </w:tabs>
            <w:spacing w:after="0" w:before="60" w:line="240" w:lineRule="auto"/>
            <w:ind w:left="0" w:firstLine="0"/>
            <w:jc w:val="left"/>
            <w:rPr>
              <w:color w:val="000000"/>
              <w:u w:val="none"/>
            </w:rPr>
          </w:pPr>
          <w:hyperlink w:anchor="_heading=h.oihdjm5tp72e">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10: Loan Status by Home Ownership</w:t>
              <w:tab/>
              <w:t xml:space="preserve">15</w:t>
            </w:r>
          </w:hyperlink>
          <w:r>
            <w:rPr>
              <w:rtl w:val="0"/>
            </w:rPr>
          </w:r>
        </w:p>
        <w:p w:rsidR="00000000" w:rsidDel="00000000" w:rsidP="00000000" w:rsidRDefault="00000000" w:rsidRPr="00000000" w14:paraId="00000026">
          <w:pPr>
            <w:widowControl w:val="0"/>
            <w:tabs>
              <w:tab w:val="right" w:leader="none" w:pos="12000"/>
            </w:tabs>
            <w:spacing w:after="0" w:before="60" w:line="240" w:lineRule="auto"/>
            <w:ind w:left="0" w:firstLine="0"/>
            <w:jc w:val="left"/>
            <w:rPr>
              <w:color w:val="000000"/>
              <w:u w:val="none"/>
            </w:rPr>
          </w:pPr>
          <w:hyperlink w:anchor="_heading=h.q5axyn1jpve1">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11: Employment Length Across Loan Status</w:t>
              <w:tab/>
              <w:t xml:space="preserve">16</w:t>
            </w:r>
          </w:hyperlink>
          <w:r>
            <w:rPr>
              <w:rtl w:val="0"/>
            </w:rPr>
          </w:r>
        </w:p>
        <w:p w:rsidR="00000000" w:rsidDel="00000000" w:rsidP="00000000" w:rsidRDefault="00000000" w:rsidRPr="00000000" w14:paraId="00000027">
          <w:pPr>
            <w:widowControl w:val="0"/>
            <w:tabs>
              <w:tab w:val="right" w:leader="none" w:pos="12000"/>
            </w:tabs>
            <w:spacing w:after="0" w:before="60" w:line="240" w:lineRule="auto"/>
            <w:ind w:left="0" w:firstLine="0"/>
            <w:jc w:val="left"/>
            <w:rPr>
              <w:color w:val="000000"/>
              <w:u w:val="none"/>
            </w:rPr>
          </w:pPr>
          <w:hyperlink w:anchor="_heading=h.6l7xk7pkmkys">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12: Bias Analysis</w:t>
              <w:tab/>
              <w:t xml:space="preserve">16</w:t>
            </w:r>
          </w:hyperlink>
          <w:r>
            <w:rPr>
              <w:rtl w:val="0"/>
            </w:rPr>
          </w:r>
        </w:p>
        <w:p w:rsidR="00000000" w:rsidDel="00000000" w:rsidP="00000000" w:rsidRDefault="00000000" w:rsidRPr="00000000" w14:paraId="00000028">
          <w:pPr>
            <w:widowControl w:val="0"/>
            <w:tabs>
              <w:tab w:val="right" w:leader="none" w:pos="12000"/>
            </w:tabs>
            <w:spacing w:after="0" w:before="60" w:line="240" w:lineRule="auto"/>
            <w:ind w:left="0" w:firstLine="0"/>
            <w:jc w:val="left"/>
            <w:rPr>
              <w:color w:val="000000"/>
              <w:u w:val="none"/>
            </w:rPr>
          </w:pPr>
          <w:hyperlink w:anchor="_heading=h.stdrp585lci8">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13: Data Preprocessing Pipeline</w:t>
              <w:tab/>
              <w:t xml:space="preserve">18</w:t>
            </w:r>
          </w:hyperlink>
          <w:r>
            <w:rPr>
              <w:rtl w:val="0"/>
            </w:rPr>
          </w:r>
        </w:p>
        <w:p w:rsidR="00000000" w:rsidDel="00000000" w:rsidP="00000000" w:rsidRDefault="00000000" w:rsidRPr="00000000" w14:paraId="00000029">
          <w:pPr>
            <w:widowControl w:val="0"/>
            <w:tabs>
              <w:tab w:val="right" w:leader="none" w:pos="12000"/>
            </w:tabs>
            <w:spacing w:after="0" w:before="60" w:line="240" w:lineRule="auto"/>
            <w:ind w:left="0" w:firstLine="0"/>
            <w:jc w:val="left"/>
            <w:rPr>
              <w:color w:val="000000"/>
              <w:u w:val="none"/>
            </w:rPr>
          </w:pPr>
          <w:hyperlink w:anchor="_heading=h.7339wf9pojev">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14: Logistic Regression Model</w:t>
              <w:tab/>
              <w:t xml:space="preserve">19</w:t>
            </w:r>
          </w:hyperlink>
          <w:r>
            <w:rPr>
              <w:rtl w:val="0"/>
            </w:rPr>
          </w:r>
        </w:p>
        <w:p w:rsidR="00000000" w:rsidDel="00000000" w:rsidP="00000000" w:rsidRDefault="00000000" w:rsidRPr="00000000" w14:paraId="0000002A">
          <w:pPr>
            <w:widowControl w:val="0"/>
            <w:tabs>
              <w:tab w:val="right" w:leader="none" w:pos="12000"/>
            </w:tabs>
            <w:spacing w:after="0" w:before="60" w:line="240" w:lineRule="auto"/>
            <w:ind w:left="0" w:firstLine="0"/>
            <w:jc w:val="left"/>
            <w:rPr>
              <w:color w:val="000000"/>
              <w:u w:val="none"/>
            </w:rPr>
          </w:pPr>
          <w:hyperlink w:anchor="_heading=h.lrkd9gtl8z46">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15: Random Forest Model</w:t>
              <w:tab/>
              <w:t xml:space="preserve">20</w:t>
            </w:r>
          </w:hyperlink>
          <w:r>
            <w:rPr>
              <w:rtl w:val="0"/>
            </w:rPr>
          </w:r>
        </w:p>
        <w:p w:rsidR="00000000" w:rsidDel="00000000" w:rsidP="00000000" w:rsidRDefault="00000000" w:rsidRPr="00000000" w14:paraId="0000002B">
          <w:pPr>
            <w:widowControl w:val="0"/>
            <w:tabs>
              <w:tab w:val="right" w:leader="none" w:pos="12000"/>
            </w:tabs>
            <w:spacing w:after="0" w:before="60" w:line="240" w:lineRule="auto"/>
            <w:ind w:left="0" w:firstLine="0"/>
            <w:jc w:val="left"/>
            <w:rPr>
              <w:color w:val="000000"/>
              <w:u w:val="none"/>
            </w:rPr>
          </w:pPr>
          <w:hyperlink w:anchor="_heading=h.d1j5n9r5j43c">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16:  Classification Report and Confusion Matrix of Logistic Regression</w:t>
              <w:tab/>
              <w:t xml:space="preserve">22</w:t>
            </w:r>
          </w:hyperlink>
          <w:r>
            <w:rPr>
              <w:rtl w:val="0"/>
            </w:rPr>
          </w:r>
        </w:p>
        <w:p w:rsidR="00000000" w:rsidDel="00000000" w:rsidP="00000000" w:rsidRDefault="00000000" w:rsidRPr="00000000" w14:paraId="0000002C">
          <w:pPr>
            <w:widowControl w:val="0"/>
            <w:tabs>
              <w:tab w:val="right" w:leader="none" w:pos="12000"/>
            </w:tabs>
            <w:spacing w:after="0" w:before="60" w:line="240" w:lineRule="auto"/>
            <w:ind w:left="0" w:firstLine="0"/>
            <w:jc w:val="left"/>
            <w:rPr>
              <w:color w:val="000000"/>
              <w:u w:val="none"/>
            </w:rPr>
          </w:pPr>
          <w:r>
            <w:rPr>
              <w:color w:val="000000"/>
              <w:u w:val="none"/>
              <w:rtl w:val="0"/>
            </w:rPr>
            <w:t xml:space="preserve">Figure </w:t>
          </w:r>
          <w:hyperlink w:anchor="_heading=h.h37fabgag6w9">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17: Classification Report And Confusion Matrix of Random Forest</w:t>
              <w:tab/>
              <w:t xml:space="preserve">23</w:t>
            </w:r>
          </w:hyperlink>
          <w:r>
            <w:rPr>
              <w:rtl w:val="0"/>
            </w:rPr>
          </w:r>
        </w:p>
        <w:p w:rsidR="00000000" w:rsidDel="00000000" w:rsidP="00000000" w:rsidRDefault="00000000" w:rsidRPr="00000000" w14:paraId="0000002D">
          <w:pPr>
            <w:widowControl w:val="0"/>
            <w:tabs>
              <w:tab w:val="right" w:leader="none" w:pos="12000"/>
            </w:tabs>
            <w:spacing w:after="0" w:before="60" w:line="240" w:lineRule="auto"/>
            <w:ind w:left="0" w:firstLine="0"/>
            <w:jc w:val="left"/>
            <w:rPr>
              <w:color w:val="000000"/>
              <w:u w:val="none"/>
            </w:rPr>
          </w:pPr>
          <w:hyperlink w:anchor="_heading=h.7j2lmj1ozufc">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18: Top 20 Feature Importances - Random Forest</w:t>
              <w:tab/>
              <w:t xml:space="preserve">24</w:t>
            </w:r>
          </w:hyperlink>
          <w:r>
            <w:rPr>
              <w:rtl w:val="0"/>
            </w:rPr>
          </w:r>
        </w:p>
        <w:p w:rsidR="00000000" w:rsidDel="00000000" w:rsidP="00000000" w:rsidRDefault="00000000" w:rsidRPr="00000000" w14:paraId="0000002E">
          <w:pPr>
            <w:widowControl w:val="0"/>
            <w:tabs>
              <w:tab w:val="right" w:leader="none" w:pos="12000"/>
            </w:tabs>
            <w:spacing w:after="0" w:before="60" w:line="240" w:lineRule="auto"/>
            <w:ind w:left="0" w:firstLine="0"/>
            <w:jc w:val="left"/>
            <w:rPr>
              <w:color w:val="000000"/>
              <w:u w:val="none"/>
            </w:rPr>
          </w:pPr>
          <w:hyperlink w:anchor="_heading=h.u9jv7gaedy8u">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19: Top Logistic Regression Features</w:t>
              <w:tab/>
              <w:t xml:space="preserve">24</w:t>
            </w:r>
          </w:hyperlink>
          <w:r>
            <w:rPr>
              <w:rtl w:val="0"/>
            </w:rPr>
          </w:r>
        </w:p>
        <w:p w:rsidR="00000000" w:rsidDel="00000000" w:rsidP="00000000" w:rsidRDefault="00000000" w:rsidRPr="00000000" w14:paraId="0000002F">
          <w:pPr>
            <w:widowControl w:val="0"/>
            <w:tabs>
              <w:tab w:val="right" w:leader="none" w:pos="12000"/>
            </w:tabs>
            <w:spacing w:after="0" w:before="60" w:line="240" w:lineRule="auto"/>
            <w:ind w:left="0" w:firstLine="0"/>
            <w:jc w:val="left"/>
            <w:rPr>
              <w:color w:val="000000"/>
              <w:u w:val="none"/>
            </w:rPr>
          </w:pPr>
          <w:hyperlink w:anchor="_heading=h.l5qpv5fb1h13">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20: Logistic Regression Results</w:t>
              <w:tab/>
              <w:t xml:space="preserve">25</w:t>
            </w:r>
          </w:hyperlink>
          <w:r>
            <w:rPr>
              <w:rtl w:val="0"/>
            </w:rPr>
          </w:r>
        </w:p>
        <w:p w:rsidR="00000000" w:rsidDel="00000000" w:rsidP="00000000" w:rsidRDefault="00000000" w:rsidRPr="00000000" w14:paraId="00000030">
          <w:pPr>
            <w:widowControl w:val="0"/>
            <w:tabs>
              <w:tab w:val="right" w:leader="none" w:pos="12000"/>
            </w:tabs>
            <w:spacing w:after="0" w:before="60" w:line="240" w:lineRule="auto"/>
            <w:ind w:left="0" w:firstLine="0"/>
            <w:jc w:val="left"/>
            <w:rPr>
              <w:color w:val="000000"/>
              <w:u w:val="none"/>
            </w:rPr>
          </w:pPr>
          <w:hyperlink w:anchor="_heading=h.j32zqfnhc586">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21</w:t>
            </w:r>
          </w:hyperlink>
          <w:hyperlink w:anchor="_heading=h.j32zqfnhc586">
            <w:r>
              <w:rPr>
                <w:rtl w:val="0"/>
              </w:rPr>
              <w:t xml:space="preserve">: Random Forest Results</w:t>
            </w:r>
          </w:hyperlink>
          <w:hyperlink w:anchor="_heading=h.j32zqfnhc586">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t>
              <w:tab/>
              <w:t xml:space="preserve">26</w:t>
            </w:r>
          </w:hyperlink>
          <w:r>
            <w:rPr>
              <w:rtl w:val="0"/>
            </w:rPr>
          </w:r>
        </w:p>
        <w:p w:rsidR="00000000" w:rsidDel="00000000" w:rsidP="00000000" w:rsidRDefault="00000000" w:rsidRPr="00000000" w14:paraId="00000031">
          <w:pPr>
            <w:widowControl w:val="0"/>
            <w:tabs>
              <w:tab w:val="right" w:leader="none" w:pos="12000"/>
            </w:tabs>
            <w:spacing w:after="0" w:before="60" w:line="240" w:lineRule="auto"/>
            <w:ind w:left="0" w:firstLine="0"/>
            <w:jc w:val="left"/>
            <w:rPr>
              <w:color w:val="000000"/>
              <w:u w:val="none"/>
            </w:rPr>
          </w:pPr>
          <w:hyperlink w:anchor="_heading=h.uiakeut0btno">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22: Performance Comparison of Machine Learning Models</w:t>
              <w:tab/>
              <w:t xml:space="preserve">27</w:t>
            </w:r>
          </w:hyperlink>
          <w:r>
            <w:rPr>
              <w:rtl w:val="0"/>
            </w:rPr>
          </w:r>
        </w:p>
        <w:p w:rsidR="00000000" w:rsidDel="00000000" w:rsidP="00000000" w:rsidRDefault="00000000" w:rsidRPr="00000000" w14:paraId="00000032">
          <w:pPr>
            <w:widowControl w:val="0"/>
            <w:tabs>
              <w:tab w:val="right" w:leader="none" w:pos="12000"/>
            </w:tabs>
            <w:spacing w:after="0" w:before="60" w:line="240" w:lineRule="auto"/>
            <w:ind w:left="0" w:firstLine="0"/>
            <w:jc w:val="left"/>
            <w:rPr>
              <w:color w:val="000000"/>
              <w:u w:val="none"/>
            </w:rPr>
          </w:pPr>
          <w:hyperlink w:anchor="_heading=h.pvueivs1imsl">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23: ROC Curve Comparison</w:t>
              <w:tab/>
              <w:t xml:space="preserve">28</w:t>
            </w:r>
          </w:hyperlink>
          <w:r>
            <w:rPr>
              <w:rtl w:val="0"/>
            </w:rPr>
          </w:r>
        </w:p>
        <w:p w:rsidR="00000000" w:rsidDel="00000000" w:rsidP="00000000" w:rsidRDefault="00000000" w:rsidRPr="00000000" w14:paraId="00000033">
          <w:pPr>
            <w:widowControl w:val="0"/>
            <w:tabs>
              <w:tab w:val="right" w:leader="none" w:pos="12000"/>
            </w:tabs>
            <w:spacing w:after="0" w:before="60" w:line="240" w:lineRule="auto"/>
            <w:ind w:left="0" w:firstLine="0"/>
            <w:jc w:val="left"/>
            <w:rPr>
              <w:color w:val="000000"/>
              <w:u w:val="none"/>
            </w:rPr>
          </w:pPr>
          <w:hyperlink w:anchor="_heading=h.88ghgj3zy37g">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24: SHAP Summary Plot</w:t>
              <w:tab/>
              <w:t xml:space="preserve">29</w:t>
            </w:r>
          </w:hyperlink>
          <w:r>
            <w:rPr>
              <w:rtl w:val="0"/>
            </w:rPr>
          </w:r>
        </w:p>
        <w:p w:rsidR="00000000" w:rsidDel="00000000" w:rsidP="00000000" w:rsidRDefault="00000000" w:rsidRPr="00000000" w14:paraId="00000034">
          <w:pPr>
            <w:widowControl w:val="0"/>
            <w:tabs>
              <w:tab w:val="right" w:leader="none" w:pos="12000"/>
            </w:tabs>
            <w:spacing w:after="0" w:before="60" w:line="240" w:lineRule="auto"/>
            <w:ind w:left="0" w:firstLine="0"/>
            <w:jc w:val="left"/>
            <w:rPr>
              <w:color w:val="000000"/>
              <w:u w:val="none"/>
            </w:rPr>
          </w:pPr>
          <w:hyperlink w:anchor="_heading=h.4btg154te9at">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25: SHAP Feature Importance Plot</w:t>
              <w:tab/>
              <w:t xml:space="preserve">30</w:t>
            </w:r>
          </w:hyperlink>
          <w:r>
            <w:rPr>
              <w:rtl w:val="0"/>
            </w:rPr>
          </w:r>
        </w:p>
        <w:p w:rsidR="00000000" w:rsidDel="00000000" w:rsidP="00000000" w:rsidRDefault="00000000" w:rsidRPr="00000000" w14:paraId="00000035">
          <w:pPr>
            <w:widowControl w:val="0"/>
            <w:tabs>
              <w:tab w:val="right" w:leader="none" w:pos="12000"/>
            </w:tabs>
            <w:spacing w:after="0" w:before="60" w:line="240" w:lineRule="auto"/>
            <w:ind w:left="0" w:firstLine="0"/>
            <w:jc w:val="left"/>
            <w:rPr>
              <w:color w:val="000000"/>
              <w:u w:val="none"/>
            </w:rPr>
          </w:pPr>
          <w:hyperlink w:anchor="_heading=h.xy30c2g2hq1">
            <w:r>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26:Partial Dependence Plot for 'Charged Off'</w:t>
              <w:tab/>
              <w:t xml:space="preserve">31</w:t>
            </w:r>
          </w:hyperlink>
          <w:r>
            <w:rPr>
              <w:rtl w:val="0"/>
            </w:rPr>
          </w:r>
          <w:r>
            <w:fldChar w:fldCharType="end"/>
          </w:r>
        </w:p>
      </w:sdtContent>
    </w:sdt>
    <w:p w:rsidR="00000000" w:rsidDel="00000000" w:rsidP="00000000" w:rsidRDefault="00000000" w:rsidRPr="00000000" w14:paraId="00000036">
      <w:pPr>
        <w:rPr/>
      </w:pPr>
      <w:r>
        <w:rPr>
          <w:rtl w:val="0"/>
        </w:rPr>
      </w:r>
    </w:p>
    <w:p w:rsidR="00000000" w:rsidDel="00000000" w:rsidP="00000000" w:rsidRDefault="00000000" w:rsidRPr="00000000" w14:paraId="00000037">
      <w:pPr>
        <w:rPr/>
      </w:pPr>
      <w:r>
        <w:br w:type="page"/>
      </w:r>
      <w:r>
        <w:rPr>
          <w:rtl w:val="0"/>
        </w:rPr>
      </w:r>
    </w:p>
    <w:p w:rsidR="00000000" w:rsidDel="00000000" w:rsidP="00000000" w:rsidRDefault="00000000" w:rsidRPr="00000000" w14:paraId="00000038">
      <w:pPr>
        <w:pStyle w:val="Heading1"/>
        <w:rPr>
          <w:b w:val="1"/>
          <w:bCs w:val="1"/>
          <w:sz w:val="28"/>
          <w:szCs w:val="28"/>
        </w:rPr>
      </w:pPr>
      <w:bookmarkStart w:colFirst="0" w:colLast="0" w:name="_heading=h.dl71rvga8vbl" w:id="5"/>
      <w:bookmarkEnd w:id="5"/>
      <w:r>
        <w:rPr>
          <w:rtl w:val="0"/>
        </w:rPr>
        <w:t xml:space="preserve">1. Introduction </w:t>
      </w:r>
    </w:p>
    <w:p w:rsidR="00000000" w:rsidDel="00000000" w:rsidP="00000000" w:rsidRDefault="00000000" w:rsidRPr="00000000" w14:paraId="00000039">
      <w:pPr>
        <w:rPr/>
      </w:pPr>
      <w:r>
        <w:rPr>
          <w:rtl w:val="0"/>
        </w:rPr>
        <w:t xml:space="preserve">Defining credit risk assessment is an essential process in bank and financial industry as it is used to identify whether a borrower will repay a loan, based on a seeder's repayment capacity. Proper credit risk evaluation helps financial institutions reduce financial losses, make better lending choices, optimally utilize resources and meet regulatory needs. Historically, assessing creditworthiness required paper-based efforts and score-based credit risk systems that had a set of financial criterion like income or employment history, credit utilisation and repayment history. These methods have been used to assist lending decisions for a long time, but can be limited in their ability to reflect the complex interactions that occur in large financial datasets and less useful when there are significant borrower characteristic differences [5], [7].</w:t>
      </w:r>
    </w:p>
    <w:p w:rsidR="00000000" w:rsidDel="00000000" w:rsidP="00000000" w:rsidRDefault="00000000" w:rsidRPr="00000000" w14:paraId="0000003A">
      <w:pPr>
        <w:pStyle w:val="Heading1"/>
        <w:rPr/>
      </w:pPr>
      <w:bookmarkStart w:colFirst="0" w:colLast="0" w:name="_heading=h.pma9g8y0vbmz" w:id="6"/>
      <w:bookmarkEnd w:id="6"/>
      <w:r>
        <w:rPr>
          <w:rtl w:val="0"/>
        </w:rPr>
        <w:t xml:space="preserve">2. Methodology </w:t>
      </w:r>
    </w:p>
    <w:p w:rsidR="00000000" w:rsidDel="00000000" w:rsidP="00000000" w:rsidRDefault="00000000" w:rsidRPr="00000000" w14:paraId="0000003B">
      <w:pPr>
        <w:pStyle w:val="Heading2"/>
        <w:rPr/>
      </w:pPr>
      <w:bookmarkStart w:colFirst="0" w:colLast="0" w:name="_heading=h.qexryc8q65aa" w:id="7"/>
      <w:bookmarkEnd w:id="7"/>
      <w:r>
        <w:rPr>
          <w:rtl w:val="0"/>
        </w:rPr>
        <w:t xml:space="preserve">2.1 Research Workflow</w:t>
      </w:r>
    </w:p>
    <w:p w:rsidR="00000000" w:rsidDel="00000000" w:rsidP="00000000" w:rsidRDefault="00000000" w:rsidRPr="00000000" w14:paraId="0000003C">
      <w:pPr>
        <w:rPr/>
      </w:pPr>
      <w:r>
        <w:rPr>
          <w:rtl w:val="0"/>
        </w:rPr>
        <w:t xml:space="preserve">The research was conducted using the structured machine learning workflow for the purpose of building and testing credit risk prediction models. It started by loading and exploring the dataset titled Lending Club Loan, next it was cleaned and treated for missing data, field duplication and removal of leakage features, and finally it was stored in Tableau. It was then followed by exploratory data analysis (EDA) which aimed at understanding the distributions of the features and looking for patterns. Logistic Regression and Random Forest [1] were developed and tuned using GridSearchCV [2], [3] on cross validation and multiple performance measures were used to evaluate the models. Feature Importance and SHAP analysis [4] were used to better understand the models.</w:t>
      </w:r>
    </w:p>
    <w:p w:rsidR="00000000" w:rsidDel="00000000" w:rsidP="00000000" w:rsidRDefault="00000000" w:rsidRPr="00000000" w14:paraId="0000003D">
      <w:pPr>
        <w:pStyle w:val="Heading2"/>
        <w:rPr/>
      </w:pPr>
      <w:bookmarkStart w:colFirst="0" w:colLast="0" w:name="_heading=h.www81u67ib83" w:id="8"/>
      <w:bookmarkEnd w:id="8"/>
      <w:r>
        <w:rPr>
          <w:rtl w:val="0"/>
        </w:rPr>
        <w:t xml:space="preserve">2.2 Dataset Description</w:t>
      </w:r>
    </w:p>
    <w:p w:rsidR="00000000" w:rsidDel="00000000" w:rsidP="00000000" w:rsidRDefault="00000000" w:rsidRPr="00000000" w14:paraId="0000003E">
      <w:pPr>
        <w:rPr/>
      </w:pPr>
      <w:r>
        <w:rPr>
          <w:rtl w:val="0"/>
        </w:rPr>
        <w:t xml:space="preserve">The data for this study is also available from the public domain of Lending Club Loan [7]: a data corpus containing 10,000 loan applications, each with 56 attributes describing borrowers' demographics, financial information, credit history and loan information. The resulting target variable is loan_status, in which there are six categories representing various outcomes of loan repayment. Five data leakage features were removed and 51 features were left for modelling. This dataset is a combination of numerical and categorical variables, suitable for the classification using the supervised machine learning method and explainable artificial intelligence analysis. </w:t>
      </w:r>
    </w:p>
    <w:p w:rsidR="00000000" w:rsidDel="00000000" w:rsidP="00000000" w:rsidRDefault="00000000" w:rsidRPr="00000000" w14:paraId="0000003F">
      <w:pPr>
        <w:jc w:val="center"/>
        <w:rPr/>
      </w:pPr>
      <w:r>
        <w:rPr/>
        <w:drawing>
          <wp:inline distB="114300" distT="114300" distL="114300" distR="114300">
            <wp:extent cx="4976813" cy="1620358"/>
            <wp:effectExtent b="12700" l="12700" r="12700" t="12700"/>
            <wp:docPr id="11" name="image19.png"/>
            <a:graphic>
              <a:graphicData uri="http://schemas.openxmlformats.org/drawingml/2006/picture">
                <pic:pic>
                  <pic:nvPicPr>
                    <pic:cNvPr id="0" name="image19.png"/>
                    <pic:cNvPicPr preferRelativeResize="0"/>
                  </pic:nvPicPr>
                  <pic:blipFill>
                    <a:blip r:embed="rId7"/>
                    <a:srcRect b="0" l="0" r="0" t="0"/>
                    <a:stretch>
                      <a:fillRect/>
                    </a:stretch>
                  </pic:blipFill>
                  <pic:spPr>
                    <a:xfrm>
                      <a:off x="0" y="0"/>
                      <a:ext cx="4976813" cy="1620358"/>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40">
      <w:pPr>
        <w:pStyle w:val="Heading4"/>
        <w:rPr/>
      </w:pPr>
      <w:bookmarkStart w:colFirst="0" w:colLast="0" w:name="_heading=h.i56kntrxdvbf" w:id="9"/>
      <w:bookmarkEnd w:id="9"/>
      <w:r>
        <w:rPr>
          <w:rtl w:val="0"/>
        </w:rPr>
        <w:t xml:space="preserve">Figure 1: Load Dataset</w:t>
      </w:r>
    </w:p>
    <w:p w:rsidR="00000000" w:rsidDel="00000000" w:rsidP="00000000" w:rsidRDefault="00000000" w:rsidRPr="00000000" w14:paraId="00000041">
      <w:pPr>
        <w:jc w:val="left"/>
        <w:rPr/>
      </w:pPr>
      <w:r>
        <w:rPr>
          <w:rtl w:val="0"/>
        </w:rPr>
        <w:t xml:space="preserve">The loading of Lending Club Loan dataset successfully into python is shown in figure 1 below. The first few lines of data give a general idea of the borrower and the characteristics of the loans as well as repayment factors and variables and verify proper importation of the data. </w:t>
      </w:r>
    </w:p>
    <w:p w:rsidR="00000000" w:rsidDel="00000000" w:rsidP="00000000" w:rsidRDefault="00000000" w:rsidRPr="00000000" w14:paraId="00000042">
      <w:pPr>
        <w:jc w:val="center"/>
        <w:rPr/>
      </w:pPr>
      <w:r>
        <w:rPr/>
        <w:drawing>
          <wp:inline distB="114300" distT="114300" distL="114300" distR="114300">
            <wp:extent cx="4852988" cy="2410371"/>
            <wp:effectExtent b="12700" l="12700" r="12700" t="12700"/>
            <wp:docPr id="1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852988" cy="2410371"/>
                    </a:xfrm>
                    <a:prstGeom prst="rect"/>
                    <a:ln w="12700">
                      <a:solidFill>
                        <a:srgbClr val="000000"/>
                      </a:solidFill>
                      <a:prstDash val="solid"/>
                    </a:ln>
                  </pic:spPr>
                </pic:pic>
              </a:graphicData>
            </a:graphic>
          </wp:inline>
        </w:drawing>
        <w:drawing>
          <wp:inline distB="114300" distT="114300" distL="114300" distR="114300">
            <wp:extent cx="5731200" cy="1765300"/>
            <wp:effectExtent b="12700" l="12700" r="12700" t="12700"/>
            <wp:docPr id="12" name="image14.png"/>
            <a:graphic>
              <a:graphicData uri="http://schemas.openxmlformats.org/drawingml/2006/picture">
                <pic:pic>
                  <pic:nvPicPr>
                    <pic:cNvPr id="0" name="image14.png"/>
                    <pic:cNvPicPr preferRelativeResize="0"/>
                  </pic:nvPicPr>
                  <pic:blipFill>
                    <a:blip r:embed="rId9"/>
                    <a:srcRect b="0" l="0" r="0" t="0"/>
                    <a:stretch>
                      <a:fillRect/>
                    </a:stretch>
                  </pic:blipFill>
                  <pic:spPr>
                    <a:xfrm>
                      <a:off x="0" y="0"/>
                      <a:ext cx="5731200" cy="17653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43">
      <w:pPr>
        <w:pStyle w:val="Heading4"/>
        <w:jc w:val="center"/>
        <w:rPr/>
      </w:pPr>
      <w:bookmarkStart w:colFirst="0" w:colLast="0" w:name="_heading=h.rerfen4mvt86" w:id="10"/>
      <w:bookmarkEnd w:id="10"/>
      <w:r>
        <w:rPr>
          <w:rtl w:val="0"/>
        </w:rPr>
        <w:t xml:space="preserve">Figure 2: Data Descriptions </w:t>
      </w:r>
    </w:p>
    <w:p w:rsidR="00000000" w:rsidDel="00000000" w:rsidP="00000000" w:rsidRDefault="00000000" w:rsidRPr="00000000" w14:paraId="00000044">
      <w:pPr>
        <w:rPr/>
      </w:pPr>
      <w:r>
        <w:rPr>
          <w:rtl w:val="0"/>
        </w:rPr>
        <w:t xml:space="preserve">The data set is summarized in figure 2, which shows the names of the variables, data types, number of observations ($n_{obs}$) and a few randomly selected records. It ensures that there are numerical and categorical features present in the data, and gives a preliminary insight into the data prior to pre-processing. </w:t>
      </w:r>
    </w:p>
    <w:p w:rsidR="00000000" w:rsidDel="00000000" w:rsidP="00000000" w:rsidRDefault="00000000" w:rsidRPr="00000000" w14:paraId="00000045">
      <w:pPr>
        <w:jc w:val="center"/>
        <w:rPr/>
      </w:pPr>
      <w:r>
        <w:rPr/>
        <w:drawing>
          <wp:inline distB="114300" distT="114300" distL="114300" distR="114300">
            <wp:extent cx="5731200" cy="3302000"/>
            <wp:effectExtent b="12700" l="12700" r="12700" t="12700"/>
            <wp:docPr id="15"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731200" cy="33020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46">
      <w:pPr>
        <w:pStyle w:val="Heading4"/>
        <w:jc w:val="center"/>
        <w:rPr/>
      </w:pPr>
      <w:bookmarkStart w:colFirst="0" w:colLast="0" w:name="_heading=h.vfjn6cs6wt0k" w:id="11"/>
      <w:bookmarkEnd w:id="11"/>
      <w:r>
        <w:rPr>
          <w:rtl w:val="0"/>
        </w:rPr>
        <w:t xml:space="preserve">Figure 3: Missing Values by Feature</w:t>
      </w:r>
    </w:p>
    <w:p w:rsidR="00000000" w:rsidDel="00000000" w:rsidP="00000000" w:rsidRDefault="00000000" w:rsidRPr="00000000" w14:paraId="00000047">
      <w:pPr>
        <w:jc w:val="left"/>
        <w:rPr/>
      </w:pPr>
      <w:r>
        <w:rPr>
          <w:rtl w:val="0"/>
        </w:rPr>
        <w:t xml:space="preserve">The percentage of missing values by feature for the various elements of a dataset is shown in Figure 3. The rate of missing values is highest for variables with information about the finance status of the parents and highest for those without such information, as most of the remaining variables have relatively few missing values suggesting the need for suitable imputation methods in pre-processing. </w:t>
      </w:r>
    </w:p>
    <w:p w:rsidR="00000000" w:rsidDel="00000000" w:rsidP="00000000" w:rsidRDefault="00000000" w:rsidRPr="00000000" w14:paraId="00000048">
      <w:pPr>
        <w:pStyle w:val="Heading4"/>
        <w:jc w:val="center"/>
        <w:rPr/>
      </w:pPr>
      <w:bookmarkStart w:colFirst="0" w:colLast="0" w:name="_heading=h.e4mclxlghnei" w:id="12"/>
      <w:bookmarkEnd w:id="12"/>
      <w:r>
        <w:rPr>
          <w:rtl w:val="0"/>
        </w:rPr>
      </w:r>
    </w:p>
    <w:p w:rsidR="00000000" w:rsidDel="00000000" w:rsidP="00000000" w:rsidRDefault="00000000" w:rsidRPr="00000000" w14:paraId="00000049">
      <w:pPr>
        <w:pStyle w:val="Heading4"/>
        <w:jc w:val="left"/>
        <w:rPr/>
      </w:pPr>
      <w:bookmarkStart w:colFirst="0" w:colLast="0" w:name="_heading=h.lcny1x9krfc4" w:id="13"/>
      <w:bookmarkEnd w:id="13"/>
      <w:r>
        <w:rPr>
          <w:rtl w:val="0"/>
        </w:rPr>
      </w:r>
    </w:p>
    <w:p w:rsidR="00000000" w:rsidDel="00000000" w:rsidP="00000000" w:rsidRDefault="00000000" w:rsidRPr="00000000" w14:paraId="0000004A">
      <w:pPr>
        <w:pStyle w:val="Heading2"/>
        <w:rPr/>
      </w:pPr>
      <w:bookmarkStart w:colFirst="0" w:colLast="0" w:name="_heading=h.2vl3ggb5goq4" w:id="14"/>
      <w:bookmarkEnd w:id="14"/>
      <w:r>
        <w:rPr>
          <w:rtl w:val="0"/>
        </w:rPr>
        <w:t xml:space="preserve">2.3  Exploratory Data Analysis </w:t>
      </w:r>
    </w:p>
    <w:p w:rsidR="00000000" w:rsidDel="00000000" w:rsidP="00000000" w:rsidRDefault="00000000" w:rsidRPr="00000000" w14:paraId="0000004B">
      <w:pPr>
        <w:rPr/>
      </w:pPr>
      <w:r>
        <w:rPr/>
        <w:drawing>
          <wp:inline distB="114300" distT="114300" distL="114300" distR="114300">
            <wp:extent cx="5731200" cy="3403600"/>
            <wp:effectExtent b="12700" l="12700" r="12700" t="12700"/>
            <wp:docPr id="14" name="image17.png"/>
            <a:graphic>
              <a:graphicData uri="http://schemas.openxmlformats.org/drawingml/2006/picture">
                <pic:pic>
                  <pic:nvPicPr>
                    <pic:cNvPr id="0" name="image17.png"/>
                    <pic:cNvPicPr preferRelativeResize="0"/>
                  </pic:nvPicPr>
                  <pic:blipFill>
                    <a:blip r:embed="rId11"/>
                    <a:srcRect b="0" l="0" r="0" t="0"/>
                    <a:stretch>
                      <a:fillRect/>
                    </a:stretch>
                  </pic:blipFill>
                  <pic:spPr>
                    <a:xfrm>
                      <a:off x="0" y="0"/>
                      <a:ext cx="5731200" cy="34036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4C">
      <w:pPr>
        <w:pStyle w:val="Heading4"/>
        <w:jc w:val="center"/>
        <w:rPr/>
      </w:pPr>
      <w:bookmarkStart w:colFirst="0" w:colLast="0" w:name="_heading=h.913mh7iwjy0o" w:id="15"/>
      <w:bookmarkEnd w:id="15"/>
      <w:r>
        <w:rPr>
          <w:rtl w:val="0"/>
        </w:rPr>
        <w:t xml:space="preserve">Figure 4: Distribution of Loan Status</w:t>
      </w:r>
    </w:p>
    <w:p w:rsidR="00000000" w:rsidDel="00000000" w:rsidP="00000000" w:rsidRDefault="00000000" w:rsidRPr="00000000" w14:paraId="0000004D">
      <w:pPr>
        <w:rPr/>
      </w:pPr>
      <w:r>
        <w:rPr>
          <w:rtl w:val="0"/>
        </w:rPr>
        <w:t xml:space="preserve">The distribution of loan repayment outcomes can be seen from Figure 4. Most of the loans are from the 'Current' class and are frequent (about 93.8%) whereas classes from the default categories occur less frequently. This illustrates that there is a big class imbalance in the target variable. </w:t>
      </w:r>
    </w:p>
    <w:p w:rsidR="00000000" w:rsidDel="00000000" w:rsidP="00000000" w:rsidRDefault="00000000" w:rsidRPr="00000000" w14:paraId="0000004E">
      <w:pPr>
        <w:rPr/>
      </w:pPr>
      <w:r>
        <w:rPr>
          <w:rtl w:val="0"/>
        </w:rPr>
      </w:r>
    </w:p>
    <w:p w:rsidR="00000000" w:rsidDel="00000000" w:rsidP="00000000" w:rsidRDefault="00000000" w:rsidRPr="00000000" w14:paraId="0000004F">
      <w:pPr>
        <w:rPr/>
      </w:pPr>
      <w:r>
        <w:rPr/>
        <w:drawing>
          <wp:inline distB="114300" distT="114300" distL="114300" distR="114300">
            <wp:extent cx="5731200" cy="4267200"/>
            <wp:effectExtent b="12700" l="12700" r="12700" t="12700"/>
            <wp:docPr id="17"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731200" cy="42672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50">
      <w:pPr>
        <w:pStyle w:val="Heading4"/>
        <w:jc w:val="center"/>
        <w:rPr/>
      </w:pPr>
      <w:bookmarkStart w:colFirst="0" w:colLast="0" w:name="_heading=h.gt5gm8vvixin" w:id="16"/>
      <w:bookmarkEnd w:id="16"/>
      <w:r>
        <w:rPr>
          <w:rtl w:val="0"/>
        </w:rPr>
        <w:t xml:space="preserve">Figure 5: Distribution of Loan Grades</w:t>
      </w:r>
    </w:p>
    <w:p w:rsidR="00000000" w:rsidDel="00000000" w:rsidP="00000000" w:rsidRDefault="00000000" w:rsidRPr="00000000" w14:paraId="00000051">
      <w:pPr>
        <w:rPr/>
      </w:pPr>
      <w:r>
        <w:rPr>
          <w:rtl w:val="0"/>
        </w:rPr>
        <w:t xml:space="preserve">The distribution of borrowers by grade of loans, shown in Figure 5, indicates that grade A loans are the most popular choice with borrowers. The distribution of loan grades shows that grades A, B and C make up the bulk of loans, while higher-risk loan grades are few in number, such as loan grade F and G. </w:t>
      </w:r>
    </w:p>
    <w:p w:rsidR="00000000" w:rsidDel="00000000" w:rsidP="00000000" w:rsidRDefault="00000000" w:rsidRPr="00000000" w14:paraId="00000052">
      <w:pPr>
        <w:rPr/>
      </w:pPr>
      <w:r>
        <w:rPr/>
        <w:drawing>
          <wp:inline distB="114300" distT="114300" distL="114300" distR="114300">
            <wp:extent cx="5731200" cy="3403600"/>
            <wp:effectExtent b="12700" l="12700" r="12700" t="12700"/>
            <wp:docPr id="16" name="image13.png"/>
            <a:graphic>
              <a:graphicData uri="http://schemas.openxmlformats.org/drawingml/2006/picture">
                <pic:pic>
                  <pic:nvPicPr>
                    <pic:cNvPr id="0" name="image13.png"/>
                    <pic:cNvPicPr preferRelativeResize="0"/>
                  </pic:nvPicPr>
                  <pic:blipFill>
                    <a:blip r:embed="rId13"/>
                    <a:srcRect b="0" l="0" r="0" t="0"/>
                    <a:stretch>
                      <a:fillRect/>
                    </a:stretch>
                  </pic:blipFill>
                  <pic:spPr>
                    <a:xfrm>
                      <a:off x="0" y="0"/>
                      <a:ext cx="5731200" cy="34036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53">
      <w:pPr>
        <w:pStyle w:val="Heading4"/>
        <w:jc w:val="center"/>
        <w:rPr/>
      </w:pPr>
      <w:bookmarkStart w:colFirst="0" w:colLast="0" w:name="_heading=h.oq85xc2dgak7" w:id="17"/>
      <w:bookmarkEnd w:id="17"/>
      <w:r>
        <w:rPr>
          <w:rtl w:val="0"/>
        </w:rPr>
        <w:t xml:space="preserve">Figure 6: Annual Income Distribution</w:t>
      </w:r>
    </w:p>
    <w:p w:rsidR="00000000" w:rsidDel="00000000" w:rsidP="00000000" w:rsidRDefault="00000000" w:rsidRPr="00000000" w14:paraId="00000054">
      <w:pPr>
        <w:rPr/>
      </w:pPr>
      <w:r>
        <w:rPr>
          <w:rtl w:val="0"/>
        </w:rPr>
        <w:t xml:space="preserve">The distribution of borrowers' annual income is shown in figure 6. The positively skewed distribution suggests that the majority of applicants have relatively medium incomes with a relatively few exception who report very high income levels, which are creating several outliers. </w:t>
      </w:r>
    </w:p>
    <w:p w:rsidR="00000000" w:rsidDel="00000000" w:rsidP="00000000" w:rsidRDefault="00000000" w:rsidRPr="00000000" w14:paraId="00000055">
      <w:pPr>
        <w:rPr/>
      </w:pPr>
      <w:r>
        <w:rPr/>
        <w:drawing>
          <wp:inline distB="114300" distT="114300" distL="114300" distR="114300">
            <wp:extent cx="5731200" cy="4584700"/>
            <wp:effectExtent b="12700" l="12700" r="12700" t="12700"/>
            <wp:docPr id="21" name="image21.png"/>
            <a:graphic>
              <a:graphicData uri="http://schemas.openxmlformats.org/drawingml/2006/picture">
                <pic:pic>
                  <pic:nvPicPr>
                    <pic:cNvPr id="0" name="image21.png"/>
                    <pic:cNvPicPr preferRelativeResize="0"/>
                  </pic:nvPicPr>
                  <pic:blipFill>
                    <a:blip r:embed="rId14"/>
                    <a:srcRect b="0" l="0" r="0" t="0"/>
                    <a:stretch>
                      <a:fillRect/>
                    </a:stretch>
                  </pic:blipFill>
                  <pic:spPr>
                    <a:xfrm>
                      <a:off x="0" y="0"/>
                      <a:ext cx="5731200" cy="45847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56">
      <w:pPr>
        <w:pStyle w:val="Heading4"/>
        <w:jc w:val="center"/>
        <w:rPr/>
      </w:pPr>
      <w:bookmarkStart w:colFirst="0" w:colLast="0" w:name="_heading=h.uigwb8asol9m" w:id="18"/>
      <w:bookmarkEnd w:id="18"/>
      <w:r>
        <w:rPr>
          <w:rtl w:val="0"/>
        </w:rPr>
        <w:t xml:space="preserve">Figure 7: Correlation Matrix Of Numerical Features</w:t>
      </w:r>
    </w:p>
    <w:p w:rsidR="00000000" w:rsidDel="00000000" w:rsidP="00000000" w:rsidRDefault="00000000" w:rsidRPr="00000000" w14:paraId="00000057">
      <w:pPr>
        <w:rPr/>
      </w:pPr>
      <w:r>
        <w:rPr>
          <w:rtl w:val="0"/>
        </w:rPr>
        <w:t xml:space="preserve">The scatter plot shown in Figure 7 presents the pairs of variables from the data set as an example.The scatterplot in Figure 7 is an example of the relationship between pairs of numerical variables in the data set. There are weak to moderate relationships with most features and a few with stronger positive relationships. This indicates that there is little multicollinearity for the numerical predictors that were selected. </w:t>
      </w:r>
    </w:p>
    <w:p w:rsidR="00000000" w:rsidDel="00000000" w:rsidP="00000000" w:rsidRDefault="00000000" w:rsidRPr="00000000" w14:paraId="00000058">
      <w:pPr>
        <w:rPr/>
      </w:pPr>
      <w:r>
        <w:rPr/>
        <w:drawing>
          <wp:inline distB="114300" distT="114300" distL="114300" distR="114300">
            <wp:extent cx="5731200" cy="3086100"/>
            <wp:effectExtent b="12700" l="12700" r="12700" t="12700"/>
            <wp:docPr id="19"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5731200" cy="30861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59">
      <w:pPr>
        <w:pStyle w:val="Heading4"/>
        <w:jc w:val="center"/>
        <w:rPr/>
      </w:pPr>
      <w:bookmarkStart w:colFirst="0" w:colLast="0" w:name="_heading=h.bkxx6zttumg3" w:id="19"/>
      <w:bookmarkEnd w:id="19"/>
      <w:r>
        <w:rPr>
          <w:rtl w:val="0"/>
        </w:rPr>
        <w:t xml:space="preserve">Figure 8: Interest Rate by Loan Status</w:t>
      </w:r>
    </w:p>
    <w:p w:rsidR="00000000" w:rsidDel="00000000" w:rsidP="00000000" w:rsidRDefault="00000000" w:rsidRPr="00000000" w14:paraId="0000005A">
      <w:pPr>
        <w:rPr/>
      </w:pPr>
      <w:r>
        <w:rPr>
          <w:rtl w:val="0"/>
        </w:rPr>
        <w:t xml:space="preserve">The distributions of interest rates are shown by category of loan repayment in Figure 8. In most cases, the mids of interest charged on the timely paid and current loans are lower than the late-paid loans, which indicates a potential positive relationship between interest charged on loans and the risk of repayment. </w:t>
      </w:r>
    </w:p>
    <w:p w:rsidR="00000000" w:rsidDel="00000000" w:rsidP="00000000" w:rsidRDefault="00000000" w:rsidRPr="00000000" w14:paraId="0000005B">
      <w:pPr>
        <w:rPr/>
      </w:pPr>
      <w:r>
        <w:rPr/>
        <w:drawing>
          <wp:inline distB="114300" distT="114300" distL="114300" distR="114300">
            <wp:extent cx="5731200" cy="3403600"/>
            <wp:effectExtent b="12700" l="12700" r="12700" t="12700"/>
            <wp:docPr id="24" name="image25.png"/>
            <a:graphic>
              <a:graphicData uri="http://schemas.openxmlformats.org/drawingml/2006/picture">
                <pic:pic>
                  <pic:nvPicPr>
                    <pic:cNvPr id="0" name="image25.png"/>
                    <pic:cNvPicPr preferRelativeResize="0"/>
                  </pic:nvPicPr>
                  <pic:blipFill>
                    <a:blip r:embed="rId16"/>
                    <a:srcRect b="0" l="0" r="0" t="0"/>
                    <a:stretch>
                      <a:fillRect/>
                    </a:stretch>
                  </pic:blipFill>
                  <pic:spPr>
                    <a:xfrm>
                      <a:off x="0" y="0"/>
                      <a:ext cx="5731200" cy="34036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5C">
      <w:pPr>
        <w:pStyle w:val="Heading4"/>
        <w:jc w:val="center"/>
        <w:rPr/>
      </w:pPr>
      <w:bookmarkStart w:colFirst="0" w:colLast="0" w:name="_heading=h.eeyr9ylk91zo" w:id="20"/>
      <w:bookmarkEnd w:id="20"/>
      <w:r>
        <w:rPr>
          <w:rtl w:val="0"/>
        </w:rPr>
        <w:t xml:space="preserve">Figure 9: Loan Distribution by Home Ownership</w:t>
      </w:r>
    </w:p>
    <w:p w:rsidR="00000000" w:rsidDel="00000000" w:rsidP="00000000" w:rsidRDefault="00000000" w:rsidRPr="00000000" w14:paraId="0000005D">
      <w:pPr>
        <w:rPr/>
      </w:pPr>
      <w:r>
        <w:rPr>
          <w:rtl w:val="0"/>
        </w:rPr>
        <w:t xml:space="preserve">The distribution of applicants by home ownership status is shown in Figure 9. A majority of applicants have their home as a home mortgage or reside in a rent-to-own home while relatively few applicants own their home outright.</w:t>
      </w:r>
    </w:p>
    <w:p w:rsidR="00000000" w:rsidDel="00000000" w:rsidP="00000000" w:rsidRDefault="00000000" w:rsidRPr="00000000" w14:paraId="0000005E">
      <w:pPr>
        <w:rPr/>
      </w:pPr>
      <w:r>
        <w:rPr/>
        <w:drawing>
          <wp:inline distB="114300" distT="114300" distL="114300" distR="114300">
            <wp:extent cx="5731200" cy="2832100"/>
            <wp:effectExtent b="12700" l="12700" r="12700" t="12700"/>
            <wp:docPr id="22" name="image27.png"/>
            <a:graphic>
              <a:graphicData uri="http://schemas.openxmlformats.org/drawingml/2006/picture">
                <pic:pic>
                  <pic:nvPicPr>
                    <pic:cNvPr id="0" name="image27.png"/>
                    <pic:cNvPicPr preferRelativeResize="0"/>
                  </pic:nvPicPr>
                  <pic:blipFill>
                    <a:blip r:embed="rId17"/>
                    <a:srcRect b="0" l="0" r="0" t="0"/>
                    <a:stretch>
                      <a:fillRect/>
                    </a:stretch>
                  </pic:blipFill>
                  <pic:spPr>
                    <a:xfrm>
                      <a:off x="0" y="0"/>
                      <a:ext cx="5731200" cy="28321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5F">
      <w:pPr>
        <w:pStyle w:val="Heading4"/>
        <w:jc w:val="center"/>
        <w:rPr/>
      </w:pPr>
      <w:bookmarkStart w:colFirst="0" w:colLast="0" w:name="_heading=h.oihdjm5tp72e" w:id="21"/>
      <w:bookmarkEnd w:id="21"/>
      <w:r>
        <w:rPr>
          <w:rtl w:val="0"/>
        </w:rPr>
        <w:t xml:space="preserve">Figure 10: Loan Status by Home Ownership</w:t>
      </w:r>
    </w:p>
    <w:p w:rsidR="00000000" w:rsidDel="00000000" w:rsidP="00000000" w:rsidRDefault="00000000" w:rsidRPr="00000000" w14:paraId="00000060">
      <w:pPr>
        <w:rPr/>
      </w:pPr>
      <w:r>
        <w:rPr>
          <w:rtl w:val="0"/>
        </w:rPr>
        <w:t xml:space="preserve">There is a comparison of loan repayments for home ownership categories in figure 10. The majority of borrowers (both owned and non-owned) are in the Current class, regardless of the status. There do not seem to be any significant imbalances just from the home ownership category, as there is a similar repayment pattern across groups. </w:t>
      </w:r>
    </w:p>
    <w:p w:rsidR="00000000" w:rsidDel="00000000" w:rsidP="00000000" w:rsidRDefault="00000000" w:rsidRPr="00000000" w14:paraId="00000061">
      <w:pPr>
        <w:rPr/>
      </w:pPr>
      <w:r>
        <w:rPr/>
        <w:drawing>
          <wp:inline distB="114300" distT="114300" distL="114300" distR="114300">
            <wp:extent cx="5731200" cy="2413000"/>
            <wp:effectExtent b="12700" l="12700" r="12700" t="12700"/>
            <wp:docPr id="23" name="image26.png"/>
            <a:graphic>
              <a:graphicData uri="http://schemas.openxmlformats.org/drawingml/2006/picture">
                <pic:pic>
                  <pic:nvPicPr>
                    <pic:cNvPr id="0" name="image26.png"/>
                    <pic:cNvPicPr preferRelativeResize="0"/>
                  </pic:nvPicPr>
                  <pic:blipFill>
                    <a:blip r:embed="rId18"/>
                    <a:srcRect b="0" l="0" r="0" t="0"/>
                    <a:stretch>
                      <a:fillRect/>
                    </a:stretch>
                  </pic:blipFill>
                  <pic:spPr>
                    <a:xfrm>
                      <a:off x="0" y="0"/>
                      <a:ext cx="5731200" cy="24130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62">
      <w:pPr>
        <w:pStyle w:val="Heading4"/>
        <w:jc w:val="center"/>
        <w:rPr/>
      </w:pPr>
      <w:bookmarkStart w:colFirst="0" w:colLast="0" w:name="_heading=h.q5axyn1jpve1" w:id="22"/>
      <w:bookmarkEnd w:id="22"/>
      <w:r>
        <w:rPr>
          <w:rtl w:val="0"/>
        </w:rPr>
        <w:t xml:space="preserve">Figure 11: Employment Length Across Loan Status</w:t>
      </w:r>
    </w:p>
    <w:p w:rsidR="00000000" w:rsidDel="00000000" w:rsidP="00000000" w:rsidRDefault="00000000" w:rsidRPr="00000000" w14:paraId="00000063">
      <w:pPr>
        <w:rPr/>
      </w:pPr>
      <w:r>
        <w:rPr>
          <w:rtl w:val="0"/>
        </w:rPr>
        <w:t xml:space="preserve">A person's employment history and loan status are correlated as shown in Figure 11. Compared to all employment, most borrowers have longer histories of employment (especially those with 10+ years of employment) and default-related outcomes are comparatively rare. </w:t>
      </w:r>
    </w:p>
    <w:p w:rsidR="00000000" w:rsidDel="00000000" w:rsidP="00000000" w:rsidRDefault="00000000" w:rsidRPr="00000000" w14:paraId="00000064">
      <w:pPr>
        <w:rPr/>
      </w:pPr>
      <w:r>
        <w:rPr/>
        <w:drawing>
          <wp:inline distB="114300" distT="114300" distL="114300" distR="114300">
            <wp:extent cx="5731200" cy="1282700"/>
            <wp:effectExtent b="12700" l="12700" r="12700" t="12700"/>
            <wp:docPr id="25" name="image22.png"/>
            <a:graphic>
              <a:graphicData uri="http://schemas.openxmlformats.org/drawingml/2006/picture">
                <pic:pic>
                  <pic:nvPicPr>
                    <pic:cNvPr id="0" name="image22.png"/>
                    <pic:cNvPicPr preferRelativeResize="0"/>
                  </pic:nvPicPr>
                  <pic:blipFill>
                    <a:blip r:embed="rId19"/>
                    <a:srcRect b="0" l="0" r="0" t="0"/>
                    <a:stretch>
                      <a:fillRect/>
                    </a:stretch>
                  </pic:blipFill>
                  <pic:spPr>
                    <a:xfrm>
                      <a:off x="0" y="0"/>
                      <a:ext cx="5731200" cy="12827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65">
      <w:pPr>
        <w:pStyle w:val="Heading4"/>
        <w:jc w:val="center"/>
        <w:rPr/>
      </w:pPr>
      <w:bookmarkStart w:colFirst="0" w:colLast="0" w:name="_heading=h.6l7xk7pkmkys" w:id="23"/>
      <w:bookmarkEnd w:id="23"/>
      <w:r>
        <w:rPr>
          <w:rtl w:val="0"/>
        </w:rPr>
        <w:t xml:space="preserve">Figure 12: Bias Analysis </w:t>
      </w:r>
    </w:p>
    <w:p w:rsidR="00000000" w:rsidDel="00000000" w:rsidP="00000000" w:rsidRDefault="00000000" w:rsidRPr="00000000" w14:paraId="00000066">
      <w:pPr>
        <w:rPr/>
      </w:pPr>
      <w:r>
        <w:rPr>
          <w:rtl w:val="0"/>
        </w:rPr>
        <w:t xml:space="preserve">Figure 12 shows the percentage distribution of the outcomes of the loans by home ownership groups. For all categories, it is very similar in that more than 92% pay their loans on time. The analysis showed little indication of systematic bias due to home ownership in the data.</w:t>
      </w:r>
    </w:p>
    <w:p w:rsidR="00000000" w:rsidDel="00000000" w:rsidP="00000000" w:rsidRDefault="00000000" w:rsidRPr="00000000" w14:paraId="00000067">
      <w:pPr>
        <w:pStyle w:val="Heading2"/>
        <w:rPr/>
      </w:pPr>
      <w:bookmarkStart w:colFirst="0" w:colLast="0" w:name="_heading=h.8nbv1kppm830" w:id="24"/>
      <w:bookmarkEnd w:id="24"/>
      <w:r>
        <w:rPr>
          <w:rtl w:val="0"/>
        </w:rPr>
        <w:t xml:space="preserve">2.4 Data Preprocessing Pipeline </w:t>
      </w:r>
    </w:p>
    <w:p w:rsidR="00000000" w:rsidDel="00000000" w:rsidP="00000000" w:rsidRDefault="00000000" w:rsidRPr="00000000" w14:paraId="00000068">
      <w:pPr>
        <w:rPr/>
      </w:pPr>
      <w:r>
        <w:rPr/>
        <w:drawing>
          <wp:inline distB="114300" distT="114300" distL="114300" distR="114300">
            <wp:extent cx="3043238" cy="2552716"/>
            <wp:effectExtent b="12700" l="12700" r="12700" t="12700"/>
            <wp:docPr id="26" name="image29.png"/>
            <a:graphic>
              <a:graphicData uri="http://schemas.openxmlformats.org/drawingml/2006/picture">
                <pic:pic>
                  <pic:nvPicPr>
                    <pic:cNvPr id="0" name="image29.png"/>
                    <pic:cNvPicPr preferRelativeResize="0"/>
                  </pic:nvPicPr>
                  <pic:blipFill>
                    <a:blip r:embed="rId20"/>
                    <a:srcRect b="0" l="0" r="0" t="0"/>
                    <a:stretch>
                      <a:fillRect/>
                    </a:stretch>
                  </pic:blipFill>
                  <pic:spPr>
                    <a:xfrm>
                      <a:off x="0" y="0"/>
                      <a:ext cx="3043238" cy="2552716"/>
                    </a:xfrm>
                    <a:prstGeom prst="rect"/>
                    <a:ln w="12700">
                      <a:solidFill>
                        <a:srgbClr val="000000"/>
                      </a:solidFill>
                      <a:prstDash val="solid"/>
                    </a:ln>
                  </pic:spPr>
                </pic:pic>
              </a:graphicData>
            </a:graphic>
          </wp:inline>
        </w:drawing>
        <w:drawing>
          <wp:inline distB="114300" distT="114300" distL="114300" distR="114300">
            <wp:extent cx="2547938" cy="2539638"/>
            <wp:effectExtent b="12700" l="12700" r="12700" t="12700"/>
            <wp:docPr id="27" name="image31.png"/>
            <a:graphic>
              <a:graphicData uri="http://schemas.openxmlformats.org/drawingml/2006/picture">
                <pic:pic>
                  <pic:nvPicPr>
                    <pic:cNvPr id="0" name="image31.png"/>
                    <pic:cNvPicPr preferRelativeResize="0"/>
                  </pic:nvPicPr>
                  <pic:blipFill>
                    <a:blip r:embed="rId21"/>
                    <a:srcRect b="0" l="0" r="0" t="0"/>
                    <a:stretch>
                      <a:fillRect/>
                    </a:stretch>
                  </pic:blipFill>
                  <pic:spPr>
                    <a:xfrm>
                      <a:off x="0" y="0"/>
                      <a:ext cx="2547938" cy="2539638"/>
                    </a:xfrm>
                    <a:prstGeom prst="rect"/>
                    <a:ln w="12700">
                      <a:solidFill>
                        <a:srgbClr val="000000"/>
                      </a:solidFill>
                      <a:prstDash val="solid"/>
                    </a:ln>
                  </pic:spPr>
                </pic:pic>
              </a:graphicData>
            </a:graphic>
          </wp:inline>
        </w:drawing>
        <w:drawing>
          <wp:inline distB="114300" distT="114300" distL="114300" distR="114300">
            <wp:extent cx="5731200" cy="4889500"/>
            <wp:effectExtent b="12700" l="12700" r="12700" t="12700"/>
            <wp:docPr id="28" name="image24.png"/>
            <a:graphic>
              <a:graphicData uri="http://schemas.openxmlformats.org/drawingml/2006/picture">
                <pic:pic>
                  <pic:nvPicPr>
                    <pic:cNvPr id="0" name="image24.png"/>
                    <pic:cNvPicPr preferRelativeResize="0"/>
                  </pic:nvPicPr>
                  <pic:blipFill>
                    <a:blip r:embed="rId22"/>
                    <a:srcRect b="0" l="0" r="0" t="0"/>
                    <a:stretch>
                      <a:fillRect/>
                    </a:stretch>
                  </pic:blipFill>
                  <pic:spPr>
                    <a:xfrm>
                      <a:off x="0" y="0"/>
                      <a:ext cx="5731200" cy="48895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69">
      <w:pPr>
        <w:pStyle w:val="Heading4"/>
        <w:jc w:val="center"/>
        <w:rPr/>
      </w:pPr>
      <w:bookmarkStart w:colFirst="0" w:colLast="0" w:name="_heading=h.stdrp585lci8" w:id="25"/>
      <w:bookmarkEnd w:id="25"/>
      <w:r>
        <w:rPr>
          <w:rtl w:val="0"/>
        </w:rPr>
        <w:t xml:space="preserve">Figure 13: </w:t>
      </w:r>
      <w:r>
        <w:rPr>
          <w:b w:val="1"/>
          <w:bCs w:val="1"/>
          <w:sz w:val="26"/>
          <w:szCs w:val="26"/>
          <w:rtl w:val="0"/>
        </w:rPr>
        <w:t xml:space="preserve">Data Preprocessing Pipeline</w:t>
      </w:r>
      <w:r>
        <w:rPr>
          <w:rtl w:val="0"/>
        </w:rPr>
      </w:r>
    </w:p>
    <w:p w:rsidR="00000000" w:rsidDel="00000000" w:rsidP="00000000" w:rsidRDefault="00000000" w:rsidRPr="00000000" w14:paraId="0000006A">
      <w:pPr>
        <w:rPr/>
      </w:pPr>
      <w:r>
        <w:rPr>
          <w:rtl w:val="0"/>
        </w:rPr>
        <w:t xml:space="preserve">The entire data pipeline applied to the Lending Club Loan dataset to prepare it for machine learning modelling is shown in Figure 13. The first step was to prepare the feature matrix (X) and the target variable (loan_status). This was followed by encoding the labels of the target variable (loan_status) in numerical form using Label Encoding. Then the data set was split into 80% train set (8,000 records) and 20% test set (2,000 records) with a stratified train-test split to maintain a similar distribution across the class. Categorical features and numerical features were identified separately. The construction of a preprocessing pipeline was then done using a ColumnTransformer, with SupportVectorRegressor utilizing the median imputer for numerical data and SupportVectorClassifier for categorical data with the most frequent imputer and one-hot encoding. Lastly, the pipeline for preprocessing the data was fitted to the training and testing sets, which ensured consistent data preparation before training the models and evaluating their performance on the test set.</w:t>
      </w:r>
    </w:p>
    <w:p w:rsidR="00000000" w:rsidDel="00000000" w:rsidP="00000000" w:rsidRDefault="00000000" w:rsidRPr="00000000" w14:paraId="0000006B">
      <w:pPr>
        <w:pStyle w:val="Heading2"/>
        <w:rPr/>
      </w:pPr>
      <w:bookmarkStart w:colFirst="0" w:colLast="0" w:name="_heading=h.8jr47hdret3o" w:id="26"/>
      <w:bookmarkEnd w:id="26"/>
      <w:r>
        <w:rPr>
          <w:rtl w:val="0"/>
        </w:rPr>
        <w:t xml:space="preserve">2.5 Model Development</w:t>
      </w:r>
    </w:p>
    <w:p w:rsidR="00000000" w:rsidDel="00000000" w:rsidP="00000000" w:rsidRDefault="00000000" w:rsidRPr="00000000" w14:paraId="0000006C">
      <w:pPr>
        <w:rPr/>
      </w:pPr>
      <w:r>
        <w:rPr>
          <w:rtl w:val="0"/>
        </w:rPr>
        <w:t xml:space="preserve">Two supervised machine learning (ML) models were built to predict loan repayment status. Logistic Regression (LR) linear Classifier was used as baseline Linear Classifier and Random Forest (RF) Ensemble learning model [1] was implemented. Both models involved were included in the pipeline of the data preprocessing so as the same data preprocessing was applied during training and testing the data.</w:t>
      </w:r>
    </w:p>
    <w:p w:rsidR="00000000" w:rsidDel="00000000" w:rsidP="00000000" w:rsidRDefault="00000000" w:rsidRPr="00000000" w14:paraId="0000006D">
      <w:pPr>
        <w:rPr/>
      </w:pPr>
      <w:r>
        <w:rPr/>
        <w:drawing>
          <wp:inline distB="114300" distT="114300" distL="114300" distR="114300">
            <wp:extent cx="5731200" cy="4292600"/>
            <wp:effectExtent b="12700" l="12700" r="12700" t="12700"/>
            <wp:docPr id="29" name="image30.png"/>
            <a:graphic>
              <a:graphicData uri="http://schemas.openxmlformats.org/drawingml/2006/picture">
                <pic:pic>
                  <pic:nvPicPr>
                    <pic:cNvPr id="0" name="image30.png"/>
                    <pic:cNvPicPr preferRelativeResize="0"/>
                  </pic:nvPicPr>
                  <pic:blipFill>
                    <a:blip r:embed="rId23"/>
                    <a:srcRect b="0" l="0" r="0" t="0"/>
                    <a:stretch>
                      <a:fillRect/>
                    </a:stretch>
                  </pic:blipFill>
                  <pic:spPr>
                    <a:xfrm>
                      <a:off x="0" y="0"/>
                      <a:ext cx="5731200" cy="42926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6E">
      <w:pPr>
        <w:pStyle w:val="Heading4"/>
        <w:jc w:val="center"/>
        <w:rPr/>
      </w:pPr>
      <w:bookmarkStart w:colFirst="0" w:colLast="0" w:name="_heading=h.7339wf9pojev" w:id="27"/>
      <w:bookmarkEnd w:id="27"/>
      <w:r>
        <w:rPr>
          <w:rtl w:val="0"/>
        </w:rPr>
        <w:t xml:space="preserve">Figure 14: Logistic Regression Model </w:t>
      </w:r>
    </w:p>
    <w:p w:rsidR="00000000" w:rsidDel="00000000" w:rsidP="00000000" w:rsidRDefault="00000000" w:rsidRPr="00000000" w14:paraId="0000006F">
      <w:pPr>
        <w:rPr/>
      </w:pPr>
      <w:r>
        <w:rPr>
          <w:rtl w:val="0"/>
        </w:rPr>
        <w:t xml:space="preserve">The whole Logistic Regression pipeline applied for this research is shown in figure 14. Data preprocessing, classification and missing value imputation, feature scaling, one-hot encoding and Logistic Regression with class weights for class imbalance are all combined in a single pipeline. </w:t>
      </w:r>
    </w:p>
    <w:p w:rsidR="00000000" w:rsidDel="00000000" w:rsidP="00000000" w:rsidRDefault="00000000" w:rsidRPr="00000000" w14:paraId="00000070">
      <w:pPr>
        <w:ind w:left="0" w:firstLine="0"/>
        <w:jc w:val="center"/>
        <w:rPr/>
      </w:pPr>
      <w:r>
        <w:rPr/>
        <w:drawing>
          <wp:inline distB="114300" distT="114300" distL="114300" distR="114300">
            <wp:extent cx="4739688" cy="4117702"/>
            <wp:effectExtent b="12700" l="12700" r="12700" t="12700"/>
            <wp:docPr id="30" name="image23.png"/>
            <a:graphic>
              <a:graphicData uri="http://schemas.openxmlformats.org/drawingml/2006/picture">
                <pic:pic>
                  <pic:nvPicPr>
                    <pic:cNvPr id="0" name="image23.png"/>
                    <pic:cNvPicPr preferRelativeResize="0"/>
                  </pic:nvPicPr>
                  <pic:blipFill>
                    <a:blip r:embed="rId24"/>
                    <a:srcRect b="0" l="0" r="0" t="0"/>
                    <a:stretch>
                      <a:fillRect/>
                    </a:stretch>
                  </pic:blipFill>
                  <pic:spPr>
                    <a:xfrm>
                      <a:off x="0" y="0"/>
                      <a:ext cx="4739688" cy="4117702"/>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71">
      <w:pPr>
        <w:pStyle w:val="Heading4"/>
        <w:jc w:val="center"/>
        <w:rPr/>
      </w:pPr>
      <w:bookmarkStart w:colFirst="0" w:colLast="0" w:name="_heading=h.lrkd9gtl8z46" w:id="28"/>
      <w:bookmarkEnd w:id="28"/>
      <w:r>
        <w:rPr>
          <w:rtl w:val="0"/>
        </w:rPr>
        <w:t xml:space="preserve">Figure 15: Random Forest Model </w:t>
      </w:r>
    </w:p>
    <w:p w:rsidR="00000000" w:rsidDel="00000000" w:rsidP="00000000" w:rsidRDefault="00000000" w:rsidRPr="00000000" w14:paraId="00000072">
      <w:pPr>
        <w:rPr/>
      </w:pPr>
      <w:r>
        <w:rPr>
          <w:rtl w:val="0"/>
        </w:rPr>
        <w:t xml:space="preserve">The same preprocessing steps are used with the Random Forest classification pipeline as shown in the figure 15. Data was transformed by the imputation method, scaling technique and one-hot encoding to train the Random Forest Classifier with weights assigned to each class, improving prediction performance for all loan status categories. </w:t>
      </w:r>
    </w:p>
    <w:p w:rsidR="00000000" w:rsidDel="00000000" w:rsidP="00000000" w:rsidRDefault="00000000" w:rsidRPr="00000000" w14:paraId="00000073">
      <w:pPr>
        <w:rPr>
          <w:b w:val="1"/>
          <w:bCs w:val="1"/>
        </w:rPr>
      </w:pPr>
      <w:r>
        <w:rPr>
          <w:b w:val="1"/>
          <w:bCs w:val="1"/>
          <w:rtl w:val="0"/>
        </w:rPr>
        <w:t xml:space="preserve">Reasons for Model Selection</w:t>
      </w:r>
    </w:p>
    <w:p w:rsidR="00000000" w:rsidDel="00000000" w:rsidP="00000000" w:rsidRDefault="00000000" w:rsidRPr="00000000" w14:paraId="00000074">
      <w:pPr>
        <w:rPr/>
      </w:pPr>
      <w:r>
        <w:rPr>
          <w:rtl w:val="0"/>
        </w:rPr>
        <w:t xml:space="preserve">Logistic Regression was chosen as a simple and easily-understood baseline model which produces easy-to-interpret predictions and can be used as a benchmark for comparison with other models. The rationale behind using RF was that it is able to capture complex non-linear relations; is recommended for high dimensional data; and in general could deliver increased predictive power on structured data found in all aspects of finance [1], [6].</w:t>
      </w:r>
    </w:p>
    <w:p w:rsidR="00000000" w:rsidDel="00000000" w:rsidP="00000000" w:rsidRDefault="00000000" w:rsidRPr="00000000" w14:paraId="00000075">
      <w:pPr>
        <w:pStyle w:val="Heading2"/>
        <w:rPr/>
      </w:pPr>
      <w:bookmarkStart w:colFirst="0" w:colLast="0" w:name="_heading=h.5k06pn3zrg2n" w:id="29"/>
      <w:bookmarkEnd w:id="29"/>
      <w:r>
        <w:rPr>
          <w:rtl w:val="0"/>
        </w:rPr>
        <w:t xml:space="preserve">2.6 Hyperparameter Optimisation </w:t>
      </w:r>
    </w:p>
    <w:p w:rsidR="00000000" w:rsidDel="00000000" w:rsidP="00000000" w:rsidRDefault="00000000" w:rsidRPr="00000000" w14:paraId="00000076">
      <w:pPr>
        <w:rPr/>
      </w:pPr>
      <w:r>
        <w:rPr>
          <w:rtl w:val="0"/>
        </w:rPr>
        <w:t xml:space="preserve">Hyperparameter optimisation was carried out to find the best parameters for both Logistic Regression and Random Forest models, using GridSearchCV [2], [3]. A five-fold cross-validation approach was used where the training set was split into 5 non-overlapping subsets to increase the chances of the model generalizing and yet to limit overfitting. </w:t>
      </w:r>
    </w:p>
    <w:p w:rsidR="00000000" w:rsidDel="00000000" w:rsidP="00000000" w:rsidRDefault="00000000" w:rsidRPr="00000000" w14:paraId="00000077">
      <w:pPr>
        <w:pStyle w:val="Heading2"/>
        <w:rPr/>
      </w:pPr>
      <w:bookmarkStart w:colFirst="0" w:colLast="0" w:name="_heading=h.tw2w2s7tm22t" w:id="30"/>
      <w:bookmarkEnd w:id="30"/>
      <w:r>
        <w:rPr>
          <w:rtl w:val="0"/>
        </w:rPr>
        <w:t xml:space="preserve">2.7 Model Evaluation Metrics</w:t>
      </w:r>
    </w:p>
    <w:p w:rsidR="00000000" w:rsidDel="00000000" w:rsidP="00000000" w:rsidRDefault="00000000" w:rsidRPr="00000000" w14:paraId="00000078">
      <w:pPr>
        <w:jc w:val="center"/>
        <w:rPr/>
      </w:pPr>
      <w:r>
        <w:rPr/>
        <w:drawing>
          <wp:inline distB="114300" distT="114300" distL="114300" distR="114300">
            <wp:extent cx="3128963" cy="1292805"/>
            <wp:effectExtent b="12700" l="12700" r="12700" t="12700"/>
            <wp:docPr id="31" name="image28.png"/>
            <a:graphic>
              <a:graphicData uri="http://schemas.openxmlformats.org/drawingml/2006/picture">
                <pic:pic>
                  <pic:nvPicPr>
                    <pic:cNvPr id="0" name="image28.png"/>
                    <pic:cNvPicPr preferRelativeResize="0"/>
                  </pic:nvPicPr>
                  <pic:blipFill>
                    <a:blip r:embed="rId25"/>
                    <a:srcRect b="0" l="0" r="0" t="0"/>
                    <a:stretch>
                      <a:fillRect/>
                    </a:stretch>
                  </pic:blipFill>
                  <pic:spPr>
                    <a:xfrm>
                      <a:off x="0" y="0"/>
                      <a:ext cx="3128963" cy="1292805"/>
                    </a:xfrm>
                    <a:prstGeom prst="rect"/>
                    <a:ln w="12700">
                      <a:solidFill>
                        <a:srgbClr val="000000"/>
                      </a:solidFill>
                      <a:prstDash val="solid"/>
                    </a:ln>
                  </pic:spPr>
                </pic:pic>
              </a:graphicData>
            </a:graphic>
          </wp:inline>
        </w:drawing>
        <w:drawing>
          <wp:inline distB="114300" distT="114300" distL="114300" distR="114300">
            <wp:extent cx="5731200" cy="4445000"/>
            <wp:effectExtent b="12700" l="12700" r="12700" t="12700"/>
            <wp:docPr id="32" name="image32.png"/>
            <a:graphic>
              <a:graphicData uri="http://schemas.openxmlformats.org/drawingml/2006/picture">
                <pic:pic>
                  <pic:nvPicPr>
                    <pic:cNvPr id="0" name="image32.png"/>
                    <pic:cNvPicPr preferRelativeResize="0"/>
                  </pic:nvPicPr>
                  <pic:blipFill>
                    <a:blip r:embed="rId26"/>
                    <a:srcRect b="0" l="0" r="0" t="0"/>
                    <a:stretch>
                      <a:fillRect/>
                    </a:stretch>
                  </pic:blipFill>
                  <pic:spPr>
                    <a:xfrm>
                      <a:off x="0" y="0"/>
                      <a:ext cx="5731200" cy="44450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79">
      <w:pPr>
        <w:pStyle w:val="Heading4"/>
        <w:jc w:val="center"/>
        <w:rPr/>
      </w:pPr>
      <w:bookmarkStart w:colFirst="0" w:colLast="0" w:name="_heading=h.d1j5n9r5j43c" w:id="31"/>
      <w:bookmarkEnd w:id="31"/>
      <w:r>
        <w:rPr>
          <w:rtl w:val="0"/>
        </w:rPr>
        <w:t xml:space="preserve">Figure 16:  Classification Report and Confusion Matrix of Logistic Regression</w:t>
      </w:r>
    </w:p>
    <w:p w:rsidR="00000000" w:rsidDel="00000000" w:rsidP="00000000" w:rsidRDefault="00000000" w:rsidRPr="00000000" w14:paraId="0000007A">
      <w:pPr>
        <w:rPr/>
      </w:pPr>
      <w:r>
        <w:rPr>
          <w:rtl w:val="0"/>
        </w:rPr>
        <w:t xml:space="preserve">The performance of Logistic Regression model is given in Figure 16. The confusion matrix mentioned, reveals that the model was successful in correctly identifying all loan classes except minority loan status classes. The accuracy and weighted F1-score of the classification report were 82.25% and 0.85, respectively.</w:t>
      </w:r>
    </w:p>
    <w:p w:rsidR="00000000" w:rsidDel="00000000" w:rsidP="00000000" w:rsidRDefault="00000000" w:rsidRPr="00000000" w14:paraId="0000007B">
      <w:pPr>
        <w:jc w:val="center"/>
        <w:rPr/>
      </w:pPr>
      <w:r>
        <w:rPr/>
        <w:drawing>
          <wp:inline distB="114300" distT="114300" distL="114300" distR="114300">
            <wp:extent cx="4657725" cy="2133600"/>
            <wp:effectExtent b="12700" l="12700" r="12700" t="12700"/>
            <wp:docPr id="1" name="image3.png"/>
            <a:graphic>
              <a:graphicData uri="http://schemas.openxmlformats.org/drawingml/2006/picture">
                <pic:pic>
                  <pic:nvPicPr>
                    <pic:cNvPr id="0" name="image3.png"/>
                    <pic:cNvPicPr preferRelativeResize="0"/>
                  </pic:nvPicPr>
                  <pic:blipFill>
                    <a:blip r:embed="rId27"/>
                    <a:srcRect b="0" l="0" r="0" t="0"/>
                    <a:stretch>
                      <a:fillRect/>
                    </a:stretch>
                  </pic:blipFill>
                  <pic:spPr>
                    <a:xfrm>
                      <a:off x="0" y="0"/>
                      <a:ext cx="4657725" cy="2133600"/>
                    </a:xfrm>
                    <a:prstGeom prst="rect"/>
                    <a:ln w="12700">
                      <a:solidFill>
                        <a:srgbClr val="000000"/>
                      </a:solidFill>
                      <a:prstDash val="solid"/>
                    </a:ln>
                  </pic:spPr>
                </pic:pic>
              </a:graphicData>
            </a:graphic>
          </wp:inline>
        </w:drawing>
        <w:drawing>
          <wp:inline distB="114300" distT="114300" distL="114300" distR="114300">
            <wp:extent cx="5731200" cy="4445000"/>
            <wp:effectExtent b="12700" l="12700" r="12700" t="12700"/>
            <wp:docPr id="2" name="image2.png"/>
            <a:graphic>
              <a:graphicData uri="http://schemas.openxmlformats.org/drawingml/2006/picture">
                <pic:pic>
                  <pic:nvPicPr>
                    <pic:cNvPr id="0" name="image2.png"/>
                    <pic:cNvPicPr preferRelativeResize="0"/>
                  </pic:nvPicPr>
                  <pic:blipFill>
                    <a:blip r:embed="rId28"/>
                    <a:srcRect b="0" l="0" r="0" t="0"/>
                    <a:stretch>
                      <a:fillRect/>
                    </a:stretch>
                  </pic:blipFill>
                  <pic:spPr>
                    <a:xfrm>
                      <a:off x="0" y="0"/>
                      <a:ext cx="5731200" cy="44450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7C">
      <w:pPr>
        <w:pStyle w:val="Heading4"/>
        <w:jc w:val="center"/>
        <w:rPr/>
      </w:pPr>
      <w:bookmarkStart w:colFirst="0" w:colLast="0" w:name="_heading=h.h37fabgag6w9" w:id="32"/>
      <w:bookmarkEnd w:id="32"/>
      <w:r>
        <w:rPr>
          <w:rtl w:val="0"/>
        </w:rPr>
        <w:t xml:space="preserve">Figure 17: Classification Report And Confusion Matrix of Random Forest</w:t>
      </w:r>
    </w:p>
    <w:p w:rsidR="00000000" w:rsidDel="00000000" w:rsidP="00000000" w:rsidRDefault="00000000" w:rsidRPr="00000000" w14:paraId="0000007D">
      <w:pPr>
        <w:rPr/>
      </w:pPr>
      <w:r>
        <w:rPr>
          <w:rtl w:val="0"/>
        </w:rPr>
        <w:t xml:space="preserve">The performance of the Random Forest model is displayed in figure 17. The model achieved 94.00% accuracy, 0.88 precision, 0.94 recall, 0.91 F1-score, and 0.56 ROC-AUC. The confusion matrix suggests good classification of Current loans while other minority classes are not predicted. </w:t>
      </w:r>
    </w:p>
    <w:p w:rsidR="00000000" w:rsidDel="00000000" w:rsidP="00000000" w:rsidRDefault="00000000" w:rsidRPr="00000000" w14:paraId="0000007E">
      <w:pPr>
        <w:pStyle w:val="Heading2"/>
        <w:rPr/>
      </w:pPr>
      <w:bookmarkStart w:colFirst="0" w:colLast="0" w:name="_heading=h.cbjiwnlel034" w:id="33"/>
      <w:bookmarkEnd w:id="33"/>
      <w:r>
        <w:rPr>
          <w:rtl w:val="0"/>
        </w:rPr>
        <w:t xml:space="preserve">2.8 Model Interpretation Techniques</w:t>
      </w:r>
    </w:p>
    <w:p w:rsidR="00000000" w:rsidDel="00000000" w:rsidP="00000000" w:rsidRDefault="00000000" w:rsidRPr="00000000" w14:paraId="0000007F">
      <w:pPr>
        <w:rPr/>
      </w:pPr>
      <w:r>
        <w:rPr>
          <w:rtl w:val="0"/>
        </w:rPr>
        <w:t xml:space="preserve">An analysis of the factors which impact on credit risk predictions was conducted using model interpretation techniques. Feature Importance by Random Forest provided information on the variables that contribute the most to model outperformances, and logistic regression coefficients gave us variables that are the most influential linear predictors. SHAP explained individual feature contributions [4], enhancing the interpretability and transparency of the model and the trustworthiness of using AI support to assess credit risk.</w:t>
      </w:r>
    </w:p>
    <w:p w:rsidR="00000000" w:rsidDel="00000000" w:rsidP="00000000" w:rsidRDefault="00000000" w:rsidRPr="00000000" w14:paraId="00000080">
      <w:pPr>
        <w:rPr/>
      </w:pPr>
      <w:r>
        <w:rPr/>
        <w:drawing>
          <wp:inline distB="114300" distT="114300" distL="114300" distR="114300">
            <wp:extent cx="5731200" cy="3784600"/>
            <wp:effectExtent b="12700" l="12700" r="12700" t="12700"/>
            <wp:docPr id="3" name="image15.png"/>
            <a:graphic>
              <a:graphicData uri="http://schemas.openxmlformats.org/drawingml/2006/picture">
                <pic:pic>
                  <pic:nvPicPr>
                    <pic:cNvPr id="0" name="image15.png"/>
                    <pic:cNvPicPr preferRelativeResize="0"/>
                  </pic:nvPicPr>
                  <pic:blipFill>
                    <a:blip r:embed="rId29"/>
                    <a:srcRect b="0" l="0" r="0" t="0"/>
                    <a:stretch>
                      <a:fillRect/>
                    </a:stretch>
                  </pic:blipFill>
                  <pic:spPr>
                    <a:xfrm>
                      <a:off x="0" y="0"/>
                      <a:ext cx="5731200" cy="37846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81">
      <w:pPr>
        <w:pStyle w:val="Heading4"/>
        <w:jc w:val="center"/>
        <w:rPr/>
      </w:pPr>
      <w:bookmarkStart w:colFirst="0" w:colLast="0" w:name="_heading=h.7j2lmj1ozufc" w:id="34"/>
      <w:bookmarkEnd w:id="34"/>
      <w:r>
        <w:rPr>
          <w:rtl w:val="0"/>
        </w:rPr>
        <w:t xml:space="preserve">Figure 18: Top 20 Feature Importances - Random Forest</w:t>
      </w:r>
    </w:p>
    <w:p w:rsidR="00000000" w:rsidDel="00000000" w:rsidP="00000000" w:rsidRDefault="00000000" w:rsidRPr="00000000" w14:paraId="00000082">
      <w:pPr>
        <w:rPr/>
      </w:pPr>
      <w:r>
        <w:rPr>
          <w:rtl w:val="0"/>
        </w:rPr>
        <w:t xml:space="preserve">The top 20 important features identified from the Random Forest model are shown in figure 18. The factors that impact the most on the prediction of loan repayment outcomes include total credit limit, installment amount, debt-to-income ratio, and interest rate. </w:t>
      </w:r>
    </w:p>
    <w:p w:rsidR="00000000" w:rsidDel="00000000" w:rsidP="00000000" w:rsidRDefault="00000000" w:rsidRPr="00000000" w14:paraId="00000083">
      <w:pPr>
        <w:rPr/>
      </w:pPr>
      <w:r>
        <w:rPr/>
        <w:drawing>
          <wp:inline distB="114300" distT="114300" distL="114300" distR="114300">
            <wp:extent cx="5731200" cy="3784600"/>
            <wp:effectExtent b="12700" l="12700" r="12700" t="12700"/>
            <wp:docPr id="4" name="image11.png"/>
            <a:graphic>
              <a:graphicData uri="http://schemas.openxmlformats.org/drawingml/2006/picture">
                <pic:pic>
                  <pic:nvPicPr>
                    <pic:cNvPr id="0" name="image11.png"/>
                    <pic:cNvPicPr preferRelativeResize="0"/>
                  </pic:nvPicPr>
                  <pic:blipFill>
                    <a:blip r:embed="rId30"/>
                    <a:srcRect b="0" l="0" r="0" t="0"/>
                    <a:stretch>
                      <a:fillRect/>
                    </a:stretch>
                  </pic:blipFill>
                  <pic:spPr>
                    <a:xfrm>
                      <a:off x="0" y="0"/>
                      <a:ext cx="5731200" cy="37846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84">
      <w:pPr>
        <w:pStyle w:val="Heading4"/>
        <w:jc w:val="center"/>
        <w:rPr/>
      </w:pPr>
      <w:bookmarkStart w:colFirst="0" w:colLast="0" w:name="_heading=h.u9jv7gaedy8u" w:id="35"/>
      <w:bookmarkEnd w:id="35"/>
      <w:r>
        <w:rPr>
          <w:rtl w:val="0"/>
        </w:rPr>
        <w:t xml:space="preserve">Figure 19: Top Logistic Regression Features</w:t>
      </w:r>
    </w:p>
    <w:p w:rsidR="00000000" w:rsidDel="00000000" w:rsidP="00000000" w:rsidRDefault="00000000" w:rsidRPr="00000000" w14:paraId="00000085">
      <w:pPr>
        <w:rPr/>
      </w:pPr>
      <w:r>
        <w:rPr>
          <w:rtl w:val="0"/>
        </w:rPr>
        <w:t xml:space="preserve">These features with the highest magnitude of the coefficients are shown in figure 19 for the Logistic Regression model. The influence of several employment related variables on predictions is greatest, indicating the important characteristics of the borrower that are detected to help classify loan repayment.</w:t>
      </w:r>
    </w:p>
    <w:p w:rsidR="00000000" w:rsidDel="00000000" w:rsidP="00000000" w:rsidRDefault="00000000" w:rsidRPr="00000000" w14:paraId="00000086">
      <w:pPr>
        <w:pStyle w:val="Heading1"/>
        <w:rPr/>
      </w:pPr>
      <w:bookmarkStart w:colFirst="0" w:colLast="0" w:name="_heading=h.21wkmldim5tr" w:id="36"/>
      <w:bookmarkEnd w:id="36"/>
      <w:r>
        <w:rPr>
          <w:rtl w:val="0"/>
        </w:rPr>
        <w:t xml:space="preserve">3. Experiments and Results</w:t>
      </w:r>
    </w:p>
    <w:p w:rsidR="00000000" w:rsidDel="00000000" w:rsidP="00000000" w:rsidRDefault="00000000" w:rsidRPr="00000000" w14:paraId="00000087">
      <w:pPr>
        <w:pStyle w:val="Heading2"/>
        <w:rPr/>
      </w:pPr>
      <w:bookmarkStart w:colFirst="0" w:colLast="0" w:name="_heading=h.jg9ddxqmlve3" w:id="37"/>
      <w:bookmarkEnd w:id="37"/>
      <w:r>
        <w:rPr>
          <w:rtl w:val="0"/>
        </w:rPr>
        <w:t xml:space="preserve">3.1 Logistic Regression Results </w:t>
      </w:r>
    </w:p>
    <w:p w:rsidR="00000000" w:rsidDel="00000000" w:rsidP="00000000" w:rsidRDefault="00000000" w:rsidRPr="00000000" w14:paraId="00000088">
      <w:pPr>
        <w:rPr/>
      </w:pPr>
      <w:r>
        <w:rPr/>
        <w:drawing>
          <wp:inline distB="114300" distT="114300" distL="114300" distR="114300">
            <wp:extent cx="5731200" cy="3924300"/>
            <wp:effectExtent b="12700" l="12700" r="12700" t="12700"/>
            <wp:docPr id="5" name="image9.png"/>
            <a:graphic>
              <a:graphicData uri="http://schemas.openxmlformats.org/drawingml/2006/picture">
                <pic:pic>
                  <pic:nvPicPr>
                    <pic:cNvPr id="0" name="image9.png"/>
                    <pic:cNvPicPr preferRelativeResize="0"/>
                  </pic:nvPicPr>
                  <pic:blipFill>
                    <a:blip r:embed="rId31"/>
                    <a:srcRect b="0" l="0" r="0" t="0"/>
                    <a:stretch>
                      <a:fillRect/>
                    </a:stretch>
                  </pic:blipFill>
                  <pic:spPr>
                    <a:xfrm>
                      <a:off x="0" y="0"/>
                      <a:ext cx="5731200" cy="39243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89">
      <w:pPr>
        <w:pStyle w:val="Heading4"/>
        <w:rPr/>
      </w:pPr>
      <w:bookmarkStart w:colFirst="0" w:colLast="0" w:name="_heading=h.l5qpv5fb1h13" w:id="38"/>
      <w:bookmarkEnd w:id="38"/>
      <w:r>
        <w:rPr>
          <w:rtl w:val="0"/>
        </w:rPr>
        <w:t xml:space="preserve">Figure 20: Logistic Regression Results </w:t>
      </w:r>
    </w:p>
    <w:p w:rsidR="00000000" w:rsidDel="00000000" w:rsidP="00000000" w:rsidRDefault="00000000" w:rsidRPr="00000000" w14:paraId="0000008A">
      <w:pPr>
        <w:rPr/>
      </w:pPr>
      <w:r>
        <w:rPr>
          <w:rtl w:val="0"/>
        </w:rPr>
        <w:t xml:space="preserve">GridSearchCV was used to optimise the Logistic Regression model, which led to a score on the cross-validation set of 0.8528 with C = 100, L2 regularisation and lbfgs solver. The model produced 82.25% accuracy, 0.88 precision, 0.82 recall, 0.85 F1-score, and 0.52 ROC-AUC. The classification report and the confusion matrix suggests that the majority classification (Current loan) is good and the minority is not.</w:t>
      </w:r>
    </w:p>
    <w:p w:rsidR="00000000" w:rsidDel="00000000" w:rsidP="00000000" w:rsidRDefault="00000000" w:rsidRPr="00000000" w14:paraId="0000008B">
      <w:pPr>
        <w:pStyle w:val="Heading2"/>
        <w:rPr/>
      </w:pPr>
      <w:bookmarkStart w:colFirst="0" w:colLast="0" w:name="_heading=h.74iiprz13vah" w:id="39"/>
      <w:bookmarkEnd w:id="39"/>
      <w:r>
        <w:rPr>
          <w:rtl w:val="0"/>
        </w:rPr>
        <w:t xml:space="preserve">3.2 Random Forest Results </w:t>
      </w:r>
    </w:p>
    <w:p w:rsidR="00000000" w:rsidDel="00000000" w:rsidP="00000000" w:rsidRDefault="00000000" w:rsidRPr="00000000" w14:paraId="0000008C">
      <w:pPr>
        <w:rPr/>
      </w:pPr>
      <w:r>
        <w:rPr/>
        <w:drawing>
          <wp:inline distB="114300" distT="114300" distL="114300" distR="114300">
            <wp:extent cx="5731200" cy="3149600"/>
            <wp:effectExtent b="12700" l="12700" r="12700" t="12700"/>
            <wp:docPr id="6" name="image10.png"/>
            <a:graphic>
              <a:graphicData uri="http://schemas.openxmlformats.org/drawingml/2006/picture">
                <pic:pic>
                  <pic:nvPicPr>
                    <pic:cNvPr id="0" name="image10.png"/>
                    <pic:cNvPicPr preferRelativeResize="0"/>
                  </pic:nvPicPr>
                  <pic:blipFill>
                    <a:blip r:embed="rId32"/>
                    <a:srcRect b="0" l="0" r="0" t="0"/>
                    <a:stretch>
                      <a:fillRect/>
                    </a:stretch>
                  </pic:blipFill>
                  <pic:spPr>
                    <a:xfrm>
                      <a:off x="0" y="0"/>
                      <a:ext cx="5731200" cy="31496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8D">
      <w:pPr>
        <w:pStyle w:val="Heading4"/>
        <w:jc w:val="center"/>
        <w:rPr/>
      </w:pPr>
      <w:bookmarkStart w:colFirst="0" w:colLast="0" w:name="_heading=h.j32zqfnhc586" w:id="40"/>
      <w:bookmarkEnd w:id="40"/>
      <w:r>
        <w:rPr>
          <w:rtl w:val="0"/>
        </w:rPr>
        <w:t xml:space="preserve">Figure 21: </w:t>
      </w:r>
      <w:r>
        <w:rPr>
          <w:sz w:val="26"/>
          <w:szCs w:val="26"/>
          <w:rtl w:val="0"/>
        </w:rPr>
        <w:t xml:space="preserve">Random Forest Results </w:t>
      </w:r>
      <w:r>
        <w:rPr>
          <w:rtl w:val="0"/>
        </w:rPr>
      </w:r>
    </w:p>
    <w:p w:rsidR="00000000" w:rsidDel="00000000" w:rsidP="00000000" w:rsidRDefault="00000000" w:rsidRPr="00000000" w14:paraId="0000008E">
      <w:pPr>
        <w:rPr/>
      </w:pPr>
      <w:r>
        <w:rPr>
          <w:rtl w:val="0"/>
        </w:rPr>
        <w:t xml:space="preserve">The Random Forest model was optimized with GridSearchCV, which yielded almost 200 trees, max depth of 20, max features set is sqrt minimum samples split is 2 and minimum samples leaf is 2, with a CvScore of 0.9075. The model achieved a higher accuracy (94.00%) and an F1 score (0.91%) than Logistic Regression and also outperformed it on most of the other evaluation metrics: precision (0.88), recall (0.94), ROC-AUC (0.56).</w:t>
      </w:r>
    </w:p>
    <w:p w:rsidR="00000000" w:rsidDel="00000000" w:rsidP="00000000" w:rsidRDefault="00000000" w:rsidRPr="00000000" w14:paraId="0000008F">
      <w:pPr>
        <w:pStyle w:val="Heading2"/>
        <w:rPr/>
      </w:pPr>
      <w:bookmarkStart w:colFirst="0" w:colLast="0" w:name="_heading=h.e1pcgjbpq4wm" w:id="41"/>
      <w:bookmarkEnd w:id="41"/>
      <w:r>
        <w:rPr>
          <w:rtl w:val="0"/>
        </w:rPr>
        <w:t xml:space="preserve">3.3 Model Comparison </w:t>
      </w:r>
    </w:p>
    <w:p w:rsidR="00000000" w:rsidDel="00000000" w:rsidP="00000000" w:rsidRDefault="00000000" w:rsidRPr="00000000" w14:paraId="00000090">
      <w:pPr>
        <w:jc w:val="center"/>
        <w:rPr/>
      </w:pPr>
      <w:r>
        <w:rPr/>
        <w:drawing>
          <wp:inline distB="114300" distT="114300" distL="114300" distR="114300">
            <wp:extent cx="4876800" cy="2009775"/>
            <wp:effectExtent b="12700" l="12700" r="12700" t="12700"/>
            <wp:docPr id="7" name="image16.png"/>
            <a:graphic>
              <a:graphicData uri="http://schemas.openxmlformats.org/drawingml/2006/picture">
                <pic:pic>
                  <pic:nvPicPr>
                    <pic:cNvPr id="0" name="image16.png"/>
                    <pic:cNvPicPr preferRelativeResize="0"/>
                  </pic:nvPicPr>
                  <pic:blipFill>
                    <a:blip r:embed="rId33"/>
                    <a:srcRect b="0" l="0" r="0" t="0"/>
                    <a:stretch>
                      <a:fillRect/>
                    </a:stretch>
                  </pic:blipFill>
                  <pic:spPr>
                    <a:xfrm>
                      <a:off x="0" y="0"/>
                      <a:ext cx="4876800" cy="2009775"/>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91">
      <w:pPr>
        <w:rPr/>
      </w:pPr>
      <w:r>
        <w:rPr/>
        <w:drawing>
          <wp:inline distB="114300" distT="114300" distL="114300" distR="114300">
            <wp:extent cx="5731200" cy="3403600"/>
            <wp:effectExtent b="12700" l="12700" r="12700" t="12700"/>
            <wp:docPr id="8" name="image12.png"/>
            <a:graphic>
              <a:graphicData uri="http://schemas.openxmlformats.org/drawingml/2006/picture">
                <pic:pic>
                  <pic:nvPicPr>
                    <pic:cNvPr id="0" name="image12.png"/>
                    <pic:cNvPicPr preferRelativeResize="0"/>
                  </pic:nvPicPr>
                  <pic:blipFill>
                    <a:blip r:embed="rId34"/>
                    <a:srcRect b="0" l="0" r="0" t="0"/>
                    <a:stretch>
                      <a:fillRect/>
                    </a:stretch>
                  </pic:blipFill>
                  <pic:spPr>
                    <a:xfrm>
                      <a:off x="0" y="0"/>
                      <a:ext cx="5731200" cy="34036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92">
      <w:pPr>
        <w:pStyle w:val="Heading4"/>
        <w:jc w:val="center"/>
        <w:rPr/>
      </w:pPr>
      <w:bookmarkStart w:colFirst="0" w:colLast="0" w:name="_heading=h.uiakeut0btno" w:id="42"/>
      <w:bookmarkEnd w:id="42"/>
      <w:r>
        <w:rPr>
          <w:rtl w:val="0"/>
        </w:rPr>
        <w:t xml:space="preserve">Figure 22: Performance Comparison of Machine Learning Models</w:t>
      </w:r>
    </w:p>
    <w:p w:rsidR="00000000" w:rsidDel="00000000" w:rsidP="00000000" w:rsidRDefault="00000000" w:rsidRPr="00000000" w14:paraId="00000093">
      <w:pPr>
        <w:rPr/>
      </w:pPr>
      <w:r>
        <w:rPr>
          <w:rtl w:val="0"/>
        </w:rPr>
        <w:t xml:space="preserve">Figure 22 shows the overall performance of either Logistic Regression or Random Forest models with five evaluation metrics. The results showed that Random Forest had a highest accuracy, recall, and F1 score of 0.94, 0.94, and 0.91 respectively and a highest ROC-AUC of 0.56 while both models had 0.88 as their precision. The higher recall and F1 score suggests that Random Forest (RF) was more effective in correctly identifying loan repayment outcomes and yielded better overall classification performance. The results show that the ensemble learning method can achieve higher prediction performance and generalization performance than the baseline Logistic Regression model.</w:t>
      </w:r>
    </w:p>
    <w:p w:rsidR="00000000" w:rsidDel="00000000" w:rsidP="00000000" w:rsidRDefault="00000000" w:rsidRPr="00000000" w14:paraId="00000094">
      <w:pPr>
        <w:rPr/>
      </w:pPr>
      <w:r>
        <w:rPr/>
        <w:drawing>
          <wp:inline distB="114300" distT="114300" distL="114300" distR="114300">
            <wp:extent cx="5731200" cy="4267200"/>
            <wp:effectExtent b="12700" l="12700" r="12700" t="12700"/>
            <wp:docPr id="9" name="image7.png"/>
            <a:graphic>
              <a:graphicData uri="http://schemas.openxmlformats.org/drawingml/2006/picture">
                <pic:pic>
                  <pic:nvPicPr>
                    <pic:cNvPr id="0" name="image7.png"/>
                    <pic:cNvPicPr preferRelativeResize="0"/>
                  </pic:nvPicPr>
                  <pic:blipFill>
                    <a:blip r:embed="rId35"/>
                    <a:srcRect b="0" l="0" r="0" t="0"/>
                    <a:stretch>
                      <a:fillRect/>
                    </a:stretch>
                  </pic:blipFill>
                  <pic:spPr>
                    <a:xfrm>
                      <a:off x="0" y="0"/>
                      <a:ext cx="5731200" cy="42672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95">
      <w:pPr>
        <w:pStyle w:val="Heading4"/>
        <w:jc w:val="center"/>
        <w:rPr/>
      </w:pPr>
      <w:bookmarkStart w:colFirst="0" w:colLast="0" w:name="_heading=h.pvueivs1imsl" w:id="43"/>
      <w:bookmarkEnd w:id="43"/>
      <w:r>
        <w:rPr>
          <w:rtl w:val="0"/>
        </w:rPr>
        <w:t xml:space="preserve">Figure 23: ROC Curve Comparison</w:t>
      </w:r>
    </w:p>
    <w:p w:rsidR="00000000" w:rsidDel="00000000" w:rsidP="00000000" w:rsidRDefault="00000000" w:rsidRPr="00000000" w14:paraId="00000096">
      <w:pPr>
        <w:rPr/>
      </w:pPr>
      <w:r>
        <w:rPr>
          <w:rtl w:val="0"/>
        </w:rPr>
        <w:t xml:space="preserve">A comparison of overall performance of the Logistic Regression and Random Forest models is shown on various evaluation metrics in Figure 23. In the majority of the measures, RF performed better than LR with accuracy of 94%, recall of 94%, F1 Score of 0.91 and ROC-AUC of 0.56, whereas both models had a similar precision of 0.88. Random Forest gave a higher recall, F1-score which shows that it had a better success rate to classify the right outcome for loan repayment and classified better overall. The improvement of these results proved the ability of the ensemble learning approach to deliver better predictive power as well as better generalisation compared to the base Logistic Regression model.</w:t>
      </w:r>
    </w:p>
    <w:p w:rsidR="00000000" w:rsidDel="00000000" w:rsidP="00000000" w:rsidRDefault="00000000" w:rsidRPr="00000000" w14:paraId="00000097">
      <w:pPr>
        <w:pStyle w:val="Heading2"/>
        <w:rPr/>
      </w:pPr>
      <w:bookmarkStart w:colFirst="0" w:colLast="0" w:name="_heading=h.doacou92zk6q" w:id="44"/>
      <w:bookmarkEnd w:id="44"/>
      <w:r>
        <w:rPr>
          <w:rtl w:val="0"/>
        </w:rPr>
        <w:t xml:space="preserve">3.4 Feature Importance and SHAP Analysis </w:t>
      </w:r>
    </w:p>
    <w:p w:rsidR="00000000" w:rsidDel="00000000" w:rsidP="00000000" w:rsidRDefault="00000000" w:rsidRPr="00000000" w14:paraId="00000098">
      <w:pPr>
        <w:rPr/>
      </w:pPr>
      <w:r>
        <w:rPr>
          <w:rtl w:val="0"/>
        </w:rPr>
      </w:r>
    </w:p>
    <w:p w:rsidR="00000000" w:rsidDel="00000000" w:rsidP="00000000" w:rsidRDefault="00000000" w:rsidRPr="00000000" w14:paraId="00000099">
      <w:pPr>
        <w:rPr/>
      </w:pPr>
      <w:r>
        <w:rPr>
          <w:rtl w:val="0"/>
        </w:rPr>
      </w:r>
    </w:p>
    <w:p w:rsidR="00000000" w:rsidDel="00000000" w:rsidP="00000000" w:rsidRDefault="00000000" w:rsidRPr="00000000" w14:paraId="0000009A">
      <w:pPr>
        <w:rPr/>
      </w:pPr>
      <w:r>
        <w:rPr/>
        <w:drawing>
          <wp:inline distB="114300" distT="114300" distL="114300" distR="114300">
            <wp:extent cx="5731200" cy="6731000"/>
            <wp:effectExtent b="12700" l="12700" r="12700" t="12700"/>
            <wp:docPr id="10" name="image18.png"/>
            <a:graphic>
              <a:graphicData uri="http://schemas.openxmlformats.org/drawingml/2006/picture">
                <pic:pic>
                  <pic:nvPicPr>
                    <pic:cNvPr id="0" name="image18.png"/>
                    <pic:cNvPicPr preferRelativeResize="0"/>
                  </pic:nvPicPr>
                  <pic:blipFill>
                    <a:blip r:embed="rId36"/>
                    <a:srcRect b="0" l="0" r="0" t="0"/>
                    <a:stretch>
                      <a:fillRect/>
                    </a:stretch>
                  </pic:blipFill>
                  <pic:spPr>
                    <a:xfrm>
                      <a:off x="0" y="0"/>
                      <a:ext cx="5731200" cy="67310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9B">
      <w:pPr>
        <w:pStyle w:val="Heading4"/>
        <w:rPr/>
      </w:pPr>
      <w:bookmarkStart w:colFirst="0" w:colLast="0" w:name="_heading=h.88ghgj3zy37g" w:id="45"/>
      <w:bookmarkEnd w:id="45"/>
      <w:r>
        <w:rPr>
          <w:rtl w:val="0"/>
        </w:rPr>
        <w:t xml:space="preserve">Figure 24: SHAP Summary Plot</w:t>
      </w:r>
    </w:p>
    <w:p w:rsidR="00000000" w:rsidDel="00000000" w:rsidP="00000000" w:rsidRDefault="00000000" w:rsidRPr="00000000" w14:paraId="0000009C">
      <w:pPr>
        <w:rPr/>
      </w:pPr>
      <w:r>
        <w:rPr>
          <w:rtl w:val="0"/>
        </w:rPr>
        <w:t xml:space="preserve">The feature importance and direction of the feature influence over all predictions are shown in the SHAP summary plot (figure 24). The colour of the features shows if the value of the feature is on average increasing or decreasing the prediction probability, and the size of the SHAP value means the degree to which the feature influenced the model output.</w:t>
      </w:r>
    </w:p>
    <w:p w:rsidR="00000000" w:rsidDel="00000000" w:rsidP="00000000" w:rsidRDefault="00000000" w:rsidRPr="00000000" w14:paraId="0000009D">
      <w:pPr>
        <w:rPr/>
      </w:pPr>
      <w:r>
        <w:rPr>
          <w:rtl w:val="0"/>
        </w:rPr>
      </w:r>
    </w:p>
    <w:p w:rsidR="00000000" w:rsidDel="00000000" w:rsidP="00000000" w:rsidRDefault="00000000" w:rsidRPr="00000000" w14:paraId="0000009E">
      <w:pPr>
        <w:rPr/>
      </w:pPr>
      <w:r>
        <w:rPr/>
        <w:drawing>
          <wp:inline distB="114300" distT="114300" distL="114300" distR="114300">
            <wp:extent cx="5731200" cy="6832600"/>
            <wp:effectExtent b="12700" l="12700" r="12700" t="12700"/>
            <wp:docPr id="18" name="image8.png"/>
            <a:graphic>
              <a:graphicData uri="http://schemas.openxmlformats.org/drawingml/2006/picture">
                <pic:pic>
                  <pic:nvPicPr>
                    <pic:cNvPr id="0" name="image8.png"/>
                    <pic:cNvPicPr preferRelativeResize="0"/>
                  </pic:nvPicPr>
                  <pic:blipFill>
                    <a:blip r:embed="rId37"/>
                    <a:srcRect b="0" l="0" r="0" t="0"/>
                    <a:stretch>
                      <a:fillRect/>
                    </a:stretch>
                  </pic:blipFill>
                  <pic:spPr>
                    <a:xfrm>
                      <a:off x="0" y="0"/>
                      <a:ext cx="5731200" cy="68326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9F">
      <w:pPr>
        <w:pStyle w:val="Heading4"/>
        <w:rPr/>
      </w:pPr>
      <w:bookmarkStart w:colFirst="0" w:colLast="0" w:name="_heading=h.4btg154te9at" w:id="46"/>
      <w:bookmarkEnd w:id="46"/>
      <w:r>
        <w:rPr>
          <w:rtl w:val="0"/>
        </w:rPr>
        <w:t xml:space="preserve">Figure 25: SHAP Feature Importance Plot</w:t>
      </w:r>
    </w:p>
    <w:p w:rsidR="00000000" w:rsidDel="00000000" w:rsidP="00000000" w:rsidRDefault="00000000" w:rsidRPr="00000000" w14:paraId="000000A0">
      <w:pPr>
        <w:rPr/>
      </w:pPr>
      <w:r>
        <w:rPr>
          <w:rtl w:val="0"/>
        </w:rPr>
      </w:r>
    </w:p>
    <w:p w:rsidR="00000000" w:rsidDel="00000000" w:rsidP="00000000" w:rsidRDefault="00000000" w:rsidRPr="00000000" w14:paraId="000000A1">
      <w:pPr>
        <w:jc w:val="left"/>
        <w:rPr/>
      </w:pPr>
      <w:r>
        <w:rPr>
          <w:rtl w:val="0"/>
        </w:rPr>
        <w:t xml:space="preserve">Figure 25 shows the average SHAP values of the most influential variables by prediction class. Those with the highest overall importance to model predictions were interest rate, months since last credit inquiry, total credit account and annual income. </w:t>
      </w:r>
    </w:p>
    <w:p w:rsidR="00000000" w:rsidDel="00000000" w:rsidP="00000000" w:rsidRDefault="00000000" w:rsidRPr="00000000" w14:paraId="000000A2">
      <w:pPr>
        <w:rPr/>
      </w:pPr>
      <w:r>
        <w:rPr/>
        <w:drawing>
          <wp:inline distB="114300" distT="114300" distL="114300" distR="114300">
            <wp:extent cx="5731200" cy="2857500"/>
            <wp:effectExtent b="12700" l="12700" r="12700" t="12700"/>
            <wp:docPr id="20" name="image20.png"/>
            <a:graphic>
              <a:graphicData uri="http://schemas.openxmlformats.org/drawingml/2006/picture">
                <pic:pic>
                  <pic:nvPicPr>
                    <pic:cNvPr id="0" name="image20.png"/>
                    <pic:cNvPicPr preferRelativeResize="0"/>
                  </pic:nvPicPr>
                  <pic:blipFill>
                    <a:blip r:embed="rId38"/>
                    <a:srcRect b="0" l="0" r="0" t="0"/>
                    <a:stretch>
                      <a:fillRect/>
                    </a:stretch>
                  </pic:blipFill>
                  <pic:spPr>
                    <a:xfrm>
                      <a:off x="0" y="0"/>
                      <a:ext cx="5731200" cy="2857500"/>
                    </a:xfrm>
                    <a:prstGeom prst="rect"/>
                    <a:ln w="12700">
                      <a:solidFill>
                        <a:srgbClr val="000000"/>
                      </a:solidFill>
                      <a:prstDash val="solid"/>
                    </a:ln>
                  </pic:spPr>
                </pic:pic>
              </a:graphicData>
            </a:graphic>
          </wp:inline>
        </w:drawing>
      </w:r>
      <w:r>
        <w:rPr>
          <w:rtl w:val="0"/>
        </w:rPr>
      </w:r>
    </w:p>
    <w:p w:rsidR="00000000" w:rsidDel="00000000" w:rsidP="00000000" w:rsidRDefault="00000000" w:rsidRPr="00000000" w14:paraId="000000A3">
      <w:pPr>
        <w:pStyle w:val="Heading4"/>
        <w:jc w:val="center"/>
        <w:rPr/>
      </w:pPr>
      <w:bookmarkStart w:colFirst="0" w:colLast="0" w:name="_heading=h.xy30c2g2hq1" w:id="47"/>
      <w:bookmarkEnd w:id="47"/>
      <w:r>
        <w:rPr>
          <w:rtl w:val="0"/>
        </w:rPr>
        <w:t xml:space="preserve">Figure 26:Partial Dependence Plot for 'Charged Off'</w:t>
      </w:r>
    </w:p>
    <w:p w:rsidR="00000000" w:rsidDel="00000000" w:rsidP="00000000" w:rsidRDefault="00000000" w:rsidRPr="00000000" w14:paraId="000000A4">
      <w:pPr>
        <w:rPr/>
      </w:pPr>
      <w:r>
        <w:rPr>
          <w:rtl w:val="0"/>
        </w:rPr>
        <w:t xml:space="preserve">The relationships between Charged Off class probabilities and interest rate and annual income are displayed in the figure below (figure 26). The partial dependence plots indicate that these features do have predictive power of the model, supporting the notion that these features are important in discriminating between borrowers who will be more likely to default on their loan.</w:t>
      </w:r>
    </w:p>
    <w:p w:rsidR="00000000" w:rsidDel="00000000" w:rsidP="00000000" w:rsidRDefault="00000000" w:rsidRPr="00000000" w14:paraId="000000A5">
      <w:pPr>
        <w:pStyle w:val="Heading1"/>
        <w:rPr/>
      </w:pPr>
      <w:bookmarkStart w:colFirst="0" w:colLast="0" w:name="_heading=h.f680af3t2ikt" w:id="48"/>
      <w:bookmarkEnd w:id="48"/>
      <w:r>
        <w:rPr>
          <w:rtl w:val="0"/>
        </w:rPr>
        <w:t xml:space="preserve">5. Discussion </w:t>
      </w:r>
    </w:p>
    <w:p w:rsidR="00000000" w:rsidDel="00000000" w:rsidP="00000000" w:rsidRDefault="00000000" w:rsidRPr="00000000" w14:paraId="000000A6">
      <w:pPr>
        <w:rPr/>
      </w:pPr>
      <w:r>
        <w:rPr>
          <w:rtl w:val="0"/>
        </w:rPr>
        <w:t xml:space="preserve">Through the experimental results, authors showed their ability to predict the repayment status of a loan using both machine learning models, with vast differences between their performances. The Logistic Regression model was a good baseline with 82.25% accuracy and a weighted F1 score of 0.85. The simple linear structure lead to transparent predictions and was successful for most of the Current loan class. Unfortunately, however, the model did not work well for making decisions on minority loan status categories due to the inability to represent complex relationships in the financial information. By contrast, the accuracy level of the Random Forest model was 94.00%, recall 0.94 and the weighted F1 score was 0.91. The ensemble approach of learning allowed RF to learn nonlinear interactions of borrower characteristics, which improved the overall classification and generalisation. This is reserved more for Random Forest as the higher ROC-AUC value shows that this model is better to distinguish between various loan re-payment outcomes and hence constitutes the most recommended model for this study, a finding consistent with prior comparative studies of credit risk classification [5], [6], [7].</w:t>
      </w:r>
    </w:p>
    <w:p w:rsidR="00000000" w:rsidDel="00000000" w:rsidP="00000000" w:rsidRDefault="00000000" w:rsidRPr="00000000" w14:paraId="000000A7">
      <w:pPr>
        <w:rPr/>
      </w:pPr>
      <w:r>
        <w:rPr>
          <w:rtl w:val="0"/>
        </w:rPr>
        <w:t xml:space="preserve">The explainability analysis gave detailed insights into the variables that affected the credit risk predictions. The most important factors indicated by Feature Importance in the Random Forest model are total credit limit, debt-to-income ratio, installment amount, interest rate, and annual income. These are directly related to loan repayment performance and include variables of financial capacity, repayment pressures, and the financial behaviors of borrowers. In the same way SHAP analysis established which changes in these variables had a significant impact on the outcome of the prediction and it provided insights on both the magnitude and direction of the impact. The SHAP summary and feature importance plots confirmed that the higher the interest rate and the higher the amount of indebtedness, the higher the likelihood of the loans being repaid at a premium rate, while the greater the financial capacity the lower the likelihood of loans being repaid at a premium rate. These findings have the potential to enhance the transparency of the model by giving a meaningful explanation of each prediction and to increase confidence in the way that the model makes its decisions.</w:t>
      </w:r>
    </w:p>
    <w:p w:rsidR="00000000" w:rsidDel="00000000" w:rsidP="00000000" w:rsidRDefault="00000000" w:rsidRPr="00000000" w14:paraId="000000A8">
      <w:pPr>
        <w:rPr/>
      </w:pPr>
      <w:r>
        <w:rPr>
          <w:rtl w:val="0"/>
        </w:rPr>
        <w:t xml:space="preserve">The overall performance was also good with the Random Forest model, but there were some noteworthy drawbacks to the model. The level of training accuracy was 100% and the testing accuracy was 94%, showing some degree of overfitting (good generalisation). Further, the data set showed extreme class imbalance, with few samples of the defaulting classes, and a large number of samples in the majority class, Current loan. Neither model was as successful in predicting minority loan status categories, however. Protected demographic information like gender and age are not available for the Lending Club data, which restricts the ability to conduct in-depth fitness evaluations by protected class. Bias analysis by home ownership exhibited relatively uniform loan outcome distributions for different population groups, however. Ethically, AI-driven credit scoring must complement and enhance the human evaluation process. Financial institutions should maintain transparency of the predictive models, consider them regularly and retrain them periodically to ensure that the minimisation of bias, maintenance of fairness, and regulatory compliance.</w:t>
      </w:r>
    </w:p>
    <w:p w:rsidR="00000000" w:rsidDel="00000000" w:rsidP="00000000" w:rsidRDefault="00000000" w:rsidRPr="00000000" w14:paraId="000000A9">
      <w:pPr>
        <w:rPr/>
      </w:pPr>
      <w:r>
        <w:rPr>
          <w:rtl w:val="0"/>
        </w:rPr>
        <w:t xml:space="preserve">In conclusion, this study illustrates that machine learning, when used responsibly, can offer great assistance in the field of today's credit risk assessment. The financial institutions can apply the built model of Random Forest to inform loan applications, to select potential high-risk borrowers and to enhance the risk management strategies. Simultaneously, with the use of predictive models, the techniques of explainability should be used too, such as Feature Importance and SHAP to provide transparency to lenders in lending decisions. The regular monitoring of the model, periodic retraining with new financial information, evaluation of fairness, and human expert review should continue to be an integral part of the AI credit scoring system. By harnessing the power of accurate predictions with explainable and responsible Artificial Intelligence, decision quality can be enhanced, and fairness, accountability, and trust within ever-automating financial services can be fostered.</w:t>
      </w:r>
    </w:p>
    <w:p w:rsidR="00000000" w:rsidDel="00000000" w:rsidP="00000000" w:rsidRDefault="00000000" w:rsidRPr="00000000" w14:paraId="000000AA">
      <w:pPr>
        <w:pStyle w:val="Heading1"/>
        <w:rPr/>
      </w:pPr>
      <w:bookmarkStart w:colFirst="0" w:colLast="0" w:name="_heading=h.3zogxictz41v" w:id="49"/>
      <w:bookmarkEnd w:id="49"/>
      <w:r>
        <w:rPr>
          <w:rtl w:val="0"/>
        </w:rPr>
        <w:t xml:space="preserve">5. Conclusion and Recommendations</w:t>
      </w:r>
    </w:p>
    <w:p w:rsidR="00000000" w:rsidDel="00000000" w:rsidP="00000000" w:rsidRDefault="00000000" w:rsidRPr="00000000" w14:paraId="000000AB">
      <w:pPr>
        <w:pStyle w:val="Heading2"/>
        <w:rPr/>
      </w:pPr>
      <w:bookmarkStart w:colFirst="0" w:colLast="0" w:name="_heading=h.j3i8rmqpk21c" w:id="50"/>
      <w:bookmarkEnd w:id="50"/>
      <w:r>
        <w:rPr>
          <w:rtl w:val="0"/>
        </w:rPr>
        <w:t xml:space="preserve">5.1 Conclusion </w:t>
      </w:r>
    </w:p>
    <w:p w:rsidR="00000000" w:rsidDel="00000000" w:rsidP="00000000" w:rsidRDefault="00000000" w:rsidRPr="00000000" w14:paraId="000000AC">
      <w:pPr>
        <w:rPr/>
      </w:pPr>
      <w:r>
        <w:rPr>
          <w:rtl w:val="0"/>
        </w:rPr>
        <w:t xml:space="preserve">In this research two supervised machine-learning algorithms Logistic Regression, Random Forest models were developed and evaluated on the Lending Club Loan dataset for the prediction of loan repayment status. Data pre-processing before model development was a success with missing value treatment, encoding the features, scaling of the data, and data transformation. Both models were improved by Hyperparameter optimisation using GridSearchCV and 5-fold cross-validation. Results from experimental tests revealed that accuracy, precision, recall, F1 score and ROC-AUC were set higher by the use of RF approach as compared to LR approach whereas overall classification performance was effective and better in RF approach. Using Feature Importance and SHAP analysis we were able to explain about the behavior of predicting and also enhance the transparency of our model by recognizing key financial features that affect predictions. All the research objectives were accomplished successfully with developing, comparing, evaluating and interpreting the machine learning models predicting the credit risk. It is concluded that explainable ensemble learning approaches can also aid in the precise, clear, and trustworthy credit risk classification for the financial institutions.</w:t>
      </w:r>
    </w:p>
    <w:p w:rsidR="00000000" w:rsidDel="00000000" w:rsidP="00000000" w:rsidRDefault="00000000" w:rsidRPr="00000000" w14:paraId="000000AD">
      <w:pPr>
        <w:pStyle w:val="Heading2"/>
        <w:rPr/>
      </w:pPr>
      <w:bookmarkStart w:colFirst="0" w:colLast="0" w:name="_heading=h.m7nn16z3lawx" w:id="51"/>
      <w:bookmarkEnd w:id="51"/>
      <w:r>
        <w:rPr>
          <w:rtl w:val="0"/>
        </w:rPr>
        <w:t xml:space="preserve">5.2 Recommendations </w:t>
      </w:r>
    </w:p>
    <w:p w:rsidR="00000000" w:rsidDel="00000000" w:rsidP="00000000" w:rsidRDefault="00000000" w:rsidRPr="00000000" w14:paraId="000000AE">
      <w:pPr>
        <w:rPr/>
      </w:pPr>
      <w:r>
        <w:rPr>
          <w:rtl w:val="0"/>
        </w:rPr>
        <w:t xml:space="preserve">Employable machine learning models for loan evaluation and for lending to make consistent lending decisions would be beneficial to the financial institutions to improve the credit risk assessment using the Random Forest model. To justify predictive models and enhance regulatory compliance, it is crucial to have techniques for explanation like Feature Importance and SHAP. For sustainability and maintaining prediction accuracy, regular monitor, retrain with new financial data and regular performance evaluation of the programme are recommended as borrower behaviour will evolve over time. Advanced ensemble and boosting algorithms, larger and richer financial datasets, and measuring fairness between protected demographic groups where applicable, if available, should be explored further. The uptake of fairness assessment methods and ethical governance mechanisms for AI-driven credit scoring could enhance the trustworthiness and ethical use of the technology.</w:t>
      </w:r>
    </w:p>
    <w:p w:rsidR="00000000" w:rsidDel="00000000" w:rsidP="00000000" w:rsidRDefault="00000000" w:rsidRPr="00000000" w14:paraId="000000AF">
      <w:pPr>
        <w:pStyle w:val="Heading1"/>
        <w:rPr/>
      </w:pPr>
      <w:bookmarkStart w:colFirst="0" w:colLast="0" w:name="_heading=h.k7jm9v6asl6h" w:id="52"/>
      <w:bookmarkEnd w:id="52"/>
      <w:r>
        <w:br w:type="page"/>
      </w:r>
      <w:r>
        <w:rPr>
          <w:rtl w:val="0"/>
        </w:rPr>
      </w:r>
    </w:p>
    <w:p w:rsidR="00000000" w:rsidDel="00000000" w:rsidP="00000000" w:rsidRDefault="00000000" w:rsidRPr="00000000" w14:paraId="000000B0">
      <w:pPr>
        <w:pStyle w:val="Heading1"/>
        <w:rPr/>
      </w:pPr>
      <w:bookmarkStart w:colFirst="0" w:colLast="0" w:name="_heading=h.9tveis3xxdng" w:id="53"/>
      <w:bookmarkEnd w:id="53"/>
      <w:r>
        <w:rPr>
          <w:rtl w:val="0"/>
        </w:rPr>
        <w:t xml:space="preserve">References</w:t>
      </w:r>
    </w:p>
    <w:p w:rsidR="00000000" w:rsidDel="00000000" w:rsidP="00000000" w:rsidRDefault="00000000" w:rsidRPr="00000000" w14:paraId="000000B1">
      <w:pPr>
        <w:ind w:left="720" w:hanging="720"/>
        <w:rPr/>
      </w:pPr>
      <w:r>
        <w:rPr>
          <w:rtl w:val="0"/>
        </w:rPr>
        <w:t xml:space="preserve">[1] L. Breiman, "Random forests," Machine Learning, vol. 45, no. 1, pp. 5–32, Oct. 2001.</w:t>
      </w:r>
    </w:p>
    <w:p w:rsidR="00000000" w:rsidDel="00000000" w:rsidP="00000000" w:rsidRDefault="00000000" w:rsidRPr="00000000" w14:paraId="000000B2">
      <w:pPr>
        <w:ind w:left="720" w:hanging="720"/>
        <w:rPr/>
      </w:pPr>
      <w:r>
        <w:rPr>
          <w:rtl w:val="0"/>
        </w:rPr>
        <w:t xml:space="preserve">[2] F. Pedregosa et al., "Scikit-learn: Machine learning in Python," Journal of Machine Learning Research, vol. 12, pp. 2825–2830, 2011.</w:t>
      </w:r>
    </w:p>
    <w:p w:rsidR="00000000" w:rsidDel="00000000" w:rsidP="00000000" w:rsidRDefault="00000000" w:rsidRPr="00000000" w14:paraId="000000B3">
      <w:pPr>
        <w:ind w:left="720" w:hanging="720"/>
        <w:rPr/>
      </w:pPr>
      <w:r>
        <w:rPr>
          <w:rtl w:val="0"/>
        </w:rPr>
        <w:t xml:space="preserve">[3] J. Bergstra and Y. Bengio, "Random search for hyper-parameter optimization," Journal of Machine Learning Research, vol. 13, pp. 281–305, Feb. 2012.</w:t>
      </w:r>
    </w:p>
    <w:p w:rsidR="00000000" w:rsidDel="00000000" w:rsidP="00000000" w:rsidRDefault="00000000" w:rsidRPr="00000000" w14:paraId="000000B5">
      <w:pPr>
        <w:ind w:left="720" w:hanging="720"/>
        <w:rPr/>
      </w:pPr>
      <w:r>
        <w:rPr>
          <w:rtl w:val="0"/>
        </w:rPr>
        <w:t xml:space="preserve">[4] S. M. Lundberg and S.-I. Lee, "A unified approach to interpreting model predictions," in Advances in Neural Information Processing Systems (NeurIPS), vol. 30, 2017, pp. 4765–4774.</w:t>
      </w:r>
    </w:p>
    <w:p w:rsidR="00000000" w:rsidDel="00000000" w:rsidP="00000000" w:rsidRDefault="00000000" w:rsidRPr="00000000" w14:paraId="000000B6">
      <w:pPr>
        <w:ind w:left="720" w:hanging="720"/>
        <w:rPr/>
      </w:pPr>
      <w:r>
        <w:rPr>
          <w:rtl w:val="0"/>
        </w:rPr>
        <w:t xml:space="preserve">[5] Y. Wang, Y. Zhang, Y. Lu, and X. Yu, "A comparative assessment of credit risk model based on machine learning—a case study of bank loan data," Procedia Computer Science, vol. 174, pp. 141–149, 2020.</w:t>
      </w:r>
    </w:p>
    <w:p w:rsidR="00000000" w:rsidDel="00000000" w:rsidP="00000000" w:rsidRDefault="00000000" w:rsidRPr="00000000" w14:paraId="000000B7">
      <w:pPr>
        <w:ind w:left="720" w:hanging="720"/>
        <w:rPr/>
      </w:pPr>
      <w:r>
        <w:rPr>
          <w:rtl w:val="0"/>
        </w:rPr>
        <w:t xml:space="preserve">[6] S. R. Khalid, "Machine learning-based credit scoring: A comparative analysis of logistic regression and random forest models," International Journal of Finance and Management Economics, vol. 8, no. 2, pp. 284–294, 2025.</w:t>
      </w:r>
    </w:p>
    <w:p w:rsidR="00000000" w:rsidDel="00000000" w:rsidP="00000000" w:rsidRDefault="00000000" w:rsidRPr="00000000" w14:paraId="000000B8">
      <w:pPr>
        <w:ind w:left="720" w:hanging="720"/>
        <w:rPr/>
      </w:pPr>
      <w:r>
        <w:rPr>
          <w:rtl w:val="0"/>
        </w:rPr>
        <w:t xml:space="preserve">[7] S. Tyagi, "Analyzing machine learning models for credit scoring with explainable AI and optimizing investment decisions," arXiv preprint arXiv:2209.09362, Sep. 2022.</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240" w:before="24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b w:val="1"/>
      <w:bCs w:val="1"/>
      <w:sz w:val="28"/>
      <w:szCs w:val="28"/>
    </w:rPr>
  </w:style>
  <w:style w:type="paragraph" w:styleId="Heading2">
    <w:name w:val="heading 2"/>
    <w:basedOn w:val="Normal"/>
    <w:next w:val="Normal"/>
    <w:pPr>
      <w:keepNext w:val="1"/>
      <w:keepLines w:val="1"/>
      <w:spacing w:after="120" w:before="360" w:lineRule="auto"/>
    </w:pPr>
    <w:rPr>
      <w:b w:val="1"/>
      <w:bCs w:val="1"/>
      <w:sz w:val="26"/>
      <w:szCs w:val="26"/>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spacing w:after="80" w:before="280" w:lineRule="auto"/>
      <w:jc w:val="center"/>
    </w:pPr>
    <w:rPr>
      <w:b w:val="1"/>
      <w:bCs w:val="1"/>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29.png"/><Relationship Id="rId22" Type="http://schemas.openxmlformats.org/officeDocument/2006/relationships/image" Target="media/image24.png"/><Relationship Id="rId21" Type="http://schemas.openxmlformats.org/officeDocument/2006/relationships/image" Target="media/image31.png"/><Relationship Id="rId24" Type="http://schemas.openxmlformats.org/officeDocument/2006/relationships/image" Target="media/image23.png"/><Relationship Id="rId23" Type="http://schemas.openxmlformats.org/officeDocument/2006/relationships/image" Target="media/image3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4.png"/><Relationship Id="rId26" Type="http://schemas.openxmlformats.org/officeDocument/2006/relationships/image" Target="media/image32.png"/><Relationship Id="rId25" Type="http://schemas.openxmlformats.org/officeDocument/2006/relationships/image" Target="media/image28.png"/><Relationship Id="rId28" Type="http://schemas.openxmlformats.org/officeDocument/2006/relationships/image" Target="media/image2.png"/><Relationship Id="rId27"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image" Target="media/image15.png"/><Relationship Id="rId7" Type="http://schemas.openxmlformats.org/officeDocument/2006/relationships/image" Target="media/image19.png"/><Relationship Id="rId8" Type="http://schemas.openxmlformats.org/officeDocument/2006/relationships/image" Target="media/image1.png"/><Relationship Id="rId31" Type="http://schemas.openxmlformats.org/officeDocument/2006/relationships/image" Target="media/image9.png"/><Relationship Id="rId30" Type="http://schemas.openxmlformats.org/officeDocument/2006/relationships/image" Target="media/image11.png"/><Relationship Id="rId11" Type="http://schemas.openxmlformats.org/officeDocument/2006/relationships/image" Target="media/image17.png"/><Relationship Id="rId33" Type="http://schemas.openxmlformats.org/officeDocument/2006/relationships/image" Target="media/image16.png"/><Relationship Id="rId10" Type="http://schemas.openxmlformats.org/officeDocument/2006/relationships/image" Target="media/image4.png"/><Relationship Id="rId32" Type="http://schemas.openxmlformats.org/officeDocument/2006/relationships/image" Target="media/image10.png"/><Relationship Id="rId13" Type="http://schemas.openxmlformats.org/officeDocument/2006/relationships/image" Target="media/image13.png"/><Relationship Id="rId35" Type="http://schemas.openxmlformats.org/officeDocument/2006/relationships/image" Target="media/image7.png"/><Relationship Id="rId12" Type="http://schemas.openxmlformats.org/officeDocument/2006/relationships/image" Target="media/image6.png"/><Relationship Id="rId34" Type="http://schemas.openxmlformats.org/officeDocument/2006/relationships/image" Target="media/image12.png"/><Relationship Id="rId15" Type="http://schemas.openxmlformats.org/officeDocument/2006/relationships/image" Target="media/image5.png"/><Relationship Id="rId37" Type="http://schemas.openxmlformats.org/officeDocument/2006/relationships/image" Target="media/image8.png"/><Relationship Id="rId14" Type="http://schemas.openxmlformats.org/officeDocument/2006/relationships/image" Target="media/image21.png"/><Relationship Id="rId36" Type="http://schemas.openxmlformats.org/officeDocument/2006/relationships/image" Target="media/image18.png"/><Relationship Id="rId17" Type="http://schemas.openxmlformats.org/officeDocument/2006/relationships/image" Target="media/image27.png"/><Relationship Id="rId16" Type="http://schemas.openxmlformats.org/officeDocument/2006/relationships/image" Target="media/image25.png"/><Relationship Id="rId38" Type="http://schemas.openxmlformats.org/officeDocument/2006/relationships/image" Target="media/image20.png"/><Relationship Id="rId19" Type="http://schemas.openxmlformats.org/officeDocument/2006/relationships/image" Target="media/image22.png"/><Relationship Id="rId18"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kXvFp9apMVRGjnN/S6dVZlXZXQ==">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