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3CF9F243" wp14:textId="457ACED2">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Matthew cleary 2326544</w:t>
      </w:r>
    </w:p>
    <w:p xmlns:wp14="http://schemas.microsoft.com/office/word/2010/wordml" w:rsidP="1037CD03" wp14:paraId="4C37EF84" wp14:textId="3FAD6B81">
      <w:pPr>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1.</w:t>
      </w:r>
      <w:r w:rsidRPr="1037CD03" w:rsidR="13B199EB">
        <w:rPr>
          <w:rStyle w:val="Heading1Cha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 xml:space="preserve"> Introduction and Identification of the Business Problem</w:t>
      </w:r>
    </w:p>
    <w:p xmlns:wp14="http://schemas.microsoft.com/office/word/2010/wordml" w:rsidP="1037CD03" wp14:paraId="5082C207" wp14:textId="420154E6">
      <w:pPr>
        <w:rPr>
          <w:rFonts w:ascii="Arial" w:hAnsi="Arial" w:eastAsia="Arial" w:cs="Arial"/>
          <w:b w:val="0"/>
          <w:bCs w:val="0"/>
          <w:i w:val="0"/>
          <w:iCs w:val="0"/>
          <w:caps w:val="0"/>
          <w:smallCaps w:val="0"/>
          <w:noProof w:val="0"/>
          <w:color w:val="000000" w:themeColor="text1" w:themeTint="FF" w:themeShade="FF"/>
          <w:sz w:val="22"/>
          <w:szCs w:val="22"/>
          <w:lang w:val="en-US"/>
        </w:rPr>
      </w:pP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The global automotive sector is undergoing a phase of profound technological disruption, propelled by advances in artificial intelligence (AI), automation, digital manufacturing, and electrification. These forces are fundamentally altering the processes of vehicle design, production, and lifecycle support. For automotive manufacturers based in the United Kingdom, the imperative to modernise is compounded by intense global competition, evolving regulatory requirements, and the necessity to sustain technological relevance within a fast-changing market environment. At this pivotal juncture in its strategic development, Lotus Cars, a British manufacturer celebrated for its lightweight sports cars and engineering legacy, must navigate this transformation.</w:t>
      </w:r>
    </w:p>
    <w:p xmlns:wp14="http://schemas.microsoft.com/office/word/2010/wordml" w:rsidP="1037CD03" wp14:paraId="488267BF" wp14:textId="4CB84BB9">
      <w:pPr>
        <w:rPr>
          <w:rFonts w:ascii="Arial" w:hAnsi="Arial" w:eastAsia="Arial" w:cs="Arial"/>
          <w:b w:val="0"/>
          <w:bCs w:val="0"/>
          <w:i w:val="0"/>
          <w:iCs w:val="0"/>
          <w:caps w:val="0"/>
          <w:smallCaps w:val="0"/>
          <w:noProof w:val="0"/>
          <w:color w:val="000000" w:themeColor="text1" w:themeTint="FF" w:themeShade="FF"/>
          <w:sz w:val="22"/>
          <w:szCs w:val="22"/>
          <w:lang w:val="en-US"/>
        </w:rPr>
      </w:pP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037CD03" wp14:paraId="3BCDD519" wp14:textId="1358C03A">
      <w:pPr>
        <w:rPr>
          <w:rFonts w:ascii="Arial" w:hAnsi="Arial" w:eastAsia="Arial" w:cs="Arial"/>
          <w:b w:val="0"/>
          <w:bCs w:val="0"/>
          <w:i w:val="0"/>
          <w:iCs w:val="0"/>
          <w:caps w:val="0"/>
          <w:smallCaps w:val="0"/>
          <w:noProof w:val="0"/>
          <w:color w:val="000000" w:themeColor="text1" w:themeTint="FF" w:themeShade="FF"/>
          <w:sz w:val="22"/>
          <w:szCs w:val="22"/>
          <w:lang w:val="en-US"/>
        </w:rPr>
      </w:pP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Historically, Lotus has functioned as a niche manufacturer of performance vehicles, distinguished by a deeply rooted mechanical engineering culture. Its acquisition by Geely in 2017, however, initiated a comprehensive strategic transformation to reposition the brand within the global luxury electric vehicle (EV) sector. This ambitious shift necessitates profound organisational change, encompassing the implementation of AI</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enabled manufacturing, digital product development platforms, and data</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driven operational decision</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making. While the company's public communications articulate a clear intent to modernise its operations and expand its technological base, there remains a scarcity of detailed public analysis regarding the specific impact of AI adoption on its organisational performance.</w:t>
      </w:r>
    </w:p>
    <w:p xmlns:wp14="http://schemas.microsoft.com/office/word/2010/wordml" w:rsidP="1037CD03" wp14:paraId="382BAA53" wp14:textId="7A34947D">
      <w:pPr>
        <w:rPr>
          <w:rFonts w:ascii="Arial" w:hAnsi="Arial" w:eastAsia="Arial" w:cs="Arial"/>
          <w:b w:val="0"/>
          <w:bCs w:val="0"/>
          <w:i w:val="0"/>
          <w:iCs w:val="0"/>
          <w:caps w:val="0"/>
          <w:smallCaps w:val="0"/>
          <w:noProof w:val="0"/>
          <w:color w:val="000000" w:themeColor="text1" w:themeTint="FF" w:themeShade="FF"/>
          <w:sz w:val="22"/>
          <w:szCs w:val="22"/>
          <w:lang w:val="en-US"/>
        </w:rPr>
      </w:pP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037CD03" wp14:paraId="395F168A" wp14:textId="6F246661">
      <w:pPr>
        <w:rPr>
          <w:rFonts w:ascii="Arial" w:hAnsi="Arial" w:eastAsia="Arial" w:cs="Arial"/>
          <w:b w:val="0"/>
          <w:bCs w:val="0"/>
          <w:i w:val="0"/>
          <w:iCs w:val="0"/>
          <w:caps w:val="0"/>
          <w:smallCaps w:val="0"/>
          <w:noProof w:val="0"/>
          <w:color w:val="000000" w:themeColor="text1" w:themeTint="FF" w:themeShade="FF"/>
          <w:sz w:val="22"/>
          <w:szCs w:val="22"/>
          <w:lang w:val="en-US"/>
        </w:rPr>
      </w:pP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This proposal therefore examines the core business problem concerning the organisational implications of an AI</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driven digital transformation at Lotus Cars. Although AI presents considerable potential advantages—such as greater operational efficiency, more robust decision</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making frameworks, and a reduction in procedural errors—its effective implementation is contingent upon several critical factors. These include the organisation's readiness for change, the alignment of its existing culture with new technological paradigms, and the depth of leadership commitment to the transformation process. For Lotus, these factors carry particular weight given its traditional, engineering</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centric culture, which may inherently resist or complicate a shift toward digital</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first operations. Consequently, a clear understanding of how AI could be practically integrated into Lotus’s workflows, how its workforce might adapt, and what realistic performance outcomes may emerge is vital for underpinning the company's long</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term competitive strategy.</w:t>
      </w:r>
    </w:p>
    <w:p xmlns:wp14="http://schemas.microsoft.com/office/word/2010/wordml" w:rsidP="1037CD03" wp14:paraId="2277E719" wp14:textId="3D3BD57D">
      <w:pPr>
        <w:rPr>
          <w:rFonts w:ascii="Arial" w:hAnsi="Arial" w:eastAsia="Arial" w:cs="Arial"/>
          <w:b w:val="0"/>
          <w:bCs w:val="0"/>
          <w:i w:val="0"/>
          <w:iCs w:val="0"/>
          <w:caps w:val="0"/>
          <w:smallCaps w:val="0"/>
          <w:noProof w:val="0"/>
          <w:color w:val="000000" w:themeColor="text1" w:themeTint="FF" w:themeShade="FF"/>
          <w:sz w:val="22"/>
          <w:szCs w:val="22"/>
          <w:lang w:val="en-US"/>
        </w:rPr>
      </w:pP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037CD03" wp14:paraId="102F9F6C" wp14:textId="5C915A60">
      <w:pPr>
        <w:rPr>
          <w:rFonts w:ascii="Arial" w:hAnsi="Arial" w:eastAsia="Arial" w:cs="Arial"/>
          <w:b w:val="0"/>
          <w:bCs w:val="0"/>
          <w:i w:val="0"/>
          <w:iCs w:val="0"/>
          <w:caps w:val="0"/>
          <w:smallCaps w:val="0"/>
          <w:noProof w:val="0"/>
          <w:color w:val="000000" w:themeColor="text1" w:themeTint="FF" w:themeShade="FF"/>
          <w:sz w:val="22"/>
          <w:szCs w:val="22"/>
          <w:lang w:val="en-US"/>
        </w:rPr>
      </w:pP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This study addresses these questions via a hypothetical case study centered on Lotus Cars. This methodological choice permits the construction of a plausible, evidence</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based scenario for AI adoption at Lotus, drawing on secondary data, industry publications, and established academic frameworks. The hypothetical case study is a well</w:t>
      </w:r>
      <w:r>
        <w:noBreakHyphen/>
      </w:r>
      <w:r w:rsidRPr="1037CD03" w:rsidR="13B199EB">
        <w:rPr>
          <w:rFonts w:ascii="Arial" w:hAnsi="Arial" w:eastAsia="Arial" w:cs="Arial"/>
          <w:b w:val="0"/>
          <w:bCs w:val="0"/>
          <w:i w:val="0"/>
          <w:iCs w:val="0"/>
          <w:caps w:val="0"/>
          <w:smallCaps w:val="0"/>
          <w:noProof w:val="0"/>
          <w:color w:val="000000" w:themeColor="text1" w:themeTint="FF" w:themeShade="FF"/>
          <w:sz w:val="22"/>
          <w:szCs w:val="22"/>
          <w:lang w:val="en-US"/>
        </w:rPr>
        <w:t>recognized approach in business research, particularly when direct organizational access is limited, as it facilitates rigorous analysis while avoiding the need for proprietary information. The objective is to produce insights that possess academic rigor while also holding practical relevance for the specific challenges encountered by Lotus and the broader UK automotive industry.</w:t>
      </w:r>
    </w:p>
    <w:p xmlns:wp14="http://schemas.microsoft.com/office/word/2010/wordml" wp14:paraId="2C078E63" wp14:textId="483499B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7EC2DD"/>
    <w:rsid w:val="1037CD03"/>
    <w:rsid w:val="13B199EB"/>
    <w:rsid w:val="237EC2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74177"/>
  <w15:chartTrackingRefBased/>
  <w15:docId w15:val="{E14BE71F-62A0-4E9C-8772-D7CC2FD1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rsid w:val="1037CD03"/>
    <w:rPr>
      <w:rFonts w:ascii="Aptos Display" w:hAnsi="Aptos Display" w:eastAsia="" w:cs="" w:asciiTheme="majorAscii" w:hAnsiTheme="majorAscii" w:eastAsiaTheme="majorEastAsia" w:cstheme="majorBidi"/>
      <w:color w:val="0F4761" w:themeColor="accent1" w:themeTint="FF"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2026-06-21T13:05:11.9684221Z</dcterms:created>
  <dcterms:modified xsi:type="dcterms:W3CDTF">2026-06-21T13:05:52.2269105Z</dcterms:modified>
  <dc:creator>Matt Cleary (2326544)</dc:creator>
  <lastModifiedBy>Matt Cleary (2326544)</lastModifiedBy>
</coreProperties>
</file>