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3C54FC" w14:textId="74DDD7D1" w:rsidR="00FB65AF" w:rsidRDefault="000A0487" w:rsidP="000A0487">
      <w:pPr>
        <w:pStyle w:val="Title"/>
        <w:rPr>
          <w:rFonts w:ascii="Times New Roman" w:hAnsi="Times New Roman" w:cs="Times New Roman"/>
          <w:b/>
          <w:u w:val="single"/>
        </w:rPr>
      </w:pPr>
      <w:r w:rsidRPr="000A0487">
        <w:rPr>
          <w:rFonts w:ascii="Times New Roman" w:hAnsi="Times New Roman" w:cs="Times New Roman"/>
          <w:b/>
          <w:u w:val="single"/>
        </w:rPr>
        <w:t xml:space="preserve">Enlightenment Sources Portfolio </w:t>
      </w:r>
      <w:bookmarkStart w:id="0" w:name="_GoBack"/>
      <w:bookmarkEnd w:id="0"/>
    </w:p>
    <w:p w14:paraId="7DAD5C57" w14:textId="7EBC79B3" w:rsidR="000A0487" w:rsidRDefault="000A0487" w:rsidP="000A0487"/>
    <w:p w14:paraId="1F95D139" w14:textId="66E30649" w:rsidR="000A0487" w:rsidRPr="000A0487" w:rsidRDefault="000A0487" w:rsidP="000A0487">
      <w:pPr>
        <w:rPr>
          <w:rFonts w:ascii="Times New Roman" w:hAnsi="Times New Roman" w:cs="Times New Roman"/>
          <w:b/>
        </w:rPr>
      </w:pPr>
      <w:r w:rsidRPr="000A0487">
        <w:rPr>
          <w:rFonts w:ascii="Times New Roman" w:hAnsi="Times New Roman" w:cs="Times New Roman"/>
          <w:b/>
        </w:rPr>
        <w:t xml:space="preserve">Primary Source: Edmund Burke, </w:t>
      </w:r>
      <w:r w:rsidRPr="000A0487">
        <w:rPr>
          <w:rFonts w:ascii="Times New Roman" w:hAnsi="Times New Roman" w:cs="Times New Roman"/>
          <w:b/>
          <w:i/>
        </w:rPr>
        <w:t>Reflections on the Revolution in France</w:t>
      </w:r>
      <w:r w:rsidRPr="000A0487">
        <w:rPr>
          <w:rFonts w:ascii="Times New Roman" w:hAnsi="Times New Roman" w:cs="Times New Roman"/>
          <w:b/>
        </w:rPr>
        <w:t>. London: Penguin Books, 2004</w:t>
      </w:r>
    </w:p>
    <w:p w14:paraId="729CD9FC" w14:textId="1EFDE527" w:rsidR="000A0487" w:rsidRDefault="000A0487" w:rsidP="000A0487">
      <w:pPr>
        <w:spacing w:line="360" w:lineRule="auto"/>
        <w:rPr>
          <w:rFonts w:ascii="Times New Roman" w:hAnsi="Times New Roman" w:cs="Times New Roman"/>
          <w:b/>
        </w:rPr>
      </w:pPr>
      <w:r w:rsidRPr="000A0487">
        <w:rPr>
          <w:rFonts w:ascii="Times New Roman" w:hAnsi="Times New Roman" w:cs="Times New Roman"/>
          <w:b/>
        </w:rPr>
        <w:t xml:space="preserve">Secondary Source: Michael </w:t>
      </w:r>
      <w:r w:rsidRPr="000A0487">
        <w:rPr>
          <w:rFonts w:ascii="Times New Roman" w:hAnsi="Times New Roman" w:cs="Times New Roman"/>
          <w:b/>
        </w:rPr>
        <w:t xml:space="preserve">Howard, </w:t>
      </w:r>
      <w:r w:rsidRPr="000A0487">
        <w:rPr>
          <w:rFonts w:ascii="Times New Roman" w:hAnsi="Times New Roman" w:cs="Times New Roman"/>
          <w:b/>
          <w:i/>
        </w:rPr>
        <w:t>War in European History</w:t>
      </w:r>
      <w:r w:rsidRPr="000A0487">
        <w:rPr>
          <w:rFonts w:ascii="Times New Roman" w:hAnsi="Times New Roman" w:cs="Times New Roman"/>
          <w:b/>
        </w:rPr>
        <w:t>. London: Oxford University Press, 1976.</w:t>
      </w:r>
    </w:p>
    <w:p w14:paraId="296A3BC3" w14:textId="6B837D08" w:rsidR="000A0487" w:rsidRDefault="000A0487" w:rsidP="000A0487">
      <w:pPr>
        <w:spacing w:line="360" w:lineRule="auto"/>
        <w:rPr>
          <w:rFonts w:ascii="Times New Roman" w:hAnsi="Times New Roman" w:cs="Times New Roman"/>
          <w:b/>
        </w:rPr>
      </w:pPr>
    </w:p>
    <w:p w14:paraId="2E6089E7" w14:textId="35B7B61B" w:rsidR="000A0487" w:rsidRDefault="000A0487">
      <w:pPr>
        <w:rPr>
          <w:rFonts w:ascii="Times New Roman" w:hAnsi="Times New Roman" w:cs="Times New Roman"/>
          <w:b/>
        </w:rPr>
      </w:pPr>
      <w:r>
        <w:rPr>
          <w:rFonts w:ascii="Times New Roman" w:hAnsi="Times New Roman" w:cs="Times New Roman"/>
          <w:b/>
        </w:rPr>
        <w:br w:type="page"/>
      </w:r>
    </w:p>
    <w:p w14:paraId="63D1FA34" w14:textId="77777777" w:rsidR="000A0487" w:rsidRPr="000A0487" w:rsidRDefault="000A0487" w:rsidP="000A0487">
      <w:pPr>
        <w:spacing w:line="360" w:lineRule="auto"/>
        <w:rPr>
          <w:rFonts w:ascii="Times New Roman" w:hAnsi="Times New Roman" w:cs="Times New Roman"/>
          <w:b/>
        </w:rPr>
      </w:pPr>
    </w:p>
    <w:p w14:paraId="344223E4" w14:textId="77777777" w:rsidR="000A0487" w:rsidRDefault="000A0487" w:rsidP="000A0487">
      <w:pPr>
        <w:pStyle w:val="Title"/>
        <w:jc w:val="center"/>
        <w:rPr>
          <w:b/>
          <w:sz w:val="40"/>
          <w:u w:val="single"/>
        </w:rPr>
      </w:pPr>
      <w:r w:rsidRPr="00A21473">
        <w:rPr>
          <w:b/>
          <w:sz w:val="40"/>
          <w:u w:val="single"/>
        </w:rPr>
        <w:t>Edmund Burke – Reflections on the Revolution in France</w:t>
      </w:r>
    </w:p>
    <w:p w14:paraId="6867AA48" w14:textId="77777777" w:rsidR="000A0487" w:rsidRPr="003D5C9B" w:rsidRDefault="000A0487" w:rsidP="000A0487"/>
    <w:p w14:paraId="6BFC7ECB" w14:textId="77777777" w:rsidR="000A0487" w:rsidRPr="003D5C9B" w:rsidRDefault="000A0487" w:rsidP="000A0487">
      <w:pPr>
        <w:spacing w:line="360" w:lineRule="auto"/>
        <w:rPr>
          <w:rFonts w:ascii="Times New Roman" w:hAnsi="Times New Roman" w:cs="Times New Roman"/>
          <w:sz w:val="24"/>
        </w:rPr>
      </w:pPr>
      <w:r w:rsidRPr="003D5C9B">
        <w:rPr>
          <w:rFonts w:ascii="Times New Roman" w:hAnsi="Times New Roman" w:cs="Times New Roman"/>
          <w:sz w:val="24"/>
        </w:rPr>
        <w:t xml:space="preserve">The beginning of the French Revolution in 1789 caused a myriad of reactions across the known world, ranging from enthusiastic support from the likes of Thomas Paine, to harsh condemnation and rebuttal from writers who witnessed what the revolution became like Joseph de Maistre. </w:t>
      </w:r>
      <w:r>
        <w:rPr>
          <w:rFonts w:ascii="Times New Roman" w:hAnsi="Times New Roman" w:cs="Times New Roman"/>
          <w:sz w:val="24"/>
        </w:rPr>
        <w:t>And y</w:t>
      </w:r>
      <w:r w:rsidRPr="003D5C9B">
        <w:rPr>
          <w:rFonts w:ascii="Times New Roman" w:hAnsi="Times New Roman" w:cs="Times New Roman"/>
          <w:sz w:val="24"/>
        </w:rPr>
        <w:t>et perhaps one of the more interesting approaches</w:t>
      </w:r>
      <w:r>
        <w:rPr>
          <w:rFonts w:ascii="Times New Roman" w:hAnsi="Times New Roman" w:cs="Times New Roman"/>
          <w:sz w:val="24"/>
        </w:rPr>
        <w:t xml:space="preserve"> to come out of England</w:t>
      </w:r>
      <w:r w:rsidRPr="003D5C9B">
        <w:rPr>
          <w:rFonts w:ascii="Times New Roman" w:hAnsi="Times New Roman" w:cs="Times New Roman"/>
          <w:sz w:val="24"/>
        </w:rPr>
        <w:t xml:space="preserve"> to the French Revolution, and more so the enlightenment as a whole, is Edmund Burkes ‘Reflections on the Revolution in France’. </w:t>
      </w:r>
    </w:p>
    <w:p w14:paraId="50992E80" w14:textId="77777777" w:rsidR="000A0487" w:rsidRPr="003D5C9B" w:rsidRDefault="000A0487" w:rsidP="000A0487">
      <w:pPr>
        <w:spacing w:line="360" w:lineRule="auto"/>
        <w:rPr>
          <w:rFonts w:ascii="Times New Roman" w:hAnsi="Times New Roman" w:cs="Times New Roman"/>
          <w:sz w:val="24"/>
        </w:rPr>
      </w:pPr>
      <w:r w:rsidRPr="003D5C9B">
        <w:rPr>
          <w:rFonts w:ascii="Times New Roman" w:hAnsi="Times New Roman" w:cs="Times New Roman"/>
          <w:sz w:val="24"/>
        </w:rPr>
        <w:t>Edmund Burke was an Irish Member of Parliament for the Whig party in the 1780s and 90s. It is interesting to consider that Burke objected to the French Revolution but was a placid supporter of the American Revolution, arguing that the colonists had the right to voice their grievances in regards to the issues of taxation and representation, but favoured peace with America and them staying part of the Empire. It is this more ‘enlightened’ response to this revolution that makes Burkes response to the French Revolution more interesting and perhaps even contradictory. However, when considering that Burke, while a Whig, as on the more conservative wing of the party, his response is less contradictory and more cautious than anything else</w:t>
      </w:r>
      <w:r>
        <w:rPr>
          <w:rFonts w:ascii="Times New Roman" w:hAnsi="Times New Roman" w:cs="Times New Roman"/>
          <w:sz w:val="24"/>
        </w:rPr>
        <w:t>, fitting in with Burkes as someone who believed in “a manly, moral, regulated liberty</w:t>
      </w:r>
      <w:r>
        <w:rPr>
          <w:rStyle w:val="FootnoteReference"/>
          <w:rFonts w:ascii="Times New Roman" w:hAnsi="Times New Roman" w:cs="Times New Roman"/>
          <w:sz w:val="24"/>
        </w:rPr>
        <w:footnoteReference w:id="1"/>
      </w:r>
      <w:r>
        <w:rPr>
          <w:rFonts w:ascii="Times New Roman" w:hAnsi="Times New Roman" w:cs="Times New Roman"/>
          <w:sz w:val="24"/>
        </w:rPr>
        <w:t>”. This view on liberty is a common theme throughout Reflections, with Burke expressing a view that liberty comes attached with responsibility and that while France was attempting to achieve liberty, he advised against support, “</w:t>
      </w:r>
      <w:r w:rsidRPr="00D8515D">
        <w:rPr>
          <w:rFonts w:ascii="Times New Roman" w:hAnsi="Times New Roman" w:cs="Times New Roman"/>
          <w:sz w:val="24"/>
        </w:rPr>
        <w:t>before we risk congratulations which may be soon turned into complaints</w:t>
      </w:r>
      <w:r>
        <w:rPr>
          <w:rStyle w:val="FootnoteReference"/>
          <w:rFonts w:ascii="Times New Roman" w:hAnsi="Times New Roman" w:cs="Times New Roman"/>
          <w:sz w:val="24"/>
        </w:rPr>
        <w:footnoteReference w:id="2"/>
      </w:r>
      <w:r>
        <w:rPr>
          <w:rFonts w:ascii="Times New Roman" w:hAnsi="Times New Roman" w:cs="Times New Roman"/>
          <w:sz w:val="24"/>
        </w:rPr>
        <w:t xml:space="preserve">”. </w:t>
      </w:r>
    </w:p>
    <w:p w14:paraId="1F99CEFA" w14:textId="77777777" w:rsidR="000A0487" w:rsidRPr="003D5C9B" w:rsidRDefault="000A0487" w:rsidP="000A0487">
      <w:pPr>
        <w:spacing w:line="360" w:lineRule="auto"/>
        <w:rPr>
          <w:rFonts w:ascii="Times New Roman" w:hAnsi="Times New Roman" w:cs="Times New Roman"/>
          <w:sz w:val="24"/>
        </w:rPr>
      </w:pPr>
      <w:r w:rsidRPr="003D5C9B">
        <w:rPr>
          <w:rFonts w:ascii="Times New Roman" w:hAnsi="Times New Roman" w:cs="Times New Roman"/>
          <w:sz w:val="24"/>
        </w:rPr>
        <w:t xml:space="preserve">The pamphlet itself was written in 1790 after Burke witnessed the first few months of the revolution unfold. Therefore, he is condemning the Revolution years before the true nature of the revolution revealed itself, making his observations and assertions are more concerned with the principle of revolution and liberalism itself. As a pamphlet, such a literary tool would be aimed towards those with both the means to afford it and understand. Thus, the primary audience was that of the upper classes, like the landed gentry or nobility, and especially those with the influence to act upon what he wrote like members of the French </w:t>
      </w:r>
      <w:r w:rsidRPr="003D5C9B">
        <w:rPr>
          <w:rFonts w:ascii="Times New Roman" w:hAnsi="Times New Roman" w:cs="Times New Roman"/>
          <w:sz w:val="24"/>
        </w:rPr>
        <w:lastRenderedPageBreak/>
        <w:t>Assembly, such as Chames-Jean-Francois de Pont</w:t>
      </w:r>
      <w:r w:rsidRPr="003D5C9B">
        <w:rPr>
          <w:rStyle w:val="FootnoteReference"/>
          <w:rFonts w:ascii="Times New Roman" w:hAnsi="Times New Roman" w:cs="Times New Roman"/>
          <w:sz w:val="24"/>
        </w:rPr>
        <w:footnoteReference w:id="3"/>
      </w:r>
      <w:r w:rsidRPr="003D5C9B">
        <w:rPr>
          <w:rFonts w:ascii="Times New Roman" w:hAnsi="Times New Roman" w:cs="Times New Roman"/>
          <w:sz w:val="24"/>
        </w:rPr>
        <w:t>, which the reflections is in part a reply to his letter to Burke in 1789. Moreover, the conclusions that Burke comes to are meant to chime with the more conservative elements of the British and French government, as “It is with infinite caution that any man ought to venture upon pulling down an edifice which has answered in any tolerable degree for ages the common purposes of society, or on building it up again</w:t>
      </w:r>
      <w:r w:rsidRPr="003D5C9B">
        <w:rPr>
          <w:rStyle w:val="FootnoteReference"/>
          <w:rFonts w:ascii="Times New Roman" w:hAnsi="Times New Roman" w:cs="Times New Roman"/>
          <w:sz w:val="24"/>
        </w:rPr>
        <w:footnoteReference w:id="4"/>
      </w:r>
      <w:r w:rsidRPr="003D5C9B">
        <w:rPr>
          <w:rFonts w:ascii="Times New Roman" w:hAnsi="Times New Roman" w:cs="Times New Roman"/>
          <w:sz w:val="24"/>
        </w:rPr>
        <w:t xml:space="preserve">” indicates. The above line is in a larger sense the summary of the main purpose of Reflections, advising against the rash and quick decisions that would involve over turning the entirety of France in favour of new untested ideas. Yet it does not discourage change, as the notion of “infinite caution” conveys with its language a disposition to a slow advance rather than a steadfast stance against any agent of change. </w:t>
      </w:r>
    </w:p>
    <w:p w14:paraId="6AA60491" w14:textId="77777777" w:rsidR="000A0487" w:rsidRDefault="000A0487" w:rsidP="000A0487">
      <w:pPr>
        <w:spacing w:line="360" w:lineRule="auto"/>
        <w:rPr>
          <w:rFonts w:ascii="Times New Roman" w:hAnsi="Times New Roman" w:cs="Times New Roman"/>
          <w:sz w:val="24"/>
        </w:rPr>
      </w:pPr>
      <w:r w:rsidRPr="003D5C9B">
        <w:rPr>
          <w:rFonts w:ascii="Times New Roman" w:hAnsi="Times New Roman" w:cs="Times New Roman"/>
          <w:sz w:val="24"/>
        </w:rPr>
        <w:t xml:space="preserve"> It is this that separates, and almost isolates, Burke from the other more rabid critics of the French Revolution. His defence of the monarchy and conventional civil society is tinged by his Whig adherence. In contrast, the French Counter-Revolutionary writer Joseph de Maistre viewed such ideas in the most abhorrent of terms referring to</w:t>
      </w:r>
      <w:r>
        <w:rPr>
          <w:rFonts w:ascii="Times New Roman" w:hAnsi="Times New Roman" w:cs="Times New Roman"/>
          <w:sz w:val="24"/>
        </w:rPr>
        <w:t xml:space="preserve"> the revolutionaries as those who</w:t>
      </w:r>
      <w:r w:rsidRPr="003D5C9B">
        <w:rPr>
          <w:rFonts w:ascii="Times New Roman" w:hAnsi="Times New Roman" w:cs="Times New Roman"/>
          <w:sz w:val="24"/>
        </w:rPr>
        <w:t xml:space="preserve"> </w:t>
      </w:r>
      <w:r>
        <w:rPr>
          <w:rFonts w:ascii="Times New Roman" w:hAnsi="Times New Roman" w:cs="Times New Roman"/>
          <w:sz w:val="24"/>
        </w:rPr>
        <w:t>“hate everything above them</w:t>
      </w:r>
      <w:r>
        <w:rPr>
          <w:rStyle w:val="FootnoteReference"/>
          <w:rFonts w:ascii="Times New Roman" w:hAnsi="Times New Roman" w:cs="Times New Roman"/>
          <w:sz w:val="24"/>
        </w:rPr>
        <w:footnoteReference w:id="5"/>
      </w:r>
      <w:r>
        <w:rPr>
          <w:rFonts w:ascii="Times New Roman" w:hAnsi="Times New Roman" w:cs="Times New Roman"/>
          <w:sz w:val="24"/>
        </w:rPr>
        <w:t>”. The stark contrast between Burkes more pragmatic and sympathetic attitude and Maistre’s fervent hatred is born perhaps out of the context in which they wrote. Burke wrote his Reflections within the first few months of the Revolution, years before the bloodshed that would colour the revolution, and many miles from the heart of the Revolution and safe from any real danger. De Maistre on the other hand experienced the Revolution, and had to flee his home as a result of the revolution. He began writing in 1796, bearing witness to the great horrors and excesses of the revolution first hand, all of which obviously impacting his view of it and that which influenced his criticism.</w:t>
      </w:r>
    </w:p>
    <w:p w14:paraId="7E0A0DE8" w14:textId="77777777" w:rsidR="000A0487" w:rsidRPr="003D5C9B" w:rsidRDefault="000A0487" w:rsidP="000A0487">
      <w:pPr>
        <w:spacing w:line="360" w:lineRule="auto"/>
        <w:rPr>
          <w:rFonts w:ascii="Times New Roman" w:hAnsi="Times New Roman" w:cs="Times New Roman"/>
          <w:sz w:val="24"/>
        </w:rPr>
      </w:pPr>
      <w:r>
        <w:rPr>
          <w:rFonts w:ascii="Times New Roman" w:hAnsi="Times New Roman" w:cs="Times New Roman"/>
          <w:sz w:val="24"/>
        </w:rPr>
        <w:t>Yet Burke also distances himself from the enlightenment philosophers with his views on religion and its role within society. Burke proposes that “religion is the basis of civil society</w:t>
      </w:r>
      <w:r>
        <w:rPr>
          <w:rStyle w:val="FootnoteReference"/>
          <w:rFonts w:ascii="Times New Roman" w:hAnsi="Times New Roman" w:cs="Times New Roman"/>
          <w:sz w:val="24"/>
        </w:rPr>
        <w:footnoteReference w:id="6"/>
      </w:r>
      <w:r>
        <w:rPr>
          <w:rFonts w:ascii="Times New Roman" w:hAnsi="Times New Roman" w:cs="Times New Roman"/>
          <w:sz w:val="24"/>
        </w:rPr>
        <w:t>” and that it provides a common unity, as well as being the “source of all good and of all comfort</w:t>
      </w:r>
      <w:r>
        <w:rPr>
          <w:rStyle w:val="FootnoteReference"/>
          <w:rFonts w:ascii="Times New Roman" w:hAnsi="Times New Roman" w:cs="Times New Roman"/>
          <w:sz w:val="24"/>
        </w:rPr>
        <w:footnoteReference w:id="7"/>
      </w:r>
      <w:r>
        <w:rPr>
          <w:rFonts w:ascii="Times New Roman" w:hAnsi="Times New Roman" w:cs="Times New Roman"/>
          <w:sz w:val="24"/>
        </w:rPr>
        <w:t xml:space="preserve">”. This is of great contrast to the harsh criticisms laid upon organised religion by enlightenment philosophers like Voltaire and Hume. In fact, Burke goes on to further criticise those that would disparage or re-evaluate religion by arguing that “if our religious tenants </w:t>
      </w:r>
      <w:r>
        <w:rPr>
          <w:rFonts w:ascii="Times New Roman" w:hAnsi="Times New Roman" w:cs="Times New Roman"/>
          <w:sz w:val="24"/>
        </w:rPr>
        <w:lastRenderedPageBreak/>
        <w:t>should ever want a further elucidation, we shall not call on atheism to explain them</w:t>
      </w:r>
      <w:r>
        <w:rPr>
          <w:rStyle w:val="FootnoteReference"/>
          <w:rFonts w:ascii="Times New Roman" w:hAnsi="Times New Roman" w:cs="Times New Roman"/>
          <w:sz w:val="24"/>
        </w:rPr>
        <w:footnoteReference w:id="8"/>
      </w:r>
      <w:r>
        <w:rPr>
          <w:rFonts w:ascii="Times New Roman" w:hAnsi="Times New Roman" w:cs="Times New Roman"/>
          <w:sz w:val="24"/>
        </w:rPr>
        <w:t>.” Here Burke is criticising the secularisation of both the French Revolution and the enlightenment philosophers that proposed its implementation. Burke goes on to argue that “man is by his constitution a religious animal</w:t>
      </w:r>
      <w:r>
        <w:rPr>
          <w:rStyle w:val="FootnoteReference"/>
          <w:rFonts w:ascii="Times New Roman" w:hAnsi="Times New Roman" w:cs="Times New Roman"/>
          <w:sz w:val="24"/>
        </w:rPr>
        <w:footnoteReference w:id="9"/>
      </w:r>
      <w:r>
        <w:rPr>
          <w:rFonts w:ascii="Times New Roman" w:hAnsi="Times New Roman" w:cs="Times New Roman"/>
          <w:sz w:val="24"/>
        </w:rPr>
        <w:t>” and invokes that “atheism is against, not only our reason but our instincts</w:t>
      </w:r>
      <w:r>
        <w:rPr>
          <w:rStyle w:val="FootnoteReference"/>
          <w:rFonts w:ascii="Times New Roman" w:hAnsi="Times New Roman" w:cs="Times New Roman"/>
          <w:sz w:val="24"/>
        </w:rPr>
        <w:footnoteReference w:id="10"/>
      </w:r>
      <w:r>
        <w:rPr>
          <w:rFonts w:ascii="Times New Roman" w:hAnsi="Times New Roman" w:cs="Times New Roman"/>
          <w:sz w:val="24"/>
        </w:rPr>
        <w:t xml:space="preserve">”. These assertions would later prove to be vindicated by the genocide conducted by the republic in the Vendee and the emergence of societies like the Temple of Reason that would emerge as the revolution progressed during the 1790s. </w:t>
      </w:r>
    </w:p>
    <w:p w14:paraId="62C47850" w14:textId="77777777" w:rsidR="000A0487" w:rsidRDefault="000A0487" w:rsidP="000A0487">
      <w:pPr>
        <w:spacing w:line="360" w:lineRule="auto"/>
        <w:rPr>
          <w:rFonts w:ascii="Times New Roman" w:hAnsi="Times New Roman" w:cs="Times New Roman"/>
          <w:sz w:val="24"/>
        </w:rPr>
      </w:pPr>
      <w:r w:rsidRPr="003D5C9B">
        <w:rPr>
          <w:rFonts w:ascii="Times New Roman" w:hAnsi="Times New Roman" w:cs="Times New Roman"/>
          <w:sz w:val="24"/>
        </w:rPr>
        <w:t>Yet Burke’s reflections have influences of the enlightenment in them, as evidenced by the line “Society is indeed a contract</w:t>
      </w:r>
      <w:r w:rsidRPr="003D5C9B">
        <w:rPr>
          <w:rStyle w:val="FootnoteReference"/>
          <w:rFonts w:ascii="Times New Roman" w:hAnsi="Times New Roman" w:cs="Times New Roman"/>
          <w:sz w:val="24"/>
        </w:rPr>
        <w:footnoteReference w:id="11"/>
      </w:r>
      <w:r w:rsidRPr="003D5C9B">
        <w:rPr>
          <w:rFonts w:ascii="Times New Roman" w:hAnsi="Times New Roman" w:cs="Times New Roman"/>
          <w:sz w:val="24"/>
        </w:rPr>
        <w:t>”. The implication of this line echoes the social contract theory which was championed by John Locke in the century prior in his work ‘The Two Treatises of Government’, again moving Burke away from the more vocal critics of the Enlightenment and back towards the more liberal side. On the other hand, Burke goes on to write that such a contract is not “to be dissolved by the fancy of parties</w:t>
      </w:r>
      <w:r w:rsidRPr="003D5C9B">
        <w:rPr>
          <w:rStyle w:val="FootnoteReference"/>
          <w:rFonts w:ascii="Times New Roman" w:hAnsi="Times New Roman" w:cs="Times New Roman"/>
          <w:sz w:val="24"/>
        </w:rPr>
        <w:footnoteReference w:id="12"/>
      </w:r>
      <w:r w:rsidRPr="003D5C9B">
        <w:rPr>
          <w:rFonts w:ascii="Times New Roman" w:hAnsi="Times New Roman" w:cs="Times New Roman"/>
          <w:sz w:val="24"/>
        </w:rPr>
        <w:t>” and it is “a partnership in every virtue</w:t>
      </w:r>
      <w:r w:rsidRPr="003D5C9B">
        <w:rPr>
          <w:rStyle w:val="FootnoteReference"/>
          <w:rFonts w:ascii="Times New Roman" w:hAnsi="Times New Roman" w:cs="Times New Roman"/>
          <w:sz w:val="24"/>
        </w:rPr>
        <w:footnoteReference w:id="13"/>
      </w:r>
      <w:r w:rsidRPr="003D5C9B">
        <w:rPr>
          <w:rFonts w:ascii="Times New Roman" w:hAnsi="Times New Roman" w:cs="Times New Roman"/>
          <w:sz w:val="24"/>
        </w:rPr>
        <w:t xml:space="preserve">”.  Essentially, while Burke is advocating for society based on the social contract theory, he leans more towards the views of Thomas Hobbes, arguing against trivial or unnecessary dissolution of this contract by revolution or regicide. Thus, again this places Reflections on the conservative side of Whig ideals, while avoiding outright Tory ideals. </w:t>
      </w:r>
    </w:p>
    <w:p w14:paraId="264878CB" w14:textId="77777777" w:rsidR="000A0487" w:rsidRPr="003D5C9B" w:rsidRDefault="000A0487" w:rsidP="000A0487">
      <w:pPr>
        <w:spacing w:line="360" w:lineRule="auto"/>
        <w:rPr>
          <w:rFonts w:ascii="Times New Roman" w:hAnsi="Times New Roman" w:cs="Times New Roman"/>
          <w:sz w:val="24"/>
        </w:rPr>
      </w:pPr>
      <w:r>
        <w:rPr>
          <w:rFonts w:ascii="Times New Roman" w:hAnsi="Times New Roman" w:cs="Times New Roman"/>
          <w:sz w:val="24"/>
        </w:rPr>
        <w:t>In conclusion, t</w:t>
      </w:r>
      <w:r w:rsidRPr="003D5C9B">
        <w:rPr>
          <w:rFonts w:ascii="Times New Roman" w:hAnsi="Times New Roman" w:cs="Times New Roman"/>
          <w:sz w:val="24"/>
        </w:rPr>
        <w:t xml:space="preserve">he main thrust of Reflections </w:t>
      </w:r>
      <w:r>
        <w:rPr>
          <w:rFonts w:ascii="Times New Roman" w:hAnsi="Times New Roman" w:cs="Times New Roman"/>
          <w:sz w:val="24"/>
        </w:rPr>
        <w:t xml:space="preserve">of the Revolution in France </w:t>
      </w:r>
      <w:r w:rsidRPr="003D5C9B">
        <w:rPr>
          <w:rFonts w:ascii="Times New Roman" w:hAnsi="Times New Roman" w:cs="Times New Roman"/>
          <w:sz w:val="24"/>
        </w:rPr>
        <w:t>can be summarised as</w:t>
      </w:r>
      <w:r>
        <w:rPr>
          <w:rFonts w:ascii="Times New Roman" w:hAnsi="Times New Roman" w:cs="Times New Roman"/>
          <w:sz w:val="24"/>
        </w:rPr>
        <w:t xml:space="preserve"> Burke warning against ill-conceived notions of liberty and how aspects of society compliment that liberty. It is perhaps a testament to his writing and beliefs that much of what the warnings he wrote would come to pass in the later years of the Revolution with the implementation of the terror and various other horrific acts. Therefore, at its core, Reflections is a warning that was not heeded to the Revolutionaries in France about the disaster that will befall them due to the weak nature of both the revolution itself and its ideological justifications.  </w:t>
      </w:r>
    </w:p>
    <w:p w14:paraId="454ED485" w14:textId="77777777" w:rsidR="000A0487" w:rsidRDefault="000A0487" w:rsidP="000A0487">
      <w:pPr>
        <w:rPr>
          <w:rFonts w:ascii="Times New Roman" w:hAnsi="Times New Roman" w:cs="Times New Roman"/>
          <w:sz w:val="24"/>
        </w:rPr>
      </w:pPr>
      <w:r>
        <w:rPr>
          <w:rFonts w:ascii="Times New Roman" w:hAnsi="Times New Roman" w:cs="Times New Roman"/>
          <w:sz w:val="24"/>
        </w:rPr>
        <w:br w:type="page"/>
      </w:r>
    </w:p>
    <w:p w14:paraId="7C3BC4CF" w14:textId="77777777" w:rsidR="000A0487" w:rsidRPr="00DA1C2E" w:rsidRDefault="000A0487" w:rsidP="000A0487">
      <w:pPr>
        <w:spacing w:line="360" w:lineRule="auto"/>
        <w:rPr>
          <w:rFonts w:ascii="Times New Roman" w:hAnsi="Times New Roman" w:cs="Times New Roman"/>
          <w:b/>
          <w:sz w:val="24"/>
          <w:u w:val="single"/>
        </w:rPr>
      </w:pPr>
      <w:r w:rsidRPr="00DA1C2E">
        <w:rPr>
          <w:rFonts w:ascii="Times New Roman" w:hAnsi="Times New Roman" w:cs="Times New Roman"/>
          <w:b/>
          <w:sz w:val="24"/>
          <w:u w:val="single"/>
        </w:rPr>
        <w:lastRenderedPageBreak/>
        <w:t>Bibliography</w:t>
      </w:r>
    </w:p>
    <w:p w14:paraId="1BFA38E1" w14:textId="77777777" w:rsidR="000A0487" w:rsidRDefault="000A0487" w:rsidP="000A0487">
      <w:pPr>
        <w:spacing w:line="360" w:lineRule="auto"/>
        <w:rPr>
          <w:rFonts w:ascii="Times New Roman" w:hAnsi="Times New Roman" w:cs="Times New Roman"/>
        </w:rPr>
      </w:pPr>
      <w:r w:rsidRPr="00DA1C2E">
        <w:rPr>
          <w:rFonts w:ascii="Times New Roman" w:hAnsi="Times New Roman" w:cs="Times New Roman"/>
        </w:rPr>
        <w:t>Burke, E.</w:t>
      </w:r>
      <w:r>
        <w:rPr>
          <w:rFonts w:ascii="Times New Roman" w:hAnsi="Times New Roman" w:cs="Times New Roman"/>
        </w:rPr>
        <w:t>,</w:t>
      </w:r>
      <w:r w:rsidRPr="00DA1C2E">
        <w:rPr>
          <w:rFonts w:ascii="Times New Roman" w:hAnsi="Times New Roman" w:cs="Times New Roman"/>
        </w:rPr>
        <w:t xml:space="preserve"> </w:t>
      </w:r>
      <w:r w:rsidRPr="00DA1C2E">
        <w:rPr>
          <w:rFonts w:ascii="Times New Roman" w:hAnsi="Times New Roman" w:cs="Times New Roman"/>
          <w:i/>
        </w:rPr>
        <w:t>Reflections on the Revolution in France</w:t>
      </w:r>
      <w:r w:rsidRPr="00DA1C2E">
        <w:rPr>
          <w:rFonts w:ascii="Times New Roman" w:hAnsi="Times New Roman" w:cs="Times New Roman"/>
        </w:rPr>
        <w:t>. London: Penguin Books, 2004.</w:t>
      </w:r>
    </w:p>
    <w:p w14:paraId="6964D6FE" w14:textId="77777777" w:rsidR="000A0487" w:rsidRPr="00DA1C2E" w:rsidRDefault="000A0487" w:rsidP="000A0487">
      <w:pPr>
        <w:spacing w:line="360" w:lineRule="auto"/>
        <w:rPr>
          <w:rFonts w:ascii="Times New Roman" w:hAnsi="Times New Roman" w:cs="Times New Roman"/>
        </w:rPr>
      </w:pPr>
      <w:r w:rsidRPr="00DA1C2E">
        <w:rPr>
          <w:rFonts w:ascii="Times New Roman" w:hAnsi="Times New Roman" w:cs="Times New Roman"/>
        </w:rPr>
        <w:t>Lively, J.</w:t>
      </w:r>
      <w:r>
        <w:rPr>
          <w:rFonts w:ascii="Times New Roman" w:hAnsi="Times New Roman" w:cs="Times New Roman"/>
        </w:rPr>
        <w:t>,</w:t>
      </w:r>
      <w:r w:rsidRPr="00DA1C2E">
        <w:rPr>
          <w:rFonts w:ascii="Times New Roman" w:hAnsi="Times New Roman" w:cs="Times New Roman"/>
        </w:rPr>
        <w:t xml:space="preserve"> </w:t>
      </w:r>
      <w:r w:rsidRPr="00DA1C2E">
        <w:rPr>
          <w:rFonts w:ascii="Times New Roman" w:hAnsi="Times New Roman" w:cs="Times New Roman"/>
          <w:i/>
        </w:rPr>
        <w:t>The Works of Joseph de Maistre</w:t>
      </w:r>
      <w:r>
        <w:rPr>
          <w:rFonts w:ascii="Times New Roman" w:hAnsi="Times New Roman" w:cs="Times New Roman"/>
        </w:rPr>
        <w:t xml:space="preserve">. </w:t>
      </w:r>
      <w:r w:rsidRPr="00DA1C2E">
        <w:rPr>
          <w:rFonts w:ascii="Times New Roman" w:hAnsi="Times New Roman" w:cs="Times New Roman"/>
        </w:rPr>
        <w:t>New York: The Macmillan Company, 1965</w:t>
      </w:r>
      <w:r>
        <w:rPr>
          <w:rFonts w:ascii="Times New Roman" w:hAnsi="Times New Roman" w:cs="Times New Roman"/>
        </w:rPr>
        <w:t>.</w:t>
      </w:r>
    </w:p>
    <w:p w14:paraId="2E7509BE" w14:textId="48972F45" w:rsidR="000A0487" w:rsidRDefault="000A0487">
      <w:pPr>
        <w:rPr>
          <w:rFonts w:ascii="Times New Roman" w:hAnsi="Times New Roman" w:cs="Times New Roman"/>
        </w:rPr>
      </w:pPr>
      <w:r>
        <w:rPr>
          <w:rFonts w:ascii="Times New Roman" w:hAnsi="Times New Roman" w:cs="Times New Roman"/>
        </w:rPr>
        <w:br w:type="page"/>
      </w:r>
    </w:p>
    <w:p w14:paraId="24CC9592" w14:textId="77777777" w:rsidR="000A0487" w:rsidRDefault="000A0487" w:rsidP="000A0487">
      <w:pPr>
        <w:pStyle w:val="Title"/>
        <w:rPr>
          <w:rFonts w:ascii="Times New Roman" w:hAnsi="Times New Roman" w:cs="Times New Roman"/>
          <w:b/>
          <w:sz w:val="48"/>
          <w:u w:val="single"/>
        </w:rPr>
      </w:pPr>
      <w:r w:rsidRPr="00347DF7">
        <w:rPr>
          <w:rFonts w:ascii="Times New Roman" w:hAnsi="Times New Roman" w:cs="Times New Roman"/>
          <w:b/>
          <w:sz w:val="48"/>
          <w:u w:val="single"/>
        </w:rPr>
        <w:lastRenderedPageBreak/>
        <w:t>Michael Howard – War in European History</w:t>
      </w:r>
    </w:p>
    <w:p w14:paraId="5792C77F" w14:textId="77777777" w:rsidR="000A0487" w:rsidRDefault="000A0487" w:rsidP="000A0487"/>
    <w:p w14:paraId="34FC3B96" w14:textId="77777777" w:rsidR="000A0487" w:rsidRPr="00CE332A" w:rsidRDefault="000A0487" w:rsidP="000A0487">
      <w:pPr>
        <w:spacing w:line="360" w:lineRule="auto"/>
        <w:rPr>
          <w:rFonts w:ascii="Times New Roman" w:hAnsi="Times New Roman" w:cs="Times New Roman"/>
        </w:rPr>
      </w:pPr>
      <w:r w:rsidRPr="00CE332A">
        <w:rPr>
          <w:rFonts w:ascii="Times New Roman" w:hAnsi="Times New Roman" w:cs="Times New Roman"/>
        </w:rPr>
        <w:t xml:space="preserve">Michael Howard’s 1976 book “War in European History” is an important work in understanding both the development of war throughout European history, but also the specific advancements and alterations that took place in various important periods. In regards to this module, Howard dedicates two chapters that are about and relevant to war in the Enlightenment period: Chapter 4 and Chapter 5. </w:t>
      </w:r>
    </w:p>
    <w:p w14:paraId="4B86CB46" w14:textId="77777777" w:rsidR="000A0487" w:rsidRPr="00CE332A" w:rsidRDefault="000A0487" w:rsidP="000A0487">
      <w:pPr>
        <w:spacing w:line="360" w:lineRule="auto"/>
        <w:rPr>
          <w:rFonts w:ascii="Times New Roman" w:hAnsi="Times New Roman" w:cs="Times New Roman"/>
        </w:rPr>
      </w:pPr>
      <w:r w:rsidRPr="00CE332A">
        <w:rPr>
          <w:rFonts w:ascii="Times New Roman" w:hAnsi="Times New Roman" w:cs="Times New Roman"/>
        </w:rPr>
        <w:t>The work itself is a relatively short A5 sized book, numbering 167 pages with notes. The book itself is split into seven chapters, with a foreword by the author and an epilogue about the future of warfare in the Nuclear age. The seven chapters are as follows:</w:t>
      </w:r>
    </w:p>
    <w:p w14:paraId="0D3117D8" w14:textId="77777777" w:rsidR="000A0487" w:rsidRPr="00CE332A" w:rsidRDefault="000A0487" w:rsidP="000A0487">
      <w:pPr>
        <w:pStyle w:val="ListParagraph"/>
        <w:numPr>
          <w:ilvl w:val="0"/>
          <w:numId w:val="1"/>
        </w:numPr>
        <w:spacing w:line="360" w:lineRule="auto"/>
        <w:rPr>
          <w:rFonts w:ascii="Times New Roman" w:hAnsi="Times New Roman" w:cs="Times New Roman"/>
        </w:rPr>
      </w:pPr>
      <w:r w:rsidRPr="00CE332A">
        <w:rPr>
          <w:rFonts w:ascii="Times New Roman" w:hAnsi="Times New Roman" w:cs="Times New Roman"/>
        </w:rPr>
        <w:t>Chapter 1: The Wars of the Knights</w:t>
      </w:r>
    </w:p>
    <w:p w14:paraId="2F6C8406" w14:textId="77777777" w:rsidR="000A0487" w:rsidRPr="00CE332A" w:rsidRDefault="000A0487" w:rsidP="000A0487">
      <w:pPr>
        <w:pStyle w:val="ListParagraph"/>
        <w:numPr>
          <w:ilvl w:val="0"/>
          <w:numId w:val="1"/>
        </w:numPr>
        <w:spacing w:line="360" w:lineRule="auto"/>
        <w:rPr>
          <w:rFonts w:ascii="Times New Roman" w:hAnsi="Times New Roman" w:cs="Times New Roman"/>
        </w:rPr>
      </w:pPr>
      <w:r w:rsidRPr="00CE332A">
        <w:rPr>
          <w:rFonts w:ascii="Times New Roman" w:hAnsi="Times New Roman" w:cs="Times New Roman"/>
        </w:rPr>
        <w:t>Chapter 2: The War of the Mercenaries</w:t>
      </w:r>
    </w:p>
    <w:p w14:paraId="7111A9C0" w14:textId="77777777" w:rsidR="000A0487" w:rsidRPr="00CE332A" w:rsidRDefault="000A0487" w:rsidP="000A0487">
      <w:pPr>
        <w:pStyle w:val="ListParagraph"/>
        <w:numPr>
          <w:ilvl w:val="0"/>
          <w:numId w:val="1"/>
        </w:numPr>
        <w:spacing w:line="360" w:lineRule="auto"/>
        <w:rPr>
          <w:rFonts w:ascii="Times New Roman" w:hAnsi="Times New Roman" w:cs="Times New Roman"/>
        </w:rPr>
      </w:pPr>
      <w:r w:rsidRPr="00CE332A">
        <w:rPr>
          <w:rFonts w:ascii="Times New Roman" w:hAnsi="Times New Roman" w:cs="Times New Roman"/>
        </w:rPr>
        <w:t>Chapter 3: The War of the Merchants</w:t>
      </w:r>
    </w:p>
    <w:p w14:paraId="4DAA2735" w14:textId="77777777" w:rsidR="000A0487" w:rsidRPr="00CE332A" w:rsidRDefault="000A0487" w:rsidP="000A0487">
      <w:pPr>
        <w:pStyle w:val="ListParagraph"/>
        <w:numPr>
          <w:ilvl w:val="0"/>
          <w:numId w:val="1"/>
        </w:numPr>
        <w:spacing w:line="360" w:lineRule="auto"/>
        <w:rPr>
          <w:rFonts w:ascii="Times New Roman" w:hAnsi="Times New Roman" w:cs="Times New Roman"/>
        </w:rPr>
      </w:pPr>
      <w:r w:rsidRPr="00CE332A">
        <w:rPr>
          <w:rFonts w:ascii="Times New Roman" w:hAnsi="Times New Roman" w:cs="Times New Roman"/>
        </w:rPr>
        <w:t>Chapter 4: The Wars of the Professionals</w:t>
      </w:r>
    </w:p>
    <w:p w14:paraId="13AEEADB" w14:textId="77777777" w:rsidR="000A0487" w:rsidRPr="00CE332A" w:rsidRDefault="000A0487" w:rsidP="000A0487">
      <w:pPr>
        <w:pStyle w:val="ListParagraph"/>
        <w:numPr>
          <w:ilvl w:val="0"/>
          <w:numId w:val="1"/>
        </w:numPr>
        <w:spacing w:line="360" w:lineRule="auto"/>
        <w:rPr>
          <w:rFonts w:ascii="Times New Roman" w:hAnsi="Times New Roman" w:cs="Times New Roman"/>
        </w:rPr>
      </w:pPr>
      <w:r w:rsidRPr="00CE332A">
        <w:rPr>
          <w:rFonts w:ascii="Times New Roman" w:hAnsi="Times New Roman" w:cs="Times New Roman"/>
        </w:rPr>
        <w:t>Chapter 5: The War of the Revolution</w:t>
      </w:r>
    </w:p>
    <w:p w14:paraId="38749BCA" w14:textId="77777777" w:rsidR="000A0487" w:rsidRPr="00CE332A" w:rsidRDefault="000A0487" w:rsidP="000A0487">
      <w:pPr>
        <w:pStyle w:val="ListParagraph"/>
        <w:numPr>
          <w:ilvl w:val="0"/>
          <w:numId w:val="1"/>
        </w:numPr>
        <w:spacing w:line="360" w:lineRule="auto"/>
        <w:rPr>
          <w:rFonts w:ascii="Times New Roman" w:hAnsi="Times New Roman" w:cs="Times New Roman"/>
        </w:rPr>
      </w:pPr>
      <w:r w:rsidRPr="00CE332A">
        <w:rPr>
          <w:rFonts w:ascii="Times New Roman" w:hAnsi="Times New Roman" w:cs="Times New Roman"/>
        </w:rPr>
        <w:t>Chapter 6: The War of the Nations</w:t>
      </w:r>
    </w:p>
    <w:p w14:paraId="6C89721E" w14:textId="77777777" w:rsidR="000A0487" w:rsidRPr="00CE332A" w:rsidRDefault="000A0487" w:rsidP="000A0487">
      <w:pPr>
        <w:pStyle w:val="ListParagraph"/>
        <w:numPr>
          <w:ilvl w:val="0"/>
          <w:numId w:val="1"/>
        </w:numPr>
        <w:spacing w:line="360" w:lineRule="auto"/>
        <w:rPr>
          <w:rFonts w:ascii="Times New Roman" w:hAnsi="Times New Roman" w:cs="Times New Roman"/>
        </w:rPr>
      </w:pPr>
      <w:r w:rsidRPr="00CE332A">
        <w:rPr>
          <w:rFonts w:ascii="Times New Roman" w:hAnsi="Times New Roman" w:cs="Times New Roman"/>
        </w:rPr>
        <w:t xml:space="preserve">Chapter 7: The War of the Technologists </w:t>
      </w:r>
    </w:p>
    <w:p w14:paraId="6FEBCBA7" w14:textId="5B82079B" w:rsidR="000A0487" w:rsidRPr="00CE332A" w:rsidRDefault="000A0487" w:rsidP="000A0487">
      <w:pPr>
        <w:spacing w:line="360" w:lineRule="auto"/>
        <w:rPr>
          <w:rFonts w:ascii="Times New Roman" w:hAnsi="Times New Roman" w:cs="Times New Roman"/>
        </w:rPr>
      </w:pPr>
      <w:r w:rsidRPr="00CE332A">
        <w:rPr>
          <w:rFonts w:ascii="Times New Roman" w:hAnsi="Times New Roman" w:cs="Times New Roman"/>
        </w:rPr>
        <w:t xml:space="preserve">Each chapter provides the reader with an overview of that eras key developments or events that would alter and develop warfare. Immediately, this establishes ‘War in European History’ as a less of an in-depth review and more of an overview of the topic of war in European history as a whole. </w:t>
      </w:r>
      <w:r w:rsidR="002A3017" w:rsidRPr="00CE332A">
        <w:rPr>
          <w:rFonts w:ascii="Times New Roman" w:hAnsi="Times New Roman" w:cs="Times New Roman"/>
        </w:rPr>
        <w:t>So,</w:t>
      </w:r>
      <w:r w:rsidRPr="00CE332A">
        <w:rPr>
          <w:rFonts w:ascii="Times New Roman" w:hAnsi="Times New Roman" w:cs="Times New Roman"/>
        </w:rPr>
        <w:t xml:space="preserve"> in comparison to a work like Armstrong Starkey’s ‘War in the Age of the Enlightenment’, it will be less detailed and specific due to the fact that Starkey focuses exclusively on the Enlightenment instead of the issue of war across </w:t>
      </w:r>
      <w:r w:rsidR="002A3017" w:rsidRPr="00CE332A">
        <w:rPr>
          <w:rFonts w:ascii="Times New Roman" w:hAnsi="Times New Roman" w:cs="Times New Roman"/>
        </w:rPr>
        <w:t>a</w:t>
      </w:r>
      <w:r w:rsidRPr="00CE332A">
        <w:rPr>
          <w:rFonts w:ascii="Times New Roman" w:hAnsi="Times New Roman" w:cs="Times New Roman"/>
        </w:rPr>
        <w:t xml:space="preserve"> </w:t>
      </w:r>
      <w:r w:rsidR="002A3017" w:rsidRPr="00CE332A">
        <w:rPr>
          <w:rFonts w:ascii="Times New Roman" w:hAnsi="Times New Roman" w:cs="Times New Roman"/>
        </w:rPr>
        <w:t>1000-year</w:t>
      </w:r>
      <w:r w:rsidRPr="00CE332A">
        <w:rPr>
          <w:rFonts w:ascii="Times New Roman" w:hAnsi="Times New Roman" w:cs="Times New Roman"/>
        </w:rPr>
        <w:t xml:space="preserve"> period</w:t>
      </w:r>
      <w:r w:rsidRPr="00CE332A">
        <w:rPr>
          <w:rStyle w:val="FootnoteReference"/>
          <w:rFonts w:ascii="Times New Roman" w:hAnsi="Times New Roman" w:cs="Times New Roman"/>
        </w:rPr>
        <w:footnoteReference w:id="14"/>
      </w:r>
      <w:r w:rsidRPr="00CE332A">
        <w:rPr>
          <w:rFonts w:ascii="Times New Roman" w:hAnsi="Times New Roman" w:cs="Times New Roman"/>
        </w:rPr>
        <w:t>. That being said, Howard still provides a good level of detail on each period and what the key developments were. For example, Howard uses chapter three to detail the use and growing prominence of mercenaries in the various wars of the fifteenth and sixteenth centuries and documenting their usage in the Thirty Years War</w:t>
      </w:r>
      <w:r w:rsidRPr="00CE332A">
        <w:rPr>
          <w:rStyle w:val="FootnoteReference"/>
          <w:rFonts w:ascii="Times New Roman" w:hAnsi="Times New Roman" w:cs="Times New Roman"/>
        </w:rPr>
        <w:footnoteReference w:id="15"/>
      </w:r>
      <w:r w:rsidRPr="00CE332A">
        <w:rPr>
          <w:rFonts w:ascii="Times New Roman" w:hAnsi="Times New Roman" w:cs="Times New Roman"/>
        </w:rPr>
        <w:t xml:space="preserve"> or how developments in the seventieth century meant “fire power began to replace shock in battle</w:t>
      </w:r>
      <w:r w:rsidRPr="00CE332A">
        <w:rPr>
          <w:rStyle w:val="FootnoteReference"/>
          <w:rFonts w:ascii="Times New Roman" w:hAnsi="Times New Roman" w:cs="Times New Roman"/>
        </w:rPr>
        <w:footnoteReference w:id="16"/>
      </w:r>
      <w:r w:rsidRPr="00CE332A">
        <w:rPr>
          <w:rFonts w:ascii="Times New Roman" w:hAnsi="Times New Roman" w:cs="Times New Roman"/>
        </w:rPr>
        <w:t xml:space="preserve">”. It is here that Howard’s broad overview of history of warfare pays its dividends, as it allows any reader to understand how developments or events outside the enlightenment era came to impact decisions and styles of that era, such as the aforementioned coming dominance of gunpowder and firepower. </w:t>
      </w:r>
    </w:p>
    <w:p w14:paraId="43F0AF18" w14:textId="645F7B5A" w:rsidR="000A0487" w:rsidRPr="00CE332A" w:rsidRDefault="000A0487" w:rsidP="000A0487">
      <w:pPr>
        <w:spacing w:line="360" w:lineRule="auto"/>
        <w:rPr>
          <w:rFonts w:ascii="Times New Roman" w:hAnsi="Times New Roman" w:cs="Times New Roman"/>
        </w:rPr>
      </w:pPr>
      <w:r w:rsidRPr="00CE332A">
        <w:rPr>
          <w:rFonts w:ascii="Times New Roman" w:hAnsi="Times New Roman" w:cs="Times New Roman"/>
        </w:rPr>
        <w:t xml:space="preserve">On the other hand, the writing style of Howard, cost and length of the work lend itself to being less of a </w:t>
      </w:r>
      <w:r w:rsidR="002A3017" w:rsidRPr="00CE332A">
        <w:rPr>
          <w:rFonts w:ascii="Times New Roman" w:hAnsi="Times New Roman" w:cs="Times New Roman"/>
        </w:rPr>
        <w:t>high-minded</w:t>
      </w:r>
      <w:r w:rsidRPr="00CE332A">
        <w:rPr>
          <w:rFonts w:ascii="Times New Roman" w:hAnsi="Times New Roman" w:cs="Times New Roman"/>
        </w:rPr>
        <w:t xml:space="preserve"> academic piece but rather a general history available to anyone who could pay the </w:t>
      </w:r>
      <w:r w:rsidRPr="00CE332A">
        <w:rPr>
          <w:rFonts w:ascii="Times New Roman" w:hAnsi="Times New Roman" w:cs="Times New Roman"/>
        </w:rPr>
        <w:lastRenderedPageBreak/>
        <w:t>£3.50 for it. The language used by Howard is very accessible, with this example from chapter 4, “On the Continent commerce, travel, cultural and learned intercourse went on in warfare almost unhindered</w:t>
      </w:r>
      <w:r w:rsidRPr="00CE332A">
        <w:rPr>
          <w:rStyle w:val="FootnoteReference"/>
          <w:rFonts w:ascii="Times New Roman" w:hAnsi="Times New Roman" w:cs="Times New Roman"/>
        </w:rPr>
        <w:footnoteReference w:id="17"/>
      </w:r>
      <w:r w:rsidRPr="00CE332A">
        <w:rPr>
          <w:rFonts w:ascii="Times New Roman" w:hAnsi="Times New Roman" w:cs="Times New Roman"/>
        </w:rPr>
        <w:t xml:space="preserve">” demonstrating the easily understandable style. This further lends credence to ‘War in European History’ being an entry level text for the consumption by the general public or a student of the topic. Yet the previously mentioned level of detail that Howard goes into regarding the various topics and the fact that the work is an Oxford University Press publication, pushes it more towards being a very basic academic text with an ease of access. </w:t>
      </w:r>
    </w:p>
    <w:p w14:paraId="0379F514" w14:textId="77777777" w:rsidR="000A0487" w:rsidRPr="00CE332A" w:rsidRDefault="000A0487" w:rsidP="000A0487">
      <w:pPr>
        <w:spacing w:line="360" w:lineRule="auto"/>
        <w:rPr>
          <w:rFonts w:ascii="Times New Roman" w:hAnsi="Times New Roman" w:cs="Times New Roman"/>
        </w:rPr>
      </w:pPr>
      <w:r w:rsidRPr="00CE332A">
        <w:rPr>
          <w:rFonts w:ascii="Times New Roman" w:hAnsi="Times New Roman" w:cs="Times New Roman"/>
        </w:rPr>
        <w:t>Correspondingly, as an academic aid, ‘War in European History’ is actually a very useful work for any student wishing to get a handle on the history and development of European warfare. Of course, its length and wide history serves its purpose best when used as an introduction or overview, but the mention by Howard of critical and often specific figures, such as that of Sebastian Le Prestre de Vauban</w:t>
      </w:r>
      <w:r w:rsidRPr="00CE332A">
        <w:rPr>
          <w:rStyle w:val="FootnoteReference"/>
          <w:rFonts w:ascii="Times New Roman" w:hAnsi="Times New Roman" w:cs="Times New Roman"/>
        </w:rPr>
        <w:footnoteReference w:id="18"/>
      </w:r>
      <w:r w:rsidRPr="00CE332A">
        <w:rPr>
          <w:rFonts w:ascii="Times New Roman" w:hAnsi="Times New Roman" w:cs="Times New Roman"/>
        </w:rPr>
        <w:t>, who helped secure Frances borders with fortifications in the 17</w:t>
      </w:r>
      <w:r w:rsidRPr="00CE332A">
        <w:rPr>
          <w:rFonts w:ascii="Times New Roman" w:hAnsi="Times New Roman" w:cs="Times New Roman"/>
          <w:vertAlign w:val="superscript"/>
        </w:rPr>
        <w:t>th</w:t>
      </w:r>
      <w:r w:rsidRPr="00CE332A">
        <w:rPr>
          <w:rFonts w:ascii="Times New Roman" w:hAnsi="Times New Roman" w:cs="Times New Roman"/>
        </w:rPr>
        <w:t xml:space="preserve"> century, shows that Howards work is still useful as an academic aid. </w:t>
      </w:r>
    </w:p>
    <w:p w14:paraId="78BBAD12" w14:textId="77777777" w:rsidR="000A0487" w:rsidRPr="00CE332A" w:rsidRDefault="000A0487" w:rsidP="000A0487">
      <w:pPr>
        <w:spacing w:line="360" w:lineRule="auto"/>
        <w:rPr>
          <w:rFonts w:ascii="Times New Roman" w:hAnsi="Times New Roman" w:cs="Times New Roman"/>
          <w:b/>
          <w:u w:val="single"/>
        </w:rPr>
      </w:pPr>
      <w:r w:rsidRPr="00CE332A">
        <w:rPr>
          <w:rFonts w:ascii="Times New Roman" w:hAnsi="Times New Roman" w:cs="Times New Roman"/>
          <w:b/>
          <w:u w:val="single"/>
        </w:rPr>
        <w:t xml:space="preserve">The War of the Professionals </w:t>
      </w:r>
    </w:p>
    <w:p w14:paraId="52EB7D34" w14:textId="5F1FAD36" w:rsidR="000A0487" w:rsidRDefault="000A0487" w:rsidP="000A0487">
      <w:pPr>
        <w:spacing w:line="360" w:lineRule="auto"/>
        <w:rPr>
          <w:rFonts w:ascii="Times New Roman" w:hAnsi="Times New Roman" w:cs="Times New Roman"/>
        </w:rPr>
      </w:pPr>
      <w:r w:rsidRPr="00CE332A">
        <w:rPr>
          <w:rFonts w:ascii="Times New Roman" w:hAnsi="Times New Roman" w:cs="Times New Roman"/>
        </w:rPr>
        <w:t xml:space="preserve">The main thrust of Howard’s argument about warfare in the age of the Enlightenment can be found in chapter 4: ‘The Wars of the Professionals’ and chapter 5: ‘The Wars of the Revolution’. In </w:t>
      </w:r>
      <w:r w:rsidR="002A3017" w:rsidRPr="00CE332A">
        <w:rPr>
          <w:rFonts w:ascii="Times New Roman" w:hAnsi="Times New Roman" w:cs="Times New Roman"/>
        </w:rPr>
        <w:t>these</w:t>
      </w:r>
      <w:r w:rsidRPr="00CE332A">
        <w:rPr>
          <w:rFonts w:ascii="Times New Roman" w:hAnsi="Times New Roman" w:cs="Times New Roman"/>
        </w:rPr>
        <w:t xml:space="preserve"> two chapters, Howard documents the development of warfare from the 17</w:t>
      </w:r>
      <w:r w:rsidRPr="00CE332A">
        <w:rPr>
          <w:rFonts w:ascii="Times New Roman" w:hAnsi="Times New Roman" w:cs="Times New Roman"/>
          <w:vertAlign w:val="superscript"/>
        </w:rPr>
        <w:t>th</w:t>
      </w:r>
      <w:r w:rsidRPr="00CE332A">
        <w:rPr>
          <w:rFonts w:ascii="Times New Roman" w:hAnsi="Times New Roman" w:cs="Times New Roman"/>
        </w:rPr>
        <w:t xml:space="preserve"> Century through to the end of the Napoleonic Wars in 1815. Admittedly, the lack of direct focus on the Age of Enlightenment does lend his arguments to paint with slightly more broad strokes than those of Armstrong Starkey, but nevertheless Howard provides the reader with the key areas in which military and warfare developed. Howard starts by pointing out that wars in the enlightenment “were being conducted by professional armed forces of a kind with which we would be familiar today</w:t>
      </w:r>
      <w:r w:rsidRPr="00CE332A">
        <w:rPr>
          <w:rStyle w:val="FootnoteReference"/>
          <w:rFonts w:ascii="Times New Roman" w:hAnsi="Times New Roman" w:cs="Times New Roman"/>
        </w:rPr>
        <w:footnoteReference w:id="19"/>
      </w:r>
      <w:r w:rsidRPr="00CE332A">
        <w:rPr>
          <w:rFonts w:ascii="Times New Roman" w:hAnsi="Times New Roman" w:cs="Times New Roman"/>
        </w:rPr>
        <w:t xml:space="preserve">”. Chiefly, this first section of chapter 4 details how these professional standing armies came into being, explaining how the states acquisition of increased </w:t>
      </w:r>
      <w:r w:rsidR="002A3017" w:rsidRPr="00CE332A">
        <w:rPr>
          <w:rFonts w:ascii="Times New Roman" w:hAnsi="Times New Roman" w:cs="Times New Roman"/>
        </w:rPr>
        <w:t>power and</w:t>
      </w:r>
      <w:r w:rsidRPr="00CE332A">
        <w:rPr>
          <w:rFonts w:ascii="Times New Roman" w:hAnsi="Times New Roman" w:cs="Times New Roman"/>
        </w:rPr>
        <w:t xml:space="preserve"> control allowed for the greater control of resources necessary to fund a professional standing army. With this in mind, Howard goes on to argue that it was the development of discipline</w:t>
      </w:r>
      <w:r w:rsidRPr="00CE332A">
        <w:rPr>
          <w:rStyle w:val="FootnoteReference"/>
          <w:rFonts w:ascii="Times New Roman" w:hAnsi="Times New Roman" w:cs="Times New Roman"/>
        </w:rPr>
        <w:footnoteReference w:id="20"/>
      </w:r>
      <w:r w:rsidRPr="00CE332A">
        <w:rPr>
          <w:rFonts w:ascii="Times New Roman" w:hAnsi="Times New Roman" w:cs="Times New Roman"/>
        </w:rPr>
        <w:t xml:space="preserve"> as a concept that set the armies of this period away from soldiers of the past, with examples of medieval landsknechts</w:t>
      </w:r>
      <w:r w:rsidRPr="00CE332A">
        <w:rPr>
          <w:rStyle w:val="FootnoteReference"/>
          <w:rFonts w:ascii="Times New Roman" w:hAnsi="Times New Roman" w:cs="Times New Roman"/>
        </w:rPr>
        <w:footnoteReference w:id="21"/>
      </w:r>
      <w:r w:rsidRPr="00CE332A">
        <w:rPr>
          <w:rFonts w:ascii="Times New Roman" w:hAnsi="Times New Roman" w:cs="Times New Roman"/>
        </w:rPr>
        <w:t xml:space="preserve"> as undisciplined cited. The next argument that Howard proposes is the standardisation of weaponry within European armies that further facilitated the development of professional forces, with the invention and adoption of the flintlock mechanism and the standardization of artillery being put forward as critical steps in this process. This is why, as Howard puts it “the soldiers who fought under Marlborough… did so with virtually the same weapons </w:t>
      </w:r>
      <w:r w:rsidRPr="00CE332A">
        <w:rPr>
          <w:rFonts w:ascii="Times New Roman" w:hAnsi="Times New Roman" w:cs="Times New Roman"/>
        </w:rPr>
        <w:lastRenderedPageBreak/>
        <w:t>as those under Wellington</w:t>
      </w:r>
      <w:r w:rsidRPr="00CE332A">
        <w:rPr>
          <w:rStyle w:val="FootnoteReference"/>
          <w:rFonts w:ascii="Times New Roman" w:hAnsi="Times New Roman" w:cs="Times New Roman"/>
        </w:rPr>
        <w:footnoteReference w:id="22"/>
      </w:r>
      <w:r w:rsidRPr="00CE332A">
        <w:rPr>
          <w:rFonts w:ascii="Times New Roman" w:hAnsi="Times New Roman" w:cs="Times New Roman"/>
        </w:rPr>
        <w:t>”</w:t>
      </w:r>
      <w:r>
        <w:rPr>
          <w:rFonts w:ascii="Times New Roman" w:hAnsi="Times New Roman" w:cs="Times New Roman"/>
        </w:rPr>
        <w:t>. Furthermore, Howard goes on to describe the ascension of France as a major power within Europe at the end of the 17</w:t>
      </w:r>
      <w:r w:rsidRPr="00CE332A">
        <w:rPr>
          <w:rFonts w:ascii="Times New Roman" w:hAnsi="Times New Roman" w:cs="Times New Roman"/>
          <w:vertAlign w:val="superscript"/>
        </w:rPr>
        <w:t>th</w:t>
      </w:r>
      <w:r>
        <w:rPr>
          <w:rFonts w:ascii="Times New Roman" w:hAnsi="Times New Roman" w:cs="Times New Roman"/>
        </w:rPr>
        <w:t xml:space="preserve"> century, focusing on the internal policies and changes to the army structure that took place. In addition, the rise of Prussia is given a considerable section of this chapter, with focus on King Frederick William I organisation of Prussia to enable his warfare capabilities and to “impose the least possible strain on the fragile economy of his lands</w:t>
      </w:r>
      <w:r>
        <w:rPr>
          <w:rStyle w:val="FootnoteReference"/>
          <w:rFonts w:ascii="Times New Roman" w:hAnsi="Times New Roman" w:cs="Times New Roman"/>
        </w:rPr>
        <w:footnoteReference w:id="23"/>
      </w:r>
      <w:r>
        <w:rPr>
          <w:rFonts w:ascii="Times New Roman" w:hAnsi="Times New Roman" w:cs="Times New Roman"/>
        </w:rPr>
        <w:t>”. However, Howard does note of the differences between the officer corps in the various European powers, with the exclusivity of the Prussian officer class contrasted with that of France and the ability to buy a commission. In fact, Howard asserts that it was the lack of mobility in the corps that helped increase alienation and weakness in the ancient regime</w:t>
      </w:r>
      <w:r>
        <w:rPr>
          <w:rStyle w:val="FootnoteReference"/>
          <w:rFonts w:ascii="Times New Roman" w:hAnsi="Times New Roman" w:cs="Times New Roman"/>
        </w:rPr>
        <w:footnoteReference w:id="24"/>
      </w:r>
      <w:r>
        <w:rPr>
          <w:rFonts w:ascii="Times New Roman" w:hAnsi="Times New Roman" w:cs="Times New Roman"/>
        </w:rPr>
        <w:t>. The final argument puts forward is that the major philosophers of the Enlightenment held rather negative views about soldering and the military as a whole. Towards the end of the chapter he writes that “The men of the enlightenment no longer accepted war as the necessary destiny of mankind</w:t>
      </w:r>
      <w:r>
        <w:rPr>
          <w:rStyle w:val="FootnoteReference"/>
          <w:rFonts w:ascii="Times New Roman" w:hAnsi="Times New Roman" w:cs="Times New Roman"/>
        </w:rPr>
        <w:footnoteReference w:id="25"/>
      </w:r>
      <w:r>
        <w:rPr>
          <w:rFonts w:ascii="Times New Roman" w:hAnsi="Times New Roman" w:cs="Times New Roman"/>
        </w:rPr>
        <w:t>”. To men like Voltaire, war could easily be avoided by “clear-sighted men</w:t>
      </w:r>
      <w:r>
        <w:rPr>
          <w:rStyle w:val="FootnoteReference"/>
          <w:rFonts w:ascii="Times New Roman" w:hAnsi="Times New Roman" w:cs="Times New Roman"/>
        </w:rPr>
        <w:footnoteReference w:id="26"/>
      </w:r>
      <w:r>
        <w:rPr>
          <w:rFonts w:ascii="Times New Roman" w:hAnsi="Times New Roman" w:cs="Times New Roman"/>
        </w:rPr>
        <w:t>” and those that “the true nature of human… behaviour</w:t>
      </w:r>
      <w:r>
        <w:rPr>
          <w:rStyle w:val="FootnoteReference"/>
          <w:rFonts w:ascii="Times New Roman" w:hAnsi="Times New Roman" w:cs="Times New Roman"/>
        </w:rPr>
        <w:footnoteReference w:id="27"/>
      </w:r>
      <w:r>
        <w:rPr>
          <w:rFonts w:ascii="Times New Roman" w:hAnsi="Times New Roman" w:cs="Times New Roman"/>
        </w:rPr>
        <w:t xml:space="preserve">” and that that soldiers belonged to “a bygone epoch” and that from which the enlightenment would raise all men. </w:t>
      </w:r>
    </w:p>
    <w:p w14:paraId="2F2F22DC" w14:textId="77777777" w:rsidR="000A0487" w:rsidRDefault="000A0487" w:rsidP="000A0487">
      <w:pPr>
        <w:spacing w:line="360" w:lineRule="auto"/>
        <w:rPr>
          <w:rFonts w:ascii="Times New Roman" w:hAnsi="Times New Roman" w:cs="Times New Roman"/>
        </w:rPr>
      </w:pPr>
      <w:r>
        <w:rPr>
          <w:rFonts w:ascii="Times New Roman" w:hAnsi="Times New Roman" w:cs="Times New Roman"/>
        </w:rPr>
        <w:t xml:space="preserve">In conclusion, even though ‘War in European History’ only covers the Enlightenment period for two chapters, Michael Howard provides a vital oversight on the development of the standing army and the state mechanisms that would support them in the wars of the eighteenth century. Moreover, Howards discussion of the consequences of these actions and the detail he provides in such a short span makes this a very useful work for understanding not only warfare in the enlightenment but also warfare before and beyond. </w:t>
      </w:r>
    </w:p>
    <w:p w14:paraId="3E592C23" w14:textId="77777777" w:rsidR="000A0487" w:rsidRDefault="000A0487" w:rsidP="000A0487">
      <w:pPr>
        <w:spacing w:line="360" w:lineRule="auto"/>
        <w:rPr>
          <w:rFonts w:ascii="Times New Roman" w:hAnsi="Times New Roman" w:cs="Times New Roman"/>
        </w:rPr>
      </w:pPr>
    </w:p>
    <w:p w14:paraId="7DFF08DD" w14:textId="77777777" w:rsidR="000A0487" w:rsidRDefault="000A0487" w:rsidP="000A0487">
      <w:pPr>
        <w:rPr>
          <w:rFonts w:ascii="Times New Roman" w:hAnsi="Times New Roman" w:cs="Times New Roman"/>
        </w:rPr>
      </w:pPr>
      <w:r>
        <w:rPr>
          <w:rFonts w:ascii="Times New Roman" w:hAnsi="Times New Roman" w:cs="Times New Roman"/>
        </w:rPr>
        <w:br w:type="page"/>
      </w:r>
    </w:p>
    <w:p w14:paraId="3C03F16F" w14:textId="77777777" w:rsidR="000A0487" w:rsidRPr="009D34B0" w:rsidRDefault="000A0487" w:rsidP="000A0487">
      <w:pPr>
        <w:spacing w:line="360" w:lineRule="auto"/>
        <w:rPr>
          <w:rFonts w:ascii="Times New Roman" w:hAnsi="Times New Roman" w:cs="Times New Roman"/>
          <w:b/>
          <w:u w:val="single"/>
        </w:rPr>
      </w:pPr>
      <w:r w:rsidRPr="009D34B0">
        <w:rPr>
          <w:rFonts w:ascii="Times New Roman" w:hAnsi="Times New Roman" w:cs="Times New Roman"/>
          <w:b/>
          <w:u w:val="single"/>
        </w:rPr>
        <w:lastRenderedPageBreak/>
        <w:t>Bibliography</w:t>
      </w:r>
    </w:p>
    <w:p w14:paraId="7E51FF92" w14:textId="77777777" w:rsidR="000A0487" w:rsidRPr="00CE332A" w:rsidRDefault="000A0487" w:rsidP="000A0487">
      <w:pPr>
        <w:spacing w:line="360" w:lineRule="auto"/>
        <w:rPr>
          <w:rFonts w:ascii="Times New Roman" w:hAnsi="Times New Roman" w:cs="Times New Roman"/>
        </w:rPr>
      </w:pPr>
      <w:r>
        <w:rPr>
          <w:rFonts w:ascii="Times New Roman" w:hAnsi="Times New Roman" w:cs="Times New Roman"/>
        </w:rPr>
        <w:t xml:space="preserve">Howard, M., </w:t>
      </w:r>
      <w:r w:rsidRPr="009D34B0">
        <w:rPr>
          <w:rFonts w:ascii="Times New Roman" w:hAnsi="Times New Roman" w:cs="Times New Roman"/>
          <w:i/>
        </w:rPr>
        <w:t>War in European History</w:t>
      </w:r>
      <w:r>
        <w:rPr>
          <w:rFonts w:ascii="Times New Roman" w:hAnsi="Times New Roman" w:cs="Times New Roman"/>
        </w:rPr>
        <w:t xml:space="preserve">. London: Oxford University Press, 1976. </w:t>
      </w:r>
    </w:p>
    <w:p w14:paraId="6AFD476D" w14:textId="77777777" w:rsidR="000A0487" w:rsidRPr="000A0487" w:rsidRDefault="000A0487" w:rsidP="000A0487">
      <w:pPr>
        <w:rPr>
          <w:rFonts w:ascii="Times New Roman" w:hAnsi="Times New Roman" w:cs="Times New Roman"/>
        </w:rPr>
      </w:pPr>
    </w:p>
    <w:sectPr w:rsidR="000A0487" w:rsidRPr="000A048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AF03D9" w14:textId="77777777" w:rsidR="000A0487" w:rsidRDefault="000A0487" w:rsidP="000A0487">
      <w:pPr>
        <w:spacing w:after="0" w:line="240" w:lineRule="auto"/>
      </w:pPr>
      <w:r>
        <w:separator/>
      </w:r>
    </w:p>
  </w:endnote>
  <w:endnote w:type="continuationSeparator" w:id="0">
    <w:p w14:paraId="7676CED5" w14:textId="77777777" w:rsidR="000A0487" w:rsidRDefault="000A0487" w:rsidP="000A0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FEE2C" w14:textId="77777777" w:rsidR="000A0487" w:rsidRDefault="000A0487" w:rsidP="000A0487">
      <w:pPr>
        <w:spacing w:after="0" w:line="240" w:lineRule="auto"/>
      </w:pPr>
      <w:r>
        <w:separator/>
      </w:r>
    </w:p>
  </w:footnote>
  <w:footnote w:type="continuationSeparator" w:id="0">
    <w:p w14:paraId="1BB15EAB" w14:textId="77777777" w:rsidR="000A0487" w:rsidRDefault="000A0487" w:rsidP="000A0487">
      <w:pPr>
        <w:spacing w:after="0" w:line="240" w:lineRule="auto"/>
      </w:pPr>
      <w:r>
        <w:continuationSeparator/>
      </w:r>
    </w:p>
  </w:footnote>
  <w:footnote w:id="1">
    <w:p w14:paraId="5C98C482" w14:textId="77777777" w:rsidR="000A0487" w:rsidRDefault="000A0487" w:rsidP="000A0487">
      <w:pPr>
        <w:pStyle w:val="FootnoteText"/>
      </w:pPr>
      <w:r>
        <w:rPr>
          <w:rStyle w:val="FootnoteReference"/>
        </w:rPr>
        <w:footnoteRef/>
      </w:r>
      <w:r>
        <w:t xml:space="preserve"> E. Burke, </w:t>
      </w:r>
      <w:r w:rsidRPr="0069363E">
        <w:rPr>
          <w:i/>
        </w:rPr>
        <w:t>Reflections on the Revolution in France</w:t>
      </w:r>
      <w:r>
        <w:t xml:space="preserve"> (London: Penguin Books, 2004), 89</w:t>
      </w:r>
    </w:p>
  </w:footnote>
  <w:footnote w:id="2">
    <w:p w14:paraId="6BB7A131" w14:textId="77777777" w:rsidR="000A0487" w:rsidRDefault="000A0487" w:rsidP="000A0487">
      <w:pPr>
        <w:pStyle w:val="FootnoteText"/>
      </w:pPr>
      <w:r>
        <w:rPr>
          <w:rStyle w:val="FootnoteReference"/>
        </w:rPr>
        <w:footnoteRef/>
      </w:r>
      <w:r>
        <w:t xml:space="preserve"> Ibid 91</w:t>
      </w:r>
    </w:p>
  </w:footnote>
  <w:footnote w:id="3">
    <w:p w14:paraId="7EAFB934" w14:textId="77777777" w:rsidR="000A0487" w:rsidRDefault="000A0487" w:rsidP="000A0487">
      <w:pPr>
        <w:pStyle w:val="FootnoteText"/>
      </w:pPr>
      <w:r>
        <w:rPr>
          <w:rStyle w:val="FootnoteReference"/>
        </w:rPr>
        <w:footnoteRef/>
      </w:r>
      <w:r>
        <w:t xml:space="preserve"> Ibid 14</w:t>
      </w:r>
    </w:p>
  </w:footnote>
  <w:footnote w:id="4">
    <w:p w14:paraId="3660E904" w14:textId="77777777" w:rsidR="000A0487" w:rsidRDefault="000A0487" w:rsidP="000A0487">
      <w:pPr>
        <w:pStyle w:val="FootnoteText"/>
      </w:pPr>
      <w:r>
        <w:rPr>
          <w:rStyle w:val="FootnoteReference"/>
        </w:rPr>
        <w:footnoteRef/>
      </w:r>
      <w:r>
        <w:t xml:space="preserve"> Ibid 152</w:t>
      </w:r>
    </w:p>
  </w:footnote>
  <w:footnote w:id="5">
    <w:p w14:paraId="3ED8124C" w14:textId="77777777" w:rsidR="000A0487" w:rsidRDefault="000A0487" w:rsidP="000A0487">
      <w:pPr>
        <w:pStyle w:val="FootnoteText"/>
      </w:pPr>
      <w:r>
        <w:rPr>
          <w:rStyle w:val="FootnoteReference"/>
        </w:rPr>
        <w:footnoteRef/>
      </w:r>
      <w:r>
        <w:t xml:space="preserve"> </w:t>
      </w:r>
      <w:bookmarkStart w:id="1" w:name="_Hlk527074626"/>
      <w:r>
        <w:t>J. Lively</w:t>
      </w:r>
      <w:r w:rsidRPr="00DA1C2E">
        <w:rPr>
          <w:i/>
        </w:rPr>
        <w:t>, The Works of Joseph de Maistre</w:t>
      </w:r>
      <w:r>
        <w:t xml:space="preserve"> (New York: The Macmillan Company, 1965), 8 </w:t>
      </w:r>
      <w:bookmarkEnd w:id="1"/>
    </w:p>
  </w:footnote>
  <w:footnote w:id="6">
    <w:p w14:paraId="0242D145" w14:textId="77777777" w:rsidR="000A0487" w:rsidRDefault="000A0487" w:rsidP="000A0487">
      <w:pPr>
        <w:pStyle w:val="FootnoteText"/>
      </w:pPr>
      <w:r>
        <w:rPr>
          <w:rStyle w:val="FootnoteReference"/>
        </w:rPr>
        <w:footnoteRef/>
      </w:r>
      <w:r>
        <w:t xml:space="preserve"> E. Burke, </w:t>
      </w:r>
      <w:r w:rsidRPr="0069363E">
        <w:rPr>
          <w:i/>
        </w:rPr>
        <w:t>Reflections on the Revolution in France</w:t>
      </w:r>
      <w:r>
        <w:t xml:space="preserve"> (London: Penguin Books, 2004), 186</w:t>
      </w:r>
    </w:p>
  </w:footnote>
  <w:footnote w:id="7">
    <w:p w14:paraId="5862E782" w14:textId="77777777" w:rsidR="000A0487" w:rsidRDefault="000A0487" w:rsidP="000A0487">
      <w:pPr>
        <w:pStyle w:val="FootnoteText"/>
      </w:pPr>
      <w:r>
        <w:rPr>
          <w:rStyle w:val="FootnoteReference"/>
        </w:rPr>
        <w:footnoteRef/>
      </w:r>
      <w:r>
        <w:t xml:space="preserve"> Ibid, 186</w:t>
      </w:r>
    </w:p>
  </w:footnote>
  <w:footnote w:id="8">
    <w:p w14:paraId="65583CD8" w14:textId="77777777" w:rsidR="000A0487" w:rsidRDefault="000A0487" w:rsidP="000A0487">
      <w:pPr>
        <w:pStyle w:val="FootnoteText"/>
      </w:pPr>
      <w:r>
        <w:rPr>
          <w:rStyle w:val="FootnoteReference"/>
        </w:rPr>
        <w:footnoteRef/>
      </w:r>
      <w:r>
        <w:t xml:space="preserve"> Ibid, 187</w:t>
      </w:r>
    </w:p>
  </w:footnote>
  <w:footnote w:id="9">
    <w:p w14:paraId="05231A6A" w14:textId="77777777" w:rsidR="000A0487" w:rsidRDefault="000A0487" w:rsidP="000A0487">
      <w:pPr>
        <w:pStyle w:val="FootnoteText"/>
      </w:pPr>
      <w:r>
        <w:rPr>
          <w:rStyle w:val="FootnoteReference"/>
        </w:rPr>
        <w:footnoteRef/>
      </w:r>
      <w:r>
        <w:t xml:space="preserve"> Ibid, 187</w:t>
      </w:r>
    </w:p>
  </w:footnote>
  <w:footnote w:id="10">
    <w:p w14:paraId="2EB91639" w14:textId="77777777" w:rsidR="000A0487" w:rsidRDefault="000A0487" w:rsidP="000A0487">
      <w:pPr>
        <w:pStyle w:val="FootnoteText"/>
      </w:pPr>
      <w:r>
        <w:rPr>
          <w:rStyle w:val="FootnoteReference"/>
        </w:rPr>
        <w:footnoteRef/>
      </w:r>
      <w:r>
        <w:t xml:space="preserve"> Ibid, 187</w:t>
      </w:r>
    </w:p>
  </w:footnote>
  <w:footnote w:id="11">
    <w:p w14:paraId="0D9647A6" w14:textId="77777777" w:rsidR="000A0487" w:rsidRDefault="000A0487" w:rsidP="000A0487">
      <w:pPr>
        <w:pStyle w:val="FootnoteText"/>
      </w:pPr>
      <w:r>
        <w:rPr>
          <w:rStyle w:val="FootnoteReference"/>
        </w:rPr>
        <w:footnoteRef/>
      </w:r>
      <w:r>
        <w:t xml:space="preserve"> Ibid, 194</w:t>
      </w:r>
    </w:p>
  </w:footnote>
  <w:footnote w:id="12">
    <w:p w14:paraId="594774F5" w14:textId="77777777" w:rsidR="000A0487" w:rsidRDefault="000A0487" w:rsidP="000A0487">
      <w:pPr>
        <w:pStyle w:val="FootnoteText"/>
      </w:pPr>
      <w:r>
        <w:rPr>
          <w:rStyle w:val="FootnoteReference"/>
        </w:rPr>
        <w:footnoteRef/>
      </w:r>
      <w:r>
        <w:t xml:space="preserve"> Ibid, 194</w:t>
      </w:r>
    </w:p>
  </w:footnote>
  <w:footnote w:id="13">
    <w:p w14:paraId="255ECA0D" w14:textId="77777777" w:rsidR="000A0487" w:rsidRDefault="000A0487" w:rsidP="000A0487">
      <w:pPr>
        <w:pStyle w:val="FootnoteText"/>
      </w:pPr>
      <w:r>
        <w:rPr>
          <w:rStyle w:val="FootnoteReference"/>
        </w:rPr>
        <w:footnoteRef/>
      </w:r>
      <w:r>
        <w:t xml:space="preserve"> Ibid, 194</w:t>
      </w:r>
    </w:p>
  </w:footnote>
  <w:footnote w:id="14">
    <w:p w14:paraId="2AC6727C" w14:textId="77777777" w:rsidR="000A0487" w:rsidRDefault="000A0487" w:rsidP="000A0487">
      <w:pPr>
        <w:pStyle w:val="FootnoteText"/>
      </w:pPr>
      <w:r>
        <w:rPr>
          <w:rStyle w:val="FootnoteReference"/>
        </w:rPr>
        <w:footnoteRef/>
      </w:r>
      <w:r>
        <w:t xml:space="preserve"> M. Howard, </w:t>
      </w:r>
      <w:r w:rsidRPr="001C6530">
        <w:rPr>
          <w:i/>
        </w:rPr>
        <w:t>War in European History</w:t>
      </w:r>
      <w:r>
        <w:t xml:space="preserve"> (London: Oxford University Press, 1976), 3</w:t>
      </w:r>
    </w:p>
  </w:footnote>
  <w:footnote w:id="15">
    <w:p w14:paraId="1A22CEFF" w14:textId="77777777" w:rsidR="000A0487" w:rsidRDefault="000A0487" w:rsidP="000A0487">
      <w:pPr>
        <w:pStyle w:val="FootnoteText"/>
      </w:pPr>
      <w:r>
        <w:rPr>
          <w:rStyle w:val="FootnoteReference"/>
        </w:rPr>
        <w:footnoteRef/>
      </w:r>
      <w:r>
        <w:t xml:space="preserve"> Ibid, 37</w:t>
      </w:r>
    </w:p>
  </w:footnote>
  <w:footnote w:id="16">
    <w:p w14:paraId="446BDF35" w14:textId="77777777" w:rsidR="000A0487" w:rsidRDefault="000A0487" w:rsidP="000A0487">
      <w:pPr>
        <w:pStyle w:val="FootnoteText"/>
      </w:pPr>
      <w:r>
        <w:rPr>
          <w:rStyle w:val="FootnoteReference"/>
        </w:rPr>
        <w:footnoteRef/>
      </w:r>
      <w:r>
        <w:t xml:space="preserve"> Ibid, 41</w:t>
      </w:r>
    </w:p>
  </w:footnote>
  <w:footnote w:id="17">
    <w:p w14:paraId="795ED489" w14:textId="77777777" w:rsidR="000A0487" w:rsidRDefault="000A0487" w:rsidP="000A0487">
      <w:pPr>
        <w:pStyle w:val="FootnoteText"/>
      </w:pPr>
      <w:r>
        <w:rPr>
          <w:rStyle w:val="FootnoteReference"/>
        </w:rPr>
        <w:footnoteRef/>
      </w:r>
      <w:r>
        <w:t xml:space="preserve"> Ibid, 73</w:t>
      </w:r>
    </w:p>
  </w:footnote>
  <w:footnote w:id="18">
    <w:p w14:paraId="460C7545" w14:textId="77777777" w:rsidR="000A0487" w:rsidRDefault="000A0487" w:rsidP="000A0487">
      <w:pPr>
        <w:pStyle w:val="FootnoteText"/>
      </w:pPr>
      <w:r>
        <w:rPr>
          <w:rStyle w:val="FootnoteReference"/>
        </w:rPr>
        <w:footnoteRef/>
      </w:r>
      <w:r>
        <w:t xml:space="preserve"> Ibid, 65</w:t>
      </w:r>
    </w:p>
  </w:footnote>
  <w:footnote w:id="19">
    <w:p w14:paraId="66FBA850" w14:textId="77777777" w:rsidR="000A0487" w:rsidRDefault="000A0487" w:rsidP="000A0487">
      <w:pPr>
        <w:pStyle w:val="FootnoteText"/>
      </w:pPr>
      <w:r>
        <w:rPr>
          <w:rStyle w:val="FootnoteReference"/>
        </w:rPr>
        <w:footnoteRef/>
      </w:r>
      <w:r>
        <w:t xml:space="preserve"> Ibid, 54</w:t>
      </w:r>
    </w:p>
  </w:footnote>
  <w:footnote w:id="20">
    <w:p w14:paraId="5F74F381" w14:textId="77777777" w:rsidR="000A0487" w:rsidRDefault="000A0487" w:rsidP="000A0487">
      <w:pPr>
        <w:pStyle w:val="FootnoteText"/>
      </w:pPr>
      <w:r>
        <w:rPr>
          <w:rStyle w:val="FootnoteReference"/>
        </w:rPr>
        <w:footnoteRef/>
      </w:r>
      <w:r>
        <w:t xml:space="preserve"> Ibid, 55</w:t>
      </w:r>
    </w:p>
  </w:footnote>
  <w:footnote w:id="21">
    <w:p w14:paraId="24AE9207" w14:textId="77777777" w:rsidR="000A0487" w:rsidRDefault="000A0487" w:rsidP="000A0487">
      <w:pPr>
        <w:pStyle w:val="FootnoteText"/>
      </w:pPr>
      <w:r>
        <w:rPr>
          <w:rStyle w:val="FootnoteReference"/>
        </w:rPr>
        <w:footnoteRef/>
      </w:r>
      <w:r>
        <w:t xml:space="preserve"> Ibid, 56</w:t>
      </w:r>
    </w:p>
  </w:footnote>
  <w:footnote w:id="22">
    <w:p w14:paraId="5824DB2D" w14:textId="77777777" w:rsidR="000A0487" w:rsidRDefault="000A0487" w:rsidP="000A0487">
      <w:pPr>
        <w:pStyle w:val="FootnoteText"/>
      </w:pPr>
      <w:r>
        <w:rPr>
          <w:rStyle w:val="FootnoteReference"/>
        </w:rPr>
        <w:footnoteRef/>
      </w:r>
      <w:r>
        <w:t xml:space="preserve"> Ibid, 61</w:t>
      </w:r>
    </w:p>
  </w:footnote>
  <w:footnote w:id="23">
    <w:p w14:paraId="18F935E0" w14:textId="77777777" w:rsidR="000A0487" w:rsidRDefault="000A0487" w:rsidP="000A0487">
      <w:pPr>
        <w:pStyle w:val="FootnoteText"/>
      </w:pPr>
      <w:r>
        <w:rPr>
          <w:rStyle w:val="FootnoteReference"/>
        </w:rPr>
        <w:footnoteRef/>
      </w:r>
      <w:r>
        <w:t xml:space="preserve"> Ibid, 69</w:t>
      </w:r>
    </w:p>
  </w:footnote>
  <w:footnote w:id="24">
    <w:p w14:paraId="2B9494C3" w14:textId="77777777" w:rsidR="000A0487" w:rsidRDefault="000A0487" w:rsidP="000A0487">
      <w:pPr>
        <w:pStyle w:val="FootnoteText"/>
      </w:pPr>
      <w:r>
        <w:rPr>
          <w:rStyle w:val="FootnoteReference"/>
        </w:rPr>
        <w:footnoteRef/>
      </w:r>
      <w:r>
        <w:t xml:space="preserve"> Ibid, 70</w:t>
      </w:r>
    </w:p>
  </w:footnote>
  <w:footnote w:id="25">
    <w:p w14:paraId="7E1BD421" w14:textId="77777777" w:rsidR="000A0487" w:rsidRDefault="000A0487" w:rsidP="000A0487">
      <w:pPr>
        <w:pStyle w:val="FootnoteText"/>
      </w:pPr>
      <w:r>
        <w:rPr>
          <w:rStyle w:val="FootnoteReference"/>
        </w:rPr>
        <w:footnoteRef/>
      </w:r>
      <w:r>
        <w:t xml:space="preserve"> Ibid 73</w:t>
      </w:r>
    </w:p>
  </w:footnote>
  <w:footnote w:id="26">
    <w:p w14:paraId="0CA5E749" w14:textId="77777777" w:rsidR="000A0487" w:rsidRDefault="000A0487" w:rsidP="000A0487">
      <w:pPr>
        <w:pStyle w:val="FootnoteText"/>
      </w:pPr>
      <w:r>
        <w:rPr>
          <w:rStyle w:val="FootnoteReference"/>
        </w:rPr>
        <w:footnoteRef/>
      </w:r>
      <w:r>
        <w:t xml:space="preserve"> Ibid 73</w:t>
      </w:r>
    </w:p>
  </w:footnote>
  <w:footnote w:id="27">
    <w:p w14:paraId="53A68135" w14:textId="77777777" w:rsidR="000A0487" w:rsidRDefault="000A0487" w:rsidP="000A0487">
      <w:pPr>
        <w:pStyle w:val="FootnoteText"/>
      </w:pPr>
      <w:r>
        <w:rPr>
          <w:rStyle w:val="FootnoteReference"/>
        </w:rPr>
        <w:footnoteRef/>
      </w:r>
      <w:r>
        <w:t xml:space="preserve"> Ibid 73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987843"/>
      <w:docPartObj>
        <w:docPartGallery w:val="Page Numbers (Top of Page)"/>
        <w:docPartUnique/>
      </w:docPartObj>
    </w:sdtPr>
    <w:sdtEndPr>
      <w:rPr>
        <w:noProof/>
      </w:rPr>
    </w:sdtEndPr>
    <w:sdtContent>
      <w:p w14:paraId="42750B7B" w14:textId="066A16AA" w:rsidR="000A0487" w:rsidRDefault="000A0487">
        <w:pPr>
          <w:pStyle w:val="Head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1600831</w:t>
        </w:r>
      </w:p>
    </w:sdtContent>
  </w:sdt>
  <w:p w14:paraId="2F4456C2" w14:textId="77777777" w:rsidR="000A0487" w:rsidRDefault="000A04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2D5670"/>
    <w:multiLevelType w:val="hybridMultilevel"/>
    <w:tmpl w:val="B6E88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487"/>
    <w:rsid w:val="000A0487"/>
    <w:rsid w:val="002A3017"/>
    <w:rsid w:val="00677EED"/>
    <w:rsid w:val="0094620D"/>
    <w:rsid w:val="00D75151"/>
    <w:rsid w:val="00E350DA"/>
    <w:rsid w:val="00E4391F"/>
    <w:rsid w:val="00F15CC1"/>
    <w:rsid w:val="00FB65AF"/>
    <w:rsid w:val="00F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47629"/>
  <w15:chartTrackingRefBased/>
  <w15:docId w15:val="{F80F7453-4D88-4D49-BE7D-280C20FE3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04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48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A0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487"/>
  </w:style>
  <w:style w:type="paragraph" w:styleId="Footer">
    <w:name w:val="footer"/>
    <w:basedOn w:val="Normal"/>
    <w:link w:val="FooterChar"/>
    <w:uiPriority w:val="99"/>
    <w:unhideWhenUsed/>
    <w:rsid w:val="000A0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487"/>
  </w:style>
  <w:style w:type="paragraph" w:styleId="FootnoteText">
    <w:name w:val="footnote text"/>
    <w:basedOn w:val="Normal"/>
    <w:link w:val="FootnoteTextChar"/>
    <w:uiPriority w:val="99"/>
    <w:semiHidden/>
    <w:unhideWhenUsed/>
    <w:rsid w:val="000A04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0487"/>
    <w:rPr>
      <w:sz w:val="20"/>
      <w:szCs w:val="20"/>
    </w:rPr>
  </w:style>
  <w:style w:type="character" w:styleId="FootnoteReference">
    <w:name w:val="footnote reference"/>
    <w:basedOn w:val="DefaultParagraphFont"/>
    <w:uiPriority w:val="99"/>
    <w:semiHidden/>
    <w:unhideWhenUsed/>
    <w:rsid w:val="000A0487"/>
    <w:rPr>
      <w:vertAlign w:val="superscript"/>
    </w:rPr>
  </w:style>
  <w:style w:type="paragraph" w:styleId="ListParagraph">
    <w:name w:val="List Paragraph"/>
    <w:basedOn w:val="Normal"/>
    <w:uiPriority w:val="34"/>
    <w:qFormat/>
    <w:rsid w:val="000A04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2204</Words>
  <Characters>12565</Characters>
  <Application>Microsoft Office Word</Application>
  <DocSecurity>0</DocSecurity>
  <Lines>104</Lines>
  <Paragraphs>29</Paragraphs>
  <ScaleCrop>false</ScaleCrop>
  <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2</cp:revision>
  <dcterms:created xsi:type="dcterms:W3CDTF">2018-10-12T22:35:00Z</dcterms:created>
  <dcterms:modified xsi:type="dcterms:W3CDTF">2018-10-12T22:38:00Z</dcterms:modified>
</cp:coreProperties>
</file>