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12818" w14:textId="77777777" w:rsidR="00400C6D" w:rsidRPr="00400C6D" w:rsidRDefault="00400C6D" w:rsidP="006C08F0">
      <w:pPr>
        <w:rPr>
          <w:rFonts w:ascii="Arial" w:hAnsi="Arial" w:cs="Arial"/>
        </w:rPr>
      </w:pPr>
    </w:p>
    <w:p w14:paraId="25546EE8" w14:textId="77777777" w:rsidR="00400C6D" w:rsidRPr="00400C6D" w:rsidRDefault="00400C6D" w:rsidP="006C08F0">
      <w:pPr>
        <w:rPr>
          <w:rFonts w:ascii="Arial" w:hAnsi="Arial" w:cs="Arial"/>
        </w:rPr>
      </w:pPr>
    </w:p>
    <w:p w14:paraId="41C86CA7" w14:textId="77777777" w:rsidR="00400C6D" w:rsidRPr="00400C6D" w:rsidRDefault="00400C6D" w:rsidP="006C08F0">
      <w:pPr>
        <w:rPr>
          <w:rFonts w:ascii="Arial" w:hAnsi="Arial" w:cs="Arial"/>
        </w:rPr>
      </w:pPr>
    </w:p>
    <w:p w14:paraId="47896C6D" w14:textId="77777777" w:rsidR="00400C6D" w:rsidRPr="00400C6D" w:rsidRDefault="00400C6D" w:rsidP="006C08F0">
      <w:pPr>
        <w:rPr>
          <w:rFonts w:ascii="Arial" w:hAnsi="Arial" w:cs="Arial"/>
        </w:rPr>
      </w:pPr>
    </w:p>
    <w:p w14:paraId="7E870B85" w14:textId="77777777" w:rsidR="00400C6D" w:rsidRPr="00400C6D" w:rsidRDefault="00400C6D" w:rsidP="006C08F0">
      <w:pPr>
        <w:rPr>
          <w:rFonts w:ascii="Arial" w:hAnsi="Arial" w:cs="Arial"/>
        </w:rPr>
      </w:pPr>
    </w:p>
    <w:p w14:paraId="16AC3A6F" w14:textId="77777777" w:rsidR="00400C6D" w:rsidRPr="00400C6D" w:rsidRDefault="00400C6D" w:rsidP="006C08F0">
      <w:pPr>
        <w:rPr>
          <w:rFonts w:ascii="Arial" w:hAnsi="Arial" w:cs="Arial"/>
        </w:rPr>
      </w:pPr>
    </w:p>
    <w:p w14:paraId="08D35CC7" w14:textId="77777777" w:rsidR="00400C6D" w:rsidRPr="00400C6D" w:rsidRDefault="00400C6D" w:rsidP="006C08F0">
      <w:pPr>
        <w:rPr>
          <w:rFonts w:ascii="Arial" w:hAnsi="Arial" w:cs="Arial"/>
        </w:rPr>
      </w:pPr>
    </w:p>
    <w:p w14:paraId="6819EEA4" w14:textId="77777777" w:rsidR="00400C6D" w:rsidRPr="00400C6D" w:rsidRDefault="00400C6D" w:rsidP="006C08F0">
      <w:pPr>
        <w:rPr>
          <w:rFonts w:ascii="Arial" w:hAnsi="Arial" w:cs="Arial"/>
        </w:rPr>
      </w:pPr>
    </w:p>
    <w:p w14:paraId="793D2E4E" w14:textId="77777777" w:rsidR="00400C6D" w:rsidRPr="00400C6D" w:rsidRDefault="00400C6D" w:rsidP="006C08F0">
      <w:pPr>
        <w:rPr>
          <w:rFonts w:ascii="Arial" w:hAnsi="Arial" w:cs="Arial"/>
        </w:rPr>
      </w:pPr>
    </w:p>
    <w:p w14:paraId="4CF619E9" w14:textId="77777777" w:rsidR="00400C6D" w:rsidRPr="00400C6D" w:rsidRDefault="00400C6D" w:rsidP="006C08F0">
      <w:pPr>
        <w:rPr>
          <w:rFonts w:ascii="Arial" w:hAnsi="Arial" w:cs="Arial"/>
        </w:rPr>
      </w:pPr>
    </w:p>
    <w:p w14:paraId="6E054E2B" w14:textId="3B267227" w:rsidR="006C08F0" w:rsidRPr="00400C6D" w:rsidRDefault="006C08F0" w:rsidP="006C08F0">
      <w:pPr>
        <w:rPr>
          <w:rFonts w:ascii="Arial" w:hAnsi="Arial" w:cs="Arial"/>
        </w:rPr>
      </w:pPr>
      <w:r w:rsidRPr="00400C6D">
        <w:rPr>
          <w:rFonts w:ascii="Arial" w:hAnsi="Arial" w:cs="Arial"/>
        </w:rPr>
        <w:t>Rajwinder Kaur- 2432689</w:t>
      </w:r>
    </w:p>
    <w:p w14:paraId="5C94B936" w14:textId="77777777" w:rsidR="006C08F0" w:rsidRPr="00400C6D" w:rsidRDefault="006C08F0" w:rsidP="006C08F0">
      <w:pPr>
        <w:rPr>
          <w:rFonts w:ascii="Arial" w:hAnsi="Arial" w:cs="Arial"/>
        </w:rPr>
      </w:pPr>
      <w:r w:rsidRPr="00400C6D">
        <w:rPr>
          <w:rFonts w:ascii="Arial" w:hAnsi="Arial" w:cs="Arial"/>
        </w:rPr>
        <w:t>Module Code: LCHS4010- Psychological Theories in Health and Social Care</w:t>
      </w:r>
    </w:p>
    <w:p w14:paraId="5092348B" w14:textId="77777777" w:rsidR="006C08F0" w:rsidRPr="00400C6D" w:rsidRDefault="006C08F0" w:rsidP="006C08F0">
      <w:pPr>
        <w:rPr>
          <w:rFonts w:ascii="Arial" w:hAnsi="Arial" w:cs="Arial"/>
        </w:rPr>
      </w:pPr>
      <w:r w:rsidRPr="00400C6D">
        <w:rPr>
          <w:rFonts w:ascii="Arial" w:hAnsi="Arial" w:cs="Arial"/>
        </w:rPr>
        <w:t>Helen Parsons</w:t>
      </w:r>
    </w:p>
    <w:p w14:paraId="13F68FDE" w14:textId="77777777" w:rsidR="006C08F0" w:rsidRPr="00400C6D" w:rsidRDefault="006C08F0" w:rsidP="006C08F0">
      <w:pPr>
        <w:rPr>
          <w:rFonts w:ascii="Arial" w:hAnsi="Arial" w:cs="Arial"/>
        </w:rPr>
      </w:pPr>
    </w:p>
    <w:p w14:paraId="710A0148" w14:textId="74F9E32E" w:rsidR="005733F1" w:rsidRPr="00400C6D" w:rsidRDefault="006C08F0" w:rsidP="006C08F0">
      <w:pPr>
        <w:rPr>
          <w:rFonts w:ascii="Arial" w:hAnsi="Arial" w:cs="Arial"/>
        </w:rPr>
      </w:pPr>
      <w:r w:rsidRPr="00400C6D">
        <w:rPr>
          <w:rFonts w:ascii="Arial" w:hAnsi="Arial" w:cs="Arial"/>
        </w:rPr>
        <w:t>Assignment Title: Annotated Bibliography and Report</w:t>
      </w:r>
    </w:p>
    <w:p w14:paraId="119D4146" w14:textId="77777777" w:rsidR="005733F1" w:rsidRPr="00400C6D" w:rsidRDefault="00A14219">
      <w:pPr>
        <w:rPr>
          <w:rFonts w:ascii="Arial" w:hAnsi="Arial" w:cs="Arial"/>
        </w:rPr>
      </w:pPr>
      <w:r w:rsidRPr="00400C6D">
        <w:rPr>
          <w:rFonts w:ascii="Arial" w:hAnsi="Arial" w:cs="Arial"/>
        </w:rPr>
        <w:t>Assignment Title: Adult Development and Wellbeing in Health and Social Care</w:t>
      </w:r>
    </w:p>
    <w:p w14:paraId="145CF097" w14:textId="77777777" w:rsidR="006C08F0" w:rsidRPr="00400C6D" w:rsidRDefault="006C08F0">
      <w:pPr>
        <w:rPr>
          <w:rFonts w:ascii="Arial" w:hAnsi="Arial" w:cs="Arial"/>
        </w:rPr>
      </w:pPr>
    </w:p>
    <w:p w14:paraId="635DF6B5" w14:textId="77777777" w:rsidR="006C08F0" w:rsidRPr="00400C6D" w:rsidRDefault="006C08F0">
      <w:pPr>
        <w:rPr>
          <w:rFonts w:ascii="Arial" w:hAnsi="Arial" w:cs="Arial"/>
        </w:rPr>
      </w:pPr>
    </w:p>
    <w:p w14:paraId="584D6DFF" w14:textId="77777777" w:rsidR="006C08F0" w:rsidRPr="00400C6D" w:rsidRDefault="006C08F0">
      <w:pPr>
        <w:rPr>
          <w:rFonts w:ascii="Arial" w:hAnsi="Arial" w:cs="Arial"/>
        </w:rPr>
      </w:pPr>
    </w:p>
    <w:p w14:paraId="65437CFA" w14:textId="77777777" w:rsidR="006C08F0" w:rsidRPr="00400C6D" w:rsidRDefault="006C08F0">
      <w:pPr>
        <w:rPr>
          <w:rFonts w:ascii="Arial" w:hAnsi="Arial" w:cs="Arial"/>
        </w:rPr>
      </w:pPr>
    </w:p>
    <w:p w14:paraId="5111404F" w14:textId="77777777" w:rsidR="006C08F0" w:rsidRPr="00400C6D" w:rsidRDefault="006C08F0">
      <w:pPr>
        <w:rPr>
          <w:rFonts w:ascii="Arial" w:hAnsi="Arial" w:cs="Arial"/>
        </w:rPr>
      </w:pPr>
    </w:p>
    <w:p w14:paraId="42D62F58" w14:textId="77777777" w:rsidR="006C08F0" w:rsidRPr="00400C6D" w:rsidRDefault="006C08F0">
      <w:pPr>
        <w:rPr>
          <w:rFonts w:ascii="Arial" w:hAnsi="Arial" w:cs="Arial"/>
        </w:rPr>
      </w:pPr>
    </w:p>
    <w:p w14:paraId="7CFA6130" w14:textId="77777777" w:rsidR="006C08F0" w:rsidRPr="00400C6D" w:rsidRDefault="006C08F0">
      <w:pPr>
        <w:rPr>
          <w:rFonts w:ascii="Arial" w:hAnsi="Arial" w:cs="Arial"/>
        </w:rPr>
      </w:pPr>
    </w:p>
    <w:p w14:paraId="21E4AA33" w14:textId="77777777" w:rsidR="006C08F0" w:rsidRPr="00400C6D" w:rsidRDefault="006C08F0">
      <w:pPr>
        <w:rPr>
          <w:rFonts w:ascii="Arial" w:hAnsi="Arial" w:cs="Arial"/>
        </w:rPr>
      </w:pPr>
    </w:p>
    <w:p w14:paraId="55654010" w14:textId="77777777" w:rsidR="00400C6D" w:rsidRPr="00400C6D" w:rsidRDefault="00400C6D">
      <w:pPr>
        <w:rPr>
          <w:rFonts w:ascii="Arial" w:hAnsi="Arial" w:cs="Arial"/>
        </w:rPr>
      </w:pPr>
    </w:p>
    <w:p w14:paraId="3E92894F" w14:textId="77777777" w:rsidR="00400C6D" w:rsidRPr="00400C6D" w:rsidRDefault="00400C6D">
      <w:pPr>
        <w:rPr>
          <w:rFonts w:ascii="Arial" w:hAnsi="Arial" w:cs="Arial"/>
        </w:rPr>
      </w:pPr>
    </w:p>
    <w:p w14:paraId="58DDCE21" w14:textId="41A2502B" w:rsidR="005733F1" w:rsidRPr="00400C6D" w:rsidRDefault="00A14219">
      <w:pPr>
        <w:rPr>
          <w:rFonts w:ascii="Arial" w:hAnsi="Arial" w:cs="Arial"/>
        </w:rPr>
      </w:pPr>
      <w:r w:rsidRPr="00400C6D">
        <w:rPr>
          <w:rFonts w:ascii="Arial" w:hAnsi="Arial" w:cs="Arial"/>
        </w:rPr>
        <w:lastRenderedPageBreak/>
        <w:t xml:space="preserve">PART A: ANNOTATED BIBLIOGRAPHY </w:t>
      </w:r>
      <w:r w:rsidRPr="00400C6D">
        <w:rPr>
          <w:rFonts w:ascii="Arial" w:hAnsi="Arial" w:cs="Arial"/>
        </w:rPr>
        <w:br/>
      </w:r>
    </w:p>
    <w:p w14:paraId="5039AE90" w14:textId="77777777" w:rsidR="005733F1" w:rsidRPr="00400C6D" w:rsidRDefault="00A14219">
      <w:pPr>
        <w:rPr>
          <w:rFonts w:ascii="Arial" w:hAnsi="Arial" w:cs="Arial"/>
        </w:rPr>
      </w:pPr>
      <w:r w:rsidRPr="00400C6D">
        <w:rPr>
          <w:rFonts w:ascii="Arial" w:hAnsi="Arial" w:cs="Arial"/>
        </w:rPr>
        <w:t>Erikson, E.H. (1982) The life cycle completed. New York: Norton.</w:t>
      </w:r>
    </w:p>
    <w:p w14:paraId="4FEABDB4" w14:textId="77777777" w:rsidR="005733F1" w:rsidRPr="00400C6D" w:rsidRDefault="00A14219">
      <w:pPr>
        <w:rPr>
          <w:rFonts w:ascii="Arial" w:hAnsi="Arial" w:cs="Arial"/>
        </w:rPr>
      </w:pPr>
      <w:r w:rsidRPr="00400C6D">
        <w:rPr>
          <w:rFonts w:ascii="Arial" w:hAnsi="Arial" w:cs="Arial"/>
        </w:rPr>
        <w:t>Erikson’s psychosocial theory outlines eight stages of human development across the lifespan. The final stage, ego integrity versus despair, is particularly relevant to older adulthood. During this stage, individuals reflect on their life experiences and evaluate their achievements and failures. A positive resolution results in a sense of fulfilment and wisdom, whereas a negative outcome may lead to regret, dissatisfaction and depression.</w:t>
      </w:r>
      <w:r w:rsidRPr="00400C6D">
        <w:rPr>
          <w:rFonts w:ascii="Arial" w:hAnsi="Arial" w:cs="Arial"/>
        </w:rPr>
        <w:br/>
      </w:r>
      <w:r w:rsidRPr="00400C6D">
        <w:rPr>
          <w:rFonts w:ascii="Arial" w:hAnsi="Arial" w:cs="Arial"/>
        </w:rPr>
        <w:br/>
        <w:t>This theory is highly applicable in health and social care settings, as many older adults naturally engage in life review. Care professionals can support this process through reminiscence therapy, storytelling and life history work. These approaches can enhance self-worth and emotional wellbeing. However, Erikson’s theory assumes a linear and universal developmental process, which may not account for diverse cultural backgrounds or individual life experiences. Therefore, practitioners should apply it flexibly and sensitively.</w:t>
      </w:r>
    </w:p>
    <w:p w14:paraId="7B7C71BD" w14:textId="77777777" w:rsidR="005733F1" w:rsidRPr="00400C6D" w:rsidRDefault="005733F1">
      <w:pPr>
        <w:rPr>
          <w:rFonts w:ascii="Arial" w:hAnsi="Arial" w:cs="Arial"/>
        </w:rPr>
      </w:pPr>
    </w:p>
    <w:p w14:paraId="70244735" w14:textId="77777777" w:rsidR="005733F1" w:rsidRPr="00400C6D" w:rsidRDefault="00A14219">
      <w:pPr>
        <w:rPr>
          <w:rFonts w:ascii="Arial" w:hAnsi="Arial" w:cs="Arial"/>
        </w:rPr>
      </w:pPr>
      <w:r w:rsidRPr="00400C6D">
        <w:rPr>
          <w:rFonts w:ascii="Arial" w:hAnsi="Arial" w:cs="Arial"/>
        </w:rPr>
        <w:t>Havighurst, R.J. (1961) ‘Successful aging’, The Gerontologist, 1(1), pp. 8–13.</w:t>
      </w:r>
    </w:p>
    <w:p w14:paraId="3ACCBD81" w14:textId="77777777" w:rsidR="005733F1" w:rsidRPr="00400C6D" w:rsidRDefault="00A14219">
      <w:pPr>
        <w:rPr>
          <w:rFonts w:ascii="Arial" w:hAnsi="Arial" w:cs="Arial"/>
        </w:rPr>
      </w:pPr>
      <w:r w:rsidRPr="00400C6D">
        <w:rPr>
          <w:rFonts w:ascii="Arial" w:hAnsi="Arial" w:cs="Arial"/>
        </w:rPr>
        <w:t>Havighurst’s Activity Theory proposes that successful ageing is achieved when older adults remain socially active and engaged in meaningful roles. The theory suggests that maintaining relationships, hobbies and social participation contributes to higher levels of life satisfaction and psychological wellbeing. Withdrawal from social activities, by contrast, is associated with reduced wellbeing.</w:t>
      </w:r>
      <w:r w:rsidRPr="00400C6D">
        <w:rPr>
          <w:rFonts w:ascii="Arial" w:hAnsi="Arial" w:cs="Arial"/>
        </w:rPr>
        <w:br/>
      </w:r>
      <w:r w:rsidRPr="00400C6D">
        <w:rPr>
          <w:rFonts w:ascii="Arial" w:hAnsi="Arial" w:cs="Arial"/>
        </w:rPr>
        <w:br/>
        <w:t>In residential care settings, this theory provides a strong framework for promoting engagement through structured activities such as group exercises, creative sessions and social events. Encouraging participation can reduce loneliness and improve mental health. However, the theory has limitations, as it does not fully consider individuals with physical disabilities, cognitive decline or personal preferences for solitude. As a result, care professionals must adapt activities to meet individual needs and avoid a one-size-fits-all approach.</w:t>
      </w:r>
    </w:p>
    <w:p w14:paraId="5B8EE470" w14:textId="77777777" w:rsidR="005733F1" w:rsidRPr="00400C6D" w:rsidRDefault="005733F1">
      <w:pPr>
        <w:rPr>
          <w:rFonts w:ascii="Arial" w:hAnsi="Arial" w:cs="Arial"/>
        </w:rPr>
      </w:pPr>
    </w:p>
    <w:p w14:paraId="13DE9015" w14:textId="77777777" w:rsidR="005733F1" w:rsidRPr="00400C6D" w:rsidRDefault="00A14219">
      <w:pPr>
        <w:rPr>
          <w:rFonts w:ascii="Arial" w:hAnsi="Arial" w:cs="Arial"/>
        </w:rPr>
      </w:pPr>
      <w:r w:rsidRPr="00400C6D">
        <w:rPr>
          <w:rFonts w:ascii="Arial" w:hAnsi="Arial" w:cs="Arial"/>
        </w:rPr>
        <w:t>Bowlby, J. (1988) A secure base: Parent-child attachment and healthy human development. London: Routledge.</w:t>
      </w:r>
    </w:p>
    <w:p w14:paraId="5C4A1E9D" w14:textId="77777777" w:rsidR="005733F1" w:rsidRPr="00400C6D" w:rsidRDefault="00A14219">
      <w:pPr>
        <w:rPr>
          <w:rFonts w:ascii="Arial" w:hAnsi="Arial" w:cs="Arial"/>
        </w:rPr>
      </w:pPr>
      <w:r w:rsidRPr="00400C6D">
        <w:rPr>
          <w:rFonts w:ascii="Arial" w:hAnsi="Arial" w:cs="Arial"/>
        </w:rPr>
        <w:t xml:space="preserve">Bowlby’s attachment theory emphasises the importance of early relationships in shaping emotional development and behaviour throughout life. In later adulthood, attachment needs may re-emerge, particularly during periods of vulnerability such as illness or transition into residential care. Secure attachments can provide comfort and emotional </w:t>
      </w:r>
      <w:r w:rsidRPr="00400C6D">
        <w:rPr>
          <w:rFonts w:ascii="Arial" w:hAnsi="Arial" w:cs="Arial"/>
        </w:rPr>
        <w:lastRenderedPageBreak/>
        <w:t>stability, while insecure attachments may lead to anxiety or distress.</w:t>
      </w:r>
      <w:r w:rsidRPr="00400C6D">
        <w:rPr>
          <w:rFonts w:ascii="Arial" w:hAnsi="Arial" w:cs="Arial"/>
        </w:rPr>
        <w:br/>
      </w:r>
      <w:r w:rsidRPr="00400C6D">
        <w:rPr>
          <w:rFonts w:ascii="Arial" w:hAnsi="Arial" w:cs="Arial"/>
        </w:rPr>
        <w:br/>
        <w:t>This theory is relevant in care settings, as it highlights the importance of building trusting relationships between staff and residents. Consistent and compassionate care can help create a sense of security. However, the theory was originally developed in the context of childhood, and its application to older adults requires careful adaptation. Professionals must consider the complexity of adult relationships and individual histories when applying this framework.</w:t>
      </w:r>
    </w:p>
    <w:p w14:paraId="22855497" w14:textId="77777777" w:rsidR="005733F1" w:rsidRPr="00400C6D" w:rsidRDefault="005733F1">
      <w:pPr>
        <w:rPr>
          <w:rFonts w:ascii="Arial" w:hAnsi="Arial" w:cs="Arial"/>
        </w:rPr>
      </w:pPr>
    </w:p>
    <w:p w14:paraId="700AD961" w14:textId="77777777" w:rsidR="005733F1" w:rsidRPr="00400C6D" w:rsidRDefault="00A14219">
      <w:pPr>
        <w:rPr>
          <w:rFonts w:ascii="Arial" w:hAnsi="Arial" w:cs="Arial"/>
        </w:rPr>
      </w:pPr>
      <w:r w:rsidRPr="00400C6D">
        <w:rPr>
          <w:rFonts w:ascii="Arial" w:hAnsi="Arial" w:cs="Arial"/>
        </w:rPr>
        <w:t>Seligman, M.E.P. (2011) Flourish: A visionary new understanding of happiness and wellbeing. New York: Free Press.</w:t>
      </w:r>
    </w:p>
    <w:p w14:paraId="6B4244BD" w14:textId="77777777" w:rsidR="005733F1" w:rsidRPr="00400C6D" w:rsidRDefault="00A14219">
      <w:pPr>
        <w:rPr>
          <w:rFonts w:ascii="Arial" w:hAnsi="Arial" w:cs="Arial"/>
        </w:rPr>
      </w:pPr>
      <w:r w:rsidRPr="00400C6D">
        <w:rPr>
          <w:rFonts w:ascii="Arial" w:hAnsi="Arial" w:cs="Arial"/>
        </w:rPr>
        <w:t>Seligman’s positive psychology framework focuses on enhancing wellbeing through the PERMA model, which includes positive emotion, engagement, relationships, meaning and accomplishment. The approach emphasises strengths, resilience and the promotion of positive experiences rather than focusing solely on illness or decline.</w:t>
      </w:r>
      <w:r w:rsidRPr="00400C6D">
        <w:rPr>
          <w:rFonts w:ascii="Arial" w:hAnsi="Arial" w:cs="Arial"/>
        </w:rPr>
        <w:br/>
      </w:r>
      <w:r w:rsidRPr="00400C6D">
        <w:rPr>
          <w:rFonts w:ascii="Arial" w:hAnsi="Arial" w:cs="Arial"/>
        </w:rPr>
        <w:br/>
        <w:t>In health and social care settings, this theory can be used to design interventions that improve quality of life for older adults. Activities that promote social interaction, purpose and enjoyment can significantly enhance wellbeing. However, critics argue that positive psychology may overlook structural challenges such as limited resources, staffing shortages and systemic inequalities. Therefore, while useful, it should be applied alongside broader organisational improvements.</w:t>
      </w:r>
    </w:p>
    <w:p w14:paraId="6853F314" w14:textId="77777777" w:rsidR="005733F1" w:rsidRPr="00400C6D" w:rsidRDefault="005733F1">
      <w:pPr>
        <w:rPr>
          <w:rFonts w:ascii="Arial" w:hAnsi="Arial" w:cs="Arial"/>
        </w:rPr>
      </w:pPr>
    </w:p>
    <w:p w14:paraId="722E6BFF" w14:textId="77777777" w:rsidR="00400C6D" w:rsidRPr="00400C6D" w:rsidRDefault="00400C6D">
      <w:pPr>
        <w:rPr>
          <w:rFonts w:ascii="Arial" w:hAnsi="Arial" w:cs="Arial"/>
        </w:rPr>
      </w:pPr>
    </w:p>
    <w:p w14:paraId="77A1402C" w14:textId="6E2A91F6" w:rsidR="005733F1" w:rsidRPr="00400C6D" w:rsidRDefault="00A14219">
      <w:pPr>
        <w:rPr>
          <w:rFonts w:ascii="Arial" w:hAnsi="Arial" w:cs="Arial"/>
        </w:rPr>
      </w:pPr>
      <w:r w:rsidRPr="00400C6D">
        <w:rPr>
          <w:rFonts w:ascii="Arial" w:hAnsi="Arial" w:cs="Arial"/>
        </w:rPr>
        <w:t xml:space="preserve">PART B: SHORT REPORT </w:t>
      </w:r>
      <w:r w:rsidRPr="00400C6D">
        <w:rPr>
          <w:rFonts w:ascii="Arial" w:hAnsi="Arial" w:cs="Arial"/>
        </w:rPr>
        <w:br/>
      </w:r>
    </w:p>
    <w:p w14:paraId="0027C622" w14:textId="77777777" w:rsidR="005733F1" w:rsidRPr="00400C6D" w:rsidRDefault="00A14219">
      <w:pPr>
        <w:rPr>
          <w:rFonts w:ascii="Arial" w:hAnsi="Arial" w:cs="Arial"/>
        </w:rPr>
      </w:pPr>
      <w:r w:rsidRPr="00400C6D">
        <w:rPr>
          <w:rFonts w:ascii="Arial" w:hAnsi="Arial" w:cs="Arial"/>
        </w:rPr>
        <w:t>Introduction:</w:t>
      </w:r>
      <w:r w:rsidRPr="00400C6D">
        <w:rPr>
          <w:rFonts w:ascii="Arial" w:hAnsi="Arial" w:cs="Arial"/>
        </w:rPr>
        <w:br/>
        <w:t>Psychological wellbeing is a key aspect of quality of life for older adults living in residential care. Havighurst’s Activity Theory provides a valuable framework for understanding how engagement in meaningful activities can enhance wellbeing (Havighurst, 1961). This report explores how the theory can be applied in practice, supported by a real-world example, and considers potential challenges and solutions.</w:t>
      </w:r>
      <w:r w:rsidRPr="00400C6D">
        <w:rPr>
          <w:rFonts w:ascii="Arial" w:hAnsi="Arial" w:cs="Arial"/>
        </w:rPr>
        <w:br/>
      </w:r>
      <w:r w:rsidRPr="00400C6D">
        <w:rPr>
          <w:rFonts w:ascii="Arial" w:hAnsi="Arial" w:cs="Arial"/>
        </w:rPr>
        <w:br/>
        <w:t>Application of Activity Theory:</w:t>
      </w:r>
      <w:r w:rsidRPr="00400C6D">
        <w:rPr>
          <w:rFonts w:ascii="Arial" w:hAnsi="Arial" w:cs="Arial"/>
        </w:rPr>
        <w:br/>
        <w:t xml:space="preserve">Activity Theory suggests that older adults who remain socially and physically active are more likely to experience higher levels of life satisfaction (Havighurst, 1961). In residential care settings, this can be implemented through structured programmes that encourage participation in group activities, hobbies and social interactions. Evidence indicates that such engagement can reduce loneliness and improve mental health </w:t>
      </w:r>
      <w:r w:rsidRPr="00400C6D">
        <w:rPr>
          <w:rFonts w:ascii="Arial" w:hAnsi="Arial" w:cs="Arial"/>
        </w:rPr>
        <w:lastRenderedPageBreak/>
        <w:t>outcomes (Adams, Leibbrandt and Moon, 2011).</w:t>
      </w:r>
      <w:r w:rsidRPr="00400C6D">
        <w:rPr>
          <w:rFonts w:ascii="Arial" w:hAnsi="Arial" w:cs="Arial"/>
        </w:rPr>
        <w:br/>
      </w:r>
      <w:r w:rsidRPr="00400C6D">
        <w:rPr>
          <w:rFonts w:ascii="Arial" w:hAnsi="Arial" w:cs="Arial"/>
        </w:rPr>
        <w:br/>
        <w:t>Furthermore, maintaining meaningful roles can help preserve a sense of identity and purpose. For example, residents may be encouraged to take part in small responsibilities within the care home, such as assisting with activities or mentoring others. This aligns with the concept of successful ageing, which emphasises continued participation and independence (Rowe and Kahn, 1997).</w:t>
      </w:r>
      <w:r w:rsidRPr="00400C6D">
        <w:rPr>
          <w:rFonts w:ascii="Arial" w:hAnsi="Arial" w:cs="Arial"/>
        </w:rPr>
        <w:br/>
      </w:r>
      <w:r w:rsidRPr="00400C6D">
        <w:rPr>
          <w:rFonts w:ascii="Arial" w:hAnsi="Arial" w:cs="Arial"/>
        </w:rPr>
        <w:br/>
        <w:t>Case Scenario:</w:t>
      </w:r>
      <w:r w:rsidRPr="00400C6D">
        <w:rPr>
          <w:rFonts w:ascii="Arial" w:hAnsi="Arial" w:cs="Arial"/>
        </w:rPr>
        <w:br/>
        <w:t>For instance, an 82-year-old resident who previously enjoyed gardening may initially experience isolation after moving into a care home. By introducing a gardening group, staff can provide an opportunity for social interaction and meaningful engagement. Over time, the resident may develop friendships, improve mood and regain a sense of purpose. This demonstrates how Activity Theory can be applied to enhance psychological wellbeing.</w:t>
      </w:r>
      <w:r w:rsidRPr="00400C6D">
        <w:rPr>
          <w:rFonts w:ascii="Arial" w:hAnsi="Arial" w:cs="Arial"/>
        </w:rPr>
        <w:br/>
      </w:r>
      <w:r w:rsidRPr="00400C6D">
        <w:rPr>
          <w:rFonts w:ascii="Arial" w:hAnsi="Arial" w:cs="Arial"/>
        </w:rPr>
        <w:br/>
        <w:t>Challenges:</w:t>
      </w:r>
      <w:r w:rsidRPr="00400C6D">
        <w:rPr>
          <w:rFonts w:ascii="Arial" w:hAnsi="Arial" w:cs="Arial"/>
        </w:rPr>
        <w:br/>
        <w:t>One significant challenge in applying Activity Theory is that not all residents are able or willing to participate in activities. Physical limitations, cognitive impairments such as dementia, and personal preferences may restrict engagement (Cattan et al., 2005). Additionally, care homes often face resource constraints, including limited staffing and time, which can affect the availability of activities.</w:t>
      </w:r>
      <w:r w:rsidRPr="00400C6D">
        <w:rPr>
          <w:rFonts w:ascii="Arial" w:hAnsi="Arial" w:cs="Arial"/>
        </w:rPr>
        <w:br/>
      </w:r>
      <w:r w:rsidRPr="00400C6D">
        <w:rPr>
          <w:rFonts w:ascii="Arial" w:hAnsi="Arial" w:cs="Arial"/>
        </w:rPr>
        <w:br/>
        <w:t>Strategies to Overcome Challenges:</w:t>
      </w:r>
      <w:r w:rsidRPr="00400C6D">
        <w:rPr>
          <w:rFonts w:ascii="Arial" w:hAnsi="Arial" w:cs="Arial"/>
        </w:rPr>
        <w:br/>
        <w:t>To address these challenges, a person-centred approach is essential. Activities should be tailored to individual abilities, preferences and needs. For example, residents with dementia may benefit from sensory activities or one-to-one interactions (Kitwood, 1997). Involving family members and volunteers can also enhance opportunities for engagement.</w:t>
      </w:r>
      <w:r w:rsidRPr="00400C6D">
        <w:rPr>
          <w:rFonts w:ascii="Arial" w:hAnsi="Arial" w:cs="Arial"/>
        </w:rPr>
        <w:br/>
      </w:r>
      <w:r w:rsidRPr="00400C6D">
        <w:rPr>
          <w:rFonts w:ascii="Arial" w:hAnsi="Arial" w:cs="Arial"/>
        </w:rPr>
        <w:br/>
        <w:t>Staff training is another important factor. Educating care professionals about the benefits of meaningful activity can improve implementation. Providing choice and respecting autonomy ensures that residents feel valued and not pressured to participate.</w:t>
      </w:r>
      <w:r w:rsidRPr="00400C6D">
        <w:rPr>
          <w:rFonts w:ascii="Arial" w:hAnsi="Arial" w:cs="Arial"/>
        </w:rPr>
        <w:br/>
      </w:r>
      <w:r w:rsidRPr="00400C6D">
        <w:rPr>
          <w:rFonts w:ascii="Arial" w:hAnsi="Arial" w:cs="Arial"/>
        </w:rPr>
        <w:br/>
        <w:t>Conclusion:</w:t>
      </w:r>
      <w:r w:rsidRPr="00400C6D">
        <w:rPr>
          <w:rFonts w:ascii="Arial" w:hAnsi="Arial" w:cs="Arial"/>
        </w:rPr>
        <w:br/>
        <w:t>In conclusion, Havighurst’s Activity Theory offers a practical and effective framework for promoting psychological wellbeing in older adults living in residential care. While challenges exist, these can be addressed through person-centred care, adaptation and adequate support. By fostering meaningful engagement, care professionals can significantly enhance quality of life for residents.</w:t>
      </w:r>
      <w:r w:rsidRPr="00400C6D">
        <w:rPr>
          <w:rFonts w:ascii="Arial" w:hAnsi="Arial" w:cs="Arial"/>
        </w:rPr>
        <w:br/>
      </w:r>
    </w:p>
    <w:p w14:paraId="10E8BA48" w14:textId="77777777" w:rsidR="005733F1" w:rsidRPr="00400C6D" w:rsidRDefault="00A14219">
      <w:pPr>
        <w:rPr>
          <w:rFonts w:ascii="Arial" w:hAnsi="Arial" w:cs="Arial"/>
        </w:rPr>
      </w:pPr>
      <w:r w:rsidRPr="00400C6D">
        <w:rPr>
          <w:rFonts w:ascii="Arial" w:hAnsi="Arial" w:cs="Arial"/>
        </w:rPr>
        <w:lastRenderedPageBreak/>
        <w:br/>
        <w:t>REFERENCE LIST</w:t>
      </w:r>
      <w:r w:rsidRPr="00400C6D">
        <w:rPr>
          <w:rFonts w:ascii="Arial" w:hAnsi="Arial" w:cs="Arial"/>
        </w:rPr>
        <w:br/>
      </w:r>
    </w:p>
    <w:p w14:paraId="4B3F0AEA" w14:textId="77777777" w:rsidR="005733F1" w:rsidRPr="00400C6D" w:rsidRDefault="00A14219">
      <w:pPr>
        <w:rPr>
          <w:rFonts w:ascii="Arial" w:hAnsi="Arial" w:cs="Arial"/>
        </w:rPr>
      </w:pPr>
      <w:r w:rsidRPr="00400C6D">
        <w:rPr>
          <w:rFonts w:ascii="Arial" w:hAnsi="Arial" w:cs="Arial"/>
        </w:rPr>
        <w:t>Adams, K.B., Leibbrandt, S. and Moon, H. (2011) ‘A critical review of the literature on social and leisure activity and wellbeing in later life’, Ageing &amp; Society, 31(4), pp. 683–712.</w:t>
      </w:r>
    </w:p>
    <w:p w14:paraId="4C92820A" w14:textId="77777777" w:rsidR="005733F1" w:rsidRPr="00400C6D" w:rsidRDefault="00A14219">
      <w:pPr>
        <w:rPr>
          <w:rFonts w:ascii="Arial" w:hAnsi="Arial" w:cs="Arial"/>
        </w:rPr>
      </w:pPr>
      <w:r w:rsidRPr="00400C6D">
        <w:rPr>
          <w:rFonts w:ascii="Arial" w:hAnsi="Arial" w:cs="Arial"/>
        </w:rPr>
        <w:t>Cattan, M. et al. (2005) ‘Preventing social isolation and loneliness among older people’, Ageing &amp; Society, 25(1), pp. 41–67.</w:t>
      </w:r>
    </w:p>
    <w:p w14:paraId="2B938D2E" w14:textId="77777777" w:rsidR="005733F1" w:rsidRPr="00400C6D" w:rsidRDefault="00A14219">
      <w:pPr>
        <w:rPr>
          <w:rFonts w:ascii="Arial" w:hAnsi="Arial" w:cs="Arial"/>
        </w:rPr>
      </w:pPr>
      <w:r w:rsidRPr="00400C6D">
        <w:rPr>
          <w:rFonts w:ascii="Arial" w:hAnsi="Arial" w:cs="Arial"/>
        </w:rPr>
        <w:t>Havighurst, R.J. (1961) ‘Successful aging’, The Gerontologist, 1(1), pp. 8–13.</w:t>
      </w:r>
    </w:p>
    <w:p w14:paraId="569BE57E" w14:textId="77777777" w:rsidR="005733F1" w:rsidRPr="00400C6D" w:rsidRDefault="00A14219">
      <w:pPr>
        <w:rPr>
          <w:rFonts w:ascii="Arial" w:hAnsi="Arial" w:cs="Arial"/>
        </w:rPr>
      </w:pPr>
      <w:r w:rsidRPr="00400C6D">
        <w:rPr>
          <w:rFonts w:ascii="Arial" w:hAnsi="Arial" w:cs="Arial"/>
        </w:rPr>
        <w:t>Kitwood, T. (1997) Dementia reconsidered: The person comes first. Buckingham: Open University Press.</w:t>
      </w:r>
    </w:p>
    <w:p w14:paraId="35BFED10" w14:textId="77777777" w:rsidR="005733F1" w:rsidRPr="00400C6D" w:rsidRDefault="00A14219">
      <w:pPr>
        <w:rPr>
          <w:rFonts w:ascii="Arial" w:hAnsi="Arial" w:cs="Arial"/>
        </w:rPr>
      </w:pPr>
      <w:r w:rsidRPr="00400C6D">
        <w:rPr>
          <w:rFonts w:ascii="Arial" w:hAnsi="Arial" w:cs="Arial"/>
        </w:rPr>
        <w:t>Rowe, J.W. and Kahn, R.L. (1997) ‘Successful aging’, The Gerontologist, 37(4), pp. 433–440.</w:t>
      </w:r>
    </w:p>
    <w:p w14:paraId="1EF653EF" w14:textId="77777777" w:rsidR="005733F1" w:rsidRPr="00400C6D" w:rsidRDefault="00A14219">
      <w:pPr>
        <w:rPr>
          <w:rFonts w:ascii="Arial" w:hAnsi="Arial" w:cs="Arial"/>
        </w:rPr>
      </w:pPr>
      <w:r w:rsidRPr="00400C6D">
        <w:rPr>
          <w:rFonts w:ascii="Arial" w:hAnsi="Arial" w:cs="Arial"/>
        </w:rPr>
        <w:t>Seligman, M.E.P. (2011) Flourish: A visionary new understanding of happiness and wellbeing. New York: Free Press.</w:t>
      </w:r>
    </w:p>
    <w:p w14:paraId="6AFEB87C" w14:textId="77777777" w:rsidR="005733F1" w:rsidRPr="00400C6D" w:rsidRDefault="00A14219">
      <w:pPr>
        <w:rPr>
          <w:rFonts w:ascii="Arial" w:hAnsi="Arial" w:cs="Arial"/>
        </w:rPr>
      </w:pPr>
      <w:r w:rsidRPr="00400C6D">
        <w:rPr>
          <w:rFonts w:ascii="Arial" w:hAnsi="Arial" w:cs="Arial"/>
        </w:rPr>
        <w:t>Erikson, E.H. (1982) The life cycle completed. New York: Norton.</w:t>
      </w:r>
    </w:p>
    <w:p w14:paraId="48F863E2" w14:textId="77777777" w:rsidR="005733F1" w:rsidRPr="00400C6D" w:rsidRDefault="00A14219">
      <w:pPr>
        <w:rPr>
          <w:rFonts w:ascii="Arial" w:hAnsi="Arial" w:cs="Arial"/>
        </w:rPr>
      </w:pPr>
      <w:r w:rsidRPr="00400C6D">
        <w:rPr>
          <w:rFonts w:ascii="Arial" w:hAnsi="Arial" w:cs="Arial"/>
        </w:rPr>
        <w:t>Bowlby, J. (1988) A secure base: Parent-child attachment and healthy human development. London: Routledge.</w:t>
      </w:r>
    </w:p>
    <w:sectPr w:rsidR="005733F1" w:rsidRPr="00400C6D"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78198" w14:textId="77777777" w:rsidR="009F24D8" w:rsidRDefault="009F24D8" w:rsidP="00400C6D">
      <w:pPr>
        <w:spacing w:after="0" w:line="240" w:lineRule="auto"/>
      </w:pPr>
      <w:r>
        <w:separator/>
      </w:r>
    </w:p>
  </w:endnote>
  <w:endnote w:type="continuationSeparator" w:id="0">
    <w:p w14:paraId="04FF4811" w14:textId="77777777" w:rsidR="009F24D8" w:rsidRDefault="009F24D8" w:rsidP="00400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A526" w14:textId="77777777" w:rsidR="00400C6D" w:rsidRDefault="00400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5878769"/>
      <w:docPartObj>
        <w:docPartGallery w:val="Page Numbers (Bottom of Page)"/>
        <w:docPartUnique/>
      </w:docPartObj>
    </w:sdtPr>
    <w:sdtEndPr>
      <w:rPr>
        <w:noProof/>
      </w:rPr>
    </w:sdtEndPr>
    <w:sdtContent>
      <w:p w14:paraId="4A916032" w14:textId="4F1B5112" w:rsidR="00400C6D" w:rsidRDefault="00400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160362" w14:textId="77777777" w:rsidR="00400C6D" w:rsidRDefault="00400C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9D26" w14:textId="77777777" w:rsidR="00400C6D" w:rsidRDefault="00400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18C66" w14:textId="77777777" w:rsidR="009F24D8" w:rsidRDefault="009F24D8" w:rsidP="00400C6D">
      <w:pPr>
        <w:spacing w:after="0" w:line="240" w:lineRule="auto"/>
      </w:pPr>
      <w:r>
        <w:separator/>
      </w:r>
    </w:p>
  </w:footnote>
  <w:footnote w:type="continuationSeparator" w:id="0">
    <w:p w14:paraId="33248E0E" w14:textId="77777777" w:rsidR="009F24D8" w:rsidRDefault="009F24D8" w:rsidP="00400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8AEB" w14:textId="77777777" w:rsidR="00400C6D" w:rsidRDefault="00400C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C5EA5" w14:textId="77777777" w:rsidR="00400C6D" w:rsidRDefault="00400C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8105F" w14:textId="77777777" w:rsidR="00400C6D" w:rsidRDefault="00400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2620249">
    <w:abstractNumId w:val="8"/>
  </w:num>
  <w:num w:numId="2" w16cid:durableId="971793583">
    <w:abstractNumId w:val="6"/>
  </w:num>
  <w:num w:numId="3" w16cid:durableId="1782799659">
    <w:abstractNumId w:val="5"/>
  </w:num>
  <w:num w:numId="4" w16cid:durableId="823395521">
    <w:abstractNumId w:val="4"/>
  </w:num>
  <w:num w:numId="5" w16cid:durableId="698698459">
    <w:abstractNumId w:val="7"/>
  </w:num>
  <w:num w:numId="6" w16cid:durableId="850030089">
    <w:abstractNumId w:val="3"/>
  </w:num>
  <w:num w:numId="7" w16cid:durableId="353001432">
    <w:abstractNumId w:val="2"/>
  </w:num>
  <w:num w:numId="8" w16cid:durableId="708841578">
    <w:abstractNumId w:val="1"/>
  </w:num>
  <w:num w:numId="9" w16cid:durableId="1019815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D06D5"/>
    <w:rsid w:val="00326F90"/>
    <w:rsid w:val="00400C6D"/>
    <w:rsid w:val="004E644E"/>
    <w:rsid w:val="005733F1"/>
    <w:rsid w:val="006C08F0"/>
    <w:rsid w:val="009F24D8"/>
    <w:rsid w:val="00A14219"/>
    <w:rsid w:val="00A3332E"/>
    <w:rsid w:val="00AA1D8D"/>
    <w:rsid w:val="00B47730"/>
    <w:rsid w:val="00C0339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9116E6"/>
  <w14:defaultImageDpi w14:val="300"/>
  <w15:docId w15:val="{A94BED86-2337-6E4F-8387-7AF9092C6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Sahib Singh Derewal</cp:lastModifiedBy>
  <cp:revision>2</cp:revision>
  <dcterms:created xsi:type="dcterms:W3CDTF">2026-03-23T18:48:00Z</dcterms:created>
  <dcterms:modified xsi:type="dcterms:W3CDTF">2026-03-23T18:48:00Z</dcterms:modified>
  <cp:category/>
</cp:coreProperties>
</file>