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7804" w:rsidRPr="00727804" w:rsidRDefault="00727804" w:rsidP="00727804">
      <w:pPr>
        <w:overflowPunct w:val="0"/>
        <w:autoSpaceDE w:val="0"/>
        <w:autoSpaceDN w:val="0"/>
        <w:adjustRightInd w:val="0"/>
        <w:spacing w:after="0" w:line="240" w:lineRule="auto"/>
        <w:textAlignment w:val="baseline"/>
        <w:rPr>
          <w:rFonts w:ascii="Arial" w:eastAsia="Times New Roman" w:hAnsi="Arial" w:cs="Arial"/>
          <w:color w:val="000000"/>
          <w:sz w:val="20"/>
          <w:szCs w:val="20"/>
          <w:lang w:val="en-GB" w:eastAsia="en-GB"/>
        </w:rPr>
      </w:pPr>
      <w:r w:rsidRPr="00727804">
        <w:rPr>
          <w:rFonts w:ascii="Arial" w:eastAsia="Times New Roman" w:hAnsi="Arial" w:cs="Arial"/>
          <w:noProof/>
          <w:color w:val="000000"/>
          <w:sz w:val="20"/>
          <w:szCs w:val="20"/>
          <w:lang w:val="en-GB" w:eastAsia="en-GB"/>
        </w:rPr>
        <w:drawing>
          <wp:inline distT="0" distB="0" distL="0" distR="0">
            <wp:extent cx="2028825" cy="7048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7465704"/>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28825" cy="704850"/>
                    </a:xfrm>
                    <a:prstGeom prst="rect">
                      <a:avLst/>
                    </a:prstGeom>
                    <a:noFill/>
                    <a:ln>
                      <a:noFill/>
                    </a:ln>
                  </pic:spPr>
                </pic:pic>
              </a:graphicData>
            </a:graphic>
          </wp:inline>
        </w:drawing>
      </w:r>
    </w:p>
    <w:p w:rsidR="00727804" w:rsidRPr="00727804" w:rsidRDefault="00727804" w:rsidP="00727804">
      <w:pPr>
        <w:overflowPunct w:val="0"/>
        <w:autoSpaceDE w:val="0"/>
        <w:autoSpaceDN w:val="0"/>
        <w:adjustRightInd w:val="0"/>
        <w:spacing w:after="0" w:line="240" w:lineRule="auto"/>
        <w:textAlignment w:val="baseline"/>
        <w:rPr>
          <w:rFonts w:ascii="Times New Roman" w:eastAsia="Times New Roman" w:hAnsi="Times New Roman" w:cs="Times New Roman"/>
          <w:color w:val="000000"/>
          <w:sz w:val="24"/>
          <w:szCs w:val="24"/>
          <w:lang w:val="en-GB" w:eastAsia="en-GB"/>
        </w:rPr>
      </w:pPr>
    </w:p>
    <w:p w:rsidR="00727804" w:rsidRPr="00727804" w:rsidRDefault="00727804" w:rsidP="00727804">
      <w:pPr>
        <w:spacing w:after="0" w:line="240" w:lineRule="auto"/>
        <w:rPr>
          <w:rFonts w:ascii="Times New Roman" w:eastAsia="Times New Roman" w:hAnsi="Times New Roman" w:cs="Arial"/>
          <w:b/>
          <w:bCs/>
          <w:sz w:val="48"/>
          <w:szCs w:val="48"/>
          <w:lang w:val="en-GB" w:eastAsia="en-GB"/>
        </w:rPr>
      </w:pPr>
      <w:r w:rsidRPr="00727804">
        <w:rPr>
          <w:rFonts w:ascii="Times New Roman" w:eastAsia="Times New Roman" w:hAnsi="Times New Roman" w:cs="Times New Roman"/>
          <w:b/>
          <w:sz w:val="48"/>
          <w:szCs w:val="48"/>
          <w:lang w:val="en-GB" w:eastAsia="en-GB"/>
        </w:rPr>
        <w:t xml:space="preserve">GRADUATE CERTIFICATE in </w:t>
      </w:r>
      <w:r w:rsidRPr="00727804">
        <w:rPr>
          <w:rFonts w:ascii="Times New Roman" w:eastAsia="Times New Roman" w:hAnsi="Times New Roman" w:cs="Arial"/>
          <w:b/>
          <w:bCs/>
          <w:sz w:val="48"/>
          <w:szCs w:val="48"/>
          <w:lang w:val="en-GB" w:eastAsia="en-GB"/>
        </w:rPr>
        <w:t>Consolidation of Social Work Practice</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LEVEL 6 - 60 Credits</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BMPF6044</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18"/>
          <w:szCs w:val="2"/>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LEARNER PORTFOLIO</w:t>
      </w:r>
    </w:p>
    <w:p w:rsidR="00727804" w:rsidRPr="00727804" w:rsidRDefault="00727804" w:rsidP="00727804">
      <w:pPr>
        <w:spacing w:after="0" w:line="240" w:lineRule="auto"/>
        <w:ind w:right="-957"/>
        <w:rPr>
          <w:rFonts w:ascii="Times New Roman" w:eastAsia="Times New Roman" w:hAnsi="Times New Roman" w:cs="Times New Roman"/>
          <w:b/>
          <w:bCs/>
          <w:sz w:val="48"/>
          <w:szCs w:val="48"/>
          <w:lang w:val="en-GB" w:eastAsia="en-GB"/>
        </w:rPr>
      </w:pPr>
      <w:r w:rsidRPr="00727804">
        <w:rPr>
          <w:rFonts w:ascii="Times New Roman" w:eastAsia="Times New Roman" w:hAnsi="Times New Roman" w:cs="Times New Roman"/>
          <w:b/>
          <w:bCs/>
          <w:sz w:val="48"/>
          <w:szCs w:val="48"/>
          <w:lang w:val="en-GB" w:eastAsia="en-GB"/>
        </w:rPr>
        <w:t>(PORTH AGORED and UNIVERSITY OF WALES TRINITY SAINT DAVID)</w:t>
      </w:r>
    </w:p>
    <w:p w:rsidR="00727804" w:rsidRPr="00727804" w:rsidRDefault="00727804" w:rsidP="00727804">
      <w:pPr>
        <w:spacing w:after="0" w:line="240" w:lineRule="auto"/>
        <w:ind w:right="-957"/>
        <w:rPr>
          <w:rFonts w:ascii="Times New Roman" w:eastAsia="Times New Roman" w:hAnsi="Times New Roman" w:cs="Times New Roman"/>
          <w:b/>
          <w:sz w:val="14"/>
          <w:szCs w:val="2"/>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727804" w:rsidRPr="00727804" w:rsidTr="00290CDA">
        <w:tc>
          <w:tcPr>
            <w:tcW w:w="10368" w:type="dxa"/>
          </w:tcPr>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Learner’s name: Louanne Tushingham</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Email address: 2118379@student.uwtsd.ac.uk</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 xml:space="preserve">Learner’s University Registration Number: </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2118379</w:t>
            </w: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Cohort: 18 onwards</w:t>
            </w:r>
          </w:p>
        </w:tc>
      </w:tr>
    </w:tbl>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r w:rsidRPr="00727804">
        <w:rPr>
          <w:rFonts w:ascii="Times New Roman" w:eastAsia="Times New Roman" w:hAnsi="Times New Roman" w:cs="Times New Roman"/>
          <w:b/>
          <w:sz w:val="48"/>
          <w:szCs w:val="20"/>
          <w:lang w:val="en-GB" w:eastAsia="en-GB"/>
        </w:rPr>
        <w:t xml:space="preserve"> </w:t>
      </w:r>
    </w:p>
    <w:p w:rsidR="00727804" w:rsidRPr="00727804" w:rsidRDefault="00727804" w:rsidP="00727804">
      <w:pPr>
        <w:spacing w:after="0" w:line="240" w:lineRule="auto"/>
        <w:rPr>
          <w:rFonts w:ascii="Times New Roman" w:eastAsia="Times New Roman" w:hAnsi="Times New Roman" w:cs="Times New Roman"/>
          <w:sz w:val="24"/>
          <w:szCs w:val="20"/>
          <w:lang w:val="en-GB" w:eastAsia="en-GB"/>
        </w:rPr>
      </w:pPr>
    </w:p>
    <w:p w:rsidR="00727804" w:rsidRPr="00727804" w:rsidRDefault="00727804" w:rsidP="00727804">
      <w:pPr>
        <w:spacing w:after="0" w:line="240" w:lineRule="auto"/>
        <w:ind w:right="-957"/>
        <w:rPr>
          <w:rFonts w:ascii="Times New Roman" w:eastAsia="Times New Roman" w:hAnsi="Times New Roman" w:cs="Times New Roman"/>
          <w:b/>
          <w:sz w:val="48"/>
          <w:szCs w:val="20"/>
          <w:lang w:val="en-GB" w:eastAsia="en-GB"/>
        </w:rPr>
      </w:pP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r w:rsidRPr="00727804">
        <w:rPr>
          <w:rFonts w:ascii="Arial" w:eastAsia="Times New Roman" w:hAnsi="Arial" w:cs="Arial"/>
          <w:b/>
          <w:color w:val="000000"/>
          <w:sz w:val="24"/>
          <w:szCs w:val="24"/>
          <w:lang w:val="en-GB" w:eastAsia="en-GB"/>
        </w:rPr>
        <w:br w:type="page"/>
      </w: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val="en-GB" w:eastAsia="en-GB"/>
        </w:rPr>
      </w:pP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val="en-GB" w:eastAsia="en-GB"/>
        </w:rPr>
      </w:pPr>
      <w:r w:rsidRPr="00727804">
        <w:rPr>
          <w:rFonts w:ascii="Arial" w:eastAsia="Times New Roman" w:hAnsi="Arial" w:cs="Arial"/>
          <w:b/>
          <w:color w:val="000000"/>
          <w:sz w:val="28"/>
          <w:szCs w:val="28"/>
          <w:lang w:val="en-GB" w:eastAsia="en-GB"/>
        </w:rPr>
        <w:t>Task 4</w:t>
      </w: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val="en-GB" w:eastAsia="en-GB"/>
        </w:rPr>
      </w:pPr>
    </w:p>
    <w:p w:rsidR="00727804" w:rsidRPr="00727804" w:rsidRDefault="00727804" w:rsidP="00727804">
      <w:pPr>
        <w:overflowPunct w:val="0"/>
        <w:autoSpaceDE w:val="0"/>
        <w:autoSpaceDN w:val="0"/>
        <w:adjustRightInd w:val="0"/>
        <w:spacing w:after="0" w:line="240" w:lineRule="auto"/>
        <w:jc w:val="center"/>
        <w:textAlignment w:val="baseline"/>
        <w:rPr>
          <w:rFonts w:ascii="Arial" w:eastAsia="Times New Roman" w:hAnsi="Arial" w:cs="Arial"/>
          <w:b/>
          <w:color w:val="000000"/>
          <w:sz w:val="28"/>
          <w:szCs w:val="28"/>
          <w:lang w:val="en-GB" w:eastAsia="en-GB"/>
        </w:rPr>
      </w:pPr>
      <w:r w:rsidRPr="00727804">
        <w:rPr>
          <w:rFonts w:ascii="Arial" w:eastAsia="Times New Roman" w:hAnsi="Arial" w:cs="Arial"/>
          <w:b/>
          <w:color w:val="000000"/>
          <w:sz w:val="28"/>
          <w:szCs w:val="28"/>
          <w:lang w:val="en-GB" w:eastAsia="en-GB"/>
        </w:rPr>
        <w:t>Safeguarding in an area which is not your main area of work</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ind w:left="-90"/>
        <w:jc w:val="both"/>
        <w:textAlignment w:val="baseline"/>
        <w:rPr>
          <w:rFonts w:ascii="Arial" w:eastAsia="Times New Roman" w:hAnsi="Arial" w:cs="Arial"/>
          <w:b/>
          <w:i/>
          <w:color w:val="000000"/>
          <w:sz w:val="24"/>
          <w:szCs w:val="24"/>
          <w:lang w:val="en-GB" w:eastAsia="en-GB"/>
        </w:rPr>
      </w:pPr>
      <w:r w:rsidRPr="00727804">
        <w:rPr>
          <w:rFonts w:ascii="Arial" w:eastAsia="Times New Roman" w:hAnsi="Arial" w:cs="Arial"/>
          <w:b/>
          <w:i/>
          <w:color w:val="000000"/>
          <w:sz w:val="24"/>
          <w:szCs w:val="24"/>
          <w:lang w:val="en-GB" w:eastAsia="en-GB"/>
        </w:rPr>
        <w:t xml:space="preserve">Guidance: </w:t>
      </w:r>
    </w:p>
    <w:p w:rsidR="00727804" w:rsidRPr="00727804" w:rsidRDefault="00727804" w:rsidP="00727804">
      <w:pPr>
        <w:overflowPunct w:val="0"/>
        <w:autoSpaceDE w:val="0"/>
        <w:autoSpaceDN w:val="0"/>
        <w:adjustRightInd w:val="0"/>
        <w:spacing w:after="0" w:line="240" w:lineRule="auto"/>
        <w:ind w:left="-90"/>
        <w:jc w:val="both"/>
        <w:textAlignment w:val="baseline"/>
        <w:rPr>
          <w:rFonts w:ascii="Arial" w:eastAsia="Times New Roman" w:hAnsi="Arial" w:cs="Arial"/>
          <w:i/>
          <w:iCs/>
          <w:color w:val="000000"/>
          <w:sz w:val="24"/>
          <w:szCs w:val="24"/>
          <w:lang w:val="en-GB" w:eastAsia="en-GB"/>
        </w:rPr>
      </w:pPr>
      <w:r w:rsidRPr="00727804">
        <w:rPr>
          <w:rFonts w:ascii="Arial" w:eastAsia="Times New Roman" w:hAnsi="Arial" w:cs="Arial"/>
          <w:i/>
          <w:iCs/>
          <w:color w:val="000000"/>
          <w:sz w:val="24"/>
          <w:szCs w:val="24"/>
          <w:lang w:val="en-GB" w:eastAsia="en-GB"/>
        </w:rPr>
        <w:t xml:space="preserve">Social Care Wales require newly qualified social workers to provide evidence of their understanding of safeguarding work with adults and children. The assignment below will enable you to demonstrate this. </w:t>
      </w:r>
      <w:r w:rsidRPr="00727804">
        <w:rPr>
          <w:rFonts w:ascii="Arial" w:eastAsia="Times New Roman" w:hAnsi="Arial" w:cs="Arial"/>
          <w:b/>
          <w:bCs/>
          <w:i/>
          <w:iCs/>
          <w:color w:val="000000"/>
          <w:sz w:val="24"/>
          <w:szCs w:val="24"/>
          <w:lang w:val="en-GB" w:eastAsia="en-GB"/>
        </w:rPr>
        <w:t>N.B</w:t>
      </w:r>
      <w:r w:rsidRPr="00727804">
        <w:rPr>
          <w:rFonts w:ascii="Arial" w:eastAsia="Times New Roman" w:hAnsi="Arial" w:cs="Arial"/>
          <w:i/>
          <w:iCs/>
          <w:color w:val="000000"/>
          <w:sz w:val="24"/>
          <w:szCs w:val="24"/>
          <w:lang w:val="en-GB" w:eastAsia="en-GB"/>
        </w:rPr>
        <w:t>. if your usual area of work is with children please write about adult safeguarding. If you usually work with adults, then write about child safeguarding.  Ensure you meet the learning out comes for this task (see appendix 5 of the handbook).</w:t>
      </w:r>
    </w:p>
    <w:p w:rsidR="00727804" w:rsidRPr="00727804" w:rsidRDefault="00727804" w:rsidP="00727804">
      <w:pPr>
        <w:overflowPunct w:val="0"/>
        <w:autoSpaceDE w:val="0"/>
        <w:autoSpaceDN w:val="0"/>
        <w:adjustRightInd w:val="0"/>
        <w:spacing w:after="0" w:line="240" w:lineRule="auto"/>
        <w:ind w:left="360" w:hanging="360"/>
        <w:jc w:val="both"/>
        <w:textAlignment w:val="baseline"/>
        <w:rPr>
          <w:rFonts w:ascii="Arial" w:eastAsia="Times New Roman" w:hAnsi="Arial" w:cs="Arial"/>
          <w:color w:val="000000"/>
          <w:sz w:val="24"/>
          <w:szCs w:val="24"/>
          <w:u w:val="single"/>
          <w:lang w:val="en-GB"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27804" w:rsidRPr="00727804" w:rsidTr="00290CDA">
        <w:tc>
          <w:tcPr>
            <w:tcW w:w="10188" w:type="dxa"/>
          </w:tcPr>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727804">
              <w:rPr>
                <w:rFonts w:ascii="Arial" w:eastAsia="Times New Roman" w:hAnsi="Arial" w:cs="Arial"/>
                <w:b/>
                <w:color w:val="000000"/>
                <w:sz w:val="24"/>
                <w:szCs w:val="24"/>
                <w:lang w:val="en-GB" w:eastAsia="en-GB"/>
              </w:rPr>
              <w:t>Question a:</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In an area </w:t>
            </w:r>
            <w:r w:rsidRPr="00727804">
              <w:rPr>
                <w:rFonts w:ascii="Arial" w:eastAsia="Times New Roman" w:hAnsi="Arial" w:cs="Arial"/>
                <w:b/>
                <w:color w:val="000000"/>
                <w:sz w:val="24"/>
                <w:szCs w:val="24"/>
                <w:lang w:val="en-GB" w:eastAsia="en-GB"/>
              </w:rPr>
              <w:t xml:space="preserve">that is not your main focus of work </w:t>
            </w:r>
            <w:r w:rsidRPr="00727804">
              <w:rPr>
                <w:rFonts w:ascii="Arial" w:eastAsia="Times New Roman" w:hAnsi="Arial" w:cs="Arial"/>
                <w:color w:val="000000"/>
                <w:sz w:val="24"/>
                <w:szCs w:val="24"/>
                <w:lang w:val="en-GB" w:eastAsia="en-GB"/>
              </w:rPr>
              <w:t xml:space="preserve">(see guidance above), explain the relevant legislation, and the national, local and organisational policies and procedures for safeguarding. </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Up until the introduction of the Social Services and Wellbeing (Wales) Act 2014 and Wales Safeguarding Procedures, safeguarding adults in Wales was underpinned by the Protection of Vulnerable Adults, 2004 within section 7 of the Care Standards Act (2000) legislation.  England also adhered to the same legislation until this was superseded by The Care Act 2014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leg04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(legislation.gov.uk, 2004)</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Whilst the Protection of Vulnerable Adults legislation set the president for how an adult should be treated, this did not provide the powers to remove an adult from a situation where they were at risk, The National Assistance Act 1948 gave the ‘power of removal from home’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Ali15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(Brammer, 2015)</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 xml:space="preserve">.  This act was a product of the ‘Welfare State’ established in 1940 and placed a duty on the local authority to provide residential care.  This has come under some scrutiny though net least because it conflicted with the Mental Capacity Act 2005 and the Human Rights Act 1998 in respect of Article 5: Right to liberty and security and Article 8: Respect for your private and family life, home and correspondence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Ric14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(Griffith, 2014)</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The Human Rights Act 1989 has a real influence on the law within Wales and the United Kingdom and social work practice continues to be challenged because of the act.  In a stark contrast thought, the act should be used as a means to promote best practice and the empowerment of the service users the role supports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Ali15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(Brammer, 2015)</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The Human Rights Act 1989 is enshrined throughout the Social Services and Wellbeing (Wales) Act 2014 (SSWBA) and throughout laws within the United Kingdom (UK).  In December 2021, the UK Government launched a consultation proposing to replace the Human Rights Act 1989 with a ‘Bill of Rights’.  The Welsh Government have responded to this stating that this is in direct conflict with the “Welsh Government’s commitment, reflected in our policy and practice, to strengthen and advance equality and human rights in Wales”.  This year the Human Rights Council of the United Nations will carry out a review including how the UK is adhering to its obligations to promote human rights.  The Welsh Government will, during this </w:t>
            </w:r>
            <w:r w:rsidRPr="00727804">
              <w:rPr>
                <w:rFonts w:ascii="Arial" w:eastAsia="Times New Roman" w:hAnsi="Arial" w:cs="Arial"/>
                <w:color w:val="000000"/>
                <w:sz w:val="24"/>
                <w:szCs w:val="24"/>
                <w:lang w:val="en-GB" w:eastAsia="en-GB"/>
              </w:rPr>
              <w:lastRenderedPageBreak/>
              <w:t xml:space="preserve">process, emphasise the progress that has been made since the last review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Mic21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(Antoniw &amp; Hutt, 2021)</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 xml:space="preserve">.  The Welsh Government are not confident that the ‘Bill of Rights’ would be reflective of the legal traditions of Wales, its history or their interest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gov21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(gov.wales, 2021)</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Safeguarding is  an overarching theme of the SSWBA and the Wales Safeguarding Procedures are a set of national procedures that works alongside the SSWBA and “sets out the roles and responsibilities for practitioners to ensure that they safeguard children and adults who are at risk of abuse and neglect” (Wales Safeguarding Procedures, 2022).  These procedures can be accessed via a phone application that is accessible to all practitioners.  This app allows for procedures to be updated quickly and efficiently to ensure that all practitioners have the most up to date guidance. The SSWBA and procedures places a duty of the local authority to investigate where an adult may be at risk of significant harm through abuse of neglect and puts a duty on partner and other relevant agencies to report a suspicion of an adult being abused or neglected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WcV21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(WcVA, 2021)</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 xml:space="preserve">.  In order to ensure that the local authority is adhering to the legal duties placed on it by the SSWBA, a National Independent Safeguarding Board was introduced by the act.  The role of the Board is to oversee the 6 Local Safeguarding Adults Boards (LSAB) in Wales whose role is to “protect adults within its area who have needs for care and support (whether or not a local authority is meeting any of those needs) and are experiencing, or are at risk of, abuse or neglect and to prevent those adults within its area becoming at risk of abuse or neglect”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Nor22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(North Wales Safeguarding Board, 2022)</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Calibri" w:eastAsia="Times New Roman" w:hAnsi="Calibri" w:cs="Arial"/>
                <w:color w:val="000000"/>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Calibri" w:eastAsia="Times New Roman" w:hAnsi="Calibri" w:cs="Arial"/>
                <w:color w:val="000000"/>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Calibri" w:eastAsia="Times New Roman" w:hAnsi="Calibri" w:cs="Arial"/>
                <w:color w:val="000000"/>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Calibri" w:eastAsia="Times New Roman" w:hAnsi="Calibri" w:cs="Arial"/>
                <w:color w:val="000000"/>
                <w:lang w:val="en-GB" w:eastAsia="en-GB"/>
              </w:rPr>
            </w:pPr>
            <w:r w:rsidRPr="00727804">
              <w:rPr>
                <w:rFonts w:ascii="Calibri" w:eastAsia="Times New Roman" w:hAnsi="Calibri" w:cs="Arial"/>
                <w:color w:val="000000"/>
                <w:lang w:val="en-GB" w:eastAsia="en-GB"/>
              </w:rPr>
              <w:t>645</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i/>
                <w:color w:val="000000"/>
                <w:sz w:val="24"/>
                <w:szCs w:val="24"/>
                <w:lang w:val="en-GB" w:eastAsia="en-GB"/>
              </w:rPr>
              <w:t>500 words</w:t>
            </w:r>
            <w:r w:rsidRPr="00727804">
              <w:rPr>
                <w:rFonts w:ascii="Arial" w:eastAsia="Times New Roman" w:hAnsi="Arial" w:cs="Arial"/>
                <w:color w:val="000000"/>
                <w:sz w:val="24"/>
                <w:szCs w:val="24"/>
                <w:lang w:val="en-GB" w:eastAsia="en-GB"/>
              </w:rPr>
              <w:t xml:space="preserve"> (+/- 10%: include your actual word count at the end of each section).</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p>
        </w:tc>
      </w:tr>
    </w:tbl>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727804" w:rsidRPr="00727804" w:rsidTr="00290CDA">
        <w:tc>
          <w:tcPr>
            <w:tcW w:w="10278" w:type="dxa"/>
          </w:tcPr>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b/>
                <w:color w:val="000000"/>
                <w:sz w:val="24"/>
                <w:szCs w:val="24"/>
                <w:lang w:val="en-GB" w:eastAsia="en-GB"/>
              </w:rPr>
            </w:pPr>
            <w:r w:rsidRPr="00727804">
              <w:rPr>
                <w:rFonts w:ascii="Arial" w:eastAsia="Times New Roman" w:hAnsi="Arial" w:cs="Arial"/>
                <w:b/>
                <w:color w:val="000000"/>
                <w:sz w:val="24"/>
                <w:szCs w:val="24"/>
                <w:lang w:val="en-GB" w:eastAsia="en-GB"/>
              </w:rPr>
              <w:t>Question b:</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Reflect on the difference between safeguarding in adults’ and children’s work</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The introduction of the SSWBA 2014 was to bring together and replace a range of adult and children legislation to one piece of legal framework that would ‘improve the well-being of people who need care and support, and carers who need support, and for transforming social services in Wales’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Soc22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(Social Care Wales, 2022)</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Whilst the notion of having one safeguarding framework is generally positive; this came under scrutiny early on when the act was the Social Services and Well-being (Wales) Bill.  It was welcomed in terms of the strengths based approach however, arguably this is the biggest conflict between safeguarding adults and safeguarding children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AxeNK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(Kaehne &amp; Taylor, NK)</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  For example, to look at a strengths based approach in safeguarding a child would be to look at the strengths of the parents.  It is widely documented within serious case reviews that the parents of ill-treated or murdered children are generally dis-honest, lying about circumstances with a clear indication of disguised compliance.  In a study carried out by Oliver &amp; Charles in 2015 they found that most practitioners felt strengths based practice does not fit in with statutory child protection duties.</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With some similarities to the afore mentioned study, a study around the compatibility of strengths based and adult safeguarding was carried out in 2020 which found that, ‘while it may initially appear that a strength-based approach is incompatible with safeguarding adults, it can be a valuable long-term tool in supporting adults who have been abused or self-neglected’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Pet20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(Morgan, 2020)</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 xml:space="preserve">.  He goes on to suggest  that whilst safeguarding processes are being followed, it would not be appropriate to apply strengths-based practice however, once the person is no longer in a ‘period of protection’ building on the strengths of the person would shift them from a position of vulnerability and dependency to autonomy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Pet20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(Morgan, 2020)</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The stark difference between safeguarding adults and children though is the function and purpose of the Mental Capacity Act 2005 which establishes a clear framework for adults making decisions about their own lives and aims to empower vulnerable adults to make decision where possible; even if this decision puts them at risk of harm.  All adults should be presumed as having capacity to become an ‘autonomous being’ unless a capacity assessment deems otherwise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Ali151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(Brammer, 2015)</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 xml:space="preserve">In relation so safeguarding children, the local authority has a duty to conduct a S47 child protection enquiry within the Children Act 1989 legislation which the parents of the children do not consent.  However Gillick Competency does give the right to refuse a child protection medical; a contentious area with a wealth of narrative to critically analyse this notion </w:t>
            </w:r>
            <w:r w:rsidRPr="00727804">
              <w:rPr>
                <w:rFonts w:ascii="Arial" w:eastAsia="Times New Roman" w:hAnsi="Arial" w:cs="Arial"/>
                <w:color w:val="000000"/>
                <w:sz w:val="24"/>
                <w:szCs w:val="24"/>
                <w:lang w:val="en-GB" w:eastAsia="en-GB"/>
              </w:rPr>
              <w:fldChar w:fldCharType="begin"/>
            </w:r>
            <w:r w:rsidRPr="00727804">
              <w:rPr>
                <w:rFonts w:ascii="Arial" w:eastAsia="Times New Roman" w:hAnsi="Arial" w:cs="Arial"/>
                <w:color w:val="000000"/>
                <w:sz w:val="24"/>
                <w:szCs w:val="24"/>
                <w:lang w:val="en-GB" w:eastAsia="en-GB"/>
              </w:rPr>
              <w:instrText xml:space="preserve"> CITATION Ali151 \l 2057 </w:instrText>
            </w:r>
            <w:r w:rsidRPr="00727804">
              <w:rPr>
                <w:rFonts w:ascii="Arial" w:eastAsia="Times New Roman" w:hAnsi="Arial" w:cs="Arial"/>
                <w:color w:val="000000"/>
                <w:sz w:val="24"/>
                <w:szCs w:val="24"/>
                <w:lang w:val="en-GB" w:eastAsia="en-GB"/>
              </w:rPr>
              <w:fldChar w:fldCharType="separate"/>
            </w:r>
            <w:r w:rsidRPr="00727804">
              <w:rPr>
                <w:rFonts w:ascii="Arial" w:eastAsia="Times New Roman" w:hAnsi="Arial" w:cs="Arial"/>
                <w:noProof/>
                <w:color w:val="000000"/>
                <w:sz w:val="24"/>
                <w:szCs w:val="24"/>
                <w:lang w:val="en-GB" w:eastAsia="en-GB"/>
              </w:rPr>
              <w:t>(Brammer, 2015)</w:t>
            </w:r>
            <w:r w:rsidRPr="00727804">
              <w:rPr>
                <w:rFonts w:ascii="Arial" w:eastAsia="Times New Roman" w:hAnsi="Arial" w:cs="Arial"/>
                <w:color w:val="000000"/>
                <w:sz w:val="24"/>
                <w:szCs w:val="24"/>
                <w:lang w:val="en-GB" w:eastAsia="en-GB"/>
              </w:rPr>
              <w:fldChar w:fldCharType="end"/>
            </w:r>
            <w:r w:rsidRPr="00727804">
              <w:rPr>
                <w:rFonts w:ascii="Arial" w:eastAsia="Times New Roman" w:hAnsi="Arial" w:cs="Arial"/>
                <w:color w:val="000000"/>
                <w:sz w:val="24"/>
                <w:szCs w:val="24"/>
                <w:lang w:val="en-GB" w:eastAsia="en-GB"/>
              </w:rPr>
              <w:t>.</w:t>
            </w:r>
          </w:p>
          <w:p w:rsidR="00727804" w:rsidRPr="00727804" w:rsidRDefault="00727804" w:rsidP="00727804">
            <w:pPr>
              <w:rPr>
                <w:rFonts w:ascii="Arial" w:eastAsia="Times New Roman" w:hAnsi="Arial" w:cs="Arial"/>
                <w:color w:val="000000"/>
                <w:sz w:val="24"/>
                <w:szCs w:val="24"/>
                <w:lang w:val="en-GB" w:eastAsia="en-GB"/>
              </w:rPr>
            </w:pPr>
          </w:p>
          <w:p w:rsidR="00727804" w:rsidRPr="00727804" w:rsidRDefault="00727804" w:rsidP="00727804">
            <w:pPr>
              <w:rPr>
                <w:rFonts w:ascii="Arial" w:eastAsia="Times New Roman" w:hAnsi="Arial" w:cs="Arial"/>
                <w:color w:val="000000"/>
                <w:sz w:val="24"/>
                <w:szCs w:val="24"/>
                <w:lang w:val="en-GB" w:eastAsia="en-GB"/>
              </w:rPr>
            </w:pPr>
            <w:r w:rsidRPr="00727804">
              <w:rPr>
                <w:rFonts w:ascii="Arial" w:eastAsia="Times New Roman" w:hAnsi="Arial" w:cs="Arial"/>
                <w:color w:val="000000"/>
                <w:sz w:val="24"/>
                <w:szCs w:val="24"/>
                <w:lang w:val="en-GB" w:eastAsia="en-GB"/>
              </w:rPr>
              <w:t>438</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i/>
                <w:color w:val="000000"/>
                <w:sz w:val="24"/>
                <w:szCs w:val="24"/>
                <w:lang w:val="en-GB" w:eastAsia="en-GB"/>
              </w:rPr>
            </w:pPr>
            <w:r w:rsidRPr="00727804">
              <w:rPr>
                <w:rFonts w:ascii="Arial" w:eastAsia="Times New Roman" w:hAnsi="Arial" w:cs="Arial"/>
                <w:i/>
                <w:color w:val="000000"/>
                <w:sz w:val="24"/>
                <w:szCs w:val="24"/>
                <w:lang w:val="en-GB" w:eastAsia="en-GB"/>
              </w:rPr>
              <w:t>400 words</w:t>
            </w:r>
            <w:r w:rsidRPr="00727804">
              <w:rPr>
                <w:rFonts w:ascii="Arial" w:eastAsia="Times New Roman" w:hAnsi="Arial" w:cs="Arial"/>
                <w:color w:val="000000"/>
                <w:sz w:val="24"/>
                <w:szCs w:val="24"/>
                <w:lang w:val="en-GB" w:eastAsia="en-GB"/>
              </w:rPr>
              <w:t xml:space="preserve"> </w:t>
            </w:r>
            <w:r w:rsidRPr="00727804">
              <w:rPr>
                <w:rFonts w:ascii="Arial" w:eastAsia="Times New Roman" w:hAnsi="Arial" w:cs="Arial"/>
                <w:i/>
                <w:color w:val="000000"/>
                <w:sz w:val="24"/>
                <w:szCs w:val="24"/>
                <w:lang w:val="en-GB" w:eastAsia="en-GB"/>
              </w:rPr>
              <w:t>(+/- 10%: include your actual word count at the end of each section).</w:t>
            </w:r>
          </w:p>
          <w:p w:rsidR="00727804" w:rsidRPr="00727804" w:rsidRDefault="00727804" w:rsidP="00727804">
            <w:pPr>
              <w:overflowPunct w:val="0"/>
              <w:autoSpaceDE w:val="0"/>
              <w:autoSpaceDN w:val="0"/>
              <w:adjustRightInd w:val="0"/>
              <w:spacing w:after="0" w:line="240" w:lineRule="auto"/>
              <w:jc w:val="both"/>
              <w:textAlignment w:val="baseline"/>
              <w:rPr>
                <w:rFonts w:ascii="Arial" w:eastAsia="Times New Roman" w:hAnsi="Arial" w:cs="Arial"/>
                <w:color w:val="000000"/>
                <w:sz w:val="24"/>
                <w:szCs w:val="24"/>
                <w:lang w:val="en-GB" w:eastAsia="en-GB"/>
              </w:rPr>
            </w:pPr>
          </w:p>
        </w:tc>
      </w:tr>
    </w:tbl>
    <w:p w:rsidR="00727804" w:rsidRPr="00727804" w:rsidRDefault="00727804" w:rsidP="00727804">
      <w:pPr>
        <w:overflowPunct w:val="0"/>
        <w:autoSpaceDE w:val="0"/>
        <w:autoSpaceDN w:val="0"/>
        <w:adjustRightInd w:val="0"/>
        <w:spacing w:after="0" w:line="240" w:lineRule="auto"/>
        <w:textAlignment w:val="baseline"/>
        <w:rPr>
          <w:rFonts w:ascii="Arial" w:eastAsia="Times New Roman" w:hAnsi="Arial" w:cs="Arial"/>
          <w:color w:val="000000"/>
          <w:sz w:val="24"/>
          <w:szCs w:val="24"/>
          <w:lang w:val="en-GB" w:eastAsia="en-GB"/>
        </w:rPr>
      </w:pPr>
    </w:p>
    <w:p w:rsidR="00B37B51" w:rsidRPr="004B26B1" w:rsidRDefault="00B37B51">
      <w:pPr>
        <w:rPr>
          <w:rFonts w:ascii="Arial" w:hAnsi="Arial" w:cs="Arial"/>
          <w:sz w:val="24"/>
          <w:szCs w:val="24"/>
        </w:rPr>
      </w:pPr>
      <w:bookmarkStart w:id="0" w:name="_GoBack"/>
      <w:bookmarkEnd w:id="0"/>
    </w:p>
    <w:sectPr w:rsidR="00B37B51" w:rsidRPr="004B26B1" w:rsidSect="00F15354">
      <w:headerReference w:type="default" r:id="rId5"/>
      <w:footerReference w:type="default" r:id="rId6"/>
      <w:pgSz w:w="12240" w:h="15840"/>
      <w:pgMar w:top="1440" w:right="1080" w:bottom="1440" w:left="1080" w:header="720" w:footer="720"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44EF6" w:rsidRDefault="00727804">
    <w:pPr>
      <w:pStyle w:val="Footer"/>
      <w:jc w:val="right"/>
    </w:pPr>
    <w:r>
      <w:fldChar w:fldCharType="begin"/>
    </w:r>
    <w:r>
      <w:instrText xml:space="preserve"> PAGE   \* MERGEFORMAT </w:instrText>
    </w:r>
    <w:r>
      <w:fldChar w:fldCharType="separate"/>
    </w:r>
    <w:r>
      <w:rPr>
        <w:noProof/>
      </w:rPr>
      <w:t>1</w:t>
    </w:r>
    <w:r>
      <w:fldChar w:fldCharType="end"/>
    </w:r>
  </w:p>
  <w:p w:rsidR="00A44EF6" w:rsidRPr="00E60F42" w:rsidRDefault="00727804" w:rsidP="004C2D3A">
    <w:pPr>
      <w:pStyle w:val="Footer"/>
      <w:ind w:right="360"/>
      <w:jc w:val="center"/>
      <w:rPr>
        <w:lang w:eastAsia="x-none"/>
      </w:rPr>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44EF6" w:rsidRDefault="00727804">
    <w:pPr>
      <w:pStyle w:val="Header"/>
    </w:pPr>
    <w: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7804"/>
    <w:rsid w:val="004B26B1"/>
    <w:rsid w:val="00727804"/>
    <w:rsid w:val="00B37B5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840B81F-DCAF-4B6C-B918-8AA39CE97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278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27804"/>
  </w:style>
  <w:style w:type="paragraph" w:styleId="Footer">
    <w:name w:val="footer"/>
    <w:basedOn w:val="Normal"/>
    <w:link w:val="FooterChar"/>
    <w:uiPriority w:val="99"/>
    <w:semiHidden/>
    <w:unhideWhenUsed/>
    <w:rsid w:val="007278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7278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1254</Words>
  <Characters>7151</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8389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Louanne Tushingham</dc:creator>
  <cp:keywords/>
  <dc:description/>
  <cp:lastModifiedBy>Louanne Tushingham</cp:lastModifiedBy>
  <cp:revision>1</cp:revision>
  <dcterms:created xsi:type="dcterms:W3CDTF">2023-02-27T09:50:00Z</dcterms:created>
  <dcterms:modified xsi:type="dcterms:W3CDTF">2023-02-27T09:52:00Z</dcterms:modified>
</cp:coreProperties>
</file>