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b w:val="1"/>
          <w:bCs w:val="1"/>
          <w:u w:val="single"/>
        </w:rPr>
      </w:pPr>
      <w:bookmarkStart w:colFirst="0" w:colLast="0" w:name="_4ao26mhd1hgt" w:id="0"/>
      <w:bookmarkEnd w:id="0"/>
      <w:r w:rsidDel="00000000" w:rsidR="00000000" w:rsidRPr="00000000">
        <w:rPr>
          <w:b w:val="1"/>
          <w:bCs w:val="1"/>
          <w:u w:val="single"/>
          <w:rtl w:val="0"/>
        </w:rPr>
        <w:t xml:space="preserve">HPEN6043 Gobbet Test.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360" w:lineRule="auto"/>
        <w:ind w:firstLine="720"/>
        <w:rPr>
          <w:highlight w:val="cyan"/>
        </w:rPr>
      </w:pPr>
      <w:r w:rsidDel="00000000" w:rsidR="00000000" w:rsidRPr="00000000">
        <w:rPr>
          <w:rtl w:val="0"/>
        </w:rPr>
        <w:t xml:space="preserve">For this gobbet test, I will be analysing a passage from the text, </w:t>
      </w:r>
      <w:r w:rsidDel="00000000" w:rsidR="00000000" w:rsidRPr="00000000">
        <w:rPr>
          <w:i w:val="1"/>
          <w:iCs w:val="1"/>
          <w:rtl w:val="0"/>
        </w:rPr>
        <w:t xml:space="preserve">The Ascent of Mount Ventoux</w:t>
      </w:r>
      <w:r w:rsidDel="00000000" w:rsidR="00000000" w:rsidRPr="00000000">
        <w:rPr>
          <w:rtl w:val="0"/>
        </w:rPr>
        <w:t xml:space="preserve">, written by Francesco Petrarch (Petrarca) around 1350. The text is written in the form of a Familiar Letter, a form that Petrarch himself brought to prominence, with this text and his later </w:t>
      </w:r>
      <w:r w:rsidDel="00000000" w:rsidR="00000000" w:rsidRPr="00000000">
        <w:rPr>
          <w:i w:val="1"/>
          <w:iCs w:val="1"/>
          <w:rtl w:val="0"/>
        </w:rPr>
        <w:t xml:space="preserve">Letter to Homer</w:t>
      </w:r>
      <w:r w:rsidDel="00000000" w:rsidR="00000000" w:rsidRPr="00000000">
        <w:rPr>
          <w:rtl w:val="0"/>
        </w:rPr>
        <w:t xml:space="preserve"> in 1360, that reads as a letter to an individual that seems to be close to the writer from the conversational language and tone. In the full text, Petrarch has written to an Augustinian monk, Dionigi da Borgo San Sepolcro, a friend and confessor to Petrarch, about how he and his brother, Gherardo, ascended Mount Ventoux in 1336. This journey takes place ten years after Petrarch had finished with his studies at the University of Bologna and the death of both his parents, and presents itself to Petrarch as a depiction of his struggles with internal conflicts.</w:t>
      </w:r>
      <w:r w:rsidDel="00000000" w:rsidR="00000000" w:rsidRPr="00000000">
        <w:rPr>
          <w:vertAlign w:val="superscript"/>
        </w:rPr>
        <w:footnoteReference w:customMarkFollows="0" w:id="0"/>
      </w:r>
      <w:r w:rsidDel="00000000" w:rsidR="00000000" w:rsidRPr="00000000">
        <w:rPr>
          <w:rtl w:val="0"/>
        </w:rPr>
        <w:t xml:space="preserve"> The hike turns from a physical challenge into a profound metaphor for Petrarch’s spiritual, moral and psychological evaluation and reflection.</w:t>
      </w: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tab/>
        <w:t xml:space="preserve">At the very beginning of this passage, Petrarch combines the geographical landscapes around him and recounts of the distant past. Whilst looking at Italy, “which I beheld more with my thought than with my eyes”</w:t>
      </w:r>
      <w:r w:rsidDel="00000000" w:rsidR="00000000" w:rsidRPr="00000000">
        <w:rPr>
          <w:vertAlign w:val="superscript"/>
        </w:rPr>
        <w:footnoteReference w:customMarkFollows="0" w:id="1"/>
      </w:r>
      <w:r w:rsidDel="00000000" w:rsidR="00000000" w:rsidRPr="00000000">
        <w:rPr>
          <w:rtl w:val="0"/>
        </w:rPr>
        <w:t xml:space="preserve">, Petrarch admits that he has been imagining Italy more than he has been seeing it, which shows how quickly the passage turns inward. And the mention of a historic Roman crossing the Alps, “that fierce enemy of the Roman name once made his way, splitting the rocks”, shows Petrarch’s interest in the classical era. Yet, he does not celebrate himself, but rather criticises himself by referring to his homesickness as a “double weakness”</w:t>
      </w:r>
      <w:r w:rsidDel="00000000" w:rsidR="00000000" w:rsidRPr="00000000">
        <w:rPr>
          <w:vertAlign w:val="superscript"/>
        </w:rPr>
        <w:footnoteReference w:customMarkFollows="0" w:id="2"/>
      </w:r>
      <w:r w:rsidDel="00000000" w:rsidR="00000000" w:rsidRPr="00000000">
        <w:rPr>
          <w:rtl w:val="0"/>
        </w:rPr>
        <w:t xml:space="preserve">. This is the first sign of a tension that will continue throughout the text between natural human emotions and experiences and Petrarch’s demand for self-control. </w:t>
      </w:r>
    </w:p>
    <w:p w:rsidR="00000000" w:rsidDel="00000000" w:rsidP="00000000" w:rsidRDefault="00000000" w:rsidRPr="00000000" w14:paraId="00000005">
      <w:pPr>
        <w:spacing w:line="360" w:lineRule="auto"/>
        <w:rPr/>
      </w:pPr>
      <w:r w:rsidDel="00000000" w:rsidR="00000000" w:rsidRPr="00000000">
        <w:rPr>
          <w:rtl w:val="0"/>
        </w:rPr>
        <w:tab/>
        <w:t xml:space="preserve">The passage then changes from Petrarch’s thoughts on place, to his thoughts on time. He reflects on the ten years it has been since he left the University of Bolgna, and discusses how much he has changed. He directly quotes St Augustine’s </w:t>
      </w:r>
      <w:r w:rsidDel="00000000" w:rsidR="00000000" w:rsidRPr="00000000">
        <w:rPr>
          <w:i w:val="1"/>
          <w:iCs w:val="1"/>
          <w:rtl w:val="0"/>
        </w:rPr>
        <w:t xml:space="preserve">Confessions</w:t>
      </w:r>
      <w:r w:rsidDel="00000000" w:rsidR="00000000" w:rsidRPr="00000000">
        <w:rPr>
          <w:rtl w:val="0"/>
        </w:rPr>
        <w:t xml:space="preserve">, a copy of that have had been given to Petrarch by Dionigi as a gift. “...with the words of your St Augustine: ‘I wish to recall all my foul past and the carnal corruption of my soul”</w:t>
      </w:r>
      <w:r w:rsidDel="00000000" w:rsidR="00000000" w:rsidRPr="00000000">
        <w:rPr>
          <w:vertAlign w:val="superscript"/>
        </w:rPr>
        <w:footnoteReference w:customMarkFollows="0" w:id="3"/>
      </w:r>
      <w:r w:rsidDel="00000000" w:rsidR="00000000" w:rsidRPr="00000000">
        <w:rPr>
          <w:rtl w:val="0"/>
        </w:rPr>
        <w:t xml:space="preserve">. This is Petrarch showing how he uses St Augustine as a model for self-evaluation, and how Petrarch wishes to remember and understand his past sins in order for he to become better. However, Petrarch cannot deny that he is still a victim of his own desires, when he says “Much that is dubious and evil still clings to me”. He continues–correcting himself at times, “Come now, what am I saying?”</w:t>
      </w:r>
      <w:r w:rsidDel="00000000" w:rsidR="00000000" w:rsidRPr="00000000">
        <w:rPr>
          <w:vertAlign w:val="superscript"/>
        </w:rPr>
        <w:footnoteReference w:customMarkFollows="0" w:id="4"/>
      </w:r>
      <w:r w:rsidDel="00000000" w:rsidR="00000000" w:rsidRPr="00000000">
        <w:rPr>
          <w:rtl w:val="0"/>
        </w:rPr>
        <w:t xml:space="preserve"> –and regretfully admits he wants to stop loving sinful things, material things, he does still love them. </w:t>
      </w:r>
    </w:p>
    <w:p w:rsidR="00000000" w:rsidDel="00000000" w:rsidP="00000000" w:rsidRDefault="00000000" w:rsidRPr="00000000" w14:paraId="00000006">
      <w:pPr>
        <w:spacing w:line="360" w:lineRule="auto"/>
        <w:rPr/>
      </w:pPr>
      <w:r w:rsidDel="00000000" w:rsidR="00000000" w:rsidRPr="00000000">
        <w:rPr>
          <w:rtl w:val="0"/>
        </w:rPr>
        <w:tab/>
        <w:t xml:space="preserve">Petrarch continues by painting the conflict in his mind as a battle. “These two adversaries have joined in close combat for supremacy”</w:t>
      </w:r>
      <w:r w:rsidDel="00000000" w:rsidR="00000000" w:rsidRPr="00000000">
        <w:rPr>
          <w:vertAlign w:val="superscript"/>
        </w:rPr>
        <w:footnoteReference w:customMarkFollows="0" w:id="5"/>
      </w:r>
      <w:r w:rsidDel="00000000" w:rsidR="00000000" w:rsidRPr="00000000">
        <w:rPr>
          <w:rtl w:val="0"/>
        </w:rPr>
        <w:t xml:space="preserve"> shows how serious and exhausting the struggle feels to Petrarch and how he is uncertain of what result may occur. And even when he does discuss the potential futures ahead of him, he only speaks in uncertain statements. “If you should…”</w:t>
      </w:r>
      <w:r w:rsidDel="00000000" w:rsidR="00000000" w:rsidRPr="00000000">
        <w:rPr>
          <w:vertAlign w:val="superscript"/>
        </w:rPr>
        <w:footnoteReference w:customMarkFollows="0" w:id="6"/>
      </w:r>
      <w:r w:rsidDel="00000000" w:rsidR="00000000" w:rsidRPr="00000000">
        <w:rPr>
          <w:rtl w:val="0"/>
        </w:rPr>
        <w:t xml:space="preserve">, this suggests that he is doubtful, rather than confident in future progress.</w:t>
      </w:r>
    </w:p>
    <w:p w:rsidR="00000000" w:rsidDel="00000000" w:rsidP="00000000" w:rsidRDefault="00000000" w:rsidRPr="00000000" w14:paraId="00000007">
      <w:pPr>
        <w:spacing w:line="360" w:lineRule="auto"/>
        <w:rPr>
          <w:highlight w:val="cyan"/>
        </w:rPr>
      </w:pPr>
      <w:r w:rsidDel="00000000" w:rsidR="00000000" w:rsidRPr="00000000">
        <w:rPr>
          <w:rtl w:val="0"/>
        </w:rPr>
        <w:tab/>
        <w:t xml:space="preserve">At the end of the passage, Petrarch realises that he has forgotten where he is and why he has climbed the mountain in the first place. “I had by this time forgotten where I was and why we had come; …I decided to look about me and see what we had come to see”</w:t>
      </w:r>
      <w:r w:rsidDel="00000000" w:rsidR="00000000" w:rsidRPr="00000000">
        <w:rPr>
          <w:vertAlign w:val="superscript"/>
        </w:rPr>
        <w:footnoteReference w:customMarkFollows="0" w:id="7"/>
      </w:r>
      <w:r w:rsidDel="00000000" w:rsidR="00000000" w:rsidRPr="00000000">
        <w:rPr>
          <w:rtl w:val="0"/>
        </w:rPr>
        <w:t xml:space="preserve"> this moment sums up the meaning of the text. Petrarch has understood that the physical climb means much less, if anything, compared to the inner, moral and religious struggles that humans experience. And this passage shows Petrarch realising that he is caught between religious ideal and human desire</w:t>
      </w:r>
      <w:r w:rsidDel="00000000" w:rsidR="00000000" w:rsidRPr="00000000">
        <w:rPr>
          <w:rtl w:val="0"/>
        </w:rPr>
      </w:r>
    </w:p>
    <w:p w:rsidR="00000000" w:rsidDel="00000000" w:rsidP="00000000" w:rsidRDefault="00000000" w:rsidRPr="00000000" w14:paraId="00000008">
      <w:pPr>
        <w:spacing w:line="360" w:lineRule="auto"/>
        <w:ind w:firstLine="720"/>
        <w:rPr>
          <w:highlight w:val="cyan"/>
        </w:rPr>
      </w:pPr>
      <w:r w:rsidDel="00000000" w:rsidR="00000000" w:rsidRPr="00000000">
        <w:rPr>
          <w:rtl w:val="0"/>
        </w:rPr>
        <w:t xml:space="preserve">The whole letter is presented as about climbing a mountain, but again and again, Petrarch becomes so absorbed in self-analysising his spiritual belief and psychological desires that he forgets about the landscape. And this is contrasted between how Petrarch and his brother, Gherardo climb the mountain. Petrarch actively looks for the easiest route, which results in the opposite and requires Petrarch to exert more physical energy, whereas Gherardo took the most direct route. This is a mirroring of how both Petrarch and Gherardo interacted with this internal conflicts, without exactly referencing it. Gherardo, a few years after the brothers’ ascent, becomes a Carthusian monk and serves this role for the rest of his life, whilst Petrarch continued to wage war between his want to completely devote himself to his religious beliefs and his want to completely abstain from loving and enjoying things of solely material value.</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4">
    <w:p w:rsidR="00000000" w:rsidDel="00000000" w:rsidP="00000000" w:rsidRDefault="00000000" w:rsidRPr="00000000" w14:paraId="0000000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Petrarch, F. </w:t>
      </w:r>
      <w:r w:rsidDel="00000000" w:rsidR="00000000" w:rsidRPr="00000000">
        <w:rPr>
          <w:i w:val="1"/>
          <w:iCs w:val="1"/>
          <w:sz w:val="20"/>
          <w:szCs w:val="20"/>
          <w:rtl w:val="0"/>
        </w:rPr>
        <w:t xml:space="preserve">Petrarch: Selections from the ‘Canzoniere’ and Other Works</w:t>
      </w:r>
      <w:r w:rsidDel="00000000" w:rsidR="00000000" w:rsidRPr="00000000">
        <w:rPr>
          <w:sz w:val="20"/>
          <w:szCs w:val="20"/>
          <w:rtl w:val="0"/>
        </w:rPr>
        <w:t xml:space="preserve">, trans. and ed. with an Introduction and Notes by Musa, M. (Oxford: Oxford University Press, 1999), pp. 15.</w:t>
      </w:r>
    </w:p>
  </w:footnote>
  <w:footnote w:id="3">
    <w:p w:rsidR="00000000" w:rsidDel="00000000" w:rsidP="00000000" w:rsidRDefault="00000000" w:rsidRPr="00000000" w14:paraId="0000000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15. </w:t>
      </w:r>
    </w:p>
  </w:footnote>
  <w:footnote w:id="2">
    <w:p w:rsidR="00000000" w:rsidDel="00000000" w:rsidP="00000000" w:rsidRDefault="00000000" w:rsidRPr="00000000" w14:paraId="0000000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15.</w:t>
      </w:r>
    </w:p>
  </w:footnote>
  <w:footnote w:id="1">
    <w:p w:rsidR="00000000" w:rsidDel="00000000" w:rsidP="00000000" w:rsidRDefault="00000000" w:rsidRPr="00000000" w14:paraId="0000000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Petrarch, F. </w:t>
      </w:r>
      <w:r w:rsidDel="00000000" w:rsidR="00000000" w:rsidRPr="00000000">
        <w:rPr>
          <w:i w:val="1"/>
          <w:iCs w:val="1"/>
          <w:sz w:val="20"/>
          <w:szCs w:val="20"/>
          <w:rtl w:val="0"/>
        </w:rPr>
        <w:t xml:space="preserve">Petrarch: Selections from the ‘Canzoniere’ and Other Works</w:t>
      </w:r>
      <w:r w:rsidDel="00000000" w:rsidR="00000000" w:rsidRPr="00000000">
        <w:rPr>
          <w:sz w:val="20"/>
          <w:szCs w:val="20"/>
          <w:rtl w:val="0"/>
        </w:rPr>
        <w:t xml:space="preserve">, trans. and ed. with an Introduction and Notes by Musa, M. (Oxford: Oxford University Press, 1999), pp. 15.</w:t>
      </w:r>
    </w:p>
  </w:footnote>
  <w:footnote w:id="0">
    <w:p w:rsidR="00000000" w:rsidDel="00000000" w:rsidP="00000000" w:rsidRDefault="00000000" w:rsidRPr="00000000" w14:paraId="0000000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Mann, N. ‘The Origins of Humanism’, in </w:t>
      </w:r>
      <w:r w:rsidDel="00000000" w:rsidR="00000000" w:rsidRPr="00000000">
        <w:rPr>
          <w:i w:val="1"/>
          <w:iCs w:val="1"/>
          <w:sz w:val="20"/>
          <w:szCs w:val="20"/>
          <w:rtl w:val="0"/>
        </w:rPr>
        <w:t xml:space="preserve">The Cambridge Companion to Renaissance Humanism</w:t>
      </w:r>
      <w:r w:rsidDel="00000000" w:rsidR="00000000" w:rsidRPr="00000000">
        <w:rPr>
          <w:sz w:val="20"/>
          <w:szCs w:val="20"/>
          <w:rtl w:val="0"/>
        </w:rPr>
        <w:t xml:space="preserve">, ed. by Kraye, J. (Cambridge: Cambridge University Press, 1996), pp. 9-10.</w:t>
      </w:r>
    </w:p>
  </w:footnote>
  <w:footnote w:id="5">
    <w:p w:rsidR="00000000" w:rsidDel="00000000" w:rsidP="00000000" w:rsidRDefault="00000000" w:rsidRPr="00000000" w14:paraId="0000000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16.</w:t>
      </w:r>
    </w:p>
  </w:footnote>
  <w:footnote w:id="6">
    <w:p w:rsidR="00000000" w:rsidDel="00000000" w:rsidP="00000000" w:rsidRDefault="00000000" w:rsidRPr="00000000" w14:paraId="0000000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16.</w:t>
      </w:r>
    </w:p>
  </w:footnote>
  <w:footnote w:id="7">
    <w:p w:rsidR="00000000" w:rsidDel="00000000" w:rsidP="00000000" w:rsidRDefault="00000000" w:rsidRPr="00000000" w14:paraId="0000001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16.</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