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99496" w14:textId="6F585F7E" w:rsidR="009622A0" w:rsidRDefault="00360A47" w:rsidP="0056111F">
      <w:pPr>
        <w:ind w:firstLine="720"/>
      </w:pPr>
      <w:r>
        <w:rPr>
          <w:noProof/>
        </w:rPr>
        <w:pict w14:anchorId="3FEA2AB5">
          <v:shapetype id="_x0000_t202" coordsize="21600,21600" o:spt="202" path="m,l,21600r21600,l21600,xe">
            <v:stroke joinstyle="miter"/>
            <v:path gradientshapeok="t" o:connecttype="rect"/>
          </v:shapetype>
          <v:shape id="_x0000_s1027" type="#_x0000_t202" style="position:absolute;left:0;text-align:left;margin-left:49.45pt;margin-top:292.6pt;width:354.4pt;height:.05pt;z-index:251660288;mso-position-horizontal-relative:text;mso-position-vertical-relative:text" wrapcoords="-46 0 -46 20829 21600 20829 21600 0 -46 0" stroked="f">
            <v:textbox style="mso-fit-shape-to-text:t" inset="0,0,0,0">
              <w:txbxContent>
                <w:p w14:paraId="15753454" w14:textId="20D7FC67" w:rsidR="005A31FB" w:rsidRPr="00695629" w:rsidRDefault="005A31FB" w:rsidP="005A31FB">
                  <w:pPr>
                    <w:pStyle w:val="Caption"/>
                    <w:rPr>
                      <w:rFonts w:ascii="Times New Roman" w:hAnsi="Times New Roman" w:cs="Times New Roman"/>
                      <w:noProof/>
                      <w:kern w:val="0"/>
                      <w:sz w:val="22"/>
                      <w:szCs w:val="22"/>
                      <w14:ligatures w14:val="none"/>
                    </w:rPr>
                  </w:pPr>
                  <w:r>
                    <w:t xml:space="preserve">Figure </w:t>
                  </w:r>
                  <w:fldSimple w:instr=" SEQ Figure \* ARABIC ">
                    <w:r>
                      <w:rPr>
                        <w:noProof/>
                      </w:rPr>
                      <w:t>1</w:t>
                    </w:r>
                  </w:fldSimple>
                  <w:r>
                    <w:t xml:space="preserve"> Scene 23 of the Bayeux Tapestry</w:t>
                  </w:r>
                </w:p>
              </w:txbxContent>
            </v:textbox>
            <w10:wrap type="through"/>
          </v:shape>
        </w:pict>
      </w:r>
      <w:r w:rsidR="005A31FB">
        <w:rPr>
          <w:rFonts w:ascii="Times New Roman" w:hAnsi="Times New Roman" w:cs="Times New Roman"/>
          <w:noProof/>
          <w:kern w:val="0"/>
          <w14:ligatures w14:val="none"/>
        </w:rPr>
        <w:drawing>
          <wp:anchor distT="0" distB="0" distL="0" distR="0" simplePos="0" relativeHeight="251658240" behindDoc="0" locked="0" layoutInCell="0" allowOverlap="1" wp14:anchorId="21F7C2B6" wp14:editId="0040D6EB">
            <wp:simplePos x="0" y="0"/>
            <wp:positionH relativeFrom="column">
              <wp:posOffset>628015</wp:posOffset>
            </wp:positionH>
            <wp:positionV relativeFrom="paragraph">
              <wp:posOffset>1790700</wp:posOffset>
            </wp:positionV>
            <wp:extent cx="4500880" cy="1868170"/>
            <wp:effectExtent l="0" t="0" r="0" b="0"/>
            <wp:wrapThrough wrapText="bothSides">
              <wp:wrapPolygon edited="0">
                <wp:start x="0" y="0"/>
                <wp:lineTo x="0" y="21365"/>
                <wp:lineTo x="21484" y="21365"/>
                <wp:lineTo x="21484" y="0"/>
                <wp:lineTo x="0" y="0"/>
              </wp:wrapPolygon>
            </wp:wrapThrough>
            <wp:docPr id="371766456" name="Picture 1"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66456" name="Picture 1" descr="A close-up of a painting&#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l="-17" t="-41" r="-17" b="-41"/>
                    <a:stretch>
                      <a:fillRect/>
                    </a:stretch>
                  </pic:blipFill>
                  <pic:spPr bwMode="auto">
                    <a:xfrm>
                      <a:off x="0" y="0"/>
                      <a:ext cx="4500880" cy="1868170"/>
                    </a:xfrm>
                    <a:prstGeom prst="rect">
                      <a:avLst/>
                    </a:prstGeom>
                    <a:solidFill>
                      <a:srgbClr val="FFFFFF">
                        <a:alpha val="0"/>
                      </a:srgbClr>
                    </a:solidFill>
                  </pic:spPr>
                </pic:pic>
              </a:graphicData>
            </a:graphic>
            <wp14:sizeRelH relativeFrom="page">
              <wp14:pctWidth>0</wp14:pctWidth>
            </wp14:sizeRelH>
            <wp14:sizeRelV relativeFrom="page">
              <wp14:pctHeight>0</wp14:pctHeight>
            </wp14:sizeRelV>
          </wp:anchor>
        </w:drawing>
      </w:r>
      <w:r w:rsidR="003F6252">
        <w:t xml:space="preserve">The world famous Bayeux Tapestry depicts the story of the Norman Conquest of England, possibly commissioned by Bishop Odo, the tapestry is </w:t>
      </w:r>
      <w:r w:rsidR="00151643">
        <w:t>well over two hundred feet</w:t>
      </w:r>
      <w:r w:rsidR="003F6252">
        <w:t xml:space="preserve"> long.</w:t>
      </w:r>
      <w:r w:rsidR="00B70BFB">
        <w:rPr>
          <w:rStyle w:val="FootnoteReference"/>
        </w:rPr>
        <w:footnoteReference w:id="1"/>
      </w:r>
      <w:r w:rsidR="003F6252">
        <w:t xml:space="preserve"> Its intricate embroidery have fascinated people for centuries. </w:t>
      </w:r>
      <w:r w:rsidR="00151643">
        <w:t xml:space="preserve">The tapestry </w:t>
      </w:r>
      <w:r w:rsidR="00B70BFB">
        <w:t>depicts</w:t>
      </w:r>
      <w:r w:rsidR="00151643">
        <w:t xml:space="preserve"> many varied episodes from the crucial turning point that was 1066. One of the most controversial and debated events of the era is depicted on the tapestry.</w:t>
      </w:r>
      <w:r w:rsidR="00B70BFB">
        <w:t xml:space="preserve"> </w:t>
      </w:r>
      <w:r w:rsidR="00D96EC1">
        <w:t>In scene twenty three the tapestry depicts what is reportedly Harold Godwinson promising to William the Conqueror</w:t>
      </w:r>
      <w:r w:rsidR="0056111F">
        <w:t xml:space="preserve"> that he would give him the kingdom of England.</w:t>
      </w:r>
      <w:r w:rsidR="00957924">
        <w:rPr>
          <w:rStyle w:val="FootnoteReference"/>
        </w:rPr>
        <w:footnoteReference w:id="2"/>
      </w:r>
      <w:r w:rsidR="0056111F">
        <w:t xml:space="preserve"> This scene has sparked a huge amount of debate, both popular and scholarly over the many centuries since the events took place.</w:t>
      </w:r>
      <w:r w:rsidR="009957FB">
        <w:t xml:space="preserve"> This scene is a fascinating part of the tapestry and of the events of that crucial year.</w:t>
      </w:r>
    </w:p>
    <w:p w14:paraId="359075F1" w14:textId="38CDB40A" w:rsidR="0021002C" w:rsidRDefault="001D657C" w:rsidP="0056111F">
      <w:pPr>
        <w:ind w:firstLine="720"/>
      </w:pPr>
      <w:r>
        <w:t xml:space="preserve">Scene twenty three’s depiction of Harold swearing an oath over holy relics is fascinating, not only because it’s a piece of a unique tapestry depicting one of the most important events in British history, but also because it provided the </w:t>
      </w:r>
      <w:r w:rsidR="00BB4A54">
        <w:t>‘</w:t>
      </w:r>
      <w:r>
        <w:t>Ca</w:t>
      </w:r>
      <w:r w:rsidR="00BB4A54">
        <w:t>s</w:t>
      </w:r>
      <w:r>
        <w:t>us Belli</w:t>
      </w:r>
      <w:r w:rsidR="00BB4A54">
        <w:t xml:space="preserve">’ for the invasion of England by William. </w:t>
      </w:r>
      <w:r w:rsidR="00173C10">
        <w:t>Williams invasion was predicated on the fact that he had the right to the English Crown, his first claim came was because Edward the Confessor ha</w:t>
      </w:r>
      <w:r w:rsidR="00800368">
        <w:t>d</w:t>
      </w:r>
      <w:r w:rsidR="00173C10">
        <w:t xml:space="preserve"> sw</w:t>
      </w:r>
      <w:r w:rsidR="00800368">
        <w:t>orn</w:t>
      </w:r>
      <w:r w:rsidR="00173C10">
        <w:t xml:space="preserve"> him the crown.</w:t>
      </w:r>
      <w:r w:rsidR="00173C10">
        <w:rPr>
          <w:rStyle w:val="FootnoteReference"/>
        </w:rPr>
        <w:footnoteReference w:id="3"/>
      </w:r>
      <w:r w:rsidR="00173C10">
        <w:t xml:space="preserve"> William was a Cousin of Edward’s through Edwards Norman mother</w:t>
      </w:r>
      <w:r w:rsidR="008D7062">
        <w:t xml:space="preserve">, </w:t>
      </w:r>
      <w:r w:rsidR="00800368">
        <w:t xml:space="preserve">this fact and the </w:t>
      </w:r>
      <w:r w:rsidR="003F6B1B">
        <w:t>swearing of Harold Godwinson on holy relics. Was the key factory that allowed William to justify his invasion to the papacy.</w:t>
      </w:r>
      <w:r w:rsidR="00292B63">
        <w:t xml:space="preserve"> </w:t>
      </w:r>
      <w:r w:rsidR="00A84AAD">
        <w:t>This is just one of the short sections on the Tapestry, however it is crucial to the story that the tapestry presents.</w:t>
      </w:r>
    </w:p>
    <w:p w14:paraId="1803057E" w14:textId="6F91AF8B" w:rsidR="0086054A" w:rsidRDefault="00F508FC" w:rsidP="0056111F">
      <w:pPr>
        <w:ind w:firstLine="720"/>
      </w:pPr>
      <w:r>
        <w:t xml:space="preserve">There are a few crucial </w:t>
      </w:r>
      <w:r w:rsidR="002030CE">
        <w:t>things depicted in this scene. One portion that is often overlooked, especially by more sceptical scholars. Is that the scene depicts Harold Godwinson swearing over a pair of Reliquaries, elegantly depicted in all their finery.</w:t>
      </w:r>
      <w:r w:rsidR="00A959EC">
        <w:rPr>
          <w:rStyle w:val="FootnoteReference"/>
        </w:rPr>
        <w:footnoteReference w:id="4"/>
      </w:r>
      <w:r w:rsidR="002030CE">
        <w:t xml:space="preserve"> </w:t>
      </w:r>
      <w:r w:rsidR="005A31FB">
        <w:t xml:space="preserve"> This </w:t>
      </w:r>
      <w:r w:rsidR="00BF250E">
        <w:t xml:space="preserve">demonstrated an overlooked point about the Normans, namely their incredible piety. The Normans are often seen </w:t>
      </w:r>
      <w:r w:rsidR="00BF250E">
        <w:lastRenderedPageBreak/>
        <w:t>and framed by their pagan Viking ancestors</w:t>
      </w:r>
      <w:r w:rsidR="00023B44">
        <w:t>,</w:t>
      </w:r>
      <w:r w:rsidR="00A959EC">
        <w:rPr>
          <w:rStyle w:val="FootnoteReference"/>
        </w:rPr>
        <w:footnoteReference w:id="5"/>
      </w:r>
      <w:r w:rsidR="00023B44">
        <w:t xml:space="preserve"> this reputation has followed them into modern times when they are very frequently viewed entirely through a pragmatic and sceptical lens. </w:t>
      </w:r>
      <w:r w:rsidR="00DD3D14">
        <w:t xml:space="preserve">The image of a brutal and violent Norman warrior, filled with the fury of his Viking forefathers is a common trope. </w:t>
      </w:r>
      <w:r w:rsidR="00023B44">
        <w:t xml:space="preserve">This </w:t>
      </w:r>
      <w:r w:rsidR="005903A5">
        <w:t xml:space="preserve">view </w:t>
      </w:r>
      <w:r w:rsidR="00DD3D14">
        <w:t xml:space="preserve">of the Norman as almost a pagan </w:t>
      </w:r>
      <w:r w:rsidR="005903A5">
        <w:t xml:space="preserve">is antithetical to </w:t>
      </w:r>
      <w:r w:rsidR="00D90D4F">
        <w:t xml:space="preserve">the reality that is demonstrated through their actions. While Dudo of St. Quentin may have been fairly fanciful about the </w:t>
      </w:r>
      <w:r w:rsidR="007A3518">
        <w:t xml:space="preserve">Christian </w:t>
      </w:r>
      <w:r w:rsidR="00D90D4F">
        <w:t xml:space="preserve">dutifulness </w:t>
      </w:r>
      <w:r w:rsidR="009A6321">
        <w:t xml:space="preserve"> </w:t>
      </w:r>
      <w:r w:rsidR="00D90D4F">
        <w:t>of Rollo</w:t>
      </w:r>
      <w:r w:rsidR="00A959EC">
        <w:t>.</w:t>
      </w:r>
      <w:r w:rsidR="00A959EC">
        <w:rPr>
          <w:rStyle w:val="FootnoteReference"/>
        </w:rPr>
        <w:footnoteReference w:id="6"/>
      </w:r>
      <w:r w:rsidR="00A959EC">
        <w:t xml:space="preserve"> It cannot be doubted that by the time of William the Conqueror the Normans had embraced Christianity wholesale, and were an incredibly pious people.</w:t>
      </w:r>
      <w:r w:rsidR="00AF5948">
        <w:rPr>
          <w:rStyle w:val="FootnoteReference"/>
        </w:rPr>
        <w:footnoteReference w:id="7"/>
      </w:r>
      <w:r w:rsidR="00A959EC">
        <w:t xml:space="preserve"> This can be seen through factors such as their frequent pilgrimages</w:t>
      </w:r>
      <w:r w:rsidR="00333FCE">
        <w:t xml:space="preserve"> to places like the shrine of St. Michael in Italy. </w:t>
      </w:r>
      <w:r w:rsidR="00031B90">
        <w:t xml:space="preserve">William Duke of Normandy made sure to acquire the blessing of the </w:t>
      </w:r>
      <w:r w:rsidR="00FF3186">
        <w:t xml:space="preserve">Pope before he invaded England. In this scene we can see this demonstrated by the inclusion of not only one, but two reliquaries. This evidence of the piety of the Norman </w:t>
      </w:r>
      <w:r w:rsidR="007D6C3A">
        <w:t>aristocracy</w:t>
      </w:r>
      <w:r w:rsidR="00DD3D14">
        <w:t xml:space="preserve"> is crucial to understanding many of their actions in their period. </w:t>
      </w:r>
    </w:p>
    <w:p w14:paraId="7A2A11C5" w14:textId="43F7A32A" w:rsidR="00DD3D14" w:rsidRDefault="00957D55" w:rsidP="0056111F">
      <w:pPr>
        <w:ind w:firstLine="720"/>
      </w:pPr>
      <w:r>
        <w:t xml:space="preserve">These two factors </w:t>
      </w:r>
      <w:r w:rsidR="00DC3839">
        <w:t>would have been very important to the people of the eleventh century</w:t>
      </w:r>
      <w:r w:rsidR="007A3518">
        <w:t xml:space="preserve">. Between these two things, the piety of the Normans, and Europe generally at this point, and the </w:t>
      </w:r>
      <w:r w:rsidR="009C4A94">
        <w:t>promise of not only Edward the Confessor, but also of Harold Godwinson. These two things together provided an excellent excuse to invade England.</w:t>
      </w:r>
      <w:r w:rsidR="001F77BC">
        <w:t xml:space="preserve"> Even this term, excuse, give an air that William was a cynical and calculating man. It is more than likely that William entirely bought into his own right to </w:t>
      </w:r>
      <w:r w:rsidR="006314A5">
        <w:t xml:space="preserve">rule England and that the invasion, to him, was an entirely just and correct thing to do. </w:t>
      </w:r>
    </w:p>
    <w:p w14:paraId="427F12DE" w14:textId="49FD85D4" w:rsidR="0056111F" w:rsidRDefault="00551390" w:rsidP="0056111F">
      <w:pPr>
        <w:ind w:firstLine="720"/>
      </w:pPr>
      <w:r>
        <w:t>Anglo Saxon England was not an isolated portion of the world, nor was England a backwater.</w:t>
      </w:r>
      <w:r w:rsidR="004D1709">
        <w:rPr>
          <w:rStyle w:val="FootnoteReference"/>
        </w:rPr>
        <w:footnoteReference w:id="8"/>
      </w:r>
      <w:r>
        <w:t xml:space="preserve"> The tapestry depicts this fairly acutely. The Saxons are not depicted substantially differently from their Norman Counterparts. </w:t>
      </w:r>
      <w:r w:rsidR="00183F94">
        <w:t>The tapestry depicts the similarities between the Saxons and the Normans, they wear essentially the same clothing. Harold Godwinson is here depicted in the same style of Tunic, Hoes and Cloak as the attendants around William are. Willim is depicted in a more rich, slightly longer tunic.</w:t>
      </w:r>
      <w:r w:rsidR="000F31AB">
        <w:t xml:space="preserve"> Marking him out as different, a ruler.</w:t>
      </w:r>
      <w:r w:rsidR="000F31AB">
        <w:rPr>
          <w:rStyle w:val="FootnoteReference"/>
        </w:rPr>
        <w:footnoteReference w:id="9"/>
      </w:r>
      <w:r w:rsidR="00183F94">
        <w:t xml:space="preserve"> There is but one difference that keys the view in to the fact that these are two different people groups. The key difference is that Harold is depicted with a fairly lush and long Mustache. This is interesting, Edward the Confessor grew up in Normandy following the invasion of </w:t>
      </w:r>
      <w:r w:rsidR="00582235">
        <w:t xml:space="preserve">England by Cnut. </w:t>
      </w:r>
      <w:r w:rsidR="002971F9">
        <w:t xml:space="preserve">When Edward the Confessor </w:t>
      </w:r>
      <w:r w:rsidR="009B1FE9">
        <w:t>came to England he came with a Norman entourage</w:t>
      </w:r>
      <w:r w:rsidR="00AC2C10">
        <w:t>.</w:t>
      </w:r>
      <w:r w:rsidR="00340EDE">
        <w:rPr>
          <w:rStyle w:val="FootnoteReference"/>
        </w:rPr>
        <w:footnoteReference w:id="10"/>
      </w:r>
      <w:r w:rsidR="00AC2C10">
        <w:t xml:space="preserve"> The </w:t>
      </w:r>
      <w:proofErr w:type="spellStart"/>
      <w:r w:rsidR="00AC2C10">
        <w:t>Normanisation</w:t>
      </w:r>
      <w:proofErr w:type="spellEnd"/>
      <w:r w:rsidR="00AC2C10">
        <w:t xml:space="preserve"> of England </w:t>
      </w:r>
      <w:r w:rsidR="006C11AA">
        <w:t xml:space="preserve">during the reign of Edward the Confessor </w:t>
      </w:r>
      <w:r w:rsidR="00AC2C10">
        <w:t xml:space="preserve">was opposed </w:t>
      </w:r>
      <w:r w:rsidR="001C24F0">
        <w:t>by th</w:t>
      </w:r>
      <w:r w:rsidR="006C11AA">
        <w:t>e</w:t>
      </w:r>
      <w:r w:rsidR="001C24F0">
        <w:t xml:space="preserve"> Anglo-Danish nobles </w:t>
      </w:r>
      <w:r w:rsidR="00585DA2">
        <w:t xml:space="preserve">but the style of </w:t>
      </w:r>
      <w:r w:rsidR="002E55A3">
        <w:t>clothing</w:t>
      </w:r>
      <w:r w:rsidR="00056B65">
        <w:t xml:space="preserve"> matching that of the continent</w:t>
      </w:r>
      <w:r w:rsidR="002E55A3">
        <w:t xml:space="preserve"> is documented </w:t>
      </w:r>
      <w:r w:rsidR="00056B65">
        <w:t>by the tapestry in an interesting reminder of the gradual integration of England into the contingent.</w:t>
      </w:r>
    </w:p>
    <w:p w14:paraId="66020049" w14:textId="603E802C" w:rsidR="00056B65" w:rsidRDefault="002622C4" w:rsidP="0056111F">
      <w:pPr>
        <w:ind w:firstLine="720"/>
      </w:pPr>
      <w:r>
        <w:t xml:space="preserve">Other than </w:t>
      </w:r>
      <w:r w:rsidR="00DD4503">
        <w:t xml:space="preserve">the Bayeux Tapestry there are a number of chroniclers who discuss Harold swearing fealty to William of Normandy, and promising </w:t>
      </w:r>
      <w:r w:rsidR="00902007">
        <w:t xml:space="preserve">to give him the kingdom. </w:t>
      </w:r>
      <w:r w:rsidR="009221F0">
        <w:t xml:space="preserve">The main chronicler who talk about this event happening are William of Poitiers </w:t>
      </w:r>
      <w:r w:rsidR="00151424">
        <w:t>and William of Jumièges both writing around the year 1070.</w:t>
      </w:r>
      <w:r w:rsidR="006A0971">
        <w:t xml:space="preserve"> William of </w:t>
      </w:r>
      <w:proofErr w:type="spellStart"/>
      <w:r w:rsidR="006A0971">
        <w:t>Jumieges</w:t>
      </w:r>
      <w:proofErr w:type="spellEnd"/>
      <w:r w:rsidR="00FA4B0D">
        <w:t>’ notes this visit in chapter 31, calling Harold ‘the greatest of all the earls</w:t>
      </w:r>
      <w:r w:rsidR="003760BB">
        <w:t xml:space="preserve"> in his [Edward the Confessor’s] Kingdom.</w:t>
      </w:r>
      <w:r w:rsidR="00475E22">
        <w:t xml:space="preserve"> This admits that Harold was a very powerful earl, and it may be worth considering that Edward sending him to </w:t>
      </w:r>
      <w:r w:rsidR="00475E22">
        <w:lastRenderedPageBreak/>
        <w:t>William was a strategically significant move.</w:t>
      </w:r>
      <w:r w:rsidR="003760BB">
        <w:t xml:space="preserve"> </w:t>
      </w:r>
      <w:r w:rsidR="00151424">
        <w:t xml:space="preserve"> It is notable that only Norman chroniclers discuss this event happening. </w:t>
      </w:r>
      <w:r w:rsidR="00E70F34">
        <w:t xml:space="preserve">This has led to some doubt about the validity of William’s claim that Harold visited Normandy at all. However, it is highly unlikely that William would have fabricated such an easily verified fact, while the nature of Harold’s oath may be different from </w:t>
      </w:r>
      <w:r w:rsidR="00DF262D">
        <w:t xml:space="preserve">what William said it was, it is very unlikely that William would have simply invented the whole thing. </w:t>
      </w:r>
    </w:p>
    <w:p w14:paraId="5367A2D6" w14:textId="1766A17C" w:rsidR="00A84AAD" w:rsidRDefault="00A84AAD" w:rsidP="0056111F">
      <w:pPr>
        <w:ind w:firstLine="720"/>
      </w:pPr>
      <w:r>
        <w:t>This section on the tapestry</w:t>
      </w:r>
      <w:r w:rsidR="00974757">
        <w:t xml:space="preserve"> may be a only a short section, however it is the hinge on which the rest of the tapestry turns. This section depicts the events that caused the invasion and </w:t>
      </w:r>
      <w:r w:rsidR="003B43E8">
        <w:t xml:space="preserve">conquest of England. Section twenty two is the crucial scene that raises William the Conqueror from the ranks of his other Ducal forefathers. To be remembered not as William ‘the Bastard’ but as ‘the Conqueror’, this section </w:t>
      </w:r>
      <w:r w:rsidR="00223692">
        <w:t xml:space="preserve">is crucial for the events that cemented William as an icon of British history. It’s a fascinating window into not only the events of 1066 but also of the way that the Normans viewed themselves and their invasion of the British isles. Harold swearing fealty on the relics is a crucial portion of the story of the Norman Invasion. </w:t>
      </w:r>
      <w:r w:rsidR="003B43E8">
        <w:t xml:space="preserve">  </w:t>
      </w:r>
    </w:p>
    <w:p w14:paraId="6669F4F4" w14:textId="77777777" w:rsidR="003466EA" w:rsidRDefault="003466EA" w:rsidP="0056111F">
      <w:pPr>
        <w:ind w:firstLine="720"/>
      </w:pPr>
    </w:p>
    <w:p w14:paraId="131901E0" w14:textId="77777777" w:rsidR="006B7538" w:rsidRDefault="006B7538" w:rsidP="0056111F">
      <w:pPr>
        <w:ind w:firstLine="720"/>
      </w:pPr>
    </w:p>
    <w:p w14:paraId="0F4FF8E4" w14:textId="77777777" w:rsidR="006B7538" w:rsidRDefault="006B7538" w:rsidP="0056111F">
      <w:pPr>
        <w:ind w:firstLine="720"/>
      </w:pPr>
    </w:p>
    <w:p w14:paraId="0B619891" w14:textId="77777777" w:rsidR="006B7538" w:rsidRDefault="006B7538" w:rsidP="0056111F">
      <w:pPr>
        <w:ind w:firstLine="720"/>
      </w:pPr>
    </w:p>
    <w:p w14:paraId="790B88F7" w14:textId="77777777" w:rsidR="006B7538" w:rsidRDefault="006B7538" w:rsidP="0056111F">
      <w:pPr>
        <w:ind w:firstLine="720"/>
      </w:pPr>
    </w:p>
    <w:p w14:paraId="6C29F9AD" w14:textId="77777777" w:rsidR="006B7538" w:rsidRDefault="006B7538" w:rsidP="0056111F">
      <w:pPr>
        <w:ind w:firstLine="720"/>
      </w:pPr>
    </w:p>
    <w:p w14:paraId="709A797F" w14:textId="77777777" w:rsidR="006B7538" w:rsidRDefault="006B7538" w:rsidP="0056111F">
      <w:pPr>
        <w:ind w:firstLine="720"/>
      </w:pPr>
    </w:p>
    <w:p w14:paraId="737959B1" w14:textId="77777777" w:rsidR="006B7538" w:rsidRDefault="006B7538" w:rsidP="0056111F">
      <w:pPr>
        <w:ind w:firstLine="720"/>
      </w:pPr>
    </w:p>
    <w:p w14:paraId="7B1FDADA" w14:textId="77777777" w:rsidR="006B7538" w:rsidRDefault="006B7538" w:rsidP="0056111F">
      <w:pPr>
        <w:ind w:firstLine="720"/>
      </w:pPr>
    </w:p>
    <w:p w14:paraId="20BF0DA2" w14:textId="77777777" w:rsidR="00360A47" w:rsidRDefault="00360A47" w:rsidP="0056111F">
      <w:pPr>
        <w:ind w:firstLine="720"/>
      </w:pPr>
    </w:p>
    <w:p w14:paraId="18A77CC4" w14:textId="77777777" w:rsidR="006B7538" w:rsidRDefault="006B7538" w:rsidP="0056111F">
      <w:pPr>
        <w:ind w:firstLine="720"/>
      </w:pPr>
    </w:p>
    <w:p w14:paraId="40B44D87" w14:textId="77777777" w:rsidR="006B7538" w:rsidRDefault="006B7538" w:rsidP="0056111F">
      <w:pPr>
        <w:ind w:firstLine="720"/>
      </w:pPr>
    </w:p>
    <w:p w14:paraId="3A4FC2E6" w14:textId="77777777" w:rsidR="006B7538" w:rsidRDefault="006B7538" w:rsidP="0056111F">
      <w:pPr>
        <w:ind w:firstLine="720"/>
      </w:pPr>
    </w:p>
    <w:p w14:paraId="685FC80E" w14:textId="77777777" w:rsidR="006B7538" w:rsidRDefault="006B7538" w:rsidP="0056111F">
      <w:pPr>
        <w:ind w:firstLine="720"/>
      </w:pPr>
    </w:p>
    <w:p w14:paraId="0A68FC22" w14:textId="77777777" w:rsidR="006B7538" w:rsidRDefault="006B7538" w:rsidP="0056111F">
      <w:pPr>
        <w:ind w:firstLine="720"/>
      </w:pPr>
    </w:p>
    <w:p w14:paraId="49169C7A" w14:textId="77777777" w:rsidR="006B7538" w:rsidRDefault="006B7538" w:rsidP="0056111F">
      <w:pPr>
        <w:ind w:firstLine="720"/>
      </w:pPr>
    </w:p>
    <w:p w14:paraId="0E82B3BD" w14:textId="77777777" w:rsidR="006B7538" w:rsidRDefault="006B7538" w:rsidP="0056111F">
      <w:pPr>
        <w:ind w:firstLine="720"/>
      </w:pPr>
    </w:p>
    <w:p w14:paraId="01B97156" w14:textId="77777777" w:rsidR="006B7538" w:rsidRDefault="006B7538" w:rsidP="0056111F">
      <w:pPr>
        <w:ind w:firstLine="720"/>
      </w:pPr>
    </w:p>
    <w:p w14:paraId="51CA1B00" w14:textId="77777777" w:rsidR="006B7538" w:rsidRDefault="006B7538" w:rsidP="0056111F">
      <w:pPr>
        <w:ind w:firstLine="720"/>
      </w:pPr>
    </w:p>
    <w:p w14:paraId="6A94E74D" w14:textId="77777777" w:rsidR="006B7538" w:rsidRDefault="006B7538" w:rsidP="0056111F">
      <w:pPr>
        <w:ind w:firstLine="720"/>
      </w:pPr>
    </w:p>
    <w:p w14:paraId="00DC6705" w14:textId="77777777" w:rsidR="006B7538" w:rsidRDefault="006B7538" w:rsidP="0056111F">
      <w:pPr>
        <w:ind w:firstLine="720"/>
      </w:pPr>
    </w:p>
    <w:p w14:paraId="1F0CFCC4" w14:textId="77777777" w:rsidR="006B7538" w:rsidRDefault="006B7538" w:rsidP="0056111F">
      <w:pPr>
        <w:ind w:firstLine="720"/>
      </w:pPr>
    </w:p>
    <w:p w14:paraId="695FFE50" w14:textId="77777777" w:rsidR="006B7538" w:rsidRPr="006B7538" w:rsidRDefault="006B7538" w:rsidP="006B7538">
      <w:pPr>
        <w:ind w:firstLine="720"/>
        <w:rPr>
          <w:b/>
          <w:bCs/>
        </w:rPr>
      </w:pPr>
      <w:r w:rsidRPr="006B7538">
        <w:rPr>
          <w:b/>
          <w:bCs/>
        </w:rPr>
        <w:lastRenderedPageBreak/>
        <w:t>Bibliography</w:t>
      </w:r>
    </w:p>
    <w:p w14:paraId="22AC20F3" w14:textId="77777777" w:rsidR="006B7538" w:rsidRPr="006B7538" w:rsidRDefault="006B7538" w:rsidP="006B7538">
      <w:r w:rsidRPr="006B7538">
        <w:t xml:space="preserve">Augustyn, Adam. 2019. ‘Bayeux Tapestry | History, Story, &amp; Facts | Britannica’, </w:t>
      </w:r>
      <w:proofErr w:type="spellStart"/>
      <w:r w:rsidRPr="006B7538">
        <w:rPr>
          <w:i/>
          <w:iCs/>
        </w:rPr>
        <w:t>Encyclopædia</w:t>
      </w:r>
      <w:proofErr w:type="spellEnd"/>
      <w:r w:rsidRPr="006B7538">
        <w:rPr>
          <w:i/>
          <w:iCs/>
        </w:rPr>
        <w:t xml:space="preserve"> Britannica</w:t>
      </w:r>
      <w:r w:rsidRPr="006B7538">
        <w:t xml:space="preserve"> &lt;https://www.britannica.com/topic/Bayeux-Tapestry&gt;</w:t>
      </w:r>
    </w:p>
    <w:p w14:paraId="4078D49B" w14:textId="77777777" w:rsidR="006B7538" w:rsidRPr="006B7538" w:rsidRDefault="006B7538" w:rsidP="006B7538">
      <w:pPr>
        <w:ind w:firstLine="720"/>
      </w:pPr>
      <w:r w:rsidRPr="006B7538">
        <w:t xml:space="preserve">BAYEUX MUSEUM. 2017. ‘Explore the Bayeux Tapestry Online’, </w:t>
      </w:r>
      <w:r w:rsidRPr="006B7538">
        <w:rPr>
          <w:i/>
          <w:iCs/>
        </w:rPr>
        <w:t>Bayeux Museum</w:t>
      </w:r>
      <w:r w:rsidRPr="006B7538">
        <w:t xml:space="preserve"> &lt;https://www.bayeuxmuseum.com/en/the-bayeux-tapestry/discover-the-bayeux-tapestry/explore-online/&gt;</w:t>
      </w:r>
    </w:p>
    <w:p w14:paraId="76811F56" w14:textId="77777777" w:rsidR="006B7538" w:rsidRPr="006B7538" w:rsidRDefault="006B7538" w:rsidP="006B7538">
      <w:pPr>
        <w:ind w:firstLine="720"/>
      </w:pPr>
      <w:r w:rsidRPr="006B7538">
        <w:t xml:space="preserve">Boehm, Barbara Drake. 2025. ‘Relics and Reliquaries in Medieval Christianity - the Metropolitan Museum of Art’, </w:t>
      </w:r>
      <w:r w:rsidRPr="006B7538">
        <w:rPr>
          <w:i/>
          <w:iCs/>
        </w:rPr>
        <w:t>Metmuseum.org</w:t>
      </w:r>
      <w:r w:rsidRPr="006B7538">
        <w:t xml:space="preserve"> &lt;https://www.metmuseum.org/essays/relics-and-reliquaries-in-medieval-christianity&gt;</w:t>
      </w:r>
    </w:p>
    <w:p w14:paraId="529C2F0F" w14:textId="77777777" w:rsidR="006B7538" w:rsidRPr="006B7538" w:rsidRDefault="006B7538" w:rsidP="006B7538">
      <w:pPr>
        <w:ind w:firstLine="720"/>
      </w:pPr>
      <w:r w:rsidRPr="006B7538">
        <w:t xml:space="preserve">Mason, Emma. 1991. </w:t>
      </w:r>
      <w:r w:rsidRPr="006B7538">
        <w:rPr>
          <w:i/>
          <w:iCs/>
        </w:rPr>
        <w:t>Norman Kingship</w:t>
      </w:r>
      <w:r w:rsidRPr="006B7538">
        <w:t xml:space="preserve"> (Bangor, Gwynedd: </w:t>
      </w:r>
      <w:proofErr w:type="spellStart"/>
      <w:r w:rsidRPr="006B7538">
        <w:t>Headstart</w:t>
      </w:r>
      <w:proofErr w:type="spellEnd"/>
      <w:r w:rsidRPr="006B7538">
        <w:t xml:space="preserve"> History)</w:t>
      </w:r>
    </w:p>
    <w:p w14:paraId="4CC6465D" w14:textId="77777777" w:rsidR="006B7538" w:rsidRPr="006B7538" w:rsidRDefault="006B7538" w:rsidP="006B7538">
      <w:pPr>
        <w:ind w:firstLine="720"/>
      </w:pPr>
      <w:r w:rsidRPr="006B7538">
        <w:t xml:space="preserve">R. Allen Brown. 1986. </w:t>
      </w:r>
      <w:r w:rsidRPr="006B7538">
        <w:rPr>
          <w:i/>
          <w:iCs/>
        </w:rPr>
        <w:t>Normans and the Norman Conquest.</w:t>
      </w:r>
      <w:r w:rsidRPr="006B7538">
        <w:t xml:space="preserve"> (Constable London: Boydell &amp; Brewer)</w:t>
      </w:r>
    </w:p>
    <w:p w14:paraId="6D86378C" w14:textId="77777777" w:rsidR="006B7538" w:rsidRPr="006B7538" w:rsidRDefault="006B7538" w:rsidP="006B7538">
      <w:pPr>
        <w:ind w:firstLine="720"/>
      </w:pPr>
      <w:r w:rsidRPr="006B7538">
        <w:t xml:space="preserve">The Editors of </w:t>
      </w:r>
      <w:proofErr w:type="spellStart"/>
      <w:r w:rsidRPr="006B7538">
        <w:t>Encyclopedia</w:t>
      </w:r>
      <w:proofErr w:type="spellEnd"/>
      <w:r w:rsidRPr="006B7538">
        <w:t xml:space="preserve"> Britannica. 2016. ‘Rollo | Duke of Normandy’, </w:t>
      </w:r>
      <w:proofErr w:type="spellStart"/>
      <w:r w:rsidRPr="006B7538">
        <w:rPr>
          <w:i/>
          <w:iCs/>
        </w:rPr>
        <w:t>Encyclopædia</w:t>
      </w:r>
      <w:proofErr w:type="spellEnd"/>
      <w:r w:rsidRPr="006B7538">
        <w:rPr>
          <w:i/>
          <w:iCs/>
        </w:rPr>
        <w:t xml:space="preserve"> Britannica</w:t>
      </w:r>
      <w:r w:rsidRPr="006B7538">
        <w:t xml:space="preserve"> &lt;https://www.britannica.com/biography/Rollo-duke-of-Normandy&gt;</w:t>
      </w:r>
    </w:p>
    <w:p w14:paraId="510DE6ED" w14:textId="77777777" w:rsidR="006B7538" w:rsidRPr="006B7538" w:rsidRDefault="006B7538" w:rsidP="006B7538">
      <w:pPr>
        <w:ind w:firstLine="720"/>
        <w:rPr>
          <w:lang w:val="fr-FR"/>
        </w:rPr>
      </w:pPr>
      <w:r w:rsidRPr="006B7538">
        <w:t xml:space="preserve">William, of Jumièges, and Gulielmus, </w:t>
      </w:r>
      <w:proofErr w:type="spellStart"/>
      <w:r w:rsidRPr="006B7538">
        <w:t>Pictaviensis</w:t>
      </w:r>
      <w:proofErr w:type="spellEnd"/>
      <w:r w:rsidRPr="006B7538">
        <w:t xml:space="preserve">, 1020?-1090. </w:t>
      </w:r>
      <w:r w:rsidRPr="006B7538">
        <w:rPr>
          <w:lang w:val="fr-FR"/>
        </w:rPr>
        <w:t xml:space="preserve">2020. ‘Histoire Des Ducs de Normandie, Suivie De: Vie de Guillaume Le Conquérant’, </w:t>
      </w:r>
      <w:r w:rsidRPr="006B7538">
        <w:rPr>
          <w:i/>
          <w:iCs/>
          <w:lang w:val="fr-FR"/>
        </w:rPr>
        <w:t>Gutenberg.org</w:t>
      </w:r>
      <w:r w:rsidRPr="006B7538">
        <w:rPr>
          <w:lang w:val="fr-FR"/>
        </w:rPr>
        <w:t xml:space="preserve"> &lt;https://www.gutenberg.org/cache/epub/64008/pg64008-images.html&gt; [</w:t>
      </w:r>
      <w:proofErr w:type="spellStart"/>
      <w:r w:rsidRPr="006B7538">
        <w:rPr>
          <w:lang w:val="fr-FR"/>
        </w:rPr>
        <w:t>accessed</w:t>
      </w:r>
      <w:proofErr w:type="spellEnd"/>
      <w:r w:rsidRPr="006B7538">
        <w:rPr>
          <w:lang w:val="fr-FR"/>
        </w:rPr>
        <w:t xml:space="preserve"> 16 March 2025]</w:t>
      </w:r>
    </w:p>
    <w:p w14:paraId="36D182EC" w14:textId="77777777" w:rsidR="006B7538" w:rsidRPr="006B7538" w:rsidRDefault="006B7538" w:rsidP="0056111F">
      <w:pPr>
        <w:ind w:firstLine="720"/>
        <w:rPr>
          <w:lang w:val="fr-FR"/>
        </w:rPr>
      </w:pPr>
    </w:p>
    <w:sectPr w:rsidR="006B7538" w:rsidRPr="006B75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390D4" w14:textId="77777777" w:rsidR="003F6252" w:rsidRDefault="003F6252" w:rsidP="003F6252">
      <w:pPr>
        <w:spacing w:after="0" w:line="240" w:lineRule="auto"/>
      </w:pPr>
      <w:r>
        <w:separator/>
      </w:r>
    </w:p>
  </w:endnote>
  <w:endnote w:type="continuationSeparator" w:id="0">
    <w:p w14:paraId="7A20AB55" w14:textId="77777777" w:rsidR="003F6252" w:rsidRDefault="003F6252" w:rsidP="003F6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3F19C" w14:textId="77777777" w:rsidR="003F6252" w:rsidRDefault="003F6252" w:rsidP="003F6252">
      <w:pPr>
        <w:spacing w:after="0" w:line="240" w:lineRule="auto"/>
      </w:pPr>
      <w:r>
        <w:separator/>
      </w:r>
    </w:p>
  </w:footnote>
  <w:footnote w:type="continuationSeparator" w:id="0">
    <w:p w14:paraId="69CBA32F" w14:textId="77777777" w:rsidR="003F6252" w:rsidRDefault="003F6252" w:rsidP="003F6252">
      <w:pPr>
        <w:spacing w:after="0" w:line="240" w:lineRule="auto"/>
      </w:pPr>
      <w:r>
        <w:continuationSeparator/>
      </w:r>
    </w:p>
  </w:footnote>
  <w:footnote w:id="1">
    <w:p w14:paraId="2254B1D6" w14:textId="51E255AF" w:rsidR="00B70BFB" w:rsidRDefault="00B70BFB">
      <w:pPr>
        <w:pStyle w:val="FootnoteText"/>
      </w:pPr>
      <w:r>
        <w:rPr>
          <w:rStyle w:val="FootnoteReference"/>
        </w:rPr>
        <w:footnoteRef/>
      </w:r>
      <w:r>
        <w:t xml:space="preserve"> </w:t>
      </w:r>
      <w:r w:rsidR="00F26099" w:rsidRPr="00F26099">
        <w:t>Adam</w:t>
      </w:r>
      <w:r w:rsidR="00F26099">
        <w:t xml:space="preserve"> </w:t>
      </w:r>
      <w:r w:rsidR="00F26099" w:rsidRPr="00F26099">
        <w:t xml:space="preserve">Augustyn, 2019. ‘Bayeux Tapestry | History, Story, &amp; Facts | Britannica’, </w:t>
      </w:r>
      <w:proofErr w:type="spellStart"/>
      <w:r w:rsidR="00F26099" w:rsidRPr="00F26099">
        <w:rPr>
          <w:i/>
          <w:iCs/>
        </w:rPr>
        <w:t>Encyclopædia</w:t>
      </w:r>
      <w:proofErr w:type="spellEnd"/>
      <w:r w:rsidR="00F26099" w:rsidRPr="00F26099">
        <w:rPr>
          <w:i/>
          <w:iCs/>
        </w:rPr>
        <w:t xml:space="preserve"> Britannica</w:t>
      </w:r>
      <w:r w:rsidR="00F26099" w:rsidRPr="00F26099">
        <w:t xml:space="preserve"> </w:t>
      </w:r>
      <w:hyperlink r:id="rId1" w:history="1">
        <w:r w:rsidR="00F26099" w:rsidRPr="004F78E8">
          <w:rPr>
            <w:rStyle w:val="Hyperlink"/>
          </w:rPr>
          <w:t>https://www.britannica.com/topic/Bayeux-Tapestry</w:t>
        </w:r>
      </w:hyperlink>
      <w:r w:rsidR="00F26099">
        <w:t xml:space="preserve"> </w:t>
      </w:r>
    </w:p>
  </w:footnote>
  <w:footnote w:id="2">
    <w:p w14:paraId="527337CC" w14:textId="17EDC701" w:rsidR="00092EF8" w:rsidRPr="00092EF8" w:rsidRDefault="00957924" w:rsidP="00092EF8">
      <w:pPr>
        <w:pStyle w:val="FootnoteText"/>
      </w:pPr>
      <w:r>
        <w:rPr>
          <w:rStyle w:val="FootnoteReference"/>
        </w:rPr>
        <w:footnoteRef/>
      </w:r>
      <w:r>
        <w:t xml:space="preserve"> </w:t>
      </w:r>
      <w:r w:rsidR="00092EF8" w:rsidRPr="00092EF8">
        <w:t xml:space="preserve">BAYEUX MUSEUM. 2017. ‘Explore the Bayeux Tapestry Online’, </w:t>
      </w:r>
      <w:r w:rsidR="00092EF8" w:rsidRPr="00092EF8">
        <w:rPr>
          <w:i/>
          <w:iCs/>
        </w:rPr>
        <w:t>Bayeux Museum</w:t>
      </w:r>
      <w:r w:rsidR="00092EF8" w:rsidRPr="00092EF8">
        <w:t xml:space="preserve"> </w:t>
      </w:r>
      <w:hyperlink r:id="rId2" w:history="1">
        <w:r w:rsidR="00092EF8" w:rsidRPr="004F78E8">
          <w:rPr>
            <w:rStyle w:val="Hyperlink"/>
          </w:rPr>
          <w:t>https://www.bayeuxmuseum.com/en/the-bayeux-tapestry/discover-the-bayeux-tapestry/explore-online/</w:t>
        </w:r>
      </w:hyperlink>
      <w:r w:rsidR="00092EF8">
        <w:t xml:space="preserve"> </w:t>
      </w:r>
    </w:p>
    <w:p w14:paraId="2C5456BE" w14:textId="293068C0" w:rsidR="00957924" w:rsidRDefault="00957924">
      <w:pPr>
        <w:pStyle w:val="FootnoteText"/>
      </w:pPr>
    </w:p>
  </w:footnote>
  <w:footnote w:id="3">
    <w:p w14:paraId="4547E6B7" w14:textId="23D161FA" w:rsidR="00B72045" w:rsidRPr="00B72045" w:rsidRDefault="00173C10" w:rsidP="00B72045">
      <w:pPr>
        <w:pStyle w:val="FootnoteText"/>
        <w:rPr>
          <w:lang w:val="fr-FR"/>
        </w:rPr>
      </w:pPr>
      <w:r>
        <w:rPr>
          <w:rStyle w:val="FootnoteReference"/>
        </w:rPr>
        <w:footnoteRef/>
      </w:r>
      <w:r>
        <w:t xml:space="preserve"> </w:t>
      </w:r>
      <w:r w:rsidR="00B72045" w:rsidRPr="00B72045">
        <w:t xml:space="preserve">William, of Jumièges, and Gulielmus, </w:t>
      </w:r>
      <w:proofErr w:type="spellStart"/>
      <w:r w:rsidR="00B72045" w:rsidRPr="00B72045">
        <w:t>Pictaviensis</w:t>
      </w:r>
      <w:proofErr w:type="spellEnd"/>
      <w:r w:rsidR="00B72045" w:rsidRPr="00B72045">
        <w:t xml:space="preserve">, 1020?-1090. </w:t>
      </w:r>
      <w:r w:rsidR="00B72045" w:rsidRPr="00B72045">
        <w:rPr>
          <w:lang w:val="fr-FR"/>
        </w:rPr>
        <w:t xml:space="preserve">2020. ‘Histoire Des Ducs de Normandie, Suivie De: Vie de Guillaume Le Conquérant’, </w:t>
      </w:r>
      <w:r w:rsidR="00B72045" w:rsidRPr="00B72045">
        <w:rPr>
          <w:i/>
          <w:iCs/>
          <w:lang w:val="fr-FR"/>
        </w:rPr>
        <w:t>Gutenberg.org</w:t>
      </w:r>
      <w:r w:rsidR="00B72045" w:rsidRPr="00B72045">
        <w:rPr>
          <w:lang w:val="fr-FR"/>
        </w:rPr>
        <w:t xml:space="preserve"> &lt;https://www.gutenberg.org/cache/epub/64008/pg64008-images.html&gt; [</w:t>
      </w:r>
      <w:proofErr w:type="spellStart"/>
      <w:r w:rsidR="00B72045" w:rsidRPr="00B72045">
        <w:rPr>
          <w:lang w:val="fr-FR"/>
        </w:rPr>
        <w:t>accessed</w:t>
      </w:r>
      <w:proofErr w:type="spellEnd"/>
      <w:r w:rsidR="00B72045" w:rsidRPr="00B72045">
        <w:rPr>
          <w:lang w:val="fr-FR"/>
        </w:rPr>
        <w:t xml:space="preserve"> 1</w:t>
      </w:r>
      <w:r w:rsidR="00B72045">
        <w:rPr>
          <w:lang w:val="fr-FR"/>
        </w:rPr>
        <w:t>2</w:t>
      </w:r>
      <w:r w:rsidR="00B72045" w:rsidRPr="00B72045">
        <w:rPr>
          <w:lang w:val="fr-FR"/>
        </w:rPr>
        <w:t xml:space="preserve"> March 2025]</w:t>
      </w:r>
      <w:r w:rsidR="00B72045">
        <w:rPr>
          <w:lang w:val="fr-FR"/>
        </w:rPr>
        <w:t xml:space="preserve"> </w:t>
      </w:r>
    </w:p>
    <w:p w14:paraId="49FF739B" w14:textId="726AD01F" w:rsidR="00173C10" w:rsidRPr="00B72045" w:rsidRDefault="00173C10">
      <w:pPr>
        <w:pStyle w:val="FootnoteText"/>
        <w:rPr>
          <w:lang w:val="fr-FR"/>
        </w:rPr>
      </w:pPr>
    </w:p>
  </w:footnote>
  <w:footnote w:id="4">
    <w:p w14:paraId="5D7F36F3" w14:textId="0BA276AF" w:rsidR="00C805C2" w:rsidRPr="00C805C2" w:rsidRDefault="00A959EC" w:rsidP="00C805C2">
      <w:pPr>
        <w:pStyle w:val="FootnoteText"/>
      </w:pPr>
      <w:r>
        <w:rPr>
          <w:rStyle w:val="FootnoteReference"/>
        </w:rPr>
        <w:footnoteRef/>
      </w:r>
      <w:r w:rsidRPr="00C805C2">
        <w:t xml:space="preserve"> </w:t>
      </w:r>
      <w:r w:rsidR="00C805C2" w:rsidRPr="00C805C2">
        <w:t xml:space="preserve">Boehm, Barbara Drake. 2025. ‘Relics and Reliquaries in Medieval Christianity - the Metropolitan Museum of Art’, </w:t>
      </w:r>
      <w:r w:rsidR="00C805C2" w:rsidRPr="00C805C2">
        <w:rPr>
          <w:i/>
          <w:iCs/>
        </w:rPr>
        <w:t>Metmuseum.org</w:t>
      </w:r>
      <w:r w:rsidR="00C805C2" w:rsidRPr="00C805C2">
        <w:t xml:space="preserve"> </w:t>
      </w:r>
      <w:hyperlink r:id="rId3" w:history="1">
        <w:r w:rsidR="00C805C2" w:rsidRPr="004F78E8">
          <w:rPr>
            <w:rStyle w:val="Hyperlink"/>
          </w:rPr>
          <w:t>https://www.metmuseum.org/essays/relics-and-reliquaries-in-medieval-christianity</w:t>
        </w:r>
      </w:hyperlink>
      <w:r w:rsidR="00C805C2">
        <w:t xml:space="preserve"> </w:t>
      </w:r>
    </w:p>
    <w:p w14:paraId="7924D0EE" w14:textId="746BE38A" w:rsidR="00A959EC" w:rsidRPr="00C805C2" w:rsidRDefault="00A959EC">
      <w:pPr>
        <w:pStyle w:val="FootnoteText"/>
      </w:pPr>
    </w:p>
  </w:footnote>
  <w:footnote w:id="5">
    <w:p w14:paraId="203DAAF6" w14:textId="2CA92A62" w:rsidR="00A959EC" w:rsidRDefault="00A959EC">
      <w:pPr>
        <w:pStyle w:val="FootnoteText"/>
      </w:pPr>
      <w:r>
        <w:rPr>
          <w:rStyle w:val="FootnoteReference"/>
        </w:rPr>
        <w:footnoteRef/>
      </w:r>
      <w:r>
        <w:t xml:space="preserve"> </w:t>
      </w:r>
      <w:r w:rsidR="0060565F" w:rsidRPr="0060565F">
        <w:t xml:space="preserve">The Editors of </w:t>
      </w:r>
      <w:proofErr w:type="spellStart"/>
      <w:r w:rsidR="0060565F" w:rsidRPr="0060565F">
        <w:t>Encyclopedia</w:t>
      </w:r>
      <w:proofErr w:type="spellEnd"/>
      <w:r w:rsidR="0060565F" w:rsidRPr="0060565F">
        <w:t xml:space="preserve"> Britannica. 2016. ‘Rollo | Duke of Normandy’, </w:t>
      </w:r>
      <w:proofErr w:type="spellStart"/>
      <w:r w:rsidR="0060565F" w:rsidRPr="0060565F">
        <w:rPr>
          <w:i/>
          <w:iCs/>
        </w:rPr>
        <w:t>Encyclopædia</w:t>
      </w:r>
      <w:proofErr w:type="spellEnd"/>
      <w:r w:rsidR="0060565F" w:rsidRPr="0060565F">
        <w:rPr>
          <w:i/>
          <w:iCs/>
        </w:rPr>
        <w:t xml:space="preserve"> Britannica</w:t>
      </w:r>
      <w:r w:rsidR="0060565F" w:rsidRPr="0060565F">
        <w:t xml:space="preserve"> </w:t>
      </w:r>
      <w:hyperlink r:id="rId4" w:history="1">
        <w:r w:rsidR="0060565F" w:rsidRPr="004F78E8">
          <w:rPr>
            <w:rStyle w:val="Hyperlink"/>
          </w:rPr>
          <w:t>https://www.britannica.com/biography/Rollo-duke-of-Normandy</w:t>
        </w:r>
      </w:hyperlink>
      <w:r w:rsidR="0060565F">
        <w:t xml:space="preserve"> </w:t>
      </w:r>
    </w:p>
  </w:footnote>
  <w:footnote w:id="6">
    <w:p w14:paraId="0834106B" w14:textId="4E5FB95D" w:rsidR="00A959EC" w:rsidRDefault="00A959EC" w:rsidP="00CE15B2">
      <w:pPr>
        <w:spacing w:line="240" w:lineRule="auto"/>
      </w:pPr>
      <w:r>
        <w:rPr>
          <w:rStyle w:val="FootnoteReference"/>
        </w:rPr>
        <w:footnoteRef/>
      </w:r>
      <w:r>
        <w:t xml:space="preserve"> </w:t>
      </w:r>
      <w:r w:rsidR="00CE15B2" w:rsidRPr="009744A4">
        <w:t xml:space="preserve">Dudo, &amp; Christiansen, E. (1998). </w:t>
      </w:r>
      <w:r w:rsidR="00CE15B2" w:rsidRPr="009744A4">
        <w:rPr>
          <w:i/>
          <w:iCs/>
        </w:rPr>
        <w:t>History of the Normans.</w:t>
      </w:r>
      <w:r w:rsidR="00CE15B2" w:rsidRPr="009744A4">
        <w:t xml:space="preserve"> Boydell Press</w:t>
      </w:r>
      <w:r w:rsidR="00CE15B2">
        <w:t xml:space="preserve"> Chapter 10</w:t>
      </w:r>
    </w:p>
  </w:footnote>
  <w:footnote w:id="7">
    <w:p w14:paraId="519E1F2C" w14:textId="1E440479" w:rsidR="00123DAC" w:rsidRPr="00123DAC" w:rsidRDefault="00AF5948" w:rsidP="00123DAC">
      <w:pPr>
        <w:pStyle w:val="FootnoteText"/>
      </w:pPr>
      <w:r>
        <w:rPr>
          <w:rStyle w:val="FootnoteReference"/>
        </w:rPr>
        <w:footnoteRef/>
      </w:r>
      <w:r>
        <w:t xml:space="preserve"> </w:t>
      </w:r>
      <w:r w:rsidR="00123DAC" w:rsidRPr="00123DAC">
        <w:t xml:space="preserve">R. Allen Brown. 1986. </w:t>
      </w:r>
      <w:r w:rsidR="00123DAC" w:rsidRPr="00123DAC">
        <w:rPr>
          <w:i/>
          <w:iCs/>
        </w:rPr>
        <w:t>Normans and the Norman Conquest.</w:t>
      </w:r>
      <w:r w:rsidR="00123DAC" w:rsidRPr="00123DAC">
        <w:t xml:space="preserve"> (Constable London: Boydell &amp; Brewer)</w:t>
      </w:r>
      <w:r w:rsidR="00123DAC">
        <w:t xml:space="preserve"> p. 26</w:t>
      </w:r>
    </w:p>
    <w:p w14:paraId="43085950" w14:textId="3A1EC456" w:rsidR="00AF5948" w:rsidRDefault="00AF5948">
      <w:pPr>
        <w:pStyle w:val="FootnoteText"/>
      </w:pPr>
    </w:p>
  </w:footnote>
  <w:footnote w:id="8">
    <w:p w14:paraId="7C6193BC" w14:textId="5A4DE39B" w:rsidR="004D1709" w:rsidRDefault="004D1709">
      <w:pPr>
        <w:pStyle w:val="FootnoteText"/>
      </w:pPr>
      <w:r>
        <w:rPr>
          <w:rStyle w:val="FootnoteReference"/>
        </w:rPr>
        <w:footnoteRef/>
      </w:r>
      <w:r>
        <w:t xml:space="preserve"> </w:t>
      </w:r>
      <w:r w:rsidRPr="00123DAC">
        <w:t xml:space="preserve">Brown. 1986. </w:t>
      </w:r>
      <w:r w:rsidRPr="00123DAC">
        <w:rPr>
          <w:i/>
          <w:iCs/>
        </w:rPr>
        <w:t>Normans and the Norman Conquest.</w:t>
      </w:r>
      <w:r w:rsidR="00D07D83">
        <w:t xml:space="preserve"> </w:t>
      </w:r>
      <w:r>
        <w:t xml:space="preserve">p. </w:t>
      </w:r>
      <w:r>
        <w:t>6</w:t>
      </w:r>
      <w:r w:rsidR="00405056">
        <w:t>2</w:t>
      </w:r>
    </w:p>
  </w:footnote>
  <w:footnote w:id="9">
    <w:p w14:paraId="1E03F0E8" w14:textId="6FB66C87" w:rsidR="000F31AB" w:rsidRDefault="000F31AB">
      <w:pPr>
        <w:pStyle w:val="FootnoteText"/>
      </w:pPr>
      <w:r>
        <w:rPr>
          <w:rStyle w:val="FootnoteReference"/>
        </w:rPr>
        <w:footnoteRef/>
      </w:r>
      <w:r>
        <w:t xml:space="preserve"> </w:t>
      </w:r>
      <w:r w:rsidR="004A5B37" w:rsidRPr="004A5B37">
        <w:t xml:space="preserve">Mason, Emma. 1991. </w:t>
      </w:r>
      <w:r w:rsidR="004A5B37" w:rsidRPr="004A5B37">
        <w:rPr>
          <w:i/>
          <w:iCs/>
        </w:rPr>
        <w:t>Norman Kingship</w:t>
      </w:r>
      <w:r w:rsidR="004A5B37" w:rsidRPr="004A5B37">
        <w:t xml:space="preserve"> (Bangor, Gwynedd: </w:t>
      </w:r>
      <w:proofErr w:type="spellStart"/>
      <w:r w:rsidR="004A5B37" w:rsidRPr="004A5B37">
        <w:t>Headstart</w:t>
      </w:r>
      <w:proofErr w:type="spellEnd"/>
      <w:r w:rsidR="004A5B37" w:rsidRPr="004A5B37">
        <w:t xml:space="preserve"> History)</w:t>
      </w:r>
      <w:r w:rsidR="00056178">
        <w:t xml:space="preserve"> p. 2</w:t>
      </w:r>
    </w:p>
  </w:footnote>
  <w:footnote w:id="10">
    <w:p w14:paraId="1C0154FC" w14:textId="7379B7B4" w:rsidR="00340EDE" w:rsidRDefault="00340EDE">
      <w:pPr>
        <w:pStyle w:val="FootnoteText"/>
      </w:pPr>
      <w:r>
        <w:rPr>
          <w:rStyle w:val="FootnoteReference"/>
        </w:rPr>
        <w:footnoteRef/>
      </w:r>
      <w:r>
        <w:t xml:space="preserve"> </w:t>
      </w:r>
      <w:r w:rsidR="00D07D83" w:rsidRPr="00123DAC">
        <w:t xml:space="preserve">Brown. 1986. </w:t>
      </w:r>
      <w:r w:rsidR="00D07D83" w:rsidRPr="00123DAC">
        <w:rPr>
          <w:i/>
          <w:iCs/>
        </w:rPr>
        <w:t>Normans and the Norman Conquest.</w:t>
      </w:r>
      <w:r w:rsidR="00D07D83">
        <w:t xml:space="preserve"> </w:t>
      </w:r>
      <w:r w:rsidR="002732DA">
        <w:t xml:space="preserve"> </w:t>
      </w:r>
      <w:r w:rsidR="002732DA">
        <w:t>p</w:t>
      </w:r>
      <w:r w:rsidR="002732DA">
        <w:t>p.</w:t>
      </w:r>
      <w:r w:rsidR="002732DA">
        <w:t xml:space="preserve"> 118-119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6252"/>
    <w:rsid w:val="00023B44"/>
    <w:rsid w:val="00031B90"/>
    <w:rsid w:val="00056178"/>
    <w:rsid w:val="00056B65"/>
    <w:rsid w:val="00092EF8"/>
    <w:rsid w:val="000F31AB"/>
    <w:rsid w:val="00123DAC"/>
    <w:rsid w:val="00151424"/>
    <w:rsid w:val="00151643"/>
    <w:rsid w:val="00173C10"/>
    <w:rsid w:val="00183F94"/>
    <w:rsid w:val="001C24F0"/>
    <w:rsid w:val="001D657C"/>
    <w:rsid w:val="001F77BC"/>
    <w:rsid w:val="002030CE"/>
    <w:rsid w:val="0021002C"/>
    <w:rsid w:val="00223692"/>
    <w:rsid w:val="002622C4"/>
    <w:rsid w:val="002732DA"/>
    <w:rsid w:val="00292B63"/>
    <w:rsid w:val="002971F9"/>
    <w:rsid w:val="002E55A3"/>
    <w:rsid w:val="00314ADD"/>
    <w:rsid w:val="00333FCE"/>
    <w:rsid w:val="00340EDE"/>
    <w:rsid w:val="003466EA"/>
    <w:rsid w:val="00360A47"/>
    <w:rsid w:val="003760BB"/>
    <w:rsid w:val="003B43E8"/>
    <w:rsid w:val="003F6252"/>
    <w:rsid w:val="003F6B1B"/>
    <w:rsid w:val="00405056"/>
    <w:rsid w:val="00475E22"/>
    <w:rsid w:val="004A2E03"/>
    <w:rsid w:val="004A5B37"/>
    <w:rsid w:val="004D1709"/>
    <w:rsid w:val="00551390"/>
    <w:rsid w:val="0056111F"/>
    <w:rsid w:val="00564B55"/>
    <w:rsid w:val="00582235"/>
    <w:rsid w:val="00585DA2"/>
    <w:rsid w:val="005903A5"/>
    <w:rsid w:val="005A31FB"/>
    <w:rsid w:val="00603F91"/>
    <w:rsid w:val="0060565F"/>
    <w:rsid w:val="006314A5"/>
    <w:rsid w:val="00647A0C"/>
    <w:rsid w:val="006A0971"/>
    <w:rsid w:val="006B7538"/>
    <w:rsid w:val="006C11AA"/>
    <w:rsid w:val="00757BE0"/>
    <w:rsid w:val="00797FAE"/>
    <w:rsid w:val="007A3518"/>
    <w:rsid w:val="007B2ED4"/>
    <w:rsid w:val="007D6C3A"/>
    <w:rsid w:val="00800368"/>
    <w:rsid w:val="0086054A"/>
    <w:rsid w:val="008C3C63"/>
    <w:rsid w:val="008D3325"/>
    <w:rsid w:val="008D7062"/>
    <w:rsid w:val="00902007"/>
    <w:rsid w:val="00914EF7"/>
    <w:rsid w:val="009221F0"/>
    <w:rsid w:val="00957924"/>
    <w:rsid w:val="00957D55"/>
    <w:rsid w:val="009622A0"/>
    <w:rsid w:val="00974757"/>
    <w:rsid w:val="009957FB"/>
    <w:rsid w:val="009A6321"/>
    <w:rsid w:val="009B1FE9"/>
    <w:rsid w:val="009B5760"/>
    <w:rsid w:val="009C4A94"/>
    <w:rsid w:val="00A43E77"/>
    <w:rsid w:val="00A84AAD"/>
    <w:rsid w:val="00A959EC"/>
    <w:rsid w:val="00AC2C10"/>
    <w:rsid w:val="00AF5948"/>
    <w:rsid w:val="00B70BFB"/>
    <w:rsid w:val="00B72045"/>
    <w:rsid w:val="00BB4A54"/>
    <w:rsid w:val="00BF250E"/>
    <w:rsid w:val="00C32643"/>
    <w:rsid w:val="00C805C2"/>
    <w:rsid w:val="00CE15B2"/>
    <w:rsid w:val="00D07D83"/>
    <w:rsid w:val="00D90D4F"/>
    <w:rsid w:val="00D96EC1"/>
    <w:rsid w:val="00DC3839"/>
    <w:rsid w:val="00DD3D14"/>
    <w:rsid w:val="00DD4503"/>
    <w:rsid w:val="00DF262D"/>
    <w:rsid w:val="00E70F34"/>
    <w:rsid w:val="00E94483"/>
    <w:rsid w:val="00EC6599"/>
    <w:rsid w:val="00F26099"/>
    <w:rsid w:val="00F508FC"/>
    <w:rsid w:val="00FA4B0D"/>
    <w:rsid w:val="00FF3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4C3993A"/>
  <w15:chartTrackingRefBased/>
  <w15:docId w15:val="{02CF4D0F-F2F2-499B-99E5-46878627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ED4"/>
  </w:style>
  <w:style w:type="paragraph" w:styleId="Heading1">
    <w:name w:val="heading 1"/>
    <w:basedOn w:val="Normal"/>
    <w:next w:val="Normal"/>
    <w:link w:val="Heading1Char"/>
    <w:uiPriority w:val="9"/>
    <w:qFormat/>
    <w:rsid w:val="003F62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62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62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6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6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6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2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62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62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6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6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6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252"/>
    <w:rPr>
      <w:rFonts w:eastAsiaTheme="majorEastAsia" w:cstheme="majorBidi"/>
      <w:color w:val="272727" w:themeColor="text1" w:themeTint="D8"/>
    </w:rPr>
  </w:style>
  <w:style w:type="paragraph" w:styleId="Title">
    <w:name w:val="Title"/>
    <w:basedOn w:val="Normal"/>
    <w:next w:val="Normal"/>
    <w:link w:val="TitleChar"/>
    <w:uiPriority w:val="10"/>
    <w:qFormat/>
    <w:rsid w:val="003F6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252"/>
    <w:pPr>
      <w:spacing w:before="160"/>
      <w:jc w:val="center"/>
    </w:pPr>
    <w:rPr>
      <w:i/>
      <w:iCs/>
      <w:color w:val="404040" w:themeColor="text1" w:themeTint="BF"/>
    </w:rPr>
  </w:style>
  <w:style w:type="character" w:customStyle="1" w:styleId="QuoteChar">
    <w:name w:val="Quote Char"/>
    <w:basedOn w:val="DefaultParagraphFont"/>
    <w:link w:val="Quote"/>
    <w:uiPriority w:val="29"/>
    <w:rsid w:val="003F6252"/>
    <w:rPr>
      <w:i/>
      <w:iCs/>
      <w:color w:val="404040" w:themeColor="text1" w:themeTint="BF"/>
    </w:rPr>
  </w:style>
  <w:style w:type="paragraph" w:styleId="ListParagraph">
    <w:name w:val="List Paragraph"/>
    <w:basedOn w:val="Normal"/>
    <w:uiPriority w:val="34"/>
    <w:qFormat/>
    <w:rsid w:val="003F6252"/>
    <w:pPr>
      <w:ind w:left="720"/>
      <w:contextualSpacing/>
    </w:pPr>
  </w:style>
  <w:style w:type="character" w:styleId="IntenseEmphasis">
    <w:name w:val="Intense Emphasis"/>
    <w:basedOn w:val="DefaultParagraphFont"/>
    <w:uiPriority w:val="21"/>
    <w:qFormat/>
    <w:rsid w:val="003F6252"/>
    <w:rPr>
      <w:i/>
      <w:iCs/>
      <w:color w:val="0F4761" w:themeColor="accent1" w:themeShade="BF"/>
    </w:rPr>
  </w:style>
  <w:style w:type="paragraph" w:styleId="IntenseQuote">
    <w:name w:val="Intense Quote"/>
    <w:basedOn w:val="Normal"/>
    <w:next w:val="Normal"/>
    <w:link w:val="IntenseQuoteChar"/>
    <w:uiPriority w:val="30"/>
    <w:qFormat/>
    <w:rsid w:val="003F6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6252"/>
    <w:rPr>
      <w:i/>
      <w:iCs/>
      <w:color w:val="0F4761" w:themeColor="accent1" w:themeShade="BF"/>
    </w:rPr>
  </w:style>
  <w:style w:type="character" w:styleId="IntenseReference">
    <w:name w:val="Intense Reference"/>
    <w:basedOn w:val="DefaultParagraphFont"/>
    <w:uiPriority w:val="32"/>
    <w:qFormat/>
    <w:rsid w:val="003F6252"/>
    <w:rPr>
      <w:b/>
      <w:bCs/>
      <w:smallCaps/>
      <w:color w:val="0F4761" w:themeColor="accent1" w:themeShade="BF"/>
      <w:spacing w:val="5"/>
    </w:rPr>
  </w:style>
  <w:style w:type="paragraph" w:styleId="FootnoteText">
    <w:name w:val="footnote text"/>
    <w:basedOn w:val="Normal"/>
    <w:link w:val="FootnoteTextChar"/>
    <w:uiPriority w:val="99"/>
    <w:semiHidden/>
    <w:unhideWhenUsed/>
    <w:rsid w:val="003F62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6252"/>
    <w:rPr>
      <w:sz w:val="20"/>
      <w:szCs w:val="20"/>
    </w:rPr>
  </w:style>
  <w:style w:type="character" w:styleId="FootnoteReference">
    <w:name w:val="footnote reference"/>
    <w:basedOn w:val="DefaultParagraphFont"/>
    <w:uiPriority w:val="99"/>
    <w:semiHidden/>
    <w:unhideWhenUsed/>
    <w:rsid w:val="003F6252"/>
    <w:rPr>
      <w:vertAlign w:val="superscript"/>
    </w:rPr>
  </w:style>
  <w:style w:type="paragraph" w:styleId="Caption">
    <w:name w:val="caption"/>
    <w:basedOn w:val="Normal"/>
    <w:next w:val="Normal"/>
    <w:uiPriority w:val="35"/>
    <w:unhideWhenUsed/>
    <w:qFormat/>
    <w:rsid w:val="005A31FB"/>
    <w:pPr>
      <w:spacing w:after="200" w:line="240" w:lineRule="auto"/>
    </w:pPr>
    <w:rPr>
      <w:i/>
      <w:iCs/>
      <w:color w:val="0E2841" w:themeColor="text2"/>
      <w:sz w:val="18"/>
      <w:szCs w:val="18"/>
    </w:rPr>
  </w:style>
  <w:style w:type="paragraph" w:styleId="NormalWeb">
    <w:name w:val="Normal (Web)"/>
    <w:basedOn w:val="Normal"/>
    <w:uiPriority w:val="99"/>
    <w:semiHidden/>
    <w:unhideWhenUsed/>
    <w:rsid w:val="00F26099"/>
    <w:rPr>
      <w:rFonts w:ascii="Times New Roman" w:hAnsi="Times New Roman" w:cs="Times New Roman"/>
      <w:sz w:val="24"/>
      <w:szCs w:val="24"/>
    </w:rPr>
  </w:style>
  <w:style w:type="character" w:styleId="Hyperlink">
    <w:name w:val="Hyperlink"/>
    <w:basedOn w:val="DefaultParagraphFont"/>
    <w:uiPriority w:val="99"/>
    <w:unhideWhenUsed/>
    <w:rsid w:val="00F26099"/>
    <w:rPr>
      <w:color w:val="467886" w:themeColor="hyperlink"/>
      <w:u w:val="single"/>
    </w:rPr>
  </w:style>
  <w:style w:type="character" w:styleId="UnresolvedMention">
    <w:name w:val="Unresolved Mention"/>
    <w:basedOn w:val="DefaultParagraphFont"/>
    <w:uiPriority w:val="99"/>
    <w:semiHidden/>
    <w:unhideWhenUsed/>
    <w:rsid w:val="00F260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474865">
      <w:bodyDiv w:val="1"/>
      <w:marLeft w:val="0"/>
      <w:marRight w:val="0"/>
      <w:marTop w:val="0"/>
      <w:marBottom w:val="0"/>
      <w:divBdr>
        <w:top w:val="none" w:sz="0" w:space="0" w:color="auto"/>
        <w:left w:val="none" w:sz="0" w:space="0" w:color="auto"/>
        <w:bottom w:val="none" w:sz="0" w:space="0" w:color="auto"/>
        <w:right w:val="none" w:sz="0" w:space="0" w:color="auto"/>
      </w:divBdr>
      <w:divsChild>
        <w:div w:id="2007514059">
          <w:marLeft w:val="-720"/>
          <w:marRight w:val="0"/>
          <w:marTop w:val="0"/>
          <w:marBottom w:val="0"/>
          <w:divBdr>
            <w:top w:val="none" w:sz="0" w:space="0" w:color="auto"/>
            <w:left w:val="none" w:sz="0" w:space="0" w:color="auto"/>
            <w:bottom w:val="none" w:sz="0" w:space="0" w:color="auto"/>
            <w:right w:val="none" w:sz="0" w:space="0" w:color="auto"/>
          </w:divBdr>
        </w:div>
      </w:divsChild>
    </w:div>
    <w:div w:id="296449397">
      <w:bodyDiv w:val="1"/>
      <w:marLeft w:val="0"/>
      <w:marRight w:val="0"/>
      <w:marTop w:val="0"/>
      <w:marBottom w:val="0"/>
      <w:divBdr>
        <w:top w:val="none" w:sz="0" w:space="0" w:color="auto"/>
        <w:left w:val="none" w:sz="0" w:space="0" w:color="auto"/>
        <w:bottom w:val="none" w:sz="0" w:space="0" w:color="auto"/>
        <w:right w:val="none" w:sz="0" w:space="0" w:color="auto"/>
      </w:divBdr>
      <w:divsChild>
        <w:div w:id="326978502">
          <w:marLeft w:val="-720"/>
          <w:marRight w:val="0"/>
          <w:marTop w:val="0"/>
          <w:marBottom w:val="0"/>
          <w:divBdr>
            <w:top w:val="none" w:sz="0" w:space="0" w:color="auto"/>
            <w:left w:val="none" w:sz="0" w:space="0" w:color="auto"/>
            <w:bottom w:val="none" w:sz="0" w:space="0" w:color="auto"/>
            <w:right w:val="none" w:sz="0" w:space="0" w:color="auto"/>
          </w:divBdr>
        </w:div>
      </w:divsChild>
    </w:div>
    <w:div w:id="339087650">
      <w:bodyDiv w:val="1"/>
      <w:marLeft w:val="0"/>
      <w:marRight w:val="0"/>
      <w:marTop w:val="0"/>
      <w:marBottom w:val="0"/>
      <w:divBdr>
        <w:top w:val="none" w:sz="0" w:space="0" w:color="auto"/>
        <w:left w:val="none" w:sz="0" w:space="0" w:color="auto"/>
        <w:bottom w:val="none" w:sz="0" w:space="0" w:color="auto"/>
        <w:right w:val="none" w:sz="0" w:space="0" w:color="auto"/>
      </w:divBdr>
      <w:divsChild>
        <w:div w:id="1046950749">
          <w:marLeft w:val="-720"/>
          <w:marRight w:val="0"/>
          <w:marTop w:val="0"/>
          <w:marBottom w:val="0"/>
          <w:divBdr>
            <w:top w:val="none" w:sz="0" w:space="0" w:color="auto"/>
            <w:left w:val="none" w:sz="0" w:space="0" w:color="auto"/>
            <w:bottom w:val="none" w:sz="0" w:space="0" w:color="auto"/>
            <w:right w:val="none" w:sz="0" w:space="0" w:color="auto"/>
          </w:divBdr>
        </w:div>
      </w:divsChild>
    </w:div>
    <w:div w:id="702093241">
      <w:bodyDiv w:val="1"/>
      <w:marLeft w:val="0"/>
      <w:marRight w:val="0"/>
      <w:marTop w:val="0"/>
      <w:marBottom w:val="0"/>
      <w:divBdr>
        <w:top w:val="none" w:sz="0" w:space="0" w:color="auto"/>
        <w:left w:val="none" w:sz="0" w:space="0" w:color="auto"/>
        <w:bottom w:val="none" w:sz="0" w:space="0" w:color="auto"/>
        <w:right w:val="none" w:sz="0" w:space="0" w:color="auto"/>
      </w:divBdr>
      <w:divsChild>
        <w:div w:id="1035928821">
          <w:marLeft w:val="-720"/>
          <w:marRight w:val="0"/>
          <w:marTop w:val="0"/>
          <w:marBottom w:val="0"/>
          <w:divBdr>
            <w:top w:val="none" w:sz="0" w:space="0" w:color="auto"/>
            <w:left w:val="none" w:sz="0" w:space="0" w:color="auto"/>
            <w:bottom w:val="none" w:sz="0" w:space="0" w:color="auto"/>
            <w:right w:val="none" w:sz="0" w:space="0" w:color="auto"/>
          </w:divBdr>
        </w:div>
      </w:divsChild>
    </w:div>
    <w:div w:id="955940609">
      <w:bodyDiv w:val="1"/>
      <w:marLeft w:val="0"/>
      <w:marRight w:val="0"/>
      <w:marTop w:val="0"/>
      <w:marBottom w:val="0"/>
      <w:divBdr>
        <w:top w:val="none" w:sz="0" w:space="0" w:color="auto"/>
        <w:left w:val="none" w:sz="0" w:space="0" w:color="auto"/>
        <w:bottom w:val="none" w:sz="0" w:space="0" w:color="auto"/>
        <w:right w:val="none" w:sz="0" w:space="0" w:color="auto"/>
      </w:divBdr>
      <w:divsChild>
        <w:div w:id="1345402985">
          <w:marLeft w:val="-720"/>
          <w:marRight w:val="0"/>
          <w:marTop w:val="0"/>
          <w:marBottom w:val="0"/>
          <w:divBdr>
            <w:top w:val="none" w:sz="0" w:space="0" w:color="auto"/>
            <w:left w:val="none" w:sz="0" w:space="0" w:color="auto"/>
            <w:bottom w:val="none" w:sz="0" w:space="0" w:color="auto"/>
            <w:right w:val="none" w:sz="0" w:space="0" w:color="auto"/>
          </w:divBdr>
        </w:div>
      </w:divsChild>
    </w:div>
    <w:div w:id="988822485">
      <w:bodyDiv w:val="1"/>
      <w:marLeft w:val="0"/>
      <w:marRight w:val="0"/>
      <w:marTop w:val="0"/>
      <w:marBottom w:val="0"/>
      <w:divBdr>
        <w:top w:val="none" w:sz="0" w:space="0" w:color="auto"/>
        <w:left w:val="none" w:sz="0" w:space="0" w:color="auto"/>
        <w:bottom w:val="none" w:sz="0" w:space="0" w:color="auto"/>
        <w:right w:val="none" w:sz="0" w:space="0" w:color="auto"/>
      </w:divBdr>
      <w:divsChild>
        <w:div w:id="686516740">
          <w:marLeft w:val="-720"/>
          <w:marRight w:val="0"/>
          <w:marTop w:val="0"/>
          <w:marBottom w:val="0"/>
          <w:divBdr>
            <w:top w:val="none" w:sz="0" w:space="0" w:color="auto"/>
            <w:left w:val="none" w:sz="0" w:space="0" w:color="auto"/>
            <w:bottom w:val="none" w:sz="0" w:space="0" w:color="auto"/>
            <w:right w:val="none" w:sz="0" w:space="0" w:color="auto"/>
          </w:divBdr>
        </w:div>
      </w:divsChild>
    </w:div>
    <w:div w:id="1053386258">
      <w:bodyDiv w:val="1"/>
      <w:marLeft w:val="0"/>
      <w:marRight w:val="0"/>
      <w:marTop w:val="0"/>
      <w:marBottom w:val="0"/>
      <w:divBdr>
        <w:top w:val="none" w:sz="0" w:space="0" w:color="auto"/>
        <w:left w:val="none" w:sz="0" w:space="0" w:color="auto"/>
        <w:bottom w:val="none" w:sz="0" w:space="0" w:color="auto"/>
        <w:right w:val="none" w:sz="0" w:space="0" w:color="auto"/>
      </w:divBdr>
      <w:divsChild>
        <w:div w:id="1547374741">
          <w:marLeft w:val="-720"/>
          <w:marRight w:val="0"/>
          <w:marTop w:val="0"/>
          <w:marBottom w:val="0"/>
          <w:divBdr>
            <w:top w:val="none" w:sz="0" w:space="0" w:color="auto"/>
            <w:left w:val="none" w:sz="0" w:space="0" w:color="auto"/>
            <w:bottom w:val="none" w:sz="0" w:space="0" w:color="auto"/>
            <w:right w:val="none" w:sz="0" w:space="0" w:color="auto"/>
          </w:divBdr>
        </w:div>
      </w:divsChild>
    </w:div>
    <w:div w:id="1111167756">
      <w:bodyDiv w:val="1"/>
      <w:marLeft w:val="0"/>
      <w:marRight w:val="0"/>
      <w:marTop w:val="0"/>
      <w:marBottom w:val="0"/>
      <w:divBdr>
        <w:top w:val="none" w:sz="0" w:space="0" w:color="auto"/>
        <w:left w:val="none" w:sz="0" w:space="0" w:color="auto"/>
        <w:bottom w:val="none" w:sz="0" w:space="0" w:color="auto"/>
        <w:right w:val="none" w:sz="0" w:space="0" w:color="auto"/>
      </w:divBdr>
      <w:divsChild>
        <w:div w:id="1013528538">
          <w:marLeft w:val="-720"/>
          <w:marRight w:val="0"/>
          <w:marTop w:val="0"/>
          <w:marBottom w:val="0"/>
          <w:divBdr>
            <w:top w:val="none" w:sz="0" w:space="0" w:color="auto"/>
            <w:left w:val="none" w:sz="0" w:space="0" w:color="auto"/>
            <w:bottom w:val="none" w:sz="0" w:space="0" w:color="auto"/>
            <w:right w:val="none" w:sz="0" w:space="0" w:color="auto"/>
          </w:divBdr>
        </w:div>
      </w:divsChild>
    </w:div>
    <w:div w:id="1223641674">
      <w:bodyDiv w:val="1"/>
      <w:marLeft w:val="0"/>
      <w:marRight w:val="0"/>
      <w:marTop w:val="0"/>
      <w:marBottom w:val="0"/>
      <w:divBdr>
        <w:top w:val="none" w:sz="0" w:space="0" w:color="auto"/>
        <w:left w:val="none" w:sz="0" w:space="0" w:color="auto"/>
        <w:bottom w:val="none" w:sz="0" w:space="0" w:color="auto"/>
        <w:right w:val="none" w:sz="0" w:space="0" w:color="auto"/>
      </w:divBdr>
      <w:divsChild>
        <w:div w:id="785737110">
          <w:marLeft w:val="-720"/>
          <w:marRight w:val="0"/>
          <w:marTop w:val="0"/>
          <w:marBottom w:val="0"/>
          <w:divBdr>
            <w:top w:val="none" w:sz="0" w:space="0" w:color="auto"/>
            <w:left w:val="none" w:sz="0" w:space="0" w:color="auto"/>
            <w:bottom w:val="none" w:sz="0" w:space="0" w:color="auto"/>
            <w:right w:val="none" w:sz="0" w:space="0" w:color="auto"/>
          </w:divBdr>
        </w:div>
      </w:divsChild>
    </w:div>
    <w:div w:id="1368261184">
      <w:bodyDiv w:val="1"/>
      <w:marLeft w:val="0"/>
      <w:marRight w:val="0"/>
      <w:marTop w:val="0"/>
      <w:marBottom w:val="0"/>
      <w:divBdr>
        <w:top w:val="none" w:sz="0" w:space="0" w:color="auto"/>
        <w:left w:val="none" w:sz="0" w:space="0" w:color="auto"/>
        <w:bottom w:val="none" w:sz="0" w:space="0" w:color="auto"/>
        <w:right w:val="none" w:sz="0" w:space="0" w:color="auto"/>
      </w:divBdr>
      <w:divsChild>
        <w:div w:id="2087533357">
          <w:marLeft w:val="-720"/>
          <w:marRight w:val="0"/>
          <w:marTop w:val="0"/>
          <w:marBottom w:val="0"/>
          <w:divBdr>
            <w:top w:val="none" w:sz="0" w:space="0" w:color="auto"/>
            <w:left w:val="none" w:sz="0" w:space="0" w:color="auto"/>
            <w:bottom w:val="none" w:sz="0" w:space="0" w:color="auto"/>
            <w:right w:val="none" w:sz="0" w:space="0" w:color="auto"/>
          </w:divBdr>
        </w:div>
      </w:divsChild>
    </w:div>
    <w:div w:id="1375498823">
      <w:bodyDiv w:val="1"/>
      <w:marLeft w:val="0"/>
      <w:marRight w:val="0"/>
      <w:marTop w:val="0"/>
      <w:marBottom w:val="0"/>
      <w:divBdr>
        <w:top w:val="none" w:sz="0" w:space="0" w:color="auto"/>
        <w:left w:val="none" w:sz="0" w:space="0" w:color="auto"/>
        <w:bottom w:val="none" w:sz="0" w:space="0" w:color="auto"/>
        <w:right w:val="none" w:sz="0" w:space="0" w:color="auto"/>
      </w:divBdr>
      <w:divsChild>
        <w:div w:id="1720086134">
          <w:marLeft w:val="-720"/>
          <w:marRight w:val="0"/>
          <w:marTop w:val="0"/>
          <w:marBottom w:val="0"/>
          <w:divBdr>
            <w:top w:val="none" w:sz="0" w:space="0" w:color="auto"/>
            <w:left w:val="none" w:sz="0" w:space="0" w:color="auto"/>
            <w:bottom w:val="none" w:sz="0" w:space="0" w:color="auto"/>
            <w:right w:val="none" w:sz="0" w:space="0" w:color="auto"/>
          </w:divBdr>
        </w:div>
      </w:divsChild>
    </w:div>
    <w:div w:id="1449007227">
      <w:bodyDiv w:val="1"/>
      <w:marLeft w:val="0"/>
      <w:marRight w:val="0"/>
      <w:marTop w:val="0"/>
      <w:marBottom w:val="0"/>
      <w:divBdr>
        <w:top w:val="none" w:sz="0" w:space="0" w:color="auto"/>
        <w:left w:val="none" w:sz="0" w:space="0" w:color="auto"/>
        <w:bottom w:val="none" w:sz="0" w:space="0" w:color="auto"/>
        <w:right w:val="none" w:sz="0" w:space="0" w:color="auto"/>
      </w:divBdr>
      <w:divsChild>
        <w:div w:id="1966544262">
          <w:marLeft w:val="-720"/>
          <w:marRight w:val="0"/>
          <w:marTop w:val="0"/>
          <w:marBottom w:val="0"/>
          <w:divBdr>
            <w:top w:val="none" w:sz="0" w:space="0" w:color="auto"/>
            <w:left w:val="none" w:sz="0" w:space="0" w:color="auto"/>
            <w:bottom w:val="none" w:sz="0" w:space="0" w:color="auto"/>
            <w:right w:val="none" w:sz="0" w:space="0" w:color="auto"/>
          </w:divBdr>
        </w:div>
      </w:divsChild>
    </w:div>
    <w:div w:id="1661274661">
      <w:bodyDiv w:val="1"/>
      <w:marLeft w:val="0"/>
      <w:marRight w:val="0"/>
      <w:marTop w:val="0"/>
      <w:marBottom w:val="0"/>
      <w:divBdr>
        <w:top w:val="none" w:sz="0" w:space="0" w:color="auto"/>
        <w:left w:val="none" w:sz="0" w:space="0" w:color="auto"/>
        <w:bottom w:val="none" w:sz="0" w:space="0" w:color="auto"/>
        <w:right w:val="none" w:sz="0" w:space="0" w:color="auto"/>
      </w:divBdr>
      <w:divsChild>
        <w:div w:id="1849903328">
          <w:marLeft w:val="-720"/>
          <w:marRight w:val="0"/>
          <w:marTop w:val="0"/>
          <w:marBottom w:val="0"/>
          <w:divBdr>
            <w:top w:val="none" w:sz="0" w:space="0" w:color="auto"/>
            <w:left w:val="none" w:sz="0" w:space="0" w:color="auto"/>
            <w:bottom w:val="none" w:sz="0" w:space="0" w:color="auto"/>
            <w:right w:val="none" w:sz="0" w:space="0" w:color="auto"/>
          </w:divBdr>
        </w:div>
      </w:divsChild>
    </w:div>
    <w:div w:id="1712268483">
      <w:bodyDiv w:val="1"/>
      <w:marLeft w:val="0"/>
      <w:marRight w:val="0"/>
      <w:marTop w:val="0"/>
      <w:marBottom w:val="0"/>
      <w:divBdr>
        <w:top w:val="none" w:sz="0" w:space="0" w:color="auto"/>
        <w:left w:val="none" w:sz="0" w:space="0" w:color="auto"/>
        <w:bottom w:val="none" w:sz="0" w:space="0" w:color="auto"/>
        <w:right w:val="none" w:sz="0" w:space="0" w:color="auto"/>
      </w:divBdr>
      <w:divsChild>
        <w:div w:id="356388794">
          <w:marLeft w:val="-720"/>
          <w:marRight w:val="0"/>
          <w:marTop w:val="0"/>
          <w:marBottom w:val="0"/>
          <w:divBdr>
            <w:top w:val="none" w:sz="0" w:space="0" w:color="auto"/>
            <w:left w:val="none" w:sz="0" w:space="0" w:color="auto"/>
            <w:bottom w:val="none" w:sz="0" w:space="0" w:color="auto"/>
            <w:right w:val="none" w:sz="0" w:space="0" w:color="auto"/>
          </w:divBdr>
        </w:div>
      </w:divsChild>
    </w:div>
    <w:div w:id="1724645446">
      <w:bodyDiv w:val="1"/>
      <w:marLeft w:val="0"/>
      <w:marRight w:val="0"/>
      <w:marTop w:val="0"/>
      <w:marBottom w:val="0"/>
      <w:divBdr>
        <w:top w:val="none" w:sz="0" w:space="0" w:color="auto"/>
        <w:left w:val="none" w:sz="0" w:space="0" w:color="auto"/>
        <w:bottom w:val="none" w:sz="0" w:space="0" w:color="auto"/>
        <w:right w:val="none" w:sz="0" w:space="0" w:color="auto"/>
      </w:divBdr>
      <w:divsChild>
        <w:div w:id="955135579">
          <w:marLeft w:val="-720"/>
          <w:marRight w:val="0"/>
          <w:marTop w:val="0"/>
          <w:marBottom w:val="0"/>
          <w:divBdr>
            <w:top w:val="none" w:sz="0" w:space="0" w:color="auto"/>
            <w:left w:val="none" w:sz="0" w:space="0" w:color="auto"/>
            <w:bottom w:val="none" w:sz="0" w:space="0" w:color="auto"/>
            <w:right w:val="none" w:sz="0" w:space="0" w:color="auto"/>
          </w:divBdr>
        </w:div>
      </w:divsChild>
    </w:div>
    <w:div w:id="1731806894">
      <w:bodyDiv w:val="1"/>
      <w:marLeft w:val="0"/>
      <w:marRight w:val="0"/>
      <w:marTop w:val="0"/>
      <w:marBottom w:val="0"/>
      <w:divBdr>
        <w:top w:val="none" w:sz="0" w:space="0" w:color="auto"/>
        <w:left w:val="none" w:sz="0" w:space="0" w:color="auto"/>
        <w:bottom w:val="none" w:sz="0" w:space="0" w:color="auto"/>
        <w:right w:val="none" w:sz="0" w:space="0" w:color="auto"/>
      </w:divBdr>
      <w:divsChild>
        <w:div w:id="1345594216">
          <w:marLeft w:val="-720"/>
          <w:marRight w:val="0"/>
          <w:marTop w:val="0"/>
          <w:marBottom w:val="0"/>
          <w:divBdr>
            <w:top w:val="none" w:sz="0" w:space="0" w:color="auto"/>
            <w:left w:val="none" w:sz="0" w:space="0" w:color="auto"/>
            <w:bottom w:val="none" w:sz="0" w:space="0" w:color="auto"/>
            <w:right w:val="none" w:sz="0" w:space="0" w:color="auto"/>
          </w:divBdr>
        </w:div>
      </w:divsChild>
    </w:div>
    <w:div w:id="1996912671">
      <w:bodyDiv w:val="1"/>
      <w:marLeft w:val="0"/>
      <w:marRight w:val="0"/>
      <w:marTop w:val="0"/>
      <w:marBottom w:val="0"/>
      <w:divBdr>
        <w:top w:val="none" w:sz="0" w:space="0" w:color="auto"/>
        <w:left w:val="none" w:sz="0" w:space="0" w:color="auto"/>
        <w:bottom w:val="none" w:sz="0" w:space="0" w:color="auto"/>
        <w:right w:val="none" w:sz="0" w:space="0" w:color="auto"/>
      </w:divBdr>
      <w:divsChild>
        <w:div w:id="1932228746">
          <w:marLeft w:val="-720"/>
          <w:marRight w:val="0"/>
          <w:marTop w:val="0"/>
          <w:marBottom w:val="0"/>
          <w:divBdr>
            <w:top w:val="none" w:sz="0" w:space="0" w:color="auto"/>
            <w:left w:val="none" w:sz="0" w:space="0" w:color="auto"/>
            <w:bottom w:val="none" w:sz="0" w:space="0" w:color="auto"/>
            <w:right w:val="none" w:sz="0" w:space="0" w:color="auto"/>
          </w:divBdr>
        </w:div>
      </w:divsChild>
    </w:div>
    <w:div w:id="2086762205">
      <w:bodyDiv w:val="1"/>
      <w:marLeft w:val="0"/>
      <w:marRight w:val="0"/>
      <w:marTop w:val="0"/>
      <w:marBottom w:val="0"/>
      <w:divBdr>
        <w:top w:val="none" w:sz="0" w:space="0" w:color="auto"/>
        <w:left w:val="none" w:sz="0" w:space="0" w:color="auto"/>
        <w:bottom w:val="none" w:sz="0" w:space="0" w:color="auto"/>
        <w:right w:val="none" w:sz="0" w:space="0" w:color="auto"/>
      </w:divBdr>
      <w:divsChild>
        <w:div w:id="121072377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metmuseum.org/essays/relics-and-reliquaries-in-medieval-christianity" TargetMode="External"/><Relationship Id="rId2" Type="http://schemas.openxmlformats.org/officeDocument/2006/relationships/hyperlink" Target="https://www.bayeuxmuseum.com/en/the-bayeux-tapestry/discover-the-bayeux-tapestry/explore-online/" TargetMode="External"/><Relationship Id="rId1" Type="http://schemas.openxmlformats.org/officeDocument/2006/relationships/hyperlink" Target="https://www.britannica.com/topic/Bayeux-Tapestry" TargetMode="External"/><Relationship Id="rId4" Type="http://schemas.openxmlformats.org/officeDocument/2006/relationships/hyperlink" Target="https://www.britannica.com/biography/Rollo-duke-of-Norman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1156</Words>
  <Characters>6594</Characters>
  <Application>Microsoft Office Word</Application>
  <DocSecurity>0</DocSecurity>
  <Lines>54</Lines>
  <Paragraphs>15</Paragraphs>
  <ScaleCrop>false</ScaleCrop>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dc:creator>
  <cp:keywords/>
  <dc:description/>
  <cp:lastModifiedBy>Agne G</cp:lastModifiedBy>
  <cp:revision>95</cp:revision>
  <dcterms:created xsi:type="dcterms:W3CDTF">2025-03-16T17:01:00Z</dcterms:created>
  <dcterms:modified xsi:type="dcterms:W3CDTF">2025-03-16T19:56:00Z</dcterms:modified>
</cp:coreProperties>
</file>