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AF093" w14:textId="39022A98" w:rsidR="00955F96" w:rsidRDefault="00F9524A">
      <w:r>
        <w:rPr>
          <w:noProof/>
        </w:rPr>
        <w:drawing>
          <wp:anchor distT="0" distB="0" distL="114300" distR="114300" simplePos="0" relativeHeight="251659264" behindDoc="1" locked="0" layoutInCell="1" allowOverlap="1" wp14:anchorId="2328EBFA" wp14:editId="777480E9">
            <wp:simplePos x="0" y="0"/>
            <wp:positionH relativeFrom="column">
              <wp:posOffset>-368300</wp:posOffset>
            </wp:positionH>
            <wp:positionV relativeFrom="paragraph">
              <wp:posOffset>0</wp:posOffset>
            </wp:positionV>
            <wp:extent cx="1739265" cy="774700"/>
            <wp:effectExtent l="0" t="0" r="0" b="6350"/>
            <wp:wrapThrough wrapText="bothSides">
              <wp:wrapPolygon edited="0">
                <wp:start x="0" y="0"/>
                <wp:lineTo x="0" y="21246"/>
                <wp:lineTo x="21292" y="21246"/>
                <wp:lineTo x="21292"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39265" cy="774700"/>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Style w:val="GridTable4-Accent4"/>
        <w:tblpPr w:leftFromText="180" w:rightFromText="180" w:vertAnchor="text" w:horzAnchor="margin" w:tblpY="2031"/>
        <w:tblW w:w="0" w:type="auto"/>
        <w:tblLook w:val="04A0" w:firstRow="1" w:lastRow="0" w:firstColumn="1" w:lastColumn="0" w:noHBand="0" w:noVBand="1"/>
      </w:tblPr>
      <w:tblGrid>
        <w:gridCol w:w="2405"/>
        <w:gridCol w:w="6611"/>
      </w:tblGrid>
      <w:tr w:rsidR="00F9524A" w14:paraId="1DF823ED" w14:textId="77777777" w:rsidTr="00F952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802661D" w14:textId="77777777" w:rsidR="00F9524A" w:rsidRPr="00AE4E62" w:rsidRDefault="00F9524A" w:rsidP="001441C1">
            <w:pPr>
              <w:rPr>
                <w:rFonts w:cs="Arial"/>
                <w:sz w:val="28"/>
                <w:szCs w:val="28"/>
              </w:rPr>
            </w:pPr>
            <w:bookmarkStart w:id="0" w:name="_Hlk192789062"/>
            <w:r w:rsidRPr="00AE4E62">
              <w:t>Programme:</w:t>
            </w:r>
          </w:p>
        </w:tc>
        <w:tc>
          <w:tcPr>
            <w:tcW w:w="6611" w:type="dxa"/>
          </w:tcPr>
          <w:p w14:paraId="0F146F22" w14:textId="77777777" w:rsidR="00F9524A" w:rsidRDefault="00F9524A" w:rsidP="001441C1">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F9524A" w14:paraId="7D1CC387" w14:textId="77777777" w:rsidTr="00F952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386F3E4" w14:textId="77777777" w:rsidR="00F9524A" w:rsidRPr="003B11AB" w:rsidRDefault="00F9524A" w:rsidP="001441C1">
            <w:pPr>
              <w:rPr>
                <w:rFonts w:cs="Arial"/>
                <w:b w:val="0"/>
                <w:bCs w:val="0"/>
                <w:sz w:val="28"/>
                <w:szCs w:val="28"/>
              </w:rPr>
            </w:pPr>
            <w:r w:rsidRPr="003B11AB">
              <w:rPr>
                <w:b w:val="0"/>
                <w:bCs w:val="0"/>
              </w:rPr>
              <w:t>Module:</w:t>
            </w:r>
          </w:p>
        </w:tc>
        <w:tc>
          <w:tcPr>
            <w:tcW w:w="6611" w:type="dxa"/>
          </w:tcPr>
          <w:p w14:paraId="7B4765E4" w14:textId="77777777" w:rsidR="00F9524A" w:rsidRDefault="00F9524A" w:rsidP="001441C1">
            <w:pPr>
              <w:cnfStyle w:val="000000100000" w:firstRow="0" w:lastRow="0" w:firstColumn="0" w:lastColumn="0" w:oddVBand="0" w:evenVBand="0" w:oddHBand="1" w:evenHBand="0" w:firstRowFirstColumn="0" w:firstRowLastColumn="0" w:lastRowFirstColumn="0" w:lastRowLastColumn="0"/>
            </w:pPr>
            <w:r w:rsidRPr="00E736D8">
              <w:t>Health Care System Organisation and Leadership</w:t>
            </w:r>
          </w:p>
        </w:tc>
      </w:tr>
      <w:tr w:rsidR="00F9524A" w14:paraId="57C43552" w14:textId="77777777" w:rsidTr="00F9524A">
        <w:tc>
          <w:tcPr>
            <w:cnfStyle w:val="001000000000" w:firstRow="0" w:lastRow="0" w:firstColumn="1" w:lastColumn="0" w:oddVBand="0" w:evenVBand="0" w:oddHBand="0" w:evenHBand="0" w:firstRowFirstColumn="0" w:firstRowLastColumn="0" w:lastRowFirstColumn="0" w:lastRowLastColumn="0"/>
            <w:tcW w:w="2405" w:type="dxa"/>
          </w:tcPr>
          <w:p w14:paraId="5385FADE" w14:textId="77777777" w:rsidR="00F9524A" w:rsidRPr="003B11AB" w:rsidRDefault="00F9524A" w:rsidP="001441C1">
            <w:pPr>
              <w:rPr>
                <w:rFonts w:cs="Arial"/>
                <w:b w:val="0"/>
                <w:bCs w:val="0"/>
                <w:sz w:val="28"/>
                <w:szCs w:val="28"/>
              </w:rPr>
            </w:pPr>
            <w:r w:rsidRPr="003B11AB">
              <w:rPr>
                <w:b w:val="0"/>
                <w:bCs w:val="0"/>
              </w:rPr>
              <w:t>Module code:</w:t>
            </w:r>
          </w:p>
        </w:tc>
        <w:tc>
          <w:tcPr>
            <w:tcW w:w="6611" w:type="dxa"/>
          </w:tcPr>
          <w:p w14:paraId="55F5F4FB" w14:textId="77777777" w:rsidR="00F9524A" w:rsidRDefault="00F9524A" w:rsidP="001441C1">
            <w:pPr>
              <w:cnfStyle w:val="000000000000" w:firstRow="0" w:lastRow="0" w:firstColumn="0" w:lastColumn="0" w:oddVBand="0" w:evenVBand="0" w:oddHBand="0" w:evenHBand="0" w:firstRowFirstColumn="0" w:firstRowLastColumn="0" w:lastRowFirstColumn="0" w:lastRowLastColumn="0"/>
            </w:pPr>
            <w:r w:rsidRPr="00E736D8">
              <w:t>LCHS7002</w:t>
            </w:r>
          </w:p>
        </w:tc>
      </w:tr>
      <w:tr w:rsidR="00F9524A" w14:paraId="55B269E3" w14:textId="77777777" w:rsidTr="00F952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D3E7976" w14:textId="77777777" w:rsidR="00F9524A" w:rsidRPr="003B11AB" w:rsidRDefault="00F9524A" w:rsidP="001441C1">
            <w:pPr>
              <w:rPr>
                <w:rFonts w:cs="Arial"/>
                <w:b w:val="0"/>
                <w:bCs w:val="0"/>
                <w:sz w:val="28"/>
                <w:szCs w:val="28"/>
              </w:rPr>
            </w:pPr>
            <w:r w:rsidRPr="003B11AB">
              <w:rPr>
                <w:b w:val="0"/>
                <w:bCs w:val="0"/>
              </w:rPr>
              <w:t>Assignment Title:</w:t>
            </w:r>
          </w:p>
        </w:tc>
        <w:tc>
          <w:tcPr>
            <w:tcW w:w="6611" w:type="dxa"/>
          </w:tcPr>
          <w:p w14:paraId="00C66236" w14:textId="77777777" w:rsidR="00F9524A" w:rsidRDefault="00F9524A" w:rsidP="001441C1">
            <w:pPr>
              <w:jc w:val="left"/>
              <w:cnfStyle w:val="000000100000" w:firstRow="0" w:lastRow="0" w:firstColumn="0" w:lastColumn="0" w:oddVBand="0" w:evenVBand="0" w:oddHBand="1" w:evenHBand="0" w:firstRowFirstColumn="0" w:firstRowLastColumn="0" w:lastRowFirstColumn="0" w:lastRowLastColumn="0"/>
            </w:pPr>
            <w:r>
              <w:t>Case Study Analysis Report: Comparative report on COVID19 leadership responses</w:t>
            </w:r>
          </w:p>
        </w:tc>
      </w:tr>
      <w:tr w:rsidR="00527FBA" w14:paraId="1B098471" w14:textId="77777777" w:rsidTr="00F9524A">
        <w:tc>
          <w:tcPr>
            <w:cnfStyle w:val="001000000000" w:firstRow="0" w:lastRow="0" w:firstColumn="1" w:lastColumn="0" w:oddVBand="0" w:evenVBand="0" w:oddHBand="0" w:evenHBand="0" w:firstRowFirstColumn="0" w:firstRowLastColumn="0" w:lastRowFirstColumn="0" w:lastRowLastColumn="0"/>
            <w:tcW w:w="2405" w:type="dxa"/>
          </w:tcPr>
          <w:p w14:paraId="4B1A1196" w14:textId="325E6E76" w:rsidR="00527FBA" w:rsidRPr="00527FBA" w:rsidRDefault="00527FBA" w:rsidP="001441C1">
            <w:pPr>
              <w:rPr>
                <w:b w:val="0"/>
                <w:bCs w:val="0"/>
              </w:rPr>
            </w:pPr>
            <w:r w:rsidRPr="00527FBA">
              <w:rPr>
                <w:b w:val="0"/>
                <w:bCs w:val="0"/>
              </w:rPr>
              <w:t>Lecturer:</w:t>
            </w:r>
          </w:p>
        </w:tc>
        <w:tc>
          <w:tcPr>
            <w:tcW w:w="6611" w:type="dxa"/>
          </w:tcPr>
          <w:p w14:paraId="42218574" w14:textId="026418E2" w:rsidR="00527FBA" w:rsidRDefault="007F0160" w:rsidP="001441C1">
            <w:pPr>
              <w:jc w:val="left"/>
              <w:cnfStyle w:val="000000000000" w:firstRow="0" w:lastRow="0" w:firstColumn="0" w:lastColumn="0" w:oddVBand="0" w:evenVBand="0" w:oddHBand="0" w:evenHBand="0" w:firstRowFirstColumn="0" w:firstRowLastColumn="0" w:lastRowFirstColumn="0" w:lastRowLastColumn="0"/>
            </w:pPr>
            <w:r w:rsidRPr="007F0160">
              <w:t>Shepherd Ziko</w:t>
            </w:r>
          </w:p>
        </w:tc>
      </w:tr>
      <w:tr w:rsidR="00F9524A" w14:paraId="2937CE43" w14:textId="77777777" w:rsidTr="00F952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895131E" w14:textId="77777777" w:rsidR="00F9524A" w:rsidRPr="003B11AB" w:rsidRDefault="00F9524A" w:rsidP="001441C1">
            <w:pPr>
              <w:rPr>
                <w:b w:val="0"/>
                <w:bCs w:val="0"/>
              </w:rPr>
            </w:pPr>
            <w:r w:rsidRPr="003B11AB">
              <w:rPr>
                <w:b w:val="0"/>
                <w:bCs w:val="0"/>
              </w:rPr>
              <w:t>Student Name:</w:t>
            </w:r>
          </w:p>
        </w:tc>
        <w:tc>
          <w:tcPr>
            <w:tcW w:w="6611" w:type="dxa"/>
          </w:tcPr>
          <w:p w14:paraId="4A0B292F" w14:textId="09F1AB12" w:rsidR="00F9524A" w:rsidRDefault="00527FBA" w:rsidP="001441C1">
            <w:pPr>
              <w:cnfStyle w:val="000000100000" w:firstRow="0" w:lastRow="0" w:firstColumn="0" w:lastColumn="0" w:oddVBand="0" w:evenVBand="0" w:oddHBand="1" w:evenHBand="0" w:firstRowFirstColumn="0" w:firstRowLastColumn="0" w:lastRowFirstColumn="0" w:lastRowLastColumn="0"/>
            </w:pPr>
            <w:r w:rsidRPr="00527FBA">
              <w:t>Bilkis begum</w:t>
            </w:r>
          </w:p>
        </w:tc>
      </w:tr>
      <w:tr w:rsidR="00F9524A" w14:paraId="5D2B28EE" w14:textId="77777777" w:rsidTr="00F9524A">
        <w:tc>
          <w:tcPr>
            <w:cnfStyle w:val="001000000000" w:firstRow="0" w:lastRow="0" w:firstColumn="1" w:lastColumn="0" w:oddVBand="0" w:evenVBand="0" w:oddHBand="0" w:evenHBand="0" w:firstRowFirstColumn="0" w:firstRowLastColumn="0" w:lastRowFirstColumn="0" w:lastRowLastColumn="0"/>
            <w:tcW w:w="2405" w:type="dxa"/>
          </w:tcPr>
          <w:p w14:paraId="5CF0A02D" w14:textId="77777777" w:rsidR="00F9524A" w:rsidRPr="003B11AB" w:rsidRDefault="00F9524A" w:rsidP="001441C1">
            <w:pPr>
              <w:rPr>
                <w:b w:val="0"/>
                <w:bCs w:val="0"/>
              </w:rPr>
            </w:pPr>
            <w:r w:rsidRPr="003B11AB">
              <w:rPr>
                <w:b w:val="0"/>
                <w:bCs w:val="0"/>
              </w:rPr>
              <w:t>Student ID:</w:t>
            </w:r>
          </w:p>
        </w:tc>
        <w:tc>
          <w:tcPr>
            <w:tcW w:w="6611" w:type="dxa"/>
          </w:tcPr>
          <w:p w14:paraId="163DD543" w14:textId="638181B3" w:rsidR="00F9524A" w:rsidRDefault="00527FBA" w:rsidP="001441C1">
            <w:pPr>
              <w:cnfStyle w:val="000000000000" w:firstRow="0" w:lastRow="0" w:firstColumn="0" w:lastColumn="0" w:oddVBand="0" w:evenVBand="0" w:oddHBand="0" w:evenHBand="0" w:firstRowFirstColumn="0" w:firstRowLastColumn="0" w:lastRowFirstColumn="0" w:lastRowLastColumn="0"/>
            </w:pPr>
            <w:r w:rsidRPr="00527FBA">
              <w:t>2432744</w:t>
            </w:r>
          </w:p>
        </w:tc>
      </w:tr>
      <w:bookmarkEnd w:id="0"/>
    </w:tbl>
    <w:p w14:paraId="4CA584DF" w14:textId="4E43E90C" w:rsidR="00F9524A" w:rsidRDefault="00F9524A">
      <w:pPr>
        <w:spacing w:line="259" w:lineRule="auto"/>
        <w:jc w:val="left"/>
      </w:pPr>
      <w:r>
        <w:br w:type="page"/>
      </w:r>
    </w:p>
    <w:p w14:paraId="3655029C" w14:textId="77777777" w:rsidR="00F9524A" w:rsidRDefault="00F9524A" w:rsidP="00F9524A">
      <w:pPr>
        <w:pStyle w:val="Heading1"/>
      </w:pPr>
      <w:bookmarkStart w:id="1" w:name="_Toc206004053"/>
      <w:bookmarkStart w:id="2" w:name="_Toc216468328"/>
      <w:r>
        <w:lastRenderedPageBreak/>
        <w:t>Executive Summary</w:t>
      </w:r>
      <w:bookmarkEnd w:id="1"/>
      <w:bookmarkEnd w:id="2"/>
    </w:p>
    <w:p w14:paraId="1E505FBB" w14:textId="086A8CF8" w:rsidR="00F9524A" w:rsidRDefault="002F777E">
      <w:r w:rsidRPr="002F777E">
        <w:t>Studying how healthcare systems in Spain, South Korea, and Canada handled the COVID-19 pandemic, the research highlights the crucial role that leadership styles, healthcare system structure, and the dynamics of centralisation vs. decentralisation played in the end outcomes.  Because of its widely dispersed healthcare system, which was seen as being too indulgent and sluggish to react, Spain had a high rate of early death.</w:t>
      </w:r>
      <w:r>
        <w:t xml:space="preserve"> </w:t>
      </w:r>
      <w:r w:rsidRPr="002F777E">
        <w:t>Temporary centralisation, flexible co-governance, and public trust in Spain's healthcare system all contributed to the program's enormous success.</w:t>
      </w:r>
      <w:r>
        <w:t xml:space="preserve"> </w:t>
      </w:r>
      <w:r w:rsidRPr="002F777E">
        <w:t>Without resorting to widespread lockdowns, the proactive "K-Quarantine" approach was able to limit the infection by focussing on quick testing, comprehensive tracking, and open communication.</w:t>
      </w:r>
      <w:r>
        <w:t xml:space="preserve"> </w:t>
      </w:r>
      <w:r w:rsidRPr="002F777E">
        <w:t>Due to its highly developed healthcare infrastructure, institutional memory from past epidemics, and centralised healthcare system,</w:t>
      </w:r>
      <w:r>
        <w:t xml:space="preserve"> </w:t>
      </w:r>
      <w:r w:rsidRPr="002F777E">
        <w:t>South Korea is well-prepared to handle any future pandemics.</w:t>
      </w:r>
      <w:r>
        <w:t xml:space="preserve"> </w:t>
      </w:r>
      <w:r w:rsidRPr="002F777E">
        <w:t>Although this approach was effective, it did raise concerns over privacy.</w:t>
      </w:r>
      <w:r>
        <w:t xml:space="preserve"> </w:t>
      </w:r>
      <w:r w:rsidRPr="002F777E">
        <w:t>Problems with data interchange and inter-provincial collaboration, along with varied regional attitudes, plagued Canada's relatively decentralised federation</w:t>
      </w:r>
      <w:r w:rsidR="00910226" w:rsidRPr="00910226">
        <w:t>.</w:t>
      </w:r>
      <w:r w:rsidR="00910226">
        <w:t xml:space="preserve"> </w:t>
      </w:r>
      <w:r w:rsidR="00910226" w:rsidRPr="00910226">
        <w:t>Despite early rollout delays and chronic equity challenges at the provincial level, vaccine procurement was expedited and vital economic assistance was supplied by the federal government, which is known for its uniting and servant-oriented style of leadership.</w:t>
      </w:r>
      <w:r w:rsidR="00910226">
        <w:t xml:space="preserve"> </w:t>
      </w:r>
      <w:r w:rsidR="00910226" w:rsidRPr="00910226">
        <w:t>Effective crisis management, according to the report, requires a constant dance between national preparedness and regional responses, backed by a solid data infrastructure, open lines of communication, and flexible leadership that inspires confidence and unity.</w:t>
      </w:r>
    </w:p>
    <w:p w14:paraId="7AFA6968" w14:textId="1958B86D" w:rsidR="00F9524A" w:rsidRDefault="00F9524A">
      <w:pPr>
        <w:spacing w:line="259" w:lineRule="auto"/>
        <w:jc w:val="left"/>
      </w:pPr>
      <w:r>
        <w:br w:type="page"/>
      </w:r>
    </w:p>
    <w:sdt>
      <w:sdtPr>
        <w:rPr>
          <w:rFonts w:ascii="Arial" w:eastAsiaTheme="minorHAnsi" w:hAnsi="Arial" w:cstheme="minorBidi"/>
          <w:color w:val="auto"/>
          <w:sz w:val="22"/>
          <w:szCs w:val="22"/>
          <w:lang w:val="en-GB"/>
        </w:rPr>
        <w:id w:val="-611046662"/>
        <w:docPartObj>
          <w:docPartGallery w:val="Table of Contents"/>
          <w:docPartUnique/>
        </w:docPartObj>
      </w:sdtPr>
      <w:sdtEndPr>
        <w:rPr>
          <w:b/>
          <w:bCs/>
          <w:noProof/>
        </w:rPr>
      </w:sdtEndPr>
      <w:sdtContent>
        <w:p w14:paraId="65D30E8B" w14:textId="28517646" w:rsidR="0082317E" w:rsidRDefault="0082317E">
          <w:pPr>
            <w:pStyle w:val="TOCHeading"/>
          </w:pPr>
          <w:r>
            <w:t>Table of Contents</w:t>
          </w:r>
        </w:p>
        <w:p w14:paraId="26B531EB" w14:textId="4E39D0B4" w:rsidR="0082317E" w:rsidRDefault="0082317E">
          <w:pPr>
            <w:pStyle w:val="TOC1"/>
            <w:tabs>
              <w:tab w:val="right" w:leader="dot" w:pos="9016"/>
            </w:tabs>
            <w:rPr>
              <w:noProof/>
            </w:rPr>
          </w:pPr>
          <w:r>
            <w:fldChar w:fldCharType="begin"/>
          </w:r>
          <w:r>
            <w:instrText xml:space="preserve"> TOC \o "1-3" \h \z \u </w:instrText>
          </w:r>
          <w:r>
            <w:fldChar w:fldCharType="separate"/>
          </w:r>
          <w:hyperlink w:anchor="_Toc216468328" w:history="1">
            <w:r w:rsidRPr="00FF349C">
              <w:rPr>
                <w:rStyle w:val="Hyperlink"/>
                <w:noProof/>
              </w:rPr>
              <w:t>Executive Summary</w:t>
            </w:r>
            <w:r>
              <w:rPr>
                <w:noProof/>
                <w:webHidden/>
              </w:rPr>
              <w:tab/>
            </w:r>
            <w:r>
              <w:rPr>
                <w:noProof/>
                <w:webHidden/>
              </w:rPr>
              <w:fldChar w:fldCharType="begin"/>
            </w:r>
            <w:r>
              <w:rPr>
                <w:noProof/>
                <w:webHidden/>
              </w:rPr>
              <w:instrText xml:space="preserve"> PAGEREF _Toc216468328 \h </w:instrText>
            </w:r>
            <w:r>
              <w:rPr>
                <w:noProof/>
                <w:webHidden/>
              </w:rPr>
            </w:r>
            <w:r>
              <w:rPr>
                <w:noProof/>
                <w:webHidden/>
              </w:rPr>
              <w:fldChar w:fldCharType="separate"/>
            </w:r>
            <w:r>
              <w:rPr>
                <w:noProof/>
                <w:webHidden/>
              </w:rPr>
              <w:t>2</w:t>
            </w:r>
            <w:r>
              <w:rPr>
                <w:noProof/>
                <w:webHidden/>
              </w:rPr>
              <w:fldChar w:fldCharType="end"/>
            </w:r>
          </w:hyperlink>
        </w:p>
        <w:p w14:paraId="1048D572" w14:textId="246C790D" w:rsidR="0082317E" w:rsidRDefault="00B84050">
          <w:pPr>
            <w:pStyle w:val="TOC1"/>
            <w:tabs>
              <w:tab w:val="right" w:leader="dot" w:pos="9016"/>
            </w:tabs>
            <w:rPr>
              <w:noProof/>
            </w:rPr>
          </w:pPr>
          <w:hyperlink w:anchor="_Toc216468329" w:history="1">
            <w:r w:rsidR="0082317E" w:rsidRPr="00FF349C">
              <w:rPr>
                <w:rStyle w:val="Hyperlink"/>
                <w:noProof/>
              </w:rPr>
              <w:t>1. Introduction</w:t>
            </w:r>
            <w:r w:rsidR="0082317E">
              <w:rPr>
                <w:noProof/>
                <w:webHidden/>
              </w:rPr>
              <w:tab/>
            </w:r>
            <w:r w:rsidR="0082317E">
              <w:rPr>
                <w:noProof/>
                <w:webHidden/>
              </w:rPr>
              <w:fldChar w:fldCharType="begin"/>
            </w:r>
            <w:r w:rsidR="0082317E">
              <w:rPr>
                <w:noProof/>
                <w:webHidden/>
              </w:rPr>
              <w:instrText xml:space="preserve"> PAGEREF _Toc216468329 \h </w:instrText>
            </w:r>
            <w:r w:rsidR="0082317E">
              <w:rPr>
                <w:noProof/>
                <w:webHidden/>
              </w:rPr>
            </w:r>
            <w:r w:rsidR="0082317E">
              <w:rPr>
                <w:noProof/>
                <w:webHidden/>
              </w:rPr>
              <w:fldChar w:fldCharType="separate"/>
            </w:r>
            <w:r w:rsidR="0082317E">
              <w:rPr>
                <w:noProof/>
                <w:webHidden/>
              </w:rPr>
              <w:t>4</w:t>
            </w:r>
            <w:r w:rsidR="0082317E">
              <w:rPr>
                <w:noProof/>
                <w:webHidden/>
              </w:rPr>
              <w:fldChar w:fldCharType="end"/>
            </w:r>
          </w:hyperlink>
        </w:p>
        <w:p w14:paraId="55313E6B" w14:textId="29F5DB08" w:rsidR="0082317E" w:rsidRDefault="00B84050">
          <w:pPr>
            <w:pStyle w:val="TOC1"/>
            <w:tabs>
              <w:tab w:val="right" w:leader="dot" w:pos="9016"/>
            </w:tabs>
            <w:rPr>
              <w:noProof/>
            </w:rPr>
          </w:pPr>
          <w:hyperlink w:anchor="_Toc216468330" w:history="1">
            <w:r w:rsidR="0082317E" w:rsidRPr="00FF349C">
              <w:rPr>
                <w:rStyle w:val="Hyperlink"/>
                <w:noProof/>
              </w:rPr>
              <w:t>2. Critical Analysis of each countries Centralised/decentralised approaches to the pandemic</w:t>
            </w:r>
            <w:r w:rsidR="0082317E">
              <w:rPr>
                <w:noProof/>
                <w:webHidden/>
              </w:rPr>
              <w:tab/>
            </w:r>
            <w:r w:rsidR="0082317E">
              <w:rPr>
                <w:noProof/>
                <w:webHidden/>
              </w:rPr>
              <w:fldChar w:fldCharType="begin"/>
            </w:r>
            <w:r w:rsidR="0082317E">
              <w:rPr>
                <w:noProof/>
                <w:webHidden/>
              </w:rPr>
              <w:instrText xml:space="preserve"> PAGEREF _Toc216468330 \h </w:instrText>
            </w:r>
            <w:r w:rsidR="0082317E">
              <w:rPr>
                <w:noProof/>
                <w:webHidden/>
              </w:rPr>
            </w:r>
            <w:r w:rsidR="0082317E">
              <w:rPr>
                <w:noProof/>
                <w:webHidden/>
              </w:rPr>
              <w:fldChar w:fldCharType="separate"/>
            </w:r>
            <w:r w:rsidR="0082317E">
              <w:rPr>
                <w:noProof/>
                <w:webHidden/>
              </w:rPr>
              <w:t>4</w:t>
            </w:r>
            <w:r w:rsidR="0082317E">
              <w:rPr>
                <w:noProof/>
                <w:webHidden/>
              </w:rPr>
              <w:fldChar w:fldCharType="end"/>
            </w:r>
          </w:hyperlink>
        </w:p>
        <w:p w14:paraId="5D347E10" w14:textId="37F415A0" w:rsidR="0082317E" w:rsidRDefault="00B84050">
          <w:pPr>
            <w:pStyle w:val="TOC2"/>
            <w:tabs>
              <w:tab w:val="right" w:leader="dot" w:pos="9016"/>
            </w:tabs>
            <w:rPr>
              <w:noProof/>
            </w:rPr>
          </w:pPr>
          <w:hyperlink w:anchor="_Toc216468331" w:history="1">
            <w:r w:rsidR="0082317E" w:rsidRPr="00FF349C">
              <w:rPr>
                <w:rStyle w:val="Hyperlink"/>
                <w:noProof/>
              </w:rPr>
              <w:t>2.1 Spain</w:t>
            </w:r>
            <w:r w:rsidR="0082317E">
              <w:rPr>
                <w:noProof/>
                <w:webHidden/>
              </w:rPr>
              <w:tab/>
            </w:r>
            <w:r w:rsidR="0082317E">
              <w:rPr>
                <w:noProof/>
                <w:webHidden/>
              </w:rPr>
              <w:fldChar w:fldCharType="begin"/>
            </w:r>
            <w:r w:rsidR="0082317E">
              <w:rPr>
                <w:noProof/>
                <w:webHidden/>
              </w:rPr>
              <w:instrText xml:space="preserve"> PAGEREF _Toc216468331 \h </w:instrText>
            </w:r>
            <w:r w:rsidR="0082317E">
              <w:rPr>
                <w:noProof/>
                <w:webHidden/>
              </w:rPr>
            </w:r>
            <w:r w:rsidR="0082317E">
              <w:rPr>
                <w:noProof/>
                <w:webHidden/>
              </w:rPr>
              <w:fldChar w:fldCharType="separate"/>
            </w:r>
            <w:r w:rsidR="0082317E">
              <w:rPr>
                <w:noProof/>
                <w:webHidden/>
              </w:rPr>
              <w:t>4</w:t>
            </w:r>
            <w:r w:rsidR="0082317E">
              <w:rPr>
                <w:noProof/>
                <w:webHidden/>
              </w:rPr>
              <w:fldChar w:fldCharType="end"/>
            </w:r>
          </w:hyperlink>
        </w:p>
        <w:p w14:paraId="41D51AEE" w14:textId="660CE89F" w:rsidR="0082317E" w:rsidRDefault="00B84050">
          <w:pPr>
            <w:pStyle w:val="TOC3"/>
            <w:tabs>
              <w:tab w:val="right" w:leader="dot" w:pos="9016"/>
            </w:tabs>
            <w:rPr>
              <w:noProof/>
            </w:rPr>
          </w:pPr>
          <w:hyperlink w:anchor="_Toc216468332" w:history="1">
            <w:r w:rsidR="0082317E" w:rsidRPr="00FF349C">
              <w:rPr>
                <w:rStyle w:val="Hyperlink"/>
                <w:noProof/>
              </w:rPr>
              <w:t>2.1.1 Spain’s Healthcare System</w:t>
            </w:r>
            <w:r w:rsidR="0082317E">
              <w:rPr>
                <w:noProof/>
                <w:webHidden/>
              </w:rPr>
              <w:tab/>
            </w:r>
            <w:r w:rsidR="0082317E">
              <w:rPr>
                <w:noProof/>
                <w:webHidden/>
              </w:rPr>
              <w:fldChar w:fldCharType="begin"/>
            </w:r>
            <w:r w:rsidR="0082317E">
              <w:rPr>
                <w:noProof/>
                <w:webHidden/>
              </w:rPr>
              <w:instrText xml:space="preserve"> PAGEREF _Toc216468332 \h </w:instrText>
            </w:r>
            <w:r w:rsidR="0082317E">
              <w:rPr>
                <w:noProof/>
                <w:webHidden/>
              </w:rPr>
            </w:r>
            <w:r w:rsidR="0082317E">
              <w:rPr>
                <w:noProof/>
                <w:webHidden/>
              </w:rPr>
              <w:fldChar w:fldCharType="separate"/>
            </w:r>
            <w:r w:rsidR="0082317E">
              <w:rPr>
                <w:noProof/>
                <w:webHidden/>
              </w:rPr>
              <w:t>4</w:t>
            </w:r>
            <w:r w:rsidR="0082317E">
              <w:rPr>
                <w:noProof/>
                <w:webHidden/>
              </w:rPr>
              <w:fldChar w:fldCharType="end"/>
            </w:r>
          </w:hyperlink>
        </w:p>
        <w:p w14:paraId="2777049D" w14:textId="363911F1" w:rsidR="0082317E" w:rsidRDefault="00B84050">
          <w:pPr>
            <w:pStyle w:val="TOC3"/>
            <w:tabs>
              <w:tab w:val="right" w:leader="dot" w:pos="9016"/>
            </w:tabs>
            <w:rPr>
              <w:noProof/>
            </w:rPr>
          </w:pPr>
          <w:hyperlink w:anchor="_Toc216468333" w:history="1">
            <w:r w:rsidR="0082317E" w:rsidRPr="00FF349C">
              <w:rPr>
                <w:rStyle w:val="Hyperlink"/>
                <w:noProof/>
              </w:rPr>
              <w:t>2.1.2 Spain’s COVID-19 Response</w:t>
            </w:r>
            <w:r w:rsidR="0082317E">
              <w:rPr>
                <w:noProof/>
                <w:webHidden/>
              </w:rPr>
              <w:tab/>
            </w:r>
            <w:r w:rsidR="0082317E">
              <w:rPr>
                <w:noProof/>
                <w:webHidden/>
              </w:rPr>
              <w:fldChar w:fldCharType="begin"/>
            </w:r>
            <w:r w:rsidR="0082317E">
              <w:rPr>
                <w:noProof/>
                <w:webHidden/>
              </w:rPr>
              <w:instrText xml:space="preserve"> PAGEREF _Toc216468333 \h </w:instrText>
            </w:r>
            <w:r w:rsidR="0082317E">
              <w:rPr>
                <w:noProof/>
                <w:webHidden/>
              </w:rPr>
            </w:r>
            <w:r w:rsidR="0082317E">
              <w:rPr>
                <w:noProof/>
                <w:webHidden/>
              </w:rPr>
              <w:fldChar w:fldCharType="separate"/>
            </w:r>
            <w:r w:rsidR="0082317E">
              <w:rPr>
                <w:noProof/>
                <w:webHidden/>
              </w:rPr>
              <w:t>5</w:t>
            </w:r>
            <w:r w:rsidR="0082317E">
              <w:rPr>
                <w:noProof/>
                <w:webHidden/>
              </w:rPr>
              <w:fldChar w:fldCharType="end"/>
            </w:r>
          </w:hyperlink>
        </w:p>
        <w:p w14:paraId="1BF8C0F2" w14:textId="2F190BBE" w:rsidR="0082317E" w:rsidRDefault="00B84050">
          <w:pPr>
            <w:pStyle w:val="TOC3"/>
            <w:tabs>
              <w:tab w:val="right" w:leader="dot" w:pos="9016"/>
            </w:tabs>
            <w:rPr>
              <w:noProof/>
            </w:rPr>
          </w:pPr>
          <w:hyperlink w:anchor="_Toc216468334" w:history="1">
            <w:r w:rsidR="0082317E" w:rsidRPr="00FF349C">
              <w:rPr>
                <w:rStyle w:val="Hyperlink"/>
                <w:noProof/>
              </w:rPr>
              <w:t>2.1.3 Advantages and Disadvantages of Spain’s Response</w:t>
            </w:r>
            <w:r w:rsidR="0082317E">
              <w:rPr>
                <w:noProof/>
                <w:webHidden/>
              </w:rPr>
              <w:tab/>
            </w:r>
            <w:r w:rsidR="0082317E">
              <w:rPr>
                <w:noProof/>
                <w:webHidden/>
              </w:rPr>
              <w:fldChar w:fldCharType="begin"/>
            </w:r>
            <w:r w:rsidR="0082317E">
              <w:rPr>
                <w:noProof/>
                <w:webHidden/>
              </w:rPr>
              <w:instrText xml:space="preserve"> PAGEREF _Toc216468334 \h </w:instrText>
            </w:r>
            <w:r w:rsidR="0082317E">
              <w:rPr>
                <w:noProof/>
                <w:webHidden/>
              </w:rPr>
            </w:r>
            <w:r w:rsidR="0082317E">
              <w:rPr>
                <w:noProof/>
                <w:webHidden/>
              </w:rPr>
              <w:fldChar w:fldCharType="separate"/>
            </w:r>
            <w:r w:rsidR="0082317E">
              <w:rPr>
                <w:noProof/>
                <w:webHidden/>
              </w:rPr>
              <w:t>7</w:t>
            </w:r>
            <w:r w:rsidR="0082317E">
              <w:rPr>
                <w:noProof/>
                <w:webHidden/>
              </w:rPr>
              <w:fldChar w:fldCharType="end"/>
            </w:r>
          </w:hyperlink>
        </w:p>
        <w:p w14:paraId="310EC973" w14:textId="0EAE84B0" w:rsidR="0082317E" w:rsidRDefault="00B84050">
          <w:pPr>
            <w:pStyle w:val="TOC2"/>
            <w:tabs>
              <w:tab w:val="right" w:leader="dot" w:pos="9016"/>
            </w:tabs>
            <w:rPr>
              <w:noProof/>
            </w:rPr>
          </w:pPr>
          <w:hyperlink w:anchor="_Toc216468335" w:history="1">
            <w:r w:rsidR="0082317E" w:rsidRPr="00FF349C">
              <w:rPr>
                <w:rStyle w:val="Hyperlink"/>
                <w:noProof/>
              </w:rPr>
              <w:t>2.2. South Korea</w:t>
            </w:r>
            <w:r w:rsidR="0082317E">
              <w:rPr>
                <w:noProof/>
                <w:webHidden/>
              </w:rPr>
              <w:tab/>
            </w:r>
            <w:r w:rsidR="0082317E">
              <w:rPr>
                <w:noProof/>
                <w:webHidden/>
              </w:rPr>
              <w:fldChar w:fldCharType="begin"/>
            </w:r>
            <w:r w:rsidR="0082317E">
              <w:rPr>
                <w:noProof/>
                <w:webHidden/>
              </w:rPr>
              <w:instrText xml:space="preserve"> PAGEREF _Toc216468335 \h </w:instrText>
            </w:r>
            <w:r w:rsidR="0082317E">
              <w:rPr>
                <w:noProof/>
                <w:webHidden/>
              </w:rPr>
            </w:r>
            <w:r w:rsidR="0082317E">
              <w:rPr>
                <w:noProof/>
                <w:webHidden/>
              </w:rPr>
              <w:fldChar w:fldCharType="separate"/>
            </w:r>
            <w:r w:rsidR="0082317E">
              <w:rPr>
                <w:noProof/>
                <w:webHidden/>
              </w:rPr>
              <w:t>8</w:t>
            </w:r>
            <w:r w:rsidR="0082317E">
              <w:rPr>
                <w:noProof/>
                <w:webHidden/>
              </w:rPr>
              <w:fldChar w:fldCharType="end"/>
            </w:r>
          </w:hyperlink>
        </w:p>
        <w:p w14:paraId="1F5309D6" w14:textId="2BCF2F1B" w:rsidR="0082317E" w:rsidRDefault="00B84050">
          <w:pPr>
            <w:pStyle w:val="TOC3"/>
            <w:tabs>
              <w:tab w:val="right" w:leader="dot" w:pos="9016"/>
            </w:tabs>
            <w:rPr>
              <w:noProof/>
            </w:rPr>
          </w:pPr>
          <w:hyperlink w:anchor="_Toc216468336" w:history="1">
            <w:r w:rsidR="0082317E" w:rsidRPr="00FF349C">
              <w:rPr>
                <w:rStyle w:val="Hyperlink"/>
                <w:noProof/>
              </w:rPr>
              <w:t>2.2.1. South Korea’s Healthcare System</w:t>
            </w:r>
            <w:r w:rsidR="0082317E">
              <w:rPr>
                <w:noProof/>
                <w:webHidden/>
              </w:rPr>
              <w:tab/>
            </w:r>
            <w:r w:rsidR="0082317E">
              <w:rPr>
                <w:noProof/>
                <w:webHidden/>
              </w:rPr>
              <w:fldChar w:fldCharType="begin"/>
            </w:r>
            <w:r w:rsidR="0082317E">
              <w:rPr>
                <w:noProof/>
                <w:webHidden/>
              </w:rPr>
              <w:instrText xml:space="preserve"> PAGEREF _Toc216468336 \h </w:instrText>
            </w:r>
            <w:r w:rsidR="0082317E">
              <w:rPr>
                <w:noProof/>
                <w:webHidden/>
              </w:rPr>
            </w:r>
            <w:r w:rsidR="0082317E">
              <w:rPr>
                <w:noProof/>
                <w:webHidden/>
              </w:rPr>
              <w:fldChar w:fldCharType="separate"/>
            </w:r>
            <w:r w:rsidR="0082317E">
              <w:rPr>
                <w:noProof/>
                <w:webHidden/>
              </w:rPr>
              <w:t>8</w:t>
            </w:r>
            <w:r w:rsidR="0082317E">
              <w:rPr>
                <w:noProof/>
                <w:webHidden/>
              </w:rPr>
              <w:fldChar w:fldCharType="end"/>
            </w:r>
          </w:hyperlink>
        </w:p>
        <w:p w14:paraId="4FAD0E0A" w14:textId="77E12A25" w:rsidR="0082317E" w:rsidRDefault="00B84050">
          <w:pPr>
            <w:pStyle w:val="TOC3"/>
            <w:tabs>
              <w:tab w:val="right" w:leader="dot" w:pos="9016"/>
            </w:tabs>
            <w:rPr>
              <w:noProof/>
            </w:rPr>
          </w:pPr>
          <w:hyperlink w:anchor="_Toc216468337" w:history="1">
            <w:r w:rsidR="0082317E" w:rsidRPr="00FF349C">
              <w:rPr>
                <w:rStyle w:val="Hyperlink"/>
                <w:noProof/>
              </w:rPr>
              <w:t>2.2.2. South Korea’s COVID-19 Response</w:t>
            </w:r>
            <w:r w:rsidR="0082317E">
              <w:rPr>
                <w:noProof/>
                <w:webHidden/>
              </w:rPr>
              <w:tab/>
            </w:r>
            <w:r w:rsidR="0082317E">
              <w:rPr>
                <w:noProof/>
                <w:webHidden/>
              </w:rPr>
              <w:fldChar w:fldCharType="begin"/>
            </w:r>
            <w:r w:rsidR="0082317E">
              <w:rPr>
                <w:noProof/>
                <w:webHidden/>
              </w:rPr>
              <w:instrText xml:space="preserve"> PAGEREF _Toc216468337 \h </w:instrText>
            </w:r>
            <w:r w:rsidR="0082317E">
              <w:rPr>
                <w:noProof/>
                <w:webHidden/>
              </w:rPr>
            </w:r>
            <w:r w:rsidR="0082317E">
              <w:rPr>
                <w:noProof/>
                <w:webHidden/>
              </w:rPr>
              <w:fldChar w:fldCharType="separate"/>
            </w:r>
            <w:r w:rsidR="0082317E">
              <w:rPr>
                <w:noProof/>
                <w:webHidden/>
              </w:rPr>
              <w:t>9</w:t>
            </w:r>
            <w:r w:rsidR="0082317E">
              <w:rPr>
                <w:noProof/>
                <w:webHidden/>
              </w:rPr>
              <w:fldChar w:fldCharType="end"/>
            </w:r>
          </w:hyperlink>
        </w:p>
        <w:p w14:paraId="3D00716C" w14:textId="6ACB8E62" w:rsidR="0082317E" w:rsidRDefault="00B84050">
          <w:pPr>
            <w:pStyle w:val="TOC3"/>
            <w:tabs>
              <w:tab w:val="right" w:leader="dot" w:pos="9016"/>
            </w:tabs>
            <w:rPr>
              <w:noProof/>
            </w:rPr>
          </w:pPr>
          <w:hyperlink w:anchor="_Toc216468338" w:history="1">
            <w:r w:rsidR="0082317E" w:rsidRPr="00FF349C">
              <w:rPr>
                <w:rStyle w:val="Hyperlink"/>
                <w:noProof/>
              </w:rPr>
              <w:t>2.2.3 Advantages and Disadvantages of South Korea’s Approach</w:t>
            </w:r>
            <w:r w:rsidR="0082317E">
              <w:rPr>
                <w:noProof/>
                <w:webHidden/>
              </w:rPr>
              <w:tab/>
            </w:r>
            <w:r w:rsidR="0082317E">
              <w:rPr>
                <w:noProof/>
                <w:webHidden/>
              </w:rPr>
              <w:fldChar w:fldCharType="begin"/>
            </w:r>
            <w:r w:rsidR="0082317E">
              <w:rPr>
                <w:noProof/>
                <w:webHidden/>
              </w:rPr>
              <w:instrText xml:space="preserve"> PAGEREF _Toc216468338 \h </w:instrText>
            </w:r>
            <w:r w:rsidR="0082317E">
              <w:rPr>
                <w:noProof/>
                <w:webHidden/>
              </w:rPr>
            </w:r>
            <w:r w:rsidR="0082317E">
              <w:rPr>
                <w:noProof/>
                <w:webHidden/>
              </w:rPr>
              <w:fldChar w:fldCharType="separate"/>
            </w:r>
            <w:r w:rsidR="0082317E">
              <w:rPr>
                <w:noProof/>
                <w:webHidden/>
              </w:rPr>
              <w:t>10</w:t>
            </w:r>
            <w:r w:rsidR="0082317E">
              <w:rPr>
                <w:noProof/>
                <w:webHidden/>
              </w:rPr>
              <w:fldChar w:fldCharType="end"/>
            </w:r>
          </w:hyperlink>
        </w:p>
        <w:p w14:paraId="550C0344" w14:textId="1DA7DBE1" w:rsidR="0082317E" w:rsidRDefault="00B84050">
          <w:pPr>
            <w:pStyle w:val="TOC2"/>
            <w:tabs>
              <w:tab w:val="right" w:leader="dot" w:pos="9016"/>
            </w:tabs>
            <w:rPr>
              <w:noProof/>
            </w:rPr>
          </w:pPr>
          <w:hyperlink w:anchor="_Toc216468339" w:history="1">
            <w:r w:rsidR="0082317E" w:rsidRPr="00FF349C">
              <w:rPr>
                <w:rStyle w:val="Hyperlink"/>
                <w:noProof/>
              </w:rPr>
              <w:t>2.3. Canada</w:t>
            </w:r>
            <w:r w:rsidR="0082317E">
              <w:rPr>
                <w:noProof/>
                <w:webHidden/>
              </w:rPr>
              <w:tab/>
            </w:r>
            <w:r w:rsidR="0082317E">
              <w:rPr>
                <w:noProof/>
                <w:webHidden/>
              </w:rPr>
              <w:fldChar w:fldCharType="begin"/>
            </w:r>
            <w:r w:rsidR="0082317E">
              <w:rPr>
                <w:noProof/>
                <w:webHidden/>
              </w:rPr>
              <w:instrText xml:space="preserve"> PAGEREF _Toc216468339 \h </w:instrText>
            </w:r>
            <w:r w:rsidR="0082317E">
              <w:rPr>
                <w:noProof/>
                <w:webHidden/>
              </w:rPr>
            </w:r>
            <w:r w:rsidR="0082317E">
              <w:rPr>
                <w:noProof/>
                <w:webHidden/>
              </w:rPr>
              <w:fldChar w:fldCharType="separate"/>
            </w:r>
            <w:r w:rsidR="0082317E">
              <w:rPr>
                <w:noProof/>
                <w:webHidden/>
              </w:rPr>
              <w:t>11</w:t>
            </w:r>
            <w:r w:rsidR="0082317E">
              <w:rPr>
                <w:noProof/>
                <w:webHidden/>
              </w:rPr>
              <w:fldChar w:fldCharType="end"/>
            </w:r>
          </w:hyperlink>
        </w:p>
        <w:p w14:paraId="48E62909" w14:textId="451B3D4E" w:rsidR="0082317E" w:rsidRDefault="00B84050">
          <w:pPr>
            <w:pStyle w:val="TOC3"/>
            <w:tabs>
              <w:tab w:val="right" w:leader="dot" w:pos="9016"/>
            </w:tabs>
            <w:rPr>
              <w:noProof/>
            </w:rPr>
          </w:pPr>
          <w:hyperlink w:anchor="_Toc216468340" w:history="1">
            <w:r w:rsidR="0082317E" w:rsidRPr="00FF349C">
              <w:rPr>
                <w:rStyle w:val="Hyperlink"/>
                <w:noProof/>
              </w:rPr>
              <w:t>2.3.1 Canada’s Healthcare System</w:t>
            </w:r>
            <w:r w:rsidR="0082317E">
              <w:rPr>
                <w:noProof/>
                <w:webHidden/>
              </w:rPr>
              <w:tab/>
            </w:r>
            <w:r w:rsidR="0082317E">
              <w:rPr>
                <w:noProof/>
                <w:webHidden/>
              </w:rPr>
              <w:fldChar w:fldCharType="begin"/>
            </w:r>
            <w:r w:rsidR="0082317E">
              <w:rPr>
                <w:noProof/>
                <w:webHidden/>
              </w:rPr>
              <w:instrText xml:space="preserve"> PAGEREF _Toc216468340 \h </w:instrText>
            </w:r>
            <w:r w:rsidR="0082317E">
              <w:rPr>
                <w:noProof/>
                <w:webHidden/>
              </w:rPr>
            </w:r>
            <w:r w:rsidR="0082317E">
              <w:rPr>
                <w:noProof/>
                <w:webHidden/>
              </w:rPr>
              <w:fldChar w:fldCharType="separate"/>
            </w:r>
            <w:r w:rsidR="0082317E">
              <w:rPr>
                <w:noProof/>
                <w:webHidden/>
              </w:rPr>
              <w:t>11</w:t>
            </w:r>
            <w:r w:rsidR="0082317E">
              <w:rPr>
                <w:noProof/>
                <w:webHidden/>
              </w:rPr>
              <w:fldChar w:fldCharType="end"/>
            </w:r>
          </w:hyperlink>
        </w:p>
        <w:p w14:paraId="40C1163C" w14:textId="2BA0DF5A" w:rsidR="0082317E" w:rsidRDefault="00B84050">
          <w:pPr>
            <w:pStyle w:val="TOC3"/>
            <w:tabs>
              <w:tab w:val="right" w:leader="dot" w:pos="9016"/>
            </w:tabs>
            <w:rPr>
              <w:noProof/>
            </w:rPr>
          </w:pPr>
          <w:hyperlink w:anchor="_Toc216468341" w:history="1">
            <w:r w:rsidR="0082317E" w:rsidRPr="00FF349C">
              <w:rPr>
                <w:rStyle w:val="Hyperlink"/>
                <w:noProof/>
              </w:rPr>
              <w:t>2.3.2. Canada’s COVID-19 Response</w:t>
            </w:r>
            <w:r w:rsidR="0082317E">
              <w:rPr>
                <w:noProof/>
                <w:webHidden/>
              </w:rPr>
              <w:tab/>
            </w:r>
            <w:r w:rsidR="0082317E">
              <w:rPr>
                <w:noProof/>
                <w:webHidden/>
              </w:rPr>
              <w:fldChar w:fldCharType="begin"/>
            </w:r>
            <w:r w:rsidR="0082317E">
              <w:rPr>
                <w:noProof/>
                <w:webHidden/>
              </w:rPr>
              <w:instrText xml:space="preserve"> PAGEREF _Toc216468341 \h </w:instrText>
            </w:r>
            <w:r w:rsidR="0082317E">
              <w:rPr>
                <w:noProof/>
                <w:webHidden/>
              </w:rPr>
            </w:r>
            <w:r w:rsidR="0082317E">
              <w:rPr>
                <w:noProof/>
                <w:webHidden/>
              </w:rPr>
              <w:fldChar w:fldCharType="separate"/>
            </w:r>
            <w:r w:rsidR="0082317E">
              <w:rPr>
                <w:noProof/>
                <w:webHidden/>
              </w:rPr>
              <w:t>12</w:t>
            </w:r>
            <w:r w:rsidR="0082317E">
              <w:rPr>
                <w:noProof/>
                <w:webHidden/>
              </w:rPr>
              <w:fldChar w:fldCharType="end"/>
            </w:r>
          </w:hyperlink>
        </w:p>
        <w:p w14:paraId="4A7EDF14" w14:textId="18D26BC7" w:rsidR="0082317E" w:rsidRDefault="00B84050">
          <w:pPr>
            <w:pStyle w:val="TOC3"/>
            <w:tabs>
              <w:tab w:val="right" w:leader="dot" w:pos="9016"/>
            </w:tabs>
            <w:rPr>
              <w:noProof/>
            </w:rPr>
          </w:pPr>
          <w:hyperlink w:anchor="_Toc216468342" w:history="1">
            <w:r w:rsidR="0082317E" w:rsidRPr="00FF349C">
              <w:rPr>
                <w:rStyle w:val="Hyperlink"/>
                <w:noProof/>
              </w:rPr>
              <w:t>2.3.3 Advantages and Disadvantages of Canada’s Response</w:t>
            </w:r>
            <w:r w:rsidR="0082317E">
              <w:rPr>
                <w:noProof/>
                <w:webHidden/>
              </w:rPr>
              <w:tab/>
            </w:r>
            <w:r w:rsidR="0082317E">
              <w:rPr>
                <w:noProof/>
                <w:webHidden/>
              </w:rPr>
              <w:fldChar w:fldCharType="begin"/>
            </w:r>
            <w:r w:rsidR="0082317E">
              <w:rPr>
                <w:noProof/>
                <w:webHidden/>
              </w:rPr>
              <w:instrText xml:space="preserve"> PAGEREF _Toc216468342 \h </w:instrText>
            </w:r>
            <w:r w:rsidR="0082317E">
              <w:rPr>
                <w:noProof/>
                <w:webHidden/>
              </w:rPr>
            </w:r>
            <w:r w:rsidR="0082317E">
              <w:rPr>
                <w:noProof/>
                <w:webHidden/>
              </w:rPr>
              <w:fldChar w:fldCharType="separate"/>
            </w:r>
            <w:r w:rsidR="0082317E">
              <w:rPr>
                <w:noProof/>
                <w:webHidden/>
              </w:rPr>
              <w:t>13</w:t>
            </w:r>
            <w:r w:rsidR="0082317E">
              <w:rPr>
                <w:noProof/>
                <w:webHidden/>
              </w:rPr>
              <w:fldChar w:fldCharType="end"/>
            </w:r>
          </w:hyperlink>
        </w:p>
        <w:p w14:paraId="0040CF99" w14:textId="0EB09B4C" w:rsidR="0082317E" w:rsidRDefault="00B84050">
          <w:pPr>
            <w:pStyle w:val="TOC1"/>
            <w:tabs>
              <w:tab w:val="right" w:leader="dot" w:pos="9016"/>
            </w:tabs>
            <w:rPr>
              <w:noProof/>
            </w:rPr>
          </w:pPr>
          <w:hyperlink w:anchor="_Toc216468343" w:history="1">
            <w:r w:rsidR="0082317E" w:rsidRPr="00FF349C">
              <w:rPr>
                <w:rStyle w:val="Hyperlink"/>
                <w:noProof/>
              </w:rPr>
              <w:t>3. Critical Analysis of the Leadership Styles Taken in Each Country</w:t>
            </w:r>
            <w:r w:rsidR="0082317E">
              <w:rPr>
                <w:noProof/>
                <w:webHidden/>
              </w:rPr>
              <w:tab/>
            </w:r>
            <w:r w:rsidR="0082317E">
              <w:rPr>
                <w:noProof/>
                <w:webHidden/>
              </w:rPr>
              <w:fldChar w:fldCharType="begin"/>
            </w:r>
            <w:r w:rsidR="0082317E">
              <w:rPr>
                <w:noProof/>
                <w:webHidden/>
              </w:rPr>
              <w:instrText xml:space="preserve"> PAGEREF _Toc216468343 \h </w:instrText>
            </w:r>
            <w:r w:rsidR="0082317E">
              <w:rPr>
                <w:noProof/>
                <w:webHidden/>
              </w:rPr>
            </w:r>
            <w:r w:rsidR="0082317E">
              <w:rPr>
                <w:noProof/>
                <w:webHidden/>
              </w:rPr>
              <w:fldChar w:fldCharType="separate"/>
            </w:r>
            <w:r w:rsidR="0082317E">
              <w:rPr>
                <w:noProof/>
                <w:webHidden/>
              </w:rPr>
              <w:t>14</w:t>
            </w:r>
            <w:r w:rsidR="0082317E">
              <w:rPr>
                <w:noProof/>
                <w:webHidden/>
              </w:rPr>
              <w:fldChar w:fldCharType="end"/>
            </w:r>
          </w:hyperlink>
        </w:p>
        <w:p w14:paraId="5168BF14" w14:textId="7156B515" w:rsidR="0082317E" w:rsidRDefault="00B84050">
          <w:pPr>
            <w:pStyle w:val="TOC2"/>
            <w:tabs>
              <w:tab w:val="right" w:leader="dot" w:pos="9016"/>
            </w:tabs>
            <w:rPr>
              <w:noProof/>
            </w:rPr>
          </w:pPr>
          <w:hyperlink w:anchor="_Toc216468344" w:history="1">
            <w:r w:rsidR="0082317E" w:rsidRPr="00FF349C">
              <w:rPr>
                <w:rStyle w:val="Hyperlink"/>
                <w:noProof/>
              </w:rPr>
              <w:t>3.1. Leadership Styles in Spain</w:t>
            </w:r>
            <w:r w:rsidR="0082317E">
              <w:rPr>
                <w:noProof/>
                <w:webHidden/>
              </w:rPr>
              <w:tab/>
            </w:r>
            <w:r w:rsidR="0082317E">
              <w:rPr>
                <w:noProof/>
                <w:webHidden/>
              </w:rPr>
              <w:fldChar w:fldCharType="begin"/>
            </w:r>
            <w:r w:rsidR="0082317E">
              <w:rPr>
                <w:noProof/>
                <w:webHidden/>
              </w:rPr>
              <w:instrText xml:space="preserve"> PAGEREF _Toc216468344 \h </w:instrText>
            </w:r>
            <w:r w:rsidR="0082317E">
              <w:rPr>
                <w:noProof/>
                <w:webHidden/>
              </w:rPr>
            </w:r>
            <w:r w:rsidR="0082317E">
              <w:rPr>
                <w:noProof/>
                <w:webHidden/>
              </w:rPr>
              <w:fldChar w:fldCharType="separate"/>
            </w:r>
            <w:r w:rsidR="0082317E">
              <w:rPr>
                <w:noProof/>
                <w:webHidden/>
              </w:rPr>
              <w:t>14</w:t>
            </w:r>
            <w:r w:rsidR="0082317E">
              <w:rPr>
                <w:noProof/>
                <w:webHidden/>
              </w:rPr>
              <w:fldChar w:fldCharType="end"/>
            </w:r>
          </w:hyperlink>
        </w:p>
        <w:p w14:paraId="3A773956" w14:textId="78B47B34" w:rsidR="0082317E" w:rsidRDefault="00B84050">
          <w:pPr>
            <w:pStyle w:val="TOC3"/>
            <w:tabs>
              <w:tab w:val="right" w:leader="dot" w:pos="9016"/>
            </w:tabs>
            <w:rPr>
              <w:noProof/>
            </w:rPr>
          </w:pPr>
          <w:hyperlink w:anchor="_Toc216468345" w:history="1">
            <w:r w:rsidR="0082317E" w:rsidRPr="00FF349C">
              <w:rPr>
                <w:rStyle w:val="Hyperlink"/>
                <w:noProof/>
              </w:rPr>
              <w:t>3.1.1 Democratic leadership</w:t>
            </w:r>
            <w:r w:rsidR="0082317E">
              <w:rPr>
                <w:noProof/>
                <w:webHidden/>
              </w:rPr>
              <w:tab/>
            </w:r>
            <w:r w:rsidR="0082317E">
              <w:rPr>
                <w:noProof/>
                <w:webHidden/>
              </w:rPr>
              <w:fldChar w:fldCharType="begin"/>
            </w:r>
            <w:r w:rsidR="0082317E">
              <w:rPr>
                <w:noProof/>
                <w:webHidden/>
              </w:rPr>
              <w:instrText xml:space="preserve"> PAGEREF _Toc216468345 \h </w:instrText>
            </w:r>
            <w:r w:rsidR="0082317E">
              <w:rPr>
                <w:noProof/>
                <w:webHidden/>
              </w:rPr>
            </w:r>
            <w:r w:rsidR="0082317E">
              <w:rPr>
                <w:noProof/>
                <w:webHidden/>
              </w:rPr>
              <w:fldChar w:fldCharType="separate"/>
            </w:r>
            <w:r w:rsidR="0082317E">
              <w:rPr>
                <w:noProof/>
                <w:webHidden/>
              </w:rPr>
              <w:t>14</w:t>
            </w:r>
            <w:r w:rsidR="0082317E">
              <w:rPr>
                <w:noProof/>
                <w:webHidden/>
              </w:rPr>
              <w:fldChar w:fldCharType="end"/>
            </w:r>
          </w:hyperlink>
        </w:p>
        <w:p w14:paraId="0ADF5CA8" w14:textId="487B2470" w:rsidR="0082317E" w:rsidRDefault="00B84050">
          <w:pPr>
            <w:pStyle w:val="TOC3"/>
            <w:tabs>
              <w:tab w:val="right" w:leader="dot" w:pos="9016"/>
            </w:tabs>
            <w:rPr>
              <w:noProof/>
            </w:rPr>
          </w:pPr>
          <w:hyperlink w:anchor="_Toc216468346" w:history="1">
            <w:r w:rsidR="0082317E" w:rsidRPr="00FF349C">
              <w:rPr>
                <w:rStyle w:val="Hyperlink"/>
                <w:noProof/>
              </w:rPr>
              <w:t>3.1.2 Autocratic (authoritarian) leadership style</w:t>
            </w:r>
            <w:r w:rsidR="0082317E">
              <w:rPr>
                <w:noProof/>
                <w:webHidden/>
              </w:rPr>
              <w:tab/>
            </w:r>
            <w:r w:rsidR="0082317E">
              <w:rPr>
                <w:noProof/>
                <w:webHidden/>
              </w:rPr>
              <w:fldChar w:fldCharType="begin"/>
            </w:r>
            <w:r w:rsidR="0082317E">
              <w:rPr>
                <w:noProof/>
                <w:webHidden/>
              </w:rPr>
              <w:instrText xml:space="preserve"> PAGEREF _Toc216468346 \h </w:instrText>
            </w:r>
            <w:r w:rsidR="0082317E">
              <w:rPr>
                <w:noProof/>
                <w:webHidden/>
              </w:rPr>
            </w:r>
            <w:r w:rsidR="0082317E">
              <w:rPr>
                <w:noProof/>
                <w:webHidden/>
              </w:rPr>
              <w:fldChar w:fldCharType="separate"/>
            </w:r>
            <w:r w:rsidR="0082317E">
              <w:rPr>
                <w:noProof/>
                <w:webHidden/>
              </w:rPr>
              <w:t>16</w:t>
            </w:r>
            <w:r w:rsidR="0082317E">
              <w:rPr>
                <w:noProof/>
                <w:webHidden/>
              </w:rPr>
              <w:fldChar w:fldCharType="end"/>
            </w:r>
          </w:hyperlink>
        </w:p>
        <w:p w14:paraId="35F2464A" w14:textId="6FAC3EC7" w:rsidR="0082317E" w:rsidRDefault="00B84050">
          <w:pPr>
            <w:pStyle w:val="TOC2"/>
            <w:tabs>
              <w:tab w:val="right" w:leader="dot" w:pos="9016"/>
            </w:tabs>
            <w:rPr>
              <w:noProof/>
            </w:rPr>
          </w:pPr>
          <w:hyperlink w:anchor="_Toc216468347" w:history="1">
            <w:r w:rsidR="0082317E" w:rsidRPr="00FF349C">
              <w:rPr>
                <w:rStyle w:val="Hyperlink"/>
                <w:noProof/>
              </w:rPr>
              <w:t>3.2. Leadership Style in South Korea</w:t>
            </w:r>
            <w:r w:rsidR="0082317E">
              <w:rPr>
                <w:noProof/>
                <w:webHidden/>
              </w:rPr>
              <w:tab/>
            </w:r>
            <w:r w:rsidR="0082317E">
              <w:rPr>
                <w:noProof/>
                <w:webHidden/>
              </w:rPr>
              <w:fldChar w:fldCharType="begin"/>
            </w:r>
            <w:r w:rsidR="0082317E">
              <w:rPr>
                <w:noProof/>
                <w:webHidden/>
              </w:rPr>
              <w:instrText xml:space="preserve"> PAGEREF _Toc216468347 \h </w:instrText>
            </w:r>
            <w:r w:rsidR="0082317E">
              <w:rPr>
                <w:noProof/>
                <w:webHidden/>
              </w:rPr>
            </w:r>
            <w:r w:rsidR="0082317E">
              <w:rPr>
                <w:noProof/>
                <w:webHidden/>
              </w:rPr>
              <w:fldChar w:fldCharType="separate"/>
            </w:r>
            <w:r w:rsidR="0082317E">
              <w:rPr>
                <w:noProof/>
                <w:webHidden/>
              </w:rPr>
              <w:t>17</w:t>
            </w:r>
            <w:r w:rsidR="0082317E">
              <w:rPr>
                <w:noProof/>
                <w:webHidden/>
              </w:rPr>
              <w:fldChar w:fldCharType="end"/>
            </w:r>
          </w:hyperlink>
        </w:p>
        <w:p w14:paraId="2A7F53A2" w14:textId="5086195B" w:rsidR="0082317E" w:rsidRDefault="00B84050">
          <w:pPr>
            <w:pStyle w:val="TOC3"/>
            <w:tabs>
              <w:tab w:val="right" w:leader="dot" w:pos="9016"/>
            </w:tabs>
            <w:rPr>
              <w:noProof/>
            </w:rPr>
          </w:pPr>
          <w:hyperlink w:anchor="_Toc216468348" w:history="1">
            <w:r w:rsidR="0082317E" w:rsidRPr="00FF349C">
              <w:rPr>
                <w:rStyle w:val="Hyperlink"/>
                <w:noProof/>
              </w:rPr>
              <w:t>3.2.1 Transparency</w:t>
            </w:r>
            <w:r w:rsidR="0082317E">
              <w:rPr>
                <w:noProof/>
                <w:webHidden/>
              </w:rPr>
              <w:tab/>
            </w:r>
            <w:r w:rsidR="0082317E">
              <w:rPr>
                <w:noProof/>
                <w:webHidden/>
              </w:rPr>
              <w:fldChar w:fldCharType="begin"/>
            </w:r>
            <w:r w:rsidR="0082317E">
              <w:rPr>
                <w:noProof/>
                <w:webHidden/>
              </w:rPr>
              <w:instrText xml:space="preserve"> PAGEREF _Toc216468348 \h </w:instrText>
            </w:r>
            <w:r w:rsidR="0082317E">
              <w:rPr>
                <w:noProof/>
                <w:webHidden/>
              </w:rPr>
            </w:r>
            <w:r w:rsidR="0082317E">
              <w:rPr>
                <w:noProof/>
                <w:webHidden/>
              </w:rPr>
              <w:fldChar w:fldCharType="separate"/>
            </w:r>
            <w:r w:rsidR="0082317E">
              <w:rPr>
                <w:noProof/>
                <w:webHidden/>
              </w:rPr>
              <w:t>17</w:t>
            </w:r>
            <w:r w:rsidR="0082317E">
              <w:rPr>
                <w:noProof/>
                <w:webHidden/>
              </w:rPr>
              <w:fldChar w:fldCharType="end"/>
            </w:r>
          </w:hyperlink>
        </w:p>
        <w:p w14:paraId="71B84404" w14:textId="1B993B04" w:rsidR="0082317E" w:rsidRDefault="00B84050">
          <w:pPr>
            <w:pStyle w:val="TOC3"/>
            <w:tabs>
              <w:tab w:val="right" w:leader="dot" w:pos="9016"/>
            </w:tabs>
            <w:rPr>
              <w:noProof/>
            </w:rPr>
          </w:pPr>
          <w:hyperlink w:anchor="_Toc216468349" w:history="1">
            <w:r w:rsidR="0082317E" w:rsidRPr="00FF349C">
              <w:rPr>
                <w:rStyle w:val="Hyperlink"/>
                <w:noProof/>
              </w:rPr>
              <w:t>3.2.2 Democracy</w:t>
            </w:r>
            <w:r w:rsidR="0082317E">
              <w:rPr>
                <w:noProof/>
                <w:webHidden/>
              </w:rPr>
              <w:tab/>
            </w:r>
            <w:r w:rsidR="0082317E">
              <w:rPr>
                <w:noProof/>
                <w:webHidden/>
              </w:rPr>
              <w:fldChar w:fldCharType="begin"/>
            </w:r>
            <w:r w:rsidR="0082317E">
              <w:rPr>
                <w:noProof/>
                <w:webHidden/>
              </w:rPr>
              <w:instrText xml:space="preserve"> PAGEREF _Toc216468349 \h </w:instrText>
            </w:r>
            <w:r w:rsidR="0082317E">
              <w:rPr>
                <w:noProof/>
                <w:webHidden/>
              </w:rPr>
            </w:r>
            <w:r w:rsidR="0082317E">
              <w:rPr>
                <w:noProof/>
                <w:webHidden/>
              </w:rPr>
              <w:fldChar w:fldCharType="separate"/>
            </w:r>
            <w:r w:rsidR="0082317E">
              <w:rPr>
                <w:noProof/>
                <w:webHidden/>
              </w:rPr>
              <w:t>17</w:t>
            </w:r>
            <w:r w:rsidR="0082317E">
              <w:rPr>
                <w:noProof/>
                <w:webHidden/>
              </w:rPr>
              <w:fldChar w:fldCharType="end"/>
            </w:r>
          </w:hyperlink>
        </w:p>
        <w:p w14:paraId="4516494F" w14:textId="14A36215" w:rsidR="0082317E" w:rsidRDefault="00B84050">
          <w:pPr>
            <w:pStyle w:val="TOC3"/>
            <w:tabs>
              <w:tab w:val="right" w:leader="dot" w:pos="9016"/>
            </w:tabs>
            <w:rPr>
              <w:noProof/>
            </w:rPr>
          </w:pPr>
          <w:hyperlink w:anchor="_Toc216468350" w:history="1">
            <w:r w:rsidR="0082317E" w:rsidRPr="00FF349C">
              <w:rPr>
                <w:rStyle w:val="Hyperlink"/>
                <w:noProof/>
              </w:rPr>
              <w:t>3.2.3 Openness</w:t>
            </w:r>
            <w:r w:rsidR="0082317E">
              <w:rPr>
                <w:noProof/>
                <w:webHidden/>
              </w:rPr>
              <w:tab/>
            </w:r>
            <w:r w:rsidR="0082317E">
              <w:rPr>
                <w:noProof/>
                <w:webHidden/>
              </w:rPr>
              <w:fldChar w:fldCharType="begin"/>
            </w:r>
            <w:r w:rsidR="0082317E">
              <w:rPr>
                <w:noProof/>
                <w:webHidden/>
              </w:rPr>
              <w:instrText xml:space="preserve"> PAGEREF _Toc216468350 \h </w:instrText>
            </w:r>
            <w:r w:rsidR="0082317E">
              <w:rPr>
                <w:noProof/>
                <w:webHidden/>
              </w:rPr>
            </w:r>
            <w:r w:rsidR="0082317E">
              <w:rPr>
                <w:noProof/>
                <w:webHidden/>
              </w:rPr>
              <w:fldChar w:fldCharType="separate"/>
            </w:r>
            <w:r w:rsidR="0082317E">
              <w:rPr>
                <w:noProof/>
                <w:webHidden/>
              </w:rPr>
              <w:t>18</w:t>
            </w:r>
            <w:r w:rsidR="0082317E">
              <w:rPr>
                <w:noProof/>
                <w:webHidden/>
              </w:rPr>
              <w:fldChar w:fldCharType="end"/>
            </w:r>
          </w:hyperlink>
        </w:p>
        <w:p w14:paraId="03073F48" w14:textId="360FA31E" w:rsidR="0082317E" w:rsidRDefault="00B84050">
          <w:pPr>
            <w:pStyle w:val="TOC2"/>
            <w:tabs>
              <w:tab w:val="right" w:leader="dot" w:pos="9016"/>
            </w:tabs>
            <w:rPr>
              <w:noProof/>
            </w:rPr>
          </w:pPr>
          <w:hyperlink w:anchor="_Toc216468351" w:history="1">
            <w:r w:rsidR="0082317E" w:rsidRPr="00FF349C">
              <w:rPr>
                <w:rStyle w:val="Hyperlink"/>
                <w:noProof/>
              </w:rPr>
              <w:t>3.3. Leadership Style in Canada</w:t>
            </w:r>
            <w:r w:rsidR="0082317E">
              <w:rPr>
                <w:noProof/>
                <w:webHidden/>
              </w:rPr>
              <w:tab/>
            </w:r>
            <w:r w:rsidR="0082317E">
              <w:rPr>
                <w:noProof/>
                <w:webHidden/>
              </w:rPr>
              <w:fldChar w:fldCharType="begin"/>
            </w:r>
            <w:r w:rsidR="0082317E">
              <w:rPr>
                <w:noProof/>
                <w:webHidden/>
              </w:rPr>
              <w:instrText xml:space="preserve"> PAGEREF _Toc216468351 \h </w:instrText>
            </w:r>
            <w:r w:rsidR="0082317E">
              <w:rPr>
                <w:noProof/>
                <w:webHidden/>
              </w:rPr>
            </w:r>
            <w:r w:rsidR="0082317E">
              <w:rPr>
                <w:noProof/>
                <w:webHidden/>
              </w:rPr>
              <w:fldChar w:fldCharType="separate"/>
            </w:r>
            <w:r w:rsidR="0082317E">
              <w:rPr>
                <w:noProof/>
                <w:webHidden/>
              </w:rPr>
              <w:t>19</w:t>
            </w:r>
            <w:r w:rsidR="0082317E">
              <w:rPr>
                <w:noProof/>
                <w:webHidden/>
              </w:rPr>
              <w:fldChar w:fldCharType="end"/>
            </w:r>
          </w:hyperlink>
        </w:p>
        <w:p w14:paraId="48136FFE" w14:textId="4780A24D" w:rsidR="0082317E" w:rsidRDefault="00B84050">
          <w:pPr>
            <w:pStyle w:val="TOC3"/>
            <w:tabs>
              <w:tab w:val="right" w:leader="dot" w:pos="9016"/>
            </w:tabs>
            <w:rPr>
              <w:noProof/>
            </w:rPr>
          </w:pPr>
          <w:hyperlink w:anchor="_Toc216468352" w:history="1">
            <w:r w:rsidR="0082317E" w:rsidRPr="00FF349C">
              <w:rPr>
                <w:rStyle w:val="Hyperlink"/>
                <w:noProof/>
              </w:rPr>
              <w:t>3.3.1 Participative Leadership</w:t>
            </w:r>
            <w:r w:rsidR="0082317E">
              <w:rPr>
                <w:noProof/>
                <w:webHidden/>
              </w:rPr>
              <w:tab/>
            </w:r>
            <w:r w:rsidR="0082317E">
              <w:rPr>
                <w:noProof/>
                <w:webHidden/>
              </w:rPr>
              <w:fldChar w:fldCharType="begin"/>
            </w:r>
            <w:r w:rsidR="0082317E">
              <w:rPr>
                <w:noProof/>
                <w:webHidden/>
              </w:rPr>
              <w:instrText xml:space="preserve"> PAGEREF _Toc216468352 \h </w:instrText>
            </w:r>
            <w:r w:rsidR="0082317E">
              <w:rPr>
                <w:noProof/>
                <w:webHidden/>
              </w:rPr>
            </w:r>
            <w:r w:rsidR="0082317E">
              <w:rPr>
                <w:noProof/>
                <w:webHidden/>
              </w:rPr>
              <w:fldChar w:fldCharType="separate"/>
            </w:r>
            <w:r w:rsidR="0082317E">
              <w:rPr>
                <w:noProof/>
                <w:webHidden/>
              </w:rPr>
              <w:t>19</w:t>
            </w:r>
            <w:r w:rsidR="0082317E">
              <w:rPr>
                <w:noProof/>
                <w:webHidden/>
              </w:rPr>
              <w:fldChar w:fldCharType="end"/>
            </w:r>
          </w:hyperlink>
        </w:p>
        <w:p w14:paraId="2CBC3E04" w14:textId="1D437A3E" w:rsidR="0082317E" w:rsidRDefault="00B84050">
          <w:pPr>
            <w:pStyle w:val="TOC3"/>
            <w:tabs>
              <w:tab w:val="right" w:leader="dot" w:pos="9016"/>
            </w:tabs>
            <w:rPr>
              <w:noProof/>
            </w:rPr>
          </w:pPr>
          <w:hyperlink w:anchor="_Toc216468353" w:history="1">
            <w:r w:rsidR="0082317E" w:rsidRPr="00FF349C">
              <w:rPr>
                <w:rStyle w:val="Hyperlink"/>
                <w:noProof/>
              </w:rPr>
              <w:t>3.3.2 Servant leadership</w:t>
            </w:r>
            <w:r w:rsidR="0082317E">
              <w:rPr>
                <w:noProof/>
                <w:webHidden/>
              </w:rPr>
              <w:tab/>
            </w:r>
            <w:r w:rsidR="0082317E">
              <w:rPr>
                <w:noProof/>
                <w:webHidden/>
              </w:rPr>
              <w:fldChar w:fldCharType="begin"/>
            </w:r>
            <w:r w:rsidR="0082317E">
              <w:rPr>
                <w:noProof/>
                <w:webHidden/>
              </w:rPr>
              <w:instrText xml:space="preserve"> PAGEREF _Toc216468353 \h </w:instrText>
            </w:r>
            <w:r w:rsidR="0082317E">
              <w:rPr>
                <w:noProof/>
                <w:webHidden/>
              </w:rPr>
            </w:r>
            <w:r w:rsidR="0082317E">
              <w:rPr>
                <w:noProof/>
                <w:webHidden/>
              </w:rPr>
              <w:fldChar w:fldCharType="separate"/>
            </w:r>
            <w:r w:rsidR="0082317E">
              <w:rPr>
                <w:noProof/>
                <w:webHidden/>
              </w:rPr>
              <w:t>20</w:t>
            </w:r>
            <w:r w:rsidR="0082317E">
              <w:rPr>
                <w:noProof/>
                <w:webHidden/>
              </w:rPr>
              <w:fldChar w:fldCharType="end"/>
            </w:r>
          </w:hyperlink>
        </w:p>
        <w:p w14:paraId="4CA3E8A8" w14:textId="3C3CFA4F" w:rsidR="0082317E" w:rsidRDefault="00B84050">
          <w:pPr>
            <w:pStyle w:val="TOC1"/>
            <w:tabs>
              <w:tab w:val="right" w:leader="dot" w:pos="9016"/>
            </w:tabs>
            <w:rPr>
              <w:noProof/>
            </w:rPr>
          </w:pPr>
          <w:hyperlink w:anchor="_Toc216468354" w:history="1">
            <w:r w:rsidR="0082317E" w:rsidRPr="00FF349C">
              <w:rPr>
                <w:rStyle w:val="Hyperlink"/>
                <w:noProof/>
              </w:rPr>
              <w:t>4. Conclusion</w:t>
            </w:r>
            <w:r w:rsidR="0082317E">
              <w:rPr>
                <w:noProof/>
                <w:webHidden/>
              </w:rPr>
              <w:tab/>
            </w:r>
            <w:r w:rsidR="0082317E">
              <w:rPr>
                <w:noProof/>
                <w:webHidden/>
              </w:rPr>
              <w:fldChar w:fldCharType="begin"/>
            </w:r>
            <w:r w:rsidR="0082317E">
              <w:rPr>
                <w:noProof/>
                <w:webHidden/>
              </w:rPr>
              <w:instrText xml:space="preserve"> PAGEREF _Toc216468354 \h </w:instrText>
            </w:r>
            <w:r w:rsidR="0082317E">
              <w:rPr>
                <w:noProof/>
                <w:webHidden/>
              </w:rPr>
            </w:r>
            <w:r w:rsidR="0082317E">
              <w:rPr>
                <w:noProof/>
                <w:webHidden/>
              </w:rPr>
              <w:fldChar w:fldCharType="separate"/>
            </w:r>
            <w:r w:rsidR="0082317E">
              <w:rPr>
                <w:noProof/>
                <w:webHidden/>
              </w:rPr>
              <w:t>22</w:t>
            </w:r>
            <w:r w:rsidR="0082317E">
              <w:rPr>
                <w:noProof/>
                <w:webHidden/>
              </w:rPr>
              <w:fldChar w:fldCharType="end"/>
            </w:r>
          </w:hyperlink>
        </w:p>
        <w:p w14:paraId="472160A1" w14:textId="3A497BE0" w:rsidR="0082317E" w:rsidRDefault="00B84050">
          <w:pPr>
            <w:pStyle w:val="TOC1"/>
            <w:tabs>
              <w:tab w:val="right" w:leader="dot" w:pos="9016"/>
            </w:tabs>
            <w:rPr>
              <w:noProof/>
            </w:rPr>
          </w:pPr>
          <w:hyperlink w:anchor="_Toc216468355" w:history="1">
            <w:r w:rsidR="0082317E" w:rsidRPr="00FF349C">
              <w:rPr>
                <w:rStyle w:val="Hyperlink"/>
                <w:noProof/>
              </w:rPr>
              <w:t>References</w:t>
            </w:r>
            <w:r w:rsidR="0082317E">
              <w:rPr>
                <w:noProof/>
                <w:webHidden/>
              </w:rPr>
              <w:tab/>
            </w:r>
            <w:r w:rsidR="0082317E">
              <w:rPr>
                <w:noProof/>
                <w:webHidden/>
              </w:rPr>
              <w:fldChar w:fldCharType="begin"/>
            </w:r>
            <w:r w:rsidR="0082317E">
              <w:rPr>
                <w:noProof/>
                <w:webHidden/>
              </w:rPr>
              <w:instrText xml:space="preserve"> PAGEREF _Toc216468355 \h </w:instrText>
            </w:r>
            <w:r w:rsidR="0082317E">
              <w:rPr>
                <w:noProof/>
                <w:webHidden/>
              </w:rPr>
            </w:r>
            <w:r w:rsidR="0082317E">
              <w:rPr>
                <w:noProof/>
                <w:webHidden/>
              </w:rPr>
              <w:fldChar w:fldCharType="separate"/>
            </w:r>
            <w:r w:rsidR="0082317E">
              <w:rPr>
                <w:noProof/>
                <w:webHidden/>
              </w:rPr>
              <w:t>23</w:t>
            </w:r>
            <w:r w:rsidR="0082317E">
              <w:rPr>
                <w:noProof/>
                <w:webHidden/>
              </w:rPr>
              <w:fldChar w:fldCharType="end"/>
            </w:r>
          </w:hyperlink>
        </w:p>
        <w:p w14:paraId="6CE1DF02" w14:textId="302220CF" w:rsidR="0082317E" w:rsidRDefault="0082317E">
          <w:r>
            <w:rPr>
              <w:b/>
              <w:bCs/>
              <w:noProof/>
            </w:rPr>
            <w:fldChar w:fldCharType="end"/>
          </w:r>
        </w:p>
      </w:sdtContent>
    </w:sdt>
    <w:p w14:paraId="5869C654" w14:textId="4FC75142" w:rsidR="00F9524A" w:rsidRDefault="00F9524A" w:rsidP="0082317E">
      <w:r>
        <w:br w:type="page"/>
      </w:r>
    </w:p>
    <w:p w14:paraId="1E86C8BF" w14:textId="77777777" w:rsidR="00F9524A" w:rsidRDefault="00F9524A" w:rsidP="00F9524A">
      <w:pPr>
        <w:pStyle w:val="Heading1"/>
      </w:pPr>
      <w:bookmarkStart w:id="3" w:name="_Toc206004054"/>
      <w:bookmarkStart w:id="4" w:name="_Toc216468329"/>
      <w:r>
        <w:lastRenderedPageBreak/>
        <w:t>1. Introduction</w:t>
      </w:r>
      <w:bookmarkEnd w:id="3"/>
      <w:bookmarkEnd w:id="4"/>
    </w:p>
    <w:p w14:paraId="67ACE6F4" w14:textId="4AD9D8DA" w:rsidR="00F9524A" w:rsidRDefault="00834800" w:rsidP="00910226">
      <w:r w:rsidRPr="00834800">
        <w:t>The 2019 coronavirus disease (COVID-19) pandemic, caused by SARS-CoV-2, rapidly spread globally, resulting in significant confirmed cases and deaths by early 2021. Successfully navigating such a worldwide catastrophe demands strong leadership capable of grasping an inherently uncertain and fluid situation that threatens societal core values. Different nations implemented varied containment strategies, shaped by their unique economic, cultural, and healthcare systems. The ensuing response efforts highlight the crucial roles of centralisation and decentralisation in decision-making, which directly impacted the speed and effectiveness of policy deployment. For instance, South Korea operates a highly centralised healthcare system with strict government oversight, facilitating rapid, coordinated action. Conversely, Spain employed a more decentralised healthcare system. Canada, with its federated system, places primary healthcare responsibility with its provinces, moderated by federal oversight. The efficacy of an epidemic response hinges on the national approach to authority distribution</w:t>
      </w:r>
      <w:r>
        <w:t xml:space="preserve"> </w:t>
      </w:r>
      <w:r w:rsidRPr="00834800">
        <w:t>whether it is concentrated or dispersed</w:t>
      </w:r>
      <w:r>
        <w:t xml:space="preserve"> </w:t>
      </w:r>
      <w:r w:rsidRPr="00834800">
        <w:t>to ensure swift policy implementation. Examining cases like South Korea, Spain, and Canada provides insight into how these structural differences, alongside the leadership approaches of key figures, determined each nation's crisis management outcomes. Effective leadership approaches are important because they dictate the strategic framing of the crisis, mobilize resources, communicate necessary changes, and ultimately steer the complex organizational responses required to mitigate a large-scale public health emergency.</w:t>
      </w:r>
    </w:p>
    <w:p w14:paraId="22610F8B" w14:textId="38D80AFC" w:rsidR="00834800" w:rsidRDefault="00834800" w:rsidP="00834800">
      <w:pPr>
        <w:pStyle w:val="Heading1"/>
      </w:pPr>
      <w:bookmarkStart w:id="5" w:name="_Toc216468330"/>
      <w:r>
        <w:t xml:space="preserve">2. </w:t>
      </w:r>
      <w:r w:rsidRPr="00834800">
        <w:t>Critical Analysis of each countries Centralised/decentralised approaches to the pandemic</w:t>
      </w:r>
      <w:bookmarkEnd w:id="5"/>
    </w:p>
    <w:p w14:paraId="211B3548" w14:textId="77777777" w:rsidR="00834800" w:rsidRDefault="00834800" w:rsidP="00834800">
      <w:pPr>
        <w:pStyle w:val="Heading2"/>
      </w:pPr>
      <w:bookmarkStart w:id="6" w:name="_Toc206004056"/>
      <w:bookmarkStart w:id="7" w:name="_Toc216468331"/>
      <w:r>
        <w:t xml:space="preserve">2.1 </w:t>
      </w:r>
      <w:r w:rsidRPr="00052FDD">
        <w:t>Spain</w:t>
      </w:r>
      <w:bookmarkEnd w:id="6"/>
      <w:bookmarkEnd w:id="7"/>
    </w:p>
    <w:p w14:paraId="2BD7C022" w14:textId="77777777" w:rsidR="00834800" w:rsidRPr="00CF5D38" w:rsidRDefault="00834800" w:rsidP="00834800">
      <w:pPr>
        <w:pStyle w:val="Heading3"/>
      </w:pPr>
      <w:bookmarkStart w:id="8" w:name="_Toc206004057"/>
      <w:bookmarkStart w:id="9" w:name="_Toc216468332"/>
      <w:r w:rsidRPr="00CF5D38">
        <w:t>2.1.1 Spain’s Healthcare System</w:t>
      </w:r>
      <w:bookmarkEnd w:id="8"/>
      <w:bookmarkEnd w:id="9"/>
    </w:p>
    <w:p w14:paraId="74F497AC" w14:textId="77777777" w:rsidR="00834800" w:rsidRDefault="00834800" w:rsidP="00834800">
      <w:r>
        <w:t>In Spain, the Sistema Nacional de Salud (SNS) offers free prenatal care and practically universal coverage.</w:t>
      </w:r>
    </w:p>
    <w:p w14:paraId="4A96C9B7" w14:textId="35C3FF94" w:rsidR="00834800" w:rsidRDefault="00834800" w:rsidP="00834800">
      <w:pPr>
        <w:jc w:val="center"/>
      </w:pPr>
      <w:r>
        <w:rPr>
          <w:noProof/>
        </w:rPr>
        <w:lastRenderedPageBreak/>
        <w:drawing>
          <wp:inline distT="0" distB="0" distL="0" distR="0" wp14:anchorId="7A9E5012" wp14:editId="411FC658">
            <wp:extent cx="5342890" cy="239919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354596" cy="2404446"/>
                    </a:xfrm>
                    <a:prstGeom prst="rect">
                      <a:avLst/>
                    </a:prstGeom>
                    <a:noFill/>
                    <a:ln>
                      <a:noFill/>
                    </a:ln>
                    <a:extLst>
                      <a:ext uri="{53640926-AAD7-44D8-BBD7-CCE9431645EC}">
                        <a14:shadowObscured xmlns:a14="http://schemas.microsoft.com/office/drawing/2010/main"/>
                      </a:ext>
                    </a:extLst>
                  </pic:spPr>
                </pic:pic>
              </a:graphicData>
            </a:graphic>
          </wp:inline>
        </w:drawing>
      </w:r>
    </w:p>
    <w:p w14:paraId="3B309FBE" w14:textId="0B53DCCC" w:rsidR="00834800" w:rsidRPr="005E3DA2" w:rsidRDefault="00834800" w:rsidP="00834800">
      <w:pPr>
        <w:jc w:val="center"/>
        <w:rPr>
          <w:b/>
          <w:bCs/>
          <w:i/>
          <w:iCs/>
        </w:rPr>
      </w:pPr>
      <w:r w:rsidRPr="005E3DA2">
        <w:rPr>
          <w:b/>
          <w:bCs/>
          <w:i/>
          <w:iCs/>
        </w:rPr>
        <w:t>Figure 1: Spanish Healthcare Landscape (OWKIN, 2024)</w:t>
      </w:r>
    </w:p>
    <w:p w14:paraId="2F248560" w14:textId="4C71E4BA" w:rsidR="00834800" w:rsidRDefault="00834800" w:rsidP="00834800">
      <w:r>
        <w:t>Among Spain's 47.5 million residents, every single one has access to the publicly funded Spanish National Health System (SNHS).</w:t>
      </w:r>
      <w:r w:rsidR="005E3DA2">
        <w:t xml:space="preserve"> </w:t>
      </w:r>
      <w:r>
        <w:t>The 19 regions of Spain run the day-to-day operations, procurement, and provisioning of the SNHS from their own local levels.</w:t>
      </w:r>
      <w:r w:rsidR="005E3DA2">
        <w:t xml:space="preserve"> </w:t>
      </w:r>
      <w:r>
        <w:t>Digital Health Strategy 2021 and the Public Health Strategy are two examples of national-level efforts that coordinate the system.</w:t>
      </w:r>
    </w:p>
    <w:p w14:paraId="532A48AD" w14:textId="5D371B24" w:rsidR="00834800" w:rsidRDefault="00834800" w:rsidP="00834800">
      <w:r>
        <w:t>While healthcare spending in Spain is marginally lower than in the EU27 (10.7% GDP against 11%), the country has Europe's longest life expectancy (83.2% in 2022).</w:t>
      </w:r>
      <w:r w:rsidR="005E3DA2">
        <w:t xml:space="preserve"> </w:t>
      </w:r>
      <w:r>
        <w:t>Reason being, because to its relatively robust primary care system and preventive program, Spain has one of the lowest EU death rates in curable and preventable illnesses.</w:t>
      </w:r>
      <w:r w:rsidR="005E3DA2">
        <w:t xml:space="preserve"> </w:t>
      </w:r>
      <w:r>
        <w:t>However, the population pyramid became evidently regressive due to increased life expectancy and a fall in birth rates, much like other EU nations.</w:t>
      </w:r>
    </w:p>
    <w:p w14:paraId="7B10759C" w14:textId="77777777" w:rsidR="005E3DA2" w:rsidRDefault="005E3DA2" w:rsidP="005E3DA2">
      <w:pPr>
        <w:pStyle w:val="Heading3"/>
      </w:pPr>
      <w:bookmarkStart w:id="10" w:name="_Toc206004058"/>
      <w:bookmarkStart w:id="11" w:name="_Toc216468333"/>
      <w:r>
        <w:t xml:space="preserve">2.1.2 </w:t>
      </w:r>
      <w:r w:rsidRPr="00CF5D38">
        <w:t>Spain’s COVID-19 Response</w:t>
      </w:r>
      <w:bookmarkEnd w:id="10"/>
      <w:bookmarkEnd w:id="11"/>
    </w:p>
    <w:p w14:paraId="2619243F" w14:textId="5DBA2E0D" w:rsidR="005E3DA2" w:rsidRDefault="005E3DA2" w:rsidP="00834800">
      <w:r w:rsidRPr="005E3DA2">
        <w:t>Spain saw the full force of the pandemic's early stages.</w:t>
      </w:r>
      <w:r>
        <w:t xml:space="preserve"> </w:t>
      </w:r>
      <w:r w:rsidRPr="005E3DA2">
        <w:t>The government's reaction was one of complacency and a delay in announcing a state of emergency, both of which contributed to the virus's rapid spread.</w:t>
      </w:r>
      <w:r>
        <w:t xml:space="preserve"> </w:t>
      </w:r>
      <w:r w:rsidRPr="005E3DA2">
        <w:t>According to Duarte-Díaz et al. (2023), hospitals and intensive care units were inundated with test kits, significant shortages of personal protective equipment (PPE), and ventilators as a consequence of this reactionary response.</w:t>
      </w:r>
      <w:r>
        <w:t xml:space="preserve"> </w:t>
      </w:r>
      <w:r w:rsidRPr="005E3DA2">
        <w:t>The Spanish Its answer was a period of decision-making centralisation from March 2020 through June 2020 in Spain.  Theoretically, the system could have avoided collapse if the federal government had taken over all parts of the current healthcare system and centralised the acquisition of all medical supplies (European Observatory on Health Systems and Policies, 2024).</w:t>
      </w:r>
      <w:r>
        <w:t xml:space="preserve"> </w:t>
      </w:r>
      <w:r w:rsidRPr="005E3DA2">
        <w:t>The government's senior official, Minister of Health Salvador Illa, took the lead in this capacity after arguing that a top-down approach was necessary during the epidemic since "managing it cannot be partial" (Esade, 2021).</w:t>
      </w:r>
    </w:p>
    <w:p w14:paraId="4A85A1BB" w14:textId="5CEC7143" w:rsidR="005E3DA2" w:rsidRDefault="005E3DA2" w:rsidP="005E3DA2">
      <w:pPr>
        <w:jc w:val="center"/>
      </w:pPr>
      <w:r>
        <w:rPr>
          <w:noProof/>
        </w:rPr>
        <w:lastRenderedPageBreak/>
        <w:drawing>
          <wp:inline distT="0" distB="0" distL="0" distR="0" wp14:anchorId="7BA7533A" wp14:editId="207FABBF">
            <wp:extent cx="4506526" cy="4859020"/>
            <wp:effectExtent l="0" t="0" r="8890" b="0"/>
            <wp:docPr id="3" name="Picture 3" descr="The Timing and Intensity of Social Distancing to Flatten the COVID-19  Curve: The Case of Sp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iming and Intensity of Social Distancing to Flatten the COVID-19  Curve: The Case of Spai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10531" cy="4863338"/>
                    </a:xfrm>
                    <a:prstGeom prst="rect">
                      <a:avLst/>
                    </a:prstGeom>
                    <a:noFill/>
                    <a:ln>
                      <a:noFill/>
                    </a:ln>
                  </pic:spPr>
                </pic:pic>
              </a:graphicData>
            </a:graphic>
          </wp:inline>
        </w:drawing>
      </w:r>
    </w:p>
    <w:p w14:paraId="75C1FDFD" w14:textId="457EF20F" w:rsidR="005E3DA2" w:rsidRDefault="005E3DA2" w:rsidP="005E3DA2">
      <w:pPr>
        <w:jc w:val="center"/>
        <w:rPr>
          <w:b/>
          <w:bCs/>
          <w:i/>
          <w:iCs/>
        </w:rPr>
      </w:pPr>
      <w:r w:rsidRPr="005E3DA2">
        <w:rPr>
          <w:b/>
          <w:bCs/>
          <w:i/>
          <w:iCs/>
        </w:rPr>
        <w:t xml:space="preserve">Figure 2: </w:t>
      </w:r>
      <w:r w:rsidR="002F777E" w:rsidRPr="002F777E">
        <w:rPr>
          <w:b/>
          <w:bCs/>
          <w:i/>
          <w:iCs/>
        </w:rPr>
        <w:t xml:space="preserve">Deaths in Spain due to COVID-19 </w:t>
      </w:r>
      <w:r w:rsidRPr="005E3DA2">
        <w:rPr>
          <w:b/>
          <w:bCs/>
          <w:i/>
          <w:iCs/>
        </w:rPr>
        <w:t>(Casares and Khan, 2020)</w:t>
      </w:r>
    </w:p>
    <w:p w14:paraId="4FE2FF4E" w14:textId="45879EDE" w:rsidR="002F777E" w:rsidRDefault="002F777E" w:rsidP="005E3DA2">
      <w:r w:rsidRPr="002F777E">
        <w:t xml:space="preserve">The </w:t>
      </w:r>
      <w:r>
        <w:t xml:space="preserve">figure 2 </w:t>
      </w:r>
      <w:r w:rsidRPr="002F777E">
        <w:t>shows the daily and cumulative mortality in Spain due to COVID-19, according to official figures and model simulations.</w:t>
      </w:r>
      <w:r>
        <w:t xml:space="preserve"> </w:t>
      </w:r>
      <w:r w:rsidRPr="002F777E">
        <w:t>The gap is due to unrecorded fatalities, although the model correctly duplicates the daily deaths curve's phases and peak day.</w:t>
      </w:r>
      <w:r>
        <w:t xml:space="preserve"> </w:t>
      </w:r>
      <w:r w:rsidRPr="002F777E">
        <w:t>This difference often narrows as the epidemic progresses, coinciding with the peak days of the COVID-19 outbreak in Spain, when the number of tests performed increases and problems with diagnostic measures are reduced.</w:t>
      </w:r>
    </w:p>
    <w:p w14:paraId="0CDEB05E" w14:textId="054F57AB" w:rsidR="005E3DA2" w:rsidRDefault="005E3DA2" w:rsidP="005E3DA2">
      <w:r>
        <w:t>The first case to be positively identified for SARS-CoV-2 occurred on January 31 in La Gomera, Canary Island, and involved an international visitor. According to reports, the virus began to circulate across the town around the middle of February. The previous day, 7,923 additional occurrences were documented (Hernández-Moreno and Harguindéguy, 2024). In terms of daily instances, 10,845 were recorded on March 20, while 950 were recorded on April 2 (Pérez de la Sota et al., 2020).  On July 17, there were 28,403 deaths and 260,255 confirmed cases (Navarro and Velasco, 2022).</w:t>
      </w:r>
    </w:p>
    <w:p w14:paraId="229AFF2D" w14:textId="3A009E3E" w:rsidR="005E3DA2" w:rsidRDefault="005E3DA2" w:rsidP="005E3DA2">
      <w:r>
        <w:lastRenderedPageBreak/>
        <w:t>There was strong resistance from both the political and administrative spheres to these first, decentralised efforts. Some criticised the move, saying it led to institutional frictions and constant fighting between Madrid and Catalonia and the autonomous communities as a whole (Royo, 2020). Coordination issues between a federal agency and state and local governments were made worse by the health ministry's purported lack of expertise in such massive purchases (Esade, 2021). Despite the more frequent meetings of high-level planning or coordination agencies like CISNS, regional health systems were more like autonomous political entities, limiting the transfer of national resources to cross-regional jurisdictions and collaboration. In the absence of an established framework for emergency authorities, the abrupt transition from a decentralised to a centralised system created a "responsibility gap" and strained relations between the two. When the first wave died out, Spain also converted to a successor system of co-governance and had an adaptive demonstration; under this system, the regions had their autonomy back, but with a new structure of vertical coordination (Sergey Shishkin et al., 2025).</w:t>
      </w:r>
    </w:p>
    <w:p w14:paraId="1F5E7680" w14:textId="44C3735C" w:rsidR="005E3DA2" w:rsidRDefault="005E3DA2" w:rsidP="005E3DA2">
      <w:r>
        <w:t>Nonetheless, Spain's subsequent reaction demonstrated an impressive level of government adaptability, particularly in relation to its immunisation program. Given the relative effectiveness of its immunisation campaigns, Spain quickly rose to the position as one of Europe's foremost vaccine advocates. With a rate of over 78% as of September 2021, it was third highest in Europe (Serrano-Alarcón et al., 2023). The distribution and administration departments of the federal and state governments worked together effectively in accordance with established national standards, which led to this achievement. Strong levels of public confidence in health authorities and vaccines, together with Spain's participation in the EU joint procurement plan, ensured a stable supply and strong uptake (Susitha Wanigaratne et al., 2023). With reliable coordination mechanisms and trustworthy individuals, this success demonstrated that decentralised systems may deliver beneficial public health outcomes.  Those in control fail miserably when faced with a crisis that lacks public backing and resilient leadership, as shown by the disparity between early COVID-19 pandemic failures and subsequent vaccination successes in Spain (Teruel et al., 2023).</w:t>
      </w:r>
    </w:p>
    <w:p w14:paraId="68AD2AEB" w14:textId="4B73204B" w:rsidR="0095160B" w:rsidRDefault="0095160B" w:rsidP="0095160B">
      <w:pPr>
        <w:pStyle w:val="Heading3"/>
      </w:pPr>
      <w:bookmarkStart w:id="12" w:name="_Toc206004059"/>
      <w:bookmarkStart w:id="13" w:name="_Toc216468334"/>
      <w:r w:rsidRPr="00D60726">
        <w:t xml:space="preserve">2.1.3 Advantages and Disadvantages of Spain’s </w:t>
      </w:r>
      <w:bookmarkEnd w:id="12"/>
      <w:r w:rsidRPr="00CF5D38">
        <w:t>Response</w:t>
      </w:r>
      <w:bookmarkEnd w:id="13"/>
    </w:p>
    <w:p w14:paraId="63612B32" w14:textId="74768364" w:rsidR="006E3DA8" w:rsidRDefault="0095160B" w:rsidP="0095160B">
      <w:r>
        <w:t>One advantage of Spain's early centralised response was the ability to quickly lock down the entire country and control the procurement of resources at the national level</w:t>
      </w:r>
      <w:r w:rsidR="006E3DA8">
        <w:t xml:space="preserve">. </w:t>
      </w:r>
      <w:r>
        <w:t xml:space="preserve">This was crucial in preventing the healthcare systems from completely breaking down </w:t>
      </w:r>
      <w:r w:rsidR="008804E9" w:rsidRPr="008804E9">
        <w:t>(Avanzas, Pascual and Moris, 2017)</w:t>
      </w:r>
      <w:r>
        <w:t>.</w:t>
      </w:r>
      <w:r w:rsidR="006E3DA8">
        <w:t xml:space="preserve"> </w:t>
      </w:r>
      <w:r>
        <w:t>During a period of great uncertainty, centralised command also provided us with a powerful, singular voice.</w:t>
      </w:r>
    </w:p>
    <w:p w14:paraId="585B8E68" w14:textId="5F7061BD" w:rsidR="0095160B" w:rsidRPr="0095160B" w:rsidRDefault="0095160B" w:rsidP="0095160B">
      <w:r>
        <w:lastRenderedPageBreak/>
        <w:t>The drawbacks, meanwhile, were substantial.</w:t>
      </w:r>
      <w:r w:rsidR="006E3DA8">
        <w:t xml:space="preserve"> </w:t>
      </w:r>
      <w:r>
        <w:t>People lost faith in government due to the abrupt centralisation and the subsequent political conflicts and perceived lack of transparency (Antonini et al., 2021).</w:t>
      </w:r>
      <w:r w:rsidR="006E3DA8">
        <w:t xml:space="preserve"> </w:t>
      </w:r>
      <w:r>
        <w:t>The healthcare system's fragmentation and the struggle with the regional authority both worked against a coordinated effort.</w:t>
      </w:r>
      <w:r w:rsidR="006E3DA8">
        <w:t xml:space="preserve"> </w:t>
      </w:r>
      <w:r>
        <w:t>Initial health results characterised by high mortality and a prevalent lack of facilities were directly caused by this delayed reaction.</w:t>
      </w:r>
    </w:p>
    <w:p w14:paraId="4A21B9A2" w14:textId="77777777" w:rsidR="006E3DA8" w:rsidRDefault="006E3DA8" w:rsidP="006E3DA8">
      <w:pPr>
        <w:pStyle w:val="Heading2"/>
      </w:pPr>
      <w:bookmarkStart w:id="14" w:name="_Toc206004060"/>
      <w:bookmarkStart w:id="15" w:name="_Toc216468335"/>
      <w:r w:rsidRPr="00F5024D">
        <w:t>2.2. South Korea</w:t>
      </w:r>
      <w:bookmarkEnd w:id="14"/>
      <w:bookmarkEnd w:id="15"/>
    </w:p>
    <w:p w14:paraId="0ADB62F5" w14:textId="77777777" w:rsidR="006E3DA8" w:rsidRDefault="006E3DA8" w:rsidP="006E3DA8">
      <w:pPr>
        <w:pStyle w:val="Heading3"/>
      </w:pPr>
      <w:bookmarkStart w:id="16" w:name="_Toc206004061"/>
      <w:bookmarkStart w:id="17" w:name="_Toc216468336"/>
      <w:r w:rsidRPr="00F5024D">
        <w:t>2.2.1. South Korea’s Healthcare System</w:t>
      </w:r>
      <w:bookmarkEnd w:id="16"/>
      <w:bookmarkEnd w:id="17"/>
    </w:p>
    <w:p w14:paraId="192D6B2A" w14:textId="3C3E6368" w:rsidR="005E3DA2" w:rsidRDefault="006E3DA8" w:rsidP="005E3DA2">
      <w:r w:rsidRPr="006E3DA8">
        <w:t xml:space="preserve">South Korea's healthcare system is structured to be centralised and universal, with 97% of the population covered by National Health Insurance (NHI) </w:t>
      </w:r>
      <w:r w:rsidR="008804E9" w:rsidRPr="008804E9">
        <w:t>(Kang et al., 2020)</w:t>
      </w:r>
      <w:r w:rsidRPr="006E3DA8">
        <w:t>.</w:t>
      </w:r>
      <w:r>
        <w:t xml:space="preserve"> </w:t>
      </w:r>
      <w:r w:rsidRPr="006E3DA8">
        <w:t>A market-based approach to primary care was in place, with many providers being privately held, despite the centralised control.</w:t>
      </w:r>
      <w:r>
        <w:t xml:space="preserve"> </w:t>
      </w:r>
      <w:r w:rsidRPr="006E3DA8">
        <w:t>The essential tasks of providing public health, however, are taken up by public health facilities (Cha, 2020).</w:t>
      </w:r>
      <w:r>
        <w:t xml:space="preserve"> </w:t>
      </w:r>
      <w:r w:rsidRPr="006E3DA8">
        <w:t>The 2015 MERS outbreak was most prominently remembered by South Korean institutions.</w:t>
      </w:r>
      <w:r>
        <w:t xml:space="preserve"> </w:t>
      </w:r>
      <w:r w:rsidRPr="006E3DA8">
        <w:t>An important takeaway from that experience is the need of giving the Korea Disease Control and Prevention Agency (KDCA) more independence and the resources they need to respond effectively to the COVID-19 pandemic (Jeong et al., 2020).</w:t>
      </w:r>
    </w:p>
    <w:p w14:paraId="00B77F98" w14:textId="6FB5164A" w:rsidR="006E3DA8" w:rsidRDefault="006E3DA8" w:rsidP="006E3DA8">
      <w:pPr>
        <w:jc w:val="center"/>
      </w:pPr>
      <w:r>
        <w:rPr>
          <w:noProof/>
        </w:rPr>
        <w:drawing>
          <wp:inline distT="0" distB="0" distL="0" distR="0" wp14:anchorId="48D48E2A" wp14:editId="6FB0E103">
            <wp:extent cx="4984891" cy="3264535"/>
            <wp:effectExtent l="0" t="0" r="6350" b="0"/>
            <wp:docPr id="4" name="Picture 4" descr="The governance of the National Health Insurance of South Kore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governance of the National Health Insurance of South Korea.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87505" cy="3266247"/>
                    </a:xfrm>
                    <a:prstGeom prst="rect">
                      <a:avLst/>
                    </a:prstGeom>
                    <a:noFill/>
                    <a:ln>
                      <a:noFill/>
                    </a:ln>
                  </pic:spPr>
                </pic:pic>
              </a:graphicData>
            </a:graphic>
          </wp:inline>
        </w:drawing>
      </w:r>
    </w:p>
    <w:p w14:paraId="11250BCC" w14:textId="6037660E" w:rsidR="006E3DA8" w:rsidRPr="006E3DA8" w:rsidRDefault="006E3DA8" w:rsidP="006E3DA8">
      <w:pPr>
        <w:jc w:val="center"/>
        <w:rPr>
          <w:b/>
          <w:bCs/>
          <w:i/>
          <w:iCs/>
        </w:rPr>
      </w:pPr>
      <w:r w:rsidRPr="006E3DA8">
        <w:rPr>
          <w:b/>
          <w:bCs/>
          <w:i/>
          <w:iCs/>
        </w:rPr>
        <w:t>Figure 3: The governance of the National Health Insurance of South Korea (Cheol Seong et al., 2016)</w:t>
      </w:r>
    </w:p>
    <w:p w14:paraId="48530904" w14:textId="5307611E" w:rsidR="006E3DA8" w:rsidRDefault="006E3DA8" w:rsidP="006E3DA8">
      <w:r w:rsidRPr="006E3DA8">
        <w:t>According to Shazadkhan Shazadkhan (2024), the National Health Insurance (NHI) is overseen by the Ministry of Health and Welfare (MoHW)</w:t>
      </w:r>
      <w:r>
        <w:t xml:space="preserve">. </w:t>
      </w:r>
      <w:r w:rsidRPr="006E3DA8">
        <w:t xml:space="preserve">One of its standout features is an </w:t>
      </w:r>
      <w:r w:rsidRPr="006E3DA8">
        <w:lastRenderedPageBreak/>
        <w:t>integrated health data system, which was essential in supporting the data-backed policies implemented during the epidemic.</w:t>
      </w:r>
    </w:p>
    <w:p w14:paraId="0804ED48" w14:textId="77777777" w:rsidR="006E3DA8" w:rsidRDefault="006E3DA8" w:rsidP="006E3DA8">
      <w:pPr>
        <w:pStyle w:val="Heading3"/>
      </w:pPr>
      <w:bookmarkStart w:id="18" w:name="_Toc206004062"/>
      <w:bookmarkStart w:id="19" w:name="_Toc216468337"/>
      <w:r w:rsidRPr="008B4B47">
        <w:t>2.2.2. South Korea’s COVID-19 Response</w:t>
      </w:r>
      <w:bookmarkEnd w:id="18"/>
      <w:bookmarkEnd w:id="19"/>
    </w:p>
    <w:p w14:paraId="3D9748D0" w14:textId="4522C648" w:rsidR="006E3DA8" w:rsidRDefault="006E3DA8" w:rsidP="006E3DA8">
      <w:r w:rsidRPr="006E3DA8">
        <w:t>South Korea has been aggressive in its coordinated responses from the beginning of the pandemic, using on its experience with earlier SARS and MERS epidemics. Before the first domestic case was recorded in January 2020, the KDCA swiftly activated national emergency measures (Kim and Kwan, 2021).</w:t>
      </w:r>
    </w:p>
    <w:p w14:paraId="621D9B23" w14:textId="2A89C151" w:rsidR="006E3DA8" w:rsidRDefault="005B703B" w:rsidP="005B703B">
      <w:pPr>
        <w:jc w:val="center"/>
      </w:pPr>
      <w:r>
        <w:rPr>
          <w:noProof/>
        </w:rPr>
        <w:drawing>
          <wp:inline distT="0" distB="0" distL="0" distR="0" wp14:anchorId="6BF4CB51" wp14:editId="1455617D">
            <wp:extent cx="6317332" cy="2184400"/>
            <wp:effectExtent l="0" t="0" r="7620" b="6350"/>
            <wp:docPr id="5" name="Picture 5"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21973" cy="2186005"/>
                    </a:xfrm>
                    <a:prstGeom prst="rect">
                      <a:avLst/>
                    </a:prstGeom>
                    <a:noFill/>
                    <a:ln>
                      <a:noFill/>
                    </a:ln>
                  </pic:spPr>
                </pic:pic>
              </a:graphicData>
            </a:graphic>
          </wp:inline>
        </w:drawing>
      </w:r>
    </w:p>
    <w:p w14:paraId="01CA1027" w14:textId="49AE1849" w:rsidR="005B703B" w:rsidRPr="005B703B" w:rsidRDefault="005B703B" w:rsidP="005B703B">
      <w:pPr>
        <w:jc w:val="center"/>
        <w:rPr>
          <w:b/>
          <w:bCs/>
          <w:i/>
          <w:iCs/>
        </w:rPr>
      </w:pPr>
      <w:r w:rsidRPr="005B703B">
        <w:rPr>
          <w:b/>
          <w:bCs/>
          <w:i/>
          <w:iCs/>
        </w:rPr>
        <w:t>Figure 4: Coronavirus illness 19 epidemic curve and South Korean government action timeline (Kang et al., 2020)</w:t>
      </w:r>
    </w:p>
    <w:p w14:paraId="1984ECD3" w14:textId="77777777" w:rsidR="002F777E" w:rsidRDefault="002F777E" w:rsidP="002F777E">
      <w:r>
        <w:t>The epidemic curve accelerated due to Case 31, a Korean religious group from Daegu that many see as a cult and which has missionary activities in Wuhan; on two separate instances, Case 31 refused testing while simultaneously producing dozens of cases by attending Sunday services at Shincheonji.</w:t>
      </w:r>
    </w:p>
    <w:p w14:paraId="224A45BA" w14:textId="0BBB5AB1" w:rsidR="002F777E" w:rsidRDefault="002F777E" w:rsidP="002F777E">
      <w:r>
        <w:t>South Korea was one of the nations that moved quickly in response to the COVID-19 pandemic.  Rapid action was taken by the nation to limit the illness after the first confirmed case on January 20. The subsequent increase in illness cases was exponential. A large number of incidents have occurred, although the number of daily surges has been falling, going from more than 900 at the end of February to more than 100 in the middle of March (Oh et al., 2020). Many people believe the nation is getting better now, despite health officials being cautious. Korea may take the lead in the fight against the COVID-19 pandemic.</w:t>
      </w:r>
    </w:p>
    <w:p w14:paraId="626E19D4" w14:textId="4A75BFC2" w:rsidR="005B703B" w:rsidRDefault="005B703B" w:rsidP="005B703B">
      <w:r>
        <w:t xml:space="preserve">Before the first case was verified in South Korea, KDCA started studying diagnostic procedures using viral material supplied from China. The agent responsible for COVID-19, SARS-CoV-2, was the subject of increased testing in the years after the outbreak, as were public-private collaborations (Penn Today, 2022). Changes to the entrance process for visitors departing Wuhan were implemented by South Korea at the end of January 2020. Border </w:t>
      </w:r>
      <w:r>
        <w:lastRenderedPageBreak/>
        <w:t>testing, temperature checks for all travellers, and obligatory 14-day quarantines were added to procedures when designated entrance ports and questionnaires were put in place (Schwak, 2022). Prime Minister Chung Sye-kyun temporarily quarantined many South Korean institutions, both private and public ones, in the early months of the pandemic.</w:t>
      </w:r>
    </w:p>
    <w:p w14:paraId="6086FE93" w14:textId="12BB7219" w:rsidR="005B703B" w:rsidRDefault="005B703B" w:rsidP="005B703B">
      <w:pPr>
        <w:jc w:val="center"/>
      </w:pPr>
      <w:r>
        <w:rPr>
          <w:noProof/>
        </w:rPr>
        <w:drawing>
          <wp:inline distT="0" distB="0" distL="0" distR="0" wp14:anchorId="6C2FD9E1" wp14:editId="02C67677">
            <wp:extent cx="5273350" cy="334010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6288" cy="3341961"/>
                    </a:xfrm>
                    <a:prstGeom prst="rect">
                      <a:avLst/>
                    </a:prstGeom>
                    <a:noFill/>
                    <a:ln>
                      <a:noFill/>
                    </a:ln>
                  </pic:spPr>
                </pic:pic>
              </a:graphicData>
            </a:graphic>
          </wp:inline>
        </w:drawing>
      </w:r>
    </w:p>
    <w:p w14:paraId="62174B98" w14:textId="4B65C53B" w:rsidR="005B703B" w:rsidRPr="005B703B" w:rsidRDefault="005B703B" w:rsidP="005B703B">
      <w:pPr>
        <w:jc w:val="center"/>
        <w:rPr>
          <w:b/>
          <w:bCs/>
          <w:i/>
          <w:iCs/>
        </w:rPr>
      </w:pPr>
      <w:r w:rsidRPr="005B703B">
        <w:rPr>
          <w:b/>
          <w:bCs/>
          <w:i/>
          <w:iCs/>
        </w:rPr>
        <w:t>Figure 5: COVID-19 tests conducted per million individuals</w:t>
      </w:r>
      <w:r w:rsidR="008804E9">
        <w:rPr>
          <w:b/>
          <w:bCs/>
          <w:i/>
          <w:iCs/>
        </w:rPr>
        <w:t xml:space="preserve"> </w:t>
      </w:r>
      <w:r w:rsidR="008804E9" w:rsidRPr="008804E9">
        <w:rPr>
          <w:b/>
          <w:bCs/>
          <w:i/>
          <w:iCs/>
        </w:rPr>
        <w:t>(Kang et al., 2020)</w:t>
      </w:r>
    </w:p>
    <w:p w14:paraId="5B86861F" w14:textId="5213586C" w:rsidR="005E3DA2" w:rsidRDefault="005B703B" w:rsidP="005E3DA2">
      <w:r w:rsidRPr="005B703B">
        <w:t>Korea has one of the highest testing rates per capita, with over 316,000 persons tested as of March 20 (Figure 5).</w:t>
      </w:r>
      <w:r>
        <w:t xml:space="preserve"> </w:t>
      </w:r>
      <w:r w:rsidRPr="005B703B">
        <w:t>It is possible that the low death rate in the nation is due to the high frequency of testing, which has allowed for the complete detection and segregation of even small cases (Yang, 2022).</w:t>
      </w:r>
    </w:p>
    <w:p w14:paraId="25C82CF3" w14:textId="77777777" w:rsidR="005B703B" w:rsidRDefault="005B703B" w:rsidP="005B703B">
      <w:pPr>
        <w:pStyle w:val="Heading3"/>
      </w:pPr>
      <w:bookmarkStart w:id="20" w:name="_Toc206004063"/>
      <w:bookmarkStart w:id="21" w:name="_Toc216468338"/>
      <w:r w:rsidRPr="00FD6371">
        <w:t>2.2.3 Advantages and Disadvantages of South Korea’s Approach</w:t>
      </w:r>
      <w:bookmarkEnd w:id="20"/>
      <w:bookmarkEnd w:id="21"/>
    </w:p>
    <w:p w14:paraId="62F356E4" w14:textId="3F9BD86A" w:rsidR="002F777E" w:rsidRDefault="002F777E" w:rsidP="002F777E">
      <w:r>
        <w:t>There were a number of benefits to South Korea's centralised, technically advanced approach.  The proactive, tech-driven approach reduced the epidemic's impact on public health and the economy.  According to Susitha Wanigaratne et al. (2023), the centralised NHI and integrated health data system allowed for better allocation of resources and made data-driven decisions easier. Effective containment with a low mortality rate and minimal daily limitations was achieved because to the nation's strong digital literacy and public trust, which enabled broad adherence to public health instructions.</w:t>
      </w:r>
    </w:p>
    <w:p w14:paraId="4B340305" w14:textId="45582E41" w:rsidR="005B703B" w:rsidRDefault="002F777E" w:rsidP="002F777E">
      <w:r>
        <w:t xml:space="preserve">There are, nonetheless, limitations to this approach.  Many people are worried about privacy and human rights issues caused by the extensive use of personal data for contact tracking.  Although the public recognised the "trade-off relationship between privacy and social benefits," </w:t>
      </w:r>
      <w:r>
        <w:lastRenderedPageBreak/>
        <w:t>sergey shishkin et al. (2025) found that groups within infection clusters were more stigmatised and socially sorted as a consequence of the disclosure of substantial personal information.  The digital gap has become wider as a result of technological advancements, which has a negative impact on the elderly who have trouble using QR codes to access government services.</w:t>
      </w:r>
    </w:p>
    <w:p w14:paraId="355AF45B" w14:textId="77777777" w:rsidR="005B703B" w:rsidRDefault="005B703B" w:rsidP="005B703B">
      <w:pPr>
        <w:pStyle w:val="Heading2"/>
      </w:pPr>
      <w:bookmarkStart w:id="22" w:name="_Toc206004064"/>
      <w:bookmarkStart w:id="23" w:name="_Toc216468339"/>
      <w:r w:rsidRPr="00FD6371">
        <w:t>2.3. Canada</w:t>
      </w:r>
      <w:bookmarkEnd w:id="22"/>
      <w:bookmarkEnd w:id="23"/>
    </w:p>
    <w:p w14:paraId="7D5D0DCA" w14:textId="33459884" w:rsidR="005B703B" w:rsidRDefault="005B703B" w:rsidP="005B703B">
      <w:pPr>
        <w:pStyle w:val="Heading3"/>
      </w:pPr>
      <w:bookmarkStart w:id="24" w:name="_Toc206004065"/>
      <w:bookmarkStart w:id="25" w:name="_Toc216468340"/>
      <w:r w:rsidRPr="001F534D">
        <w:t>2.3.1 Canada’s Healthcare System</w:t>
      </w:r>
      <w:bookmarkEnd w:id="24"/>
      <w:bookmarkEnd w:id="25"/>
    </w:p>
    <w:p w14:paraId="08BF1B4D" w14:textId="05599664" w:rsidR="005B703B" w:rsidRDefault="00502B53" w:rsidP="005B703B">
      <w:r w:rsidRPr="00502B53">
        <w:t>Two pieces of federal legislation, one in 1957 and the other in 1966, established Medicare, Canada's publicly-funded healthcare system that is accessible to all citizens.</w:t>
      </w:r>
    </w:p>
    <w:p w14:paraId="58EB3D76" w14:textId="08F5913E" w:rsidR="00502B53" w:rsidRDefault="00502B53" w:rsidP="00502B53">
      <w:pPr>
        <w:jc w:val="center"/>
      </w:pPr>
      <w:r>
        <w:rPr>
          <w:noProof/>
        </w:rPr>
        <w:drawing>
          <wp:inline distT="0" distB="0" distL="0" distR="0" wp14:anchorId="4D3EF794" wp14:editId="6D91AF0E">
            <wp:extent cx="5068069" cy="3104515"/>
            <wp:effectExtent l="0" t="0" r="0" b="635"/>
            <wp:docPr id="6" name="Picture 6" descr="1 Organization of the health system in Canada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 Organization of the health system in Canada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69875" cy="3105621"/>
                    </a:xfrm>
                    <a:prstGeom prst="rect">
                      <a:avLst/>
                    </a:prstGeom>
                    <a:noFill/>
                    <a:ln>
                      <a:noFill/>
                    </a:ln>
                  </pic:spPr>
                </pic:pic>
              </a:graphicData>
            </a:graphic>
          </wp:inline>
        </w:drawing>
      </w:r>
    </w:p>
    <w:p w14:paraId="4FD1B364" w14:textId="1FAE29DF" w:rsidR="00502B53" w:rsidRPr="00502B53" w:rsidRDefault="00502B53" w:rsidP="00502B53">
      <w:pPr>
        <w:jc w:val="center"/>
        <w:rPr>
          <w:b/>
          <w:bCs/>
          <w:i/>
          <w:iCs/>
        </w:rPr>
      </w:pPr>
      <w:r w:rsidRPr="00502B53">
        <w:rPr>
          <w:b/>
          <w:bCs/>
          <w:i/>
          <w:iCs/>
        </w:rPr>
        <w:t>Figure 6: Organization of the health system in Canada (Marchildon, 2013)</w:t>
      </w:r>
    </w:p>
    <w:p w14:paraId="77890AFA" w14:textId="4C91A396" w:rsidR="00502B53" w:rsidRDefault="00502B53" w:rsidP="00502B53">
      <w:r w:rsidRPr="00502B53">
        <w:t>All Canadians have access to healthcare via a decentralised and publicly funded network called Medicare in Canada.</w:t>
      </w:r>
      <w:r>
        <w:t xml:space="preserve"> </w:t>
      </w:r>
      <w:r w:rsidRPr="00502B53">
        <w:t>Financially and administratively, Canada's health care system is mostly constituted by the thirteen provinces and territories (Canada, 2024).</w:t>
      </w:r>
      <w:r>
        <w:t xml:space="preserve"> </w:t>
      </w:r>
      <w:r w:rsidRPr="00502B53">
        <w:t>Every citizen has access to affordable health insurance, and the government pays a certain sum each year per capita.</w:t>
      </w:r>
      <w:r>
        <w:t xml:space="preserve"> </w:t>
      </w:r>
      <w:r w:rsidRPr="00502B53">
        <w:t>Both the advantages and the means of delivery are distinct.</w:t>
      </w:r>
      <w:r>
        <w:t xml:space="preserve"> </w:t>
      </w:r>
      <w:r w:rsidRPr="00502B53">
        <w:t>Medically necessary services provided by doctors and hospitals are free of charge to all citizens and permanent residents at the point of usage.</w:t>
      </w:r>
      <w:r>
        <w:t xml:space="preserve"> </w:t>
      </w:r>
      <w:r w:rsidRPr="00502B53">
        <w:t>Some provinces and territories may provide limited coverage to specific groups so that they may afford dental care and outpatient prescription medicines, for example, which are not often covered (Marchildon, 2021).</w:t>
      </w:r>
    </w:p>
    <w:p w14:paraId="0A3DA1F7" w14:textId="04809E99" w:rsidR="00502B53" w:rsidRDefault="00502B53" w:rsidP="00502B53"/>
    <w:p w14:paraId="5550F992" w14:textId="099AAC87" w:rsidR="00502B53" w:rsidRDefault="00502B53" w:rsidP="00502B53">
      <w:pPr>
        <w:pStyle w:val="Heading3"/>
      </w:pPr>
      <w:bookmarkStart w:id="26" w:name="_Toc206004066"/>
      <w:bookmarkStart w:id="27" w:name="_Toc216468341"/>
      <w:r w:rsidRPr="001F534D">
        <w:lastRenderedPageBreak/>
        <w:t>2.3.2. Canada’s COVID-19 Response</w:t>
      </w:r>
      <w:bookmarkEnd w:id="26"/>
      <w:bookmarkEnd w:id="27"/>
    </w:p>
    <w:p w14:paraId="0DD976BD" w14:textId="716401A4" w:rsidR="00502B53" w:rsidRDefault="002F777E" w:rsidP="00502B53">
      <w:r w:rsidRPr="002F777E">
        <w:t>Because public health intervention in Canada was a group effort, there was a lot more room for variation in how people opened up and the measure became very regional.</w:t>
      </w:r>
      <w:r>
        <w:t xml:space="preserve"> </w:t>
      </w:r>
      <w:r w:rsidRPr="002F777E">
        <w:t>This decentralised system allowed each province to respond differently based on its own specific political and epidemiological climate.</w:t>
      </w:r>
      <w:r>
        <w:t xml:space="preserve"> </w:t>
      </w:r>
      <w:r w:rsidRPr="002F777E">
        <w:t>The federal, provincial, and territory governments of Canada were all prepared to handle a pandemic (Migone, 2020).</w:t>
      </w:r>
      <w:r>
        <w:t xml:space="preserve"> </w:t>
      </w:r>
      <w:r w:rsidRPr="002F777E">
        <w:t>Canadian responses to the 2019 coronavirus disease (COVID-19) pandemic, particularly in the waves following the first outbreak, showed both strengths and areas for improvement.</w:t>
      </w:r>
      <w:r>
        <w:t xml:space="preserve"> </w:t>
      </w:r>
      <w:r w:rsidRPr="002F777E">
        <w:t>Residents in long-term care facilities in Canada were hit particularly hard by the COVID-19 pandemic. These facilities were already overwhelmed by the first wave of cases when the second and third waves of the illness hit in the spring of 2021 (Prime Minister of Canada, 2020).</w:t>
      </w:r>
      <w:r>
        <w:t xml:space="preserve"> </w:t>
      </w:r>
      <w:r w:rsidRPr="002F777E">
        <w:t>There are systemic problems that extend beyond the difficulties of a geographically dispersed federation; they include widespread problems with all five components of the detect, test, track, isolate, and help system and substantial regional diversity in pandemic experiences throughout Canada.</w:t>
      </w:r>
    </w:p>
    <w:p w14:paraId="6B6ED060" w14:textId="186B8582" w:rsidR="00502B53" w:rsidRDefault="00502B53" w:rsidP="00502B53">
      <w:pPr>
        <w:jc w:val="center"/>
      </w:pPr>
      <w:r>
        <w:rPr>
          <w:noProof/>
        </w:rPr>
        <w:drawing>
          <wp:inline distT="0" distB="0" distL="0" distR="0" wp14:anchorId="080A9866" wp14:editId="13C219FC">
            <wp:extent cx="5407153" cy="2858135"/>
            <wp:effectExtent l="0" t="0" r="3175" b="0"/>
            <wp:docPr id="9" name="Picture 9"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07675" cy="2858411"/>
                    </a:xfrm>
                    <a:prstGeom prst="rect">
                      <a:avLst/>
                    </a:prstGeom>
                    <a:noFill/>
                    <a:ln>
                      <a:noFill/>
                    </a:ln>
                  </pic:spPr>
                </pic:pic>
              </a:graphicData>
            </a:graphic>
          </wp:inline>
        </w:drawing>
      </w:r>
    </w:p>
    <w:p w14:paraId="6FED7F1A" w14:textId="1027CD1D" w:rsidR="00502B53" w:rsidRDefault="00502B53" w:rsidP="00502B53">
      <w:pPr>
        <w:jc w:val="center"/>
      </w:pPr>
      <w:r w:rsidRPr="00E44395">
        <w:rPr>
          <w:b/>
          <w:bCs/>
          <w:i/>
          <w:iCs/>
        </w:rPr>
        <w:t>Figure 7:</w:t>
      </w:r>
      <w:r>
        <w:t xml:space="preserve"> </w:t>
      </w:r>
      <w:r w:rsidR="00E44395" w:rsidRPr="00CF04ED">
        <w:rPr>
          <w:b/>
          <w:bCs/>
          <w:i/>
          <w:iCs/>
        </w:rPr>
        <w:t>Covid-19 Cases</w:t>
      </w:r>
      <w:r w:rsidR="00E44395">
        <w:rPr>
          <w:b/>
          <w:bCs/>
          <w:i/>
          <w:iCs/>
        </w:rPr>
        <w:t xml:space="preserve"> in Canada</w:t>
      </w:r>
      <w:r w:rsidR="008804E9">
        <w:rPr>
          <w:b/>
          <w:bCs/>
          <w:i/>
          <w:iCs/>
        </w:rPr>
        <w:t xml:space="preserve"> </w:t>
      </w:r>
      <w:r w:rsidR="008804E9" w:rsidRPr="008804E9">
        <w:rPr>
          <w:b/>
          <w:bCs/>
          <w:i/>
          <w:iCs/>
        </w:rPr>
        <w:t>(Government of Canada, 2021)</w:t>
      </w:r>
    </w:p>
    <w:p w14:paraId="54DE868C" w14:textId="79AD975A" w:rsidR="002F777E" w:rsidRDefault="002F777E" w:rsidP="00502B53">
      <w:r w:rsidRPr="002F777E">
        <w:t>Figure above indicates that daily reported case per capita correlates with the timing of significant public health initiatives in Ontario, Quebec, and British Columbia.</w:t>
      </w:r>
      <w:r>
        <w:t xml:space="preserve"> </w:t>
      </w:r>
      <w:r w:rsidRPr="002F777E">
        <w:t>The number of COVID-19 cases reported daily per 100,000 people in Quebec (QC), Ontario (ON), and British Columbia (BC) together with the timing of significant public health measures (Avanzas, Pascual and Moris, 2017; Government of Canada, 2021).</w:t>
      </w:r>
    </w:p>
    <w:p w14:paraId="2126C170" w14:textId="2771D3FE" w:rsidR="00502B53" w:rsidRDefault="00BA27BE" w:rsidP="00502B53">
      <w:r w:rsidRPr="00BA27BE">
        <w:t>Notably, the Canada Emergency Response Benefit (CERB) offered substantial financial assistance, and the federal government also played an important supporting and funding role (Kholina et al., 2022).</w:t>
      </w:r>
      <w:r>
        <w:t xml:space="preserve"> </w:t>
      </w:r>
      <w:r w:rsidRPr="00BA27BE">
        <w:t xml:space="preserve">Along with easing the process of obtaining the vaccinations, it also </w:t>
      </w:r>
      <w:r w:rsidRPr="00BA27BE">
        <w:lastRenderedPageBreak/>
        <w:t>managed the international boundaries.</w:t>
      </w:r>
      <w:r>
        <w:t xml:space="preserve"> </w:t>
      </w:r>
      <w:r w:rsidRPr="00BA27BE">
        <w:t>But the province premiers fought back when the federal government sought to consolidate certain authorities, including the use of the Emergencies Act</w:t>
      </w:r>
      <w:r>
        <w:t xml:space="preserve">. </w:t>
      </w:r>
      <w:r w:rsidRPr="00BA27BE">
        <w:t>This shows how limiting a central authority can be in a federation as decentralised as Canada's.  Although Canada's vaccination policy proved to be more effective in the long run, the country's first vaccine campaign was sluggish due to manufacturing and supply issues (Canada, 2024).</w:t>
      </w:r>
      <w:r>
        <w:t xml:space="preserve"> </w:t>
      </w:r>
      <w:r w:rsidRPr="00BA27BE">
        <w:t>Regardless, there were major equity difficulties revealed during implementation, with poor vaccination uptake reported by the impoverished community.</w:t>
      </w:r>
    </w:p>
    <w:p w14:paraId="561ED7D0" w14:textId="785AB01B" w:rsidR="00BA27BE" w:rsidRDefault="00BA27BE" w:rsidP="00BA27BE">
      <w:pPr>
        <w:pStyle w:val="Heading3"/>
      </w:pPr>
      <w:bookmarkStart w:id="28" w:name="_Toc206004067"/>
      <w:bookmarkStart w:id="29" w:name="_Toc216468342"/>
      <w:r w:rsidRPr="00CF04ED">
        <w:t xml:space="preserve">2.3.3 Advantages and Disadvantages of Canada’s </w:t>
      </w:r>
      <w:bookmarkEnd w:id="28"/>
      <w:r>
        <w:t>Response</w:t>
      </w:r>
      <w:bookmarkEnd w:id="29"/>
    </w:p>
    <w:p w14:paraId="5C587F48" w14:textId="261D266E" w:rsidR="00BA27BE" w:rsidRDefault="00BA27BE" w:rsidP="00BA27BE">
      <w:r>
        <w:t>Flexibility was the primary benefit of Canada's decentralised system. Furthermore, smaller jurisdictions with fewer inhabitants were able to successfully conduct responsive action that fit the provinces regionally and locally. One further belief about decentralisation is that it will help decision-makers and service consumers take responsibility more seriously. However, there were significant negatives. Poor public health protection, faulty communication, and the pitiful inability to exchange and evaluate national health data were all outcomes of the fragmented system's usage (Kholina et al., 2022). Unfortunately, health outcomes were most negatively affected by this split in long-term care institutions.</w:t>
      </w:r>
    </w:p>
    <w:p w14:paraId="7998DCC7" w14:textId="6F02491B" w:rsidR="00BA27BE" w:rsidRDefault="00BA27BE" w:rsidP="00BA27BE">
      <w:r>
        <w:t>The vaccine confidence project (2023) states that the vaccination campaign, despite its initial slowness and unfairness, shows that the federal government has to engage heavily in procurement and that there needs to be community-and culturally-specific contact activities to overcome systematic access hurdles. Evidence from Canada demonstrates that decentralised health systems, even when supported by a strong federal economic response, can carry out public health initiatives consistently and with a focus on equity, even in the absence of formalised cross-jurisdictional data sharing and coordination (Kholina et al., 2022). A combination of federal procurement and adaptive, locally driven policies (which circumvented the systemic shortcomings) was responsible for the vaccine success, rather than centralised procurement.</w:t>
      </w:r>
    </w:p>
    <w:p w14:paraId="45BB9535" w14:textId="0C925DE8" w:rsidR="00BA27BE" w:rsidRDefault="00BA27BE">
      <w:pPr>
        <w:spacing w:line="259" w:lineRule="auto"/>
        <w:jc w:val="left"/>
      </w:pPr>
      <w:r>
        <w:br w:type="page"/>
      </w:r>
    </w:p>
    <w:p w14:paraId="78694847" w14:textId="77777777" w:rsidR="00BA27BE" w:rsidRDefault="00BA27BE" w:rsidP="00BA27BE">
      <w:pPr>
        <w:pStyle w:val="Heading1"/>
      </w:pPr>
      <w:bookmarkStart w:id="30" w:name="_Toc206004068"/>
      <w:bookmarkStart w:id="31" w:name="_Toc216468343"/>
      <w:r w:rsidRPr="0019563F">
        <w:lastRenderedPageBreak/>
        <w:t>3. Critical Analysis of the Leadership Styles Taken in Each Country</w:t>
      </w:r>
      <w:bookmarkEnd w:id="30"/>
      <w:bookmarkEnd w:id="31"/>
    </w:p>
    <w:p w14:paraId="6AAE97A2" w14:textId="77777777" w:rsidR="00BA27BE" w:rsidRDefault="00BA27BE" w:rsidP="00BA27BE">
      <w:pPr>
        <w:pStyle w:val="Heading2"/>
      </w:pPr>
      <w:bookmarkStart w:id="32" w:name="_Toc206004069"/>
      <w:bookmarkStart w:id="33" w:name="_Toc216468344"/>
      <w:r w:rsidRPr="0019563F">
        <w:t>3.1. Leadership Styles in Spain</w:t>
      </w:r>
      <w:bookmarkEnd w:id="32"/>
      <w:bookmarkEnd w:id="33"/>
    </w:p>
    <w:p w14:paraId="66295416" w14:textId="5A2E72E7" w:rsidR="00BA27BE" w:rsidRDefault="00BA27BE" w:rsidP="00BA27BE">
      <w:r w:rsidRPr="00BA27BE">
        <w:t>At the outset of the COVID-19 pandemic, Salvador Illa was Spain's minister of health; he emerged from a quickly escalating crisis and saw the country's disjointed healthcare system for what it was: a government that appeared to be dozing off and oblivious to the rising number of cases (Esade, 2021).</w:t>
      </w:r>
      <w:r>
        <w:t xml:space="preserve"> </w:t>
      </w:r>
      <w:r w:rsidRPr="00BA27BE">
        <w:t>It was "too little, too late" when the government finally acted. Teruel et al. (2023) states that Spain had one of the world's highest first-wave mortality and infection rates due in part to this first period of inadequate preparation and delayed reaction.</w:t>
      </w:r>
      <w:r>
        <w:t xml:space="preserve"> </w:t>
      </w:r>
      <w:r w:rsidRPr="00BA27BE">
        <w:t>The announcement made by Illa on January 30, 2020, that</w:t>
      </w:r>
    </w:p>
    <w:p w14:paraId="42FAF2C4" w14:textId="758CF5CC" w:rsidR="00BA27BE" w:rsidRDefault="00BA27BE" w:rsidP="00BA27BE">
      <w:r w:rsidRPr="00A53EAB">
        <w:rPr>
          <w:noProof/>
        </w:rPr>
        <w:drawing>
          <wp:inline distT="0" distB="0" distL="0" distR="0" wp14:anchorId="03F2C15F" wp14:editId="5B661052">
            <wp:extent cx="5731510" cy="5289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28955"/>
                    </a:xfrm>
                    <a:prstGeom prst="rect">
                      <a:avLst/>
                    </a:prstGeom>
                  </pic:spPr>
                </pic:pic>
              </a:graphicData>
            </a:graphic>
          </wp:inline>
        </w:drawing>
      </w:r>
    </w:p>
    <w:p w14:paraId="3BBE9569" w14:textId="78E26E52" w:rsidR="00BA27BE" w:rsidRDefault="00BA27BE" w:rsidP="00BA27BE">
      <w:r w:rsidRPr="00BA27BE">
        <w:t>It was during this "intensive period of centralisation in decision-making" that the Spanish government, which Illa oversaw, responded to the epidemic's apparent severity.</w:t>
      </w:r>
      <w:r>
        <w:t xml:space="preserve"> </w:t>
      </w:r>
      <w:r w:rsidRPr="00BA27BE">
        <w:t>This included the government taking an active role in privately run healthcare systems and consolidating the purchase of essential medical supplies including ventilators and personal protective equipment (Standiford et al., 2020).</w:t>
      </w:r>
    </w:p>
    <w:p w14:paraId="0F07A1EA" w14:textId="7DF9DE2C" w:rsidR="00BA27BE" w:rsidRPr="00BA27BE" w:rsidRDefault="00BA27BE" w:rsidP="00BA27BE">
      <w:pPr>
        <w:pStyle w:val="Heading3"/>
      </w:pPr>
      <w:bookmarkStart w:id="34" w:name="_Toc216468345"/>
      <w:r>
        <w:t>3.1.</w:t>
      </w:r>
      <w:r w:rsidR="00E44395">
        <w:t>1</w:t>
      </w:r>
      <w:r>
        <w:t xml:space="preserve"> Democratic leadership</w:t>
      </w:r>
      <w:bookmarkEnd w:id="34"/>
    </w:p>
    <w:p w14:paraId="2A57B655" w14:textId="5EFD550E" w:rsidR="00502B53" w:rsidRDefault="00E44395" w:rsidP="00502B53">
      <w:r w:rsidRPr="00E44395">
        <w:t>in which team leaders foster an environment that values brainstorming, consensus-building, and open dialogue.</w:t>
      </w:r>
      <w:r>
        <w:t xml:space="preserve"> </w:t>
      </w:r>
      <w:r w:rsidRPr="00E44395">
        <w:t>According to Turner (2019), this adaptive change from centralised to shared accountability and coordination demonstrates that effective crisis management involves learning.</w:t>
      </w:r>
    </w:p>
    <w:p w14:paraId="37B4D7D2" w14:textId="61C0FA7D" w:rsidR="00E44395" w:rsidRDefault="00E44395" w:rsidP="00E44395">
      <w:pPr>
        <w:jc w:val="center"/>
      </w:pPr>
      <w:r>
        <w:rPr>
          <w:noProof/>
        </w:rPr>
        <w:lastRenderedPageBreak/>
        <w:drawing>
          <wp:inline distT="0" distB="0" distL="0" distR="0" wp14:anchorId="4801D859" wp14:editId="476AA822">
            <wp:extent cx="4152745" cy="3025909"/>
            <wp:effectExtent l="0" t="0" r="63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69438" cy="3038072"/>
                    </a:xfrm>
                    <a:prstGeom prst="rect">
                      <a:avLst/>
                    </a:prstGeom>
                    <a:noFill/>
                  </pic:spPr>
                </pic:pic>
              </a:graphicData>
            </a:graphic>
          </wp:inline>
        </w:drawing>
      </w:r>
    </w:p>
    <w:p w14:paraId="43567AF5" w14:textId="56F5330D" w:rsidR="00E44395" w:rsidRPr="00E44395" w:rsidRDefault="00E44395" w:rsidP="00E44395">
      <w:pPr>
        <w:jc w:val="center"/>
        <w:rPr>
          <w:b/>
          <w:bCs/>
          <w:i/>
          <w:iCs/>
        </w:rPr>
      </w:pPr>
      <w:r w:rsidRPr="00E44395">
        <w:rPr>
          <w:b/>
          <w:bCs/>
          <w:i/>
          <w:iCs/>
        </w:rPr>
        <w:t>Figure 8: Democratic Leadership Style (Imer, 2024)</w:t>
      </w:r>
    </w:p>
    <w:p w14:paraId="2FE9AB8D" w14:textId="05CCF9CC" w:rsidR="00E44395" w:rsidRDefault="00E44395" w:rsidP="00E44395">
      <w:r>
        <w:t>Aside from reorganising the government, Illa was also actively seeking ways for the public and private sectors to work together. She lauded the "marvellous conduct of the private sector," which included healthcare providers and suppliers, for allocating resources to the public sector (Green et al., 2025). In order to use all available resources in the battle against the crisis, this realistic and practical approach was crucial.</w:t>
      </w:r>
    </w:p>
    <w:p w14:paraId="17B46852" w14:textId="2F3D15B3" w:rsidR="00E44395" w:rsidRDefault="00E44395" w:rsidP="00E44395">
      <w:r>
        <w:t>In stark contrast to the disastrous early vaccine introductions that ushered in the pandemic, Spain achieved a remarkable triumph in its vaccine clinical trials (Duarte-Díaz et al., 2023).  Membership in the EU, which allows for cooperative vaccine purchasing to ensure a steady supply, was a factor in this accomplishment. Importantly, Spanish citizens have a long history of putting their faith in the country's public health system and vaccinations. One reason for this high uptake was that Illa was transparent about her immunisation strategy (Chen et al., 2021).  It suggests that people's faith in healthcare and the vaccination program remained unshaken, even if there was initially low political confidence in the government's handling of the epidemic due to perceptions of slowness and lack of openness (Farhan, 2021). When a unified strategy was defined and put into action, it allowed for effective public participation and a smooth launch.</w:t>
      </w:r>
    </w:p>
    <w:p w14:paraId="5576404E" w14:textId="2F08378E" w:rsidR="00E44395" w:rsidRDefault="00E44395" w:rsidP="00E44395">
      <w:r w:rsidRPr="00E44395">
        <w:t>Crisis leadership is the ultimate expression of Salvador Illa's leadership style.</w:t>
      </w:r>
      <w:r>
        <w:t xml:space="preserve"> </w:t>
      </w:r>
      <w:r w:rsidRPr="00E44395">
        <w:t>Although it offered quick control, its reactive authoritarian inclinations strained Spain's decentralised system and produced disappointing early outcomes.</w:t>
      </w:r>
      <w:r>
        <w:t xml:space="preserve"> </w:t>
      </w:r>
      <w:r w:rsidRPr="00E44395">
        <w:t>For the vaccination effort to be successful in the long run, it was essential to embrace a more democratic and collaborative approach while also fostering public confidence in the healthcare system.</w:t>
      </w:r>
    </w:p>
    <w:p w14:paraId="0C74CA6C" w14:textId="3CF5A8E2" w:rsidR="00E44395" w:rsidRDefault="00E44395" w:rsidP="00E44395">
      <w:pPr>
        <w:pStyle w:val="Heading3"/>
      </w:pPr>
      <w:bookmarkStart w:id="35" w:name="_Toc206004070"/>
      <w:bookmarkStart w:id="36" w:name="_Toc216468346"/>
      <w:r>
        <w:lastRenderedPageBreak/>
        <w:t>3.1.2 A</w:t>
      </w:r>
      <w:r w:rsidRPr="004122DD">
        <w:t>utocratic (authoritarian) leadership style</w:t>
      </w:r>
      <w:bookmarkEnd w:id="35"/>
      <w:bookmarkEnd w:id="36"/>
    </w:p>
    <w:p w14:paraId="3B966796" w14:textId="08162BB7" w:rsidR="00E44395" w:rsidRDefault="00E44395" w:rsidP="00E44395">
      <w:r w:rsidRPr="00E44395">
        <w:t>In a typical leadership style, subordinates are not involved in the decision-making process or the establishment of objectives.</w:t>
      </w:r>
      <w:r>
        <w:t xml:space="preserve"> </w:t>
      </w:r>
      <w:r w:rsidRPr="00E44395">
        <w:t>"Managing a pandemic does not allow partial solutions," added Illa.</w:t>
      </w:r>
      <w:r>
        <w:t xml:space="preserve"> </w:t>
      </w:r>
      <w:r w:rsidRPr="00E44395">
        <w:t>The edict from above states that everyone must band together in order to achieve national unity and carry out emergency measures such as the lockdown quickly (Singh et al., 2024).</w:t>
      </w:r>
    </w:p>
    <w:p w14:paraId="5597BA03" w14:textId="31A236B8" w:rsidR="00E44395" w:rsidRDefault="00E44395" w:rsidP="00E44395">
      <w:pPr>
        <w:jc w:val="center"/>
      </w:pPr>
      <w:r>
        <w:rPr>
          <w:noProof/>
        </w:rPr>
        <w:drawing>
          <wp:inline distT="0" distB="0" distL="0" distR="0" wp14:anchorId="10C5DD95" wp14:editId="3AA6F217">
            <wp:extent cx="4267200" cy="4267200"/>
            <wp:effectExtent l="0" t="0" r="0" b="0"/>
            <wp:docPr id="12" name="Picture 12" descr="The Leadership Styles Hand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Leadership Styles Handboo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67200" cy="4267200"/>
                    </a:xfrm>
                    <a:prstGeom prst="rect">
                      <a:avLst/>
                    </a:prstGeom>
                    <a:noFill/>
                    <a:ln>
                      <a:noFill/>
                    </a:ln>
                  </pic:spPr>
                </pic:pic>
              </a:graphicData>
            </a:graphic>
          </wp:inline>
        </w:drawing>
      </w:r>
    </w:p>
    <w:p w14:paraId="371A0CEE" w14:textId="782B2F15" w:rsidR="00E44395" w:rsidRPr="00E44395" w:rsidRDefault="00E44395" w:rsidP="00E44395">
      <w:pPr>
        <w:jc w:val="center"/>
        <w:rPr>
          <w:b/>
          <w:bCs/>
          <w:i/>
          <w:iCs/>
        </w:rPr>
      </w:pPr>
      <w:r w:rsidRPr="00E44395">
        <w:rPr>
          <w:b/>
          <w:bCs/>
          <w:i/>
          <w:iCs/>
        </w:rPr>
        <w:t>Figure 9: Autocratic Leadership Characteristics (Jaro Education, 2025)</w:t>
      </w:r>
    </w:p>
    <w:p w14:paraId="309E1E12" w14:textId="77777777" w:rsidR="00E44395" w:rsidRDefault="00E44395" w:rsidP="00E44395">
      <w:r>
        <w:t xml:space="preserve">This initial centralised and autocratic procedure's primary advantages were its speed and clarity of command in an otherwise chaotic setting. As a result, crucial decisions could be made swiftly, public health regulations could be enforced, and resources could be mobilised to prevent the healthcare system from collapsing under the weight of the pandemic (The Vaccine Confidence Project, 2023). The downsides, however, were severe. Institutional tensions and constant sniping sprang out between the federal government and the other autonomous communities, particularly Madrid and Catalonia, as a consequence of this concentration of power, which came at the price of regional political autonomy (Standiford et al., 2020). As a result, the response's national cohesion suffered. The Health Ministry's apparent inexperience and a lack of communication with territory administrations were also </w:t>
      </w:r>
      <w:r>
        <w:lastRenderedPageBreak/>
        <w:t>cited as reasons for the centralised procurement process's perceived inefficiency (Turner, 2019). Overshadowing the public's faith in the government's crisis management in general was the initial lack of openness and low engagement in decision-making, which are hallmarks of authoritarian approaches. According to Susitha Wanigaratne et al. (2023), this approach stifled regional responsiveness and creativity at the local level, resulting in inconsistent performance and a sense of inadequate governance during the suspension period, which was crucial.</w:t>
      </w:r>
    </w:p>
    <w:p w14:paraId="2BBA3829" w14:textId="6A41CDBF" w:rsidR="00E44395" w:rsidRDefault="00E44395" w:rsidP="00E44395">
      <w:r>
        <w:t>As the epidemic continued and lessons were acquired from the first wave, Illa's leadership demonstrated vital flexibility. The "system of co-governance" was reinstated in Spain. The Interterritorial Council (CISNS) was convened by Illa to foster "great competence of and cooperation between all the colleagues in the different autonomous regions" and to enhance the frequency of its meetings (Serrano-Alarcón et al., 2023).</w:t>
      </w:r>
    </w:p>
    <w:p w14:paraId="53B4A925" w14:textId="77777777" w:rsidR="00E44395" w:rsidRDefault="00E44395" w:rsidP="00E44395">
      <w:pPr>
        <w:pStyle w:val="Heading2"/>
      </w:pPr>
      <w:bookmarkStart w:id="37" w:name="_Toc206004072"/>
      <w:bookmarkStart w:id="38" w:name="_Toc216468347"/>
      <w:r w:rsidRPr="00C2737B">
        <w:t>3.2. Leadership Style in South Korea</w:t>
      </w:r>
      <w:bookmarkEnd w:id="37"/>
      <w:bookmarkEnd w:id="38"/>
    </w:p>
    <w:p w14:paraId="797F12AB" w14:textId="1BD54686" w:rsidR="00E44395" w:rsidRDefault="00E44395" w:rsidP="00E44395">
      <w:r w:rsidRPr="00E44395">
        <w:t>The leadership of South Korea's Prime Minister Chung Sye-kyun during the COVID-19 epidemic is often used as a model for how to handle similar situations. This is particularly true given that the nation was home to one of the first instances of the virus.</w:t>
      </w:r>
      <w:r>
        <w:t xml:space="preserve"> </w:t>
      </w:r>
      <w:r w:rsidRPr="00E44395">
        <w:t>"Transparency, democracy, and openness" were the three pillars around which Chung built his country's effective "K-Quarantine" policy (Cha, 2020).</w:t>
      </w:r>
      <w:r w:rsidR="002668BE">
        <w:t xml:space="preserve"> </w:t>
      </w:r>
      <w:r w:rsidRPr="00E44395">
        <w:t>A leadership style that combines elements of democratic and transformative leadership is reflected in these ideals.</w:t>
      </w:r>
    </w:p>
    <w:p w14:paraId="6484D9A9" w14:textId="77777777" w:rsidR="002668BE" w:rsidRDefault="002668BE" w:rsidP="002668BE">
      <w:pPr>
        <w:pStyle w:val="Heading3"/>
      </w:pPr>
      <w:bookmarkStart w:id="39" w:name="_Toc206004073"/>
      <w:bookmarkStart w:id="40" w:name="_Toc216468348"/>
      <w:r>
        <w:t>3.2.1 T</w:t>
      </w:r>
      <w:r w:rsidRPr="00C2737B">
        <w:t>ransparency</w:t>
      </w:r>
      <w:bookmarkEnd w:id="39"/>
      <w:bookmarkEnd w:id="40"/>
    </w:p>
    <w:p w14:paraId="112BAF1F" w14:textId="42EA4868" w:rsidR="002668BE" w:rsidRDefault="002668BE" w:rsidP="002668BE">
      <w:r>
        <w:t>Statements like "We enabled everybody to see what was happening" demonstrate Chung's commitment to openness, which he used to justify supporting his policy. One aspect of this was the rapid and extensive exchange of data in real-time. Another aspect was the meticulous tracking of contact information. On occasion, this data would be included in daily text messages that detailed the paths of confirmed cases (Jeong et al., 2020). A hallmark of transformational leadership, this strategy for unrestricted two-way communication inspires followers to put their faith in the leader and follow his or her vision.  Since this approach values cooperative and open-minded communication two factors crucial to gaining society's buy-in and support it also conforms to the shared and democratic style of leadership (Turner, 2019).</w:t>
      </w:r>
    </w:p>
    <w:p w14:paraId="13E80E65" w14:textId="13AE414B" w:rsidR="002668BE" w:rsidRDefault="002668BE" w:rsidP="002668BE">
      <w:pPr>
        <w:pStyle w:val="Heading3"/>
      </w:pPr>
      <w:bookmarkStart w:id="41" w:name="_Toc216468349"/>
      <w:r w:rsidRPr="002668BE">
        <w:t>3.2.2 Democracy</w:t>
      </w:r>
      <w:bookmarkEnd w:id="41"/>
    </w:p>
    <w:p w14:paraId="73C0A4AE" w14:textId="002CE03C" w:rsidR="00E44395" w:rsidRDefault="002668BE" w:rsidP="002668BE">
      <w:r>
        <w:t xml:space="preserve">The notion of democracy was put into practice when people's voluntarism about quarantine was appreciated. Instead of making the same errors, the South Korean government enforced stringent and authoritarian rules in an effort to foster trust and collaboration among its inhabitants (Kim and Kwan, 2021). Since the public has faith in the government, this tactic </w:t>
      </w:r>
      <w:r>
        <w:lastRenderedPageBreak/>
        <w:t>helped increase vaccination rates and the number of individuals who followed the government's advice to self-quarantine (Jeong et al., 2020). In addition to being an excellent sign of a democratic leadership style which prioritises public engagement over coercion this approach also requires include team members in decision-making and fostering an environment of collaboration.</w:t>
      </w:r>
    </w:p>
    <w:p w14:paraId="7A604EB5" w14:textId="77777777" w:rsidR="002668BE" w:rsidRDefault="002668BE" w:rsidP="002668BE">
      <w:pPr>
        <w:pStyle w:val="Heading3"/>
      </w:pPr>
      <w:bookmarkStart w:id="42" w:name="_Toc206004075"/>
      <w:bookmarkStart w:id="43" w:name="_Toc216468350"/>
      <w:r>
        <w:t xml:space="preserve">3.2.3 </w:t>
      </w:r>
      <w:r w:rsidRPr="00047B46">
        <w:t>Openness</w:t>
      </w:r>
      <w:bookmarkEnd w:id="42"/>
      <w:bookmarkEnd w:id="43"/>
    </w:p>
    <w:p w14:paraId="6A36B6EF" w14:textId="77777777" w:rsidR="002668BE" w:rsidRDefault="002668BE" w:rsidP="002668BE">
      <w:r>
        <w:t>"Let people travel without any lockdown" was the third guiding concept. A courageous and well-thought-out leadership style, this relatively open approach was made possible by one of the most effective "Test, Trace, Treat, Isolate, Quarantine" (TTT+IQ) strategies ever (Mao, 2024). It struck a balance between entirely upsetting regular life and keeping the virus under control. This proactive stance, which had allowed a certain normality, was also responsible for maintaining economic competitiveness.</w:t>
      </w:r>
    </w:p>
    <w:p w14:paraId="1ECEF33F" w14:textId="77777777" w:rsidR="002668BE" w:rsidRDefault="002668BE" w:rsidP="002668BE">
      <w:r>
        <w:t>Other leadership qualities shown by Chung were a strong crisis leadership style informed by experience, expertise, and a high sensitivity to crises, as well as a political elite leadership style. The 2015 MERS epidemic was a major factor in these changes, which gave the KDCA more independence and the capacity to do quick testing and tracing (Migone, 2020). Good crisis leadership is characterised by a strategy that is proactive, based on evidence, and driven by learning.</w:t>
      </w:r>
    </w:p>
    <w:p w14:paraId="2B3EE6E4" w14:textId="77777777" w:rsidR="002668BE" w:rsidRDefault="002668BE" w:rsidP="002668BE">
      <w:r>
        <w:t>The beneficial effects on public health demonstrated the merits of Chung's management approach. To improve the first levels of demonstrating the health directions to every person and guaranteeing high rates of immunisation, transparency and good spirit preserving the notion of volunteering were crucial (Maccoby, 2013). Leadership that valued scientific knowledge, a centralised and coordinated system, and new technology solutions (digital tracing) allowed for the rapid and effective containment of an epidemic, thereby flattening its curve (Oh et al., 2020).</w:t>
      </w:r>
    </w:p>
    <w:p w14:paraId="54D1B9B7" w14:textId="0AC04AD7" w:rsidR="002668BE" w:rsidRDefault="002668BE" w:rsidP="002668BE">
      <w:r>
        <w:t xml:space="preserve">There were major downsides to this very successful method, and they had to do with privacy.  "Serious concerns about privacy and social equality" as well as "human rights issues" were heightened by digital contact tracking, which aided limitation efforts. Everyone was talking about the "trade-off relationship between privacy concerns and perceived social benefits" (Penn Today, 2022).  Like with the Itaewon cluster epidemic, even sharing private information anonymously led to "social sorting and profiling," which stigmatised some groups. One consequence of digital tools is the "digital divide," which means that older adults who don't have cell phones or aren't very tech savvy may have trouble accessing public services. Users sometimes experienced "alert fatigue" due to the frequent alert text messages, even if they </w:t>
      </w:r>
      <w:r>
        <w:lastRenderedPageBreak/>
        <w:t>were useful (Rubino et al., 2018). Fearing that emergency measures might become the norm, top-down digital monitoring persisted after the crisis.</w:t>
      </w:r>
    </w:p>
    <w:p w14:paraId="54A31C96" w14:textId="66589DE5" w:rsidR="002668BE" w:rsidRDefault="002668BE" w:rsidP="002668BE">
      <w:r>
        <w:t>Finally, Chung Sye-kyun's crisis leadership style is effective. By outlining a clear vision (the K-Quarantine principles), encouraging trust by openness, and giving people agency via democratic compliance, he mobilised collective action and accomplished outstanding public health results. Through the use of technology and lessons learnt from previous crises, his proactive and adaptable leadership promoted public health while negotiating the complicated ethical terrain of data privacy.</w:t>
      </w:r>
    </w:p>
    <w:p w14:paraId="5EEB4BB7" w14:textId="77777777" w:rsidR="002668BE" w:rsidRDefault="002668BE" w:rsidP="002668BE">
      <w:pPr>
        <w:pStyle w:val="Heading2"/>
      </w:pPr>
      <w:bookmarkStart w:id="44" w:name="_Toc206004076"/>
      <w:bookmarkStart w:id="45" w:name="_Toc216468351"/>
      <w:r w:rsidRPr="00E87851">
        <w:t>3.3. Leadership Style in Canada</w:t>
      </w:r>
      <w:bookmarkEnd w:id="44"/>
      <w:bookmarkEnd w:id="45"/>
    </w:p>
    <w:p w14:paraId="70AE3A8C" w14:textId="5E969093" w:rsidR="002668BE" w:rsidRDefault="002668BE" w:rsidP="002668BE">
      <w:r w:rsidRPr="002668BE">
        <w:t>Given Canada's highly decentralised federal system and the preponderance of provincial and territory (PT) authority over health, Prime Minister Justin Trudeau oversaw response efforts to the COVID-19 pandemic within these constraints (Farhan, 2021).</w:t>
      </w:r>
      <w:r>
        <w:t xml:space="preserve"> </w:t>
      </w:r>
      <w:r w:rsidRPr="002668BE">
        <w:t>A uniting leader, Trudeau had a distinct method that consistently brought people together and emphasised the importance of teamwork and patriotism.</w:t>
      </w:r>
      <w:r>
        <w:t xml:space="preserve"> </w:t>
      </w:r>
      <w:r w:rsidRPr="002668BE">
        <w:t>"We will get through this, together," was one of his many statements that sought to unite Canadians in a shared goal.</w:t>
      </w:r>
      <w:r>
        <w:t xml:space="preserve"> </w:t>
      </w:r>
      <w:r w:rsidRPr="002668BE">
        <w:t>The notion of identity leadership, which emphasises the need of rallying people behind common causes and fostering a feeling of "us-ness" in times of crisis, finds support in this approach (Kholina et al., 2022).</w:t>
      </w:r>
    </w:p>
    <w:p w14:paraId="0867C00E" w14:textId="5D2E248F" w:rsidR="002668BE" w:rsidRDefault="002668BE" w:rsidP="002668BE">
      <w:pPr>
        <w:pStyle w:val="Heading3"/>
      </w:pPr>
      <w:bookmarkStart w:id="46" w:name="_Toc206004078"/>
      <w:bookmarkStart w:id="47" w:name="_Toc216468352"/>
      <w:r>
        <w:t>3.3.1 P</w:t>
      </w:r>
      <w:r w:rsidRPr="002835CF">
        <w:t>articipative</w:t>
      </w:r>
      <w:r>
        <w:t xml:space="preserve"> Leadership</w:t>
      </w:r>
      <w:bookmarkEnd w:id="46"/>
      <w:bookmarkEnd w:id="47"/>
    </w:p>
    <w:p w14:paraId="168AC5F0" w14:textId="77777777" w:rsidR="002668BE" w:rsidRDefault="002668BE" w:rsidP="002668BE">
      <w:r>
        <w:t>True to form, Trudeau's leadership style was both participative and flexible. Health policy enforcement was mostly handled by the provinces, notwithstanding the federal government's heavy involvement in economic response and vaccination procurement.</w:t>
      </w:r>
    </w:p>
    <w:p w14:paraId="56F434BD" w14:textId="365FE2B9" w:rsidR="002668BE" w:rsidRDefault="002668BE" w:rsidP="002668BE">
      <w:pPr>
        <w:jc w:val="center"/>
      </w:pPr>
      <w:r>
        <w:rPr>
          <w:noProof/>
        </w:rPr>
        <w:drawing>
          <wp:inline distT="0" distB="0" distL="0" distR="0" wp14:anchorId="295662F9" wp14:editId="1008FB55">
            <wp:extent cx="5226050" cy="2012950"/>
            <wp:effectExtent l="0" t="0" r="0" b="6350"/>
            <wp:docPr id="13" name="Picture 13" descr="Participative Leadership: What it Can Do for Organiz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rticipative Leadership: What it Can Do for Organization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26050" cy="2012950"/>
                    </a:xfrm>
                    <a:prstGeom prst="rect">
                      <a:avLst/>
                    </a:prstGeom>
                    <a:noFill/>
                    <a:ln>
                      <a:noFill/>
                    </a:ln>
                  </pic:spPr>
                </pic:pic>
              </a:graphicData>
            </a:graphic>
          </wp:inline>
        </w:drawing>
      </w:r>
    </w:p>
    <w:p w14:paraId="1789B19F" w14:textId="1D452D99" w:rsidR="002668BE" w:rsidRPr="002668BE" w:rsidRDefault="002668BE" w:rsidP="002668BE">
      <w:pPr>
        <w:jc w:val="center"/>
        <w:rPr>
          <w:b/>
          <w:bCs/>
          <w:i/>
          <w:iCs/>
        </w:rPr>
      </w:pPr>
      <w:r w:rsidRPr="002668BE">
        <w:rPr>
          <w:b/>
          <w:bCs/>
          <w:i/>
          <w:iCs/>
        </w:rPr>
        <w:t>Figure 10: Participative Leadership (Samuel, 2023)</w:t>
      </w:r>
    </w:p>
    <w:p w14:paraId="2D5DF5D9" w14:textId="64D83EF5" w:rsidR="002668BE" w:rsidRDefault="002668BE" w:rsidP="002668BE">
      <w:r>
        <w:t xml:space="preserve">Despite Canada's complicated federal system, Trudeau's leadership has been characterised as collaborating well with provincial and territorial counterparts (Santoso et al., 2022). He </w:t>
      </w:r>
      <w:r>
        <w:lastRenderedPageBreak/>
        <w:t>showed adaptability by actively participating in global efforts to organise vaccination procurement and by accepting that life will not return to as it had been before the pandemic (Seijts et al., 2022).</w:t>
      </w:r>
    </w:p>
    <w:p w14:paraId="73362254" w14:textId="25788ACE" w:rsidR="002668BE" w:rsidRDefault="002668BE" w:rsidP="002668BE">
      <w:r>
        <w:t>Vaccine rollout in Canada was first characterised as slow due to worldwide production delays and supply restrictions, but the final conclusion was successful with high coverage (Serrano-Alarcón et al., 2023). Vaccine equality among vulnerable populations, particularly ethnically diverse and low-income areas, remained a key difficulty throughout the process, despite the decentralised nature of the procedure (Sergey Shishkin et al., 2025). Such differences have sometimes called for substantial outreach and community-based campaigns, with partial funding from provinces, to bring everything into harmony.</w:t>
      </w:r>
    </w:p>
    <w:p w14:paraId="5F6479D9" w14:textId="537DB772" w:rsidR="002668BE" w:rsidRDefault="002668BE" w:rsidP="002668BE">
      <w:r>
        <w:t>There were many advantages to Trudeau's leadership. It is crucial for health recommendations and vaccine compliance that Canadians feel a feeling of community duty and trust, and this sense was built by unifying and servant leadership. The federal government's robust reaction to the economic crisis, and the CERB in particular, served as a critical safety net, reducing the negative effects on people and companies and fostering economic stability (Singh et al., 2024). A key factor in the subsequent success of the pandemic was the proactive role played by the federal government in securing vaccine supplies via advance buying agreements (Tikkanen et al., 2020).</w:t>
      </w:r>
    </w:p>
    <w:p w14:paraId="51352ED8" w14:textId="3B4598DC" w:rsidR="002668BE" w:rsidRDefault="002668BE" w:rsidP="002668BE">
      <w:r>
        <w:t>Despite its advantages, Trudeau found leadership under Canada's very decentralised federal government challenging. There was cross-jurisdictional coordination problems and considerable regional variation in how the system handled the epidemic. Because of the Emergencies Act and the federal government's incapacity to utilise emergency powers, the province premiers rejected it, demonstrating that central authority is constrained under a federation (Standiford et al., 2020). Systemic hurdles in Canada included a fragmented patchwork of mismanaged and misaligned health data resources and a lack of true interoperability of data. There was a decrease in response efficacy due to the fragmentation that impeded research, national public health decision-making, and the ability to monitor variants and their effectiveness in vaccines (Susitha Wanigaratne et al., 2023).</w:t>
      </w:r>
    </w:p>
    <w:p w14:paraId="23E568CE" w14:textId="5E0396DF" w:rsidR="002668BE" w:rsidRPr="00E87851" w:rsidRDefault="002668BE" w:rsidP="002668BE">
      <w:pPr>
        <w:pStyle w:val="Heading3"/>
      </w:pPr>
      <w:bookmarkStart w:id="48" w:name="_Toc206004077"/>
      <w:bookmarkStart w:id="49" w:name="_Toc216468353"/>
      <w:r>
        <w:t>3.3.2 S</w:t>
      </w:r>
      <w:r w:rsidRPr="002835CF">
        <w:t>ervant leadership</w:t>
      </w:r>
      <w:bookmarkEnd w:id="48"/>
      <w:bookmarkEnd w:id="49"/>
    </w:p>
    <w:p w14:paraId="35FFC010" w14:textId="336EA314" w:rsidR="002668BE" w:rsidRDefault="002668BE" w:rsidP="002668BE">
      <w:r w:rsidRPr="002668BE">
        <w:t>In addition to the potential for fostering unity, Trudeau was also demonstrating excellent servant leadership.  With this approach, you put other people's needs above your own, working to improve their lives and give them more agency (Marchildon, 2021).</w:t>
      </w:r>
      <w:r w:rsidR="008804E9">
        <w:t xml:space="preserve"> </w:t>
      </w:r>
      <w:r w:rsidRPr="002668BE">
        <w:t>The quick implementation of robust social safety nets is an obvious example of this.</w:t>
      </w:r>
      <w:r w:rsidR="008804E9">
        <w:t xml:space="preserve"> </w:t>
      </w:r>
      <w:r w:rsidRPr="002668BE">
        <w:t xml:space="preserve">Canadians who were unemployed or unable to work due to the pandemic were able to receive $500 per week for 28 weeks through the Canada Emergency Response Benefit (CERB), which provided a </w:t>
      </w:r>
      <w:r w:rsidRPr="002668BE">
        <w:lastRenderedPageBreak/>
        <w:t>direct and immediate solution to the social and economic needs of the population (Nahiyan Al-Azad et al., 2024).</w:t>
      </w:r>
      <w:r w:rsidR="008804E9">
        <w:t xml:space="preserve"> </w:t>
      </w:r>
      <w:r w:rsidRPr="002668BE">
        <w:t>The goal of Trudeau's subsequent public statement, in which he declared that the government would not penalise people for legitimate errors, was to boost confidence and ease public worry.</w:t>
      </w:r>
      <w:r w:rsidR="008804E9">
        <w:t xml:space="preserve"> </w:t>
      </w:r>
      <w:r w:rsidRPr="002668BE">
        <w:t>Immigrants contribute greatly to Canada's health and long-term care systems, and he has been steadfast in his commitment to welcoming refugees and newcomers, demonstrating his desire to help marginalised groups (Prime Minister of Canada, 2020).</w:t>
      </w:r>
      <w:r w:rsidR="008804E9">
        <w:t xml:space="preserve"> </w:t>
      </w:r>
      <w:r w:rsidRPr="002668BE">
        <w:t>When it comes to servant leadership, equality, and inclusion, this is a key topic.</w:t>
      </w:r>
      <w:r w:rsidR="008804E9">
        <w:t xml:space="preserve"> </w:t>
      </w:r>
      <w:r w:rsidRPr="002668BE">
        <w:t>As part of his plan, he also worked on building trust and empathy in order to demonstrate this attitude, using examples like the work-from-home system and acknowledging the challenges faced by Canadians (Tenney, 2022).</w:t>
      </w:r>
    </w:p>
    <w:p w14:paraId="2FA9F1CC" w14:textId="75F03C7B" w:rsidR="008804E9" w:rsidRDefault="008804E9">
      <w:pPr>
        <w:spacing w:line="259" w:lineRule="auto"/>
        <w:jc w:val="left"/>
      </w:pPr>
      <w:r>
        <w:br w:type="page"/>
      </w:r>
    </w:p>
    <w:p w14:paraId="56AE4CAE" w14:textId="77777777" w:rsidR="008804E9" w:rsidRDefault="008804E9" w:rsidP="008804E9">
      <w:pPr>
        <w:pStyle w:val="Heading1"/>
      </w:pPr>
      <w:bookmarkStart w:id="50" w:name="_Toc206004079"/>
      <w:bookmarkStart w:id="51" w:name="_Toc216468354"/>
      <w:r>
        <w:lastRenderedPageBreak/>
        <w:t>4. Conclusion</w:t>
      </w:r>
      <w:bookmarkEnd w:id="50"/>
      <w:bookmarkEnd w:id="51"/>
    </w:p>
    <w:p w14:paraId="5D9D5C00" w14:textId="5BA6E514" w:rsidR="008804E9" w:rsidRDefault="00AD3C06" w:rsidP="00AD3C06">
      <w:r w:rsidRPr="00AD3C06">
        <w:t>A nation's healthcare system, governance structure, and leadership styles of notable figures all had an influence on public health outcomes during the COVID-19 pandemic, which was an unprecedented global test.  By comparing Canada, South Korea, and Spain, we can see how these factors interacted to produce different results.  At first, Spain had problems because of its dispersed system and what many saw as incompetent leadership, which led to high rates of infant mortality.</w:t>
      </w:r>
      <w:r>
        <w:t xml:space="preserve"> </w:t>
      </w:r>
      <w:r w:rsidRPr="00AD3C06">
        <w:t>Still, it became a frontrunner in vaccines because to adaptive co-governance and increased public trust.</w:t>
      </w:r>
      <w:r>
        <w:t xml:space="preserve"> </w:t>
      </w:r>
      <w:r w:rsidRPr="00AD3C06">
        <w:t>South Korea's proactive "K-Quarantine" was introduced under Prime Minister Chung Sye-kyun in response to the country's centralised and technologically advanced system and its experience with MERS.</w:t>
      </w:r>
      <w:r>
        <w:t xml:space="preserve"> </w:t>
      </w:r>
      <w:r w:rsidRPr="00AD3C06">
        <w:t>Despite posing serious privacy concerns, this transparent and democratic approach managed to achieve outstanding containment without widespread lockdowns.  Data interchange was particularly problematic due to the dispersed regional responses and difficulties in coordinating throughout Canada's highly decentralised federation.</w:t>
      </w:r>
      <w:r>
        <w:t xml:space="preserve"> </w:t>
      </w:r>
      <w:r w:rsidRPr="00AD3C06">
        <w:t>Despite early difficulties and persisting equity discrepancies, large vaccination rates were achieved via the unifying and service-oriented leadership of Prime Minister Justin Trudeau, who enabled the procurement of vaccines and vital economic help for the government.  Centralisation allows for quick reaction, while decentralisation allows for local adaptation; both examples show a major difference.</w:t>
      </w:r>
      <w:r>
        <w:t xml:space="preserve"> </w:t>
      </w:r>
      <w:r w:rsidRPr="00AD3C06">
        <w:t>Comprehensive data, clear communication, and trust-building, adaptable leadership are the pillars upon which effective crisis management rests.</w:t>
      </w:r>
      <w:r>
        <w:t xml:space="preserve"> </w:t>
      </w:r>
      <w:r w:rsidRPr="00AD3C06">
        <w:t>Adjusting governance, strategically using technology, and consistently prioritising citizen welfare are the three pillars upon which universal prosperity rests.</w:t>
      </w:r>
      <w:r w:rsidR="008804E9">
        <w:br w:type="page"/>
      </w:r>
    </w:p>
    <w:p w14:paraId="2AD74023" w14:textId="5DB5B0D3" w:rsidR="008804E9" w:rsidRDefault="008804E9" w:rsidP="008804E9">
      <w:pPr>
        <w:pStyle w:val="Heading1"/>
      </w:pPr>
      <w:bookmarkStart w:id="52" w:name="_Toc216468355"/>
      <w:r>
        <w:lastRenderedPageBreak/>
        <w:t>References</w:t>
      </w:r>
      <w:bookmarkEnd w:id="52"/>
    </w:p>
    <w:p w14:paraId="455178B9" w14:textId="189F2F31" w:rsidR="00BF7A36" w:rsidRPr="00AD3C06" w:rsidRDefault="00BF7A36" w:rsidP="00AD3C06">
      <w:pPr>
        <w:pStyle w:val="ListParagraph"/>
        <w:numPr>
          <w:ilvl w:val="0"/>
          <w:numId w:val="1"/>
        </w:numPr>
        <w:rPr>
          <w:rFonts w:cs="Arial"/>
          <w:lang w:eastAsia="en-GB"/>
        </w:rPr>
      </w:pPr>
      <w:r w:rsidRPr="00AD3C06">
        <w:rPr>
          <w:rFonts w:cs="Arial"/>
          <w:lang w:eastAsia="en-GB"/>
        </w:rPr>
        <w:t xml:space="preserve">Antonini, M., Eid, M.A., Falkenbach, M., Rosenbluth, S.T., Prieto, P.A., Brammli-Greenberg, S., McMeekin, P. and Paolucci, F. (2021). An analysis of the COVID-19 vaccination campaigns in France, Israel, Italy and Spain and their impact on health and economic outcomes. </w:t>
      </w:r>
      <w:r w:rsidRPr="00AD3C06">
        <w:rPr>
          <w:rFonts w:cs="Arial"/>
          <w:i/>
          <w:iCs/>
          <w:lang w:eastAsia="en-GB"/>
        </w:rPr>
        <w:t>Health Policy and Technology</w:t>
      </w:r>
      <w:r w:rsidRPr="00AD3C06">
        <w:rPr>
          <w:rFonts w:cs="Arial"/>
          <w:lang w:eastAsia="en-GB"/>
        </w:rPr>
        <w:t xml:space="preserve">, [online] 11(2), p.100594. doi: </w:t>
      </w:r>
      <w:hyperlink r:id="rId20" w:history="1">
        <w:r w:rsidR="00E96344" w:rsidRPr="00AD3C06">
          <w:rPr>
            <w:rStyle w:val="Hyperlink"/>
            <w:rFonts w:cs="Arial"/>
            <w:lang w:eastAsia="en-GB"/>
          </w:rPr>
          <w:t>https://doi.org/10.1016/j.hlpt.2021.100594</w:t>
        </w:r>
      </w:hyperlink>
      <w:r w:rsidRPr="00AD3C06">
        <w:rPr>
          <w:rFonts w:cs="Arial"/>
          <w:lang w:eastAsia="en-GB"/>
        </w:rPr>
        <w:t>.</w:t>
      </w:r>
    </w:p>
    <w:p w14:paraId="61912CFE" w14:textId="2FB3A502" w:rsidR="00BF7A36" w:rsidRPr="00AD3C06" w:rsidRDefault="00BF7A36" w:rsidP="00AD3C06">
      <w:pPr>
        <w:pStyle w:val="ListParagraph"/>
        <w:numPr>
          <w:ilvl w:val="0"/>
          <w:numId w:val="1"/>
        </w:numPr>
        <w:rPr>
          <w:rFonts w:cs="Arial"/>
          <w:lang w:eastAsia="en-GB"/>
        </w:rPr>
      </w:pPr>
      <w:r w:rsidRPr="00AD3C06">
        <w:rPr>
          <w:rFonts w:cs="Arial"/>
          <w:lang w:eastAsia="en-GB"/>
        </w:rPr>
        <w:t xml:space="preserve">Canada, H. (2024). </w:t>
      </w:r>
      <w:r w:rsidRPr="00AD3C06">
        <w:rPr>
          <w:rFonts w:cs="Arial"/>
          <w:i/>
          <w:iCs/>
          <w:lang w:eastAsia="en-GB"/>
        </w:rPr>
        <w:t>Report of the Expert Panel for the Review of the Federal Approach to Pandemic Science Advice and Research Coordination: The Time to Act is Now - Canada.ca</w:t>
      </w:r>
      <w:r w:rsidRPr="00AD3C06">
        <w:rPr>
          <w:rFonts w:cs="Arial"/>
          <w:lang w:eastAsia="en-GB"/>
        </w:rPr>
        <w:t xml:space="preserve">. [online] Canada.ca. Available at: </w:t>
      </w:r>
      <w:hyperlink r:id="rId21" w:history="1">
        <w:r w:rsidR="00E96344" w:rsidRPr="00AD3C06">
          <w:rPr>
            <w:rStyle w:val="Hyperlink"/>
            <w:rFonts w:cs="Arial"/>
            <w:lang w:eastAsia="en-GB"/>
          </w:rPr>
          <w:t>https://www.canada.ca/en/health-canada/corporate/about-health-canada/public-engagement/external-advisory-bodies/review-federal-approach-pandemic-science-advice-research-coordination/time-to-act.html</w:t>
        </w:r>
      </w:hyperlink>
      <w:r w:rsidRPr="00AD3C06">
        <w:rPr>
          <w:rFonts w:cs="Arial"/>
          <w:lang w:eastAsia="en-GB"/>
        </w:rPr>
        <w:t>.</w:t>
      </w:r>
    </w:p>
    <w:p w14:paraId="2AB1F674" w14:textId="12A6C1AC" w:rsidR="00BF7A36" w:rsidRPr="00AD3C06" w:rsidRDefault="00BF7A36" w:rsidP="00AD3C06">
      <w:pPr>
        <w:pStyle w:val="ListParagraph"/>
        <w:numPr>
          <w:ilvl w:val="0"/>
          <w:numId w:val="1"/>
        </w:numPr>
        <w:rPr>
          <w:rFonts w:cs="Arial"/>
          <w:lang w:eastAsia="en-GB"/>
        </w:rPr>
      </w:pPr>
      <w:r w:rsidRPr="00AD3C06">
        <w:rPr>
          <w:rFonts w:cs="Arial"/>
          <w:lang w:eastAsia="en-GB"/>
        </w:rPr>
        <w:t xml:space="preserve">Cha, V. (2020). </w:t>
      </w:r>
      <w:r w:rsidRPr="00AD3C06">
        <w:rPr>
          <w:rFonts w:cs="Arial"/>
          <w:i/>
          <w:iCs/>
          <w:lang w:eastAsia="en-GB"/>
        </w:rPr>
        <w:t>A Timeline of South Korea’s Response to COVID-19</w:t>
      </w:r>
      <w:r w:rsidRPr="00AD3C06">
        <w:rPr>
          <w:rFonts w:cs="Arial"/>
          <w:lang w:eastAsia="en-GB"/>
        </w:rPr>
        <w:t xml:space="preserve">. [online] Csis.org. Available at: </w:t>
      </w:r>
      <w:hyperlink r:id="rId22" w:history="1">
        <w:r w:rsidR="00E96344" w:rsidRPr="00AD3C06">
          <w:rPr>
            <w:rStyle w:val="Hyperlink"/>
            <w:rFonts w:cs="Arial"/>
            <w:lang w:eastAsia="en-GB"/>
          </w:rPr>
          <w:t>https://www.csis.org/analysis/timeline-south-koreas-response-covid-19</w:t>
        </w:r>
      </w:hyperlink>
      <w:r w:rsidRPr="00AD3C06">
        <w:rPr>
          <w:rFonts w:cs="Arial"/>
          <w:lang w:eastAsia="en-GB"/>
        </w:rPr>
        <w:t>.</w:t>
      </w:r>
    </w:p>
    <w:p w14:paraId="0848981C" w14:textId="3435D4A1" w:rsidR="00BF7A36" w:rsidRPr="00AD3C06" w:rsidRDefault="00BF7A36" w:rsidP="00AD3C06">
      <w:pPr>
        <w:pStyle w:val="ListParagraph"/>
        <w:numPr>
          <w:ilvl w:val="0"/>
          <w:numId w:val="1"/>
        </w:numPr>
        <w:rPr>
          <w:rFonts w:cs="Arial"/>
          <w:lang w:eastAsia="en-GB"/>
        </w:rPr>
      </w:pPr>
      <w:r w:rsidRPr="00AD3C06">
        <w:rPr>
          <w:rFonts w:cs="Arial"/>
          <w:lang w:eastAsia="en-GB"/>
        </w:rPr>
        <w:t xml:space="preserve">Chen, H., Shi, L., Zhang, Y., Wang, X., Jiao, J., Yang, M. and Sun, G. (2021). Response to the COVID-19 Pandemic: Comparison of Strategies in Six Countries. </w:t>
      </w:r>
      <w:r w:rsidRPr="00AD3C06">
        <w:rPr>
          <w:rFonts w:cs="Arial"/>
          <w:i/>
          <w:iCs/>
          <w:lang w:eastAsia="en-GB"/>
        </w:rPr>
        <w:t>Frontiers in Public Health</w:t>
      </w:r>
      <w:r w:rsidRPr="00AD3C06">
        <w:rPr>
          <w:rFonts w:cs="Arial"/>
          <w:lang w:eastAsia="en-GB"/>
        </w:rPr>
        <w:t xml:space="preserve">, [online] 9(708496). doi: </w:t>
      </w:r>
      <w:hyperlink r:id="rId23" w:history="1">
        <w:r w:rsidR="00E96344" w:rsidRPr="00AD3C06">
          <w:rPr>
            <w:rStyle w:val="Hyperlink"/>
            <w:rFonts w:cs="Arial"/>
            <w:lang w:eastAsia="en-GB"/>
          </w:rPr>
          <w:t>https://doi.org/10.3389/fpubh.2021.708496</w:t>
        </w:r>
      </w:hyperlink>
      <w:r w:rsidRPr="00AD3C06">
        <w:rPr>
          <w:rFonts w:cs="Arial"/>
          <w:lang w:eastAsia="en-GB"/>
        </w:rPr>
        <w:t>.</w:t>
      </w:r>
    </w:p>
    <w:p w14:paraId="74E86AAE" w14:textId="4A6B526E" w:rsidR="00BF7A36" w:rsidRPr="00AD3C06" w:rsidRDefault="00BF7A36" w:rsidP="00AD3C06">
      <w:pPr>
        <w:pStyle w:val="ListParagraph"/>
        <w:numPr>
          <w:ilvl w:val="0"/>
          <w:numId w:val="1"/>
        </w:numPr>
        <w:rPr>
          <w:rFonts w:cs="Arial"/>
          <w:lang w:eastAsia="en-GB"/>
        </w:rPr>
      </w:pPr>
      <w:r w:rsidRPr="00AD3C06">
        <w:rPr>
          <w:rFonts w:cs="Arial"/>
          <w:lang w:eastAsia="en-GB"/>
        </w:rPr>
        <w:t xml:space="preserve">Duarte-Díaz, A., Aparicio Betancourt, M., Seils, L., Orrego, C., Perestelo-Pérez, L., Barrio-Cortes, J., Beca-Martínez, M.T., Bermejo-Caja, C.J. and González-González, A.I. (2023). COVID-19 healthcare and social-related needs from the perspective of Spanish patients and healthcare providers: a qualitative analysis of responses to open-ended questions. </w:t>
      </w:r>
      <w:r w:rsidRPr="00AD3C06">
        <w:rPr>
          <w:rFonts w:cs="Arial"/>
          <w:i/>
          <w:iCs/>
          <w:lang w:eastAsia="en-GB"/>
        </w:rPr>
        <w:t>Frontiers in Public Health</w:t>
      </w:r>
      <w:r w:rsidRPr="00AD3C06">
        <w:rPr>
          <w:rFonts w:cs="Arial"/>
          <w:lang w:eastAsia="en-GB"/>
        </w:rPr>
        <w:t xml:space="preserve">, [online] 11, p.1166317. doi: </w:t>
      </w:r>
      <w:hyperlink r:id="rId24" w:history="1">
        <w:r w:rsidR="00E96344" w:rsidRPr="00AD3C06">
          <w:rPr>
            <w:rStyle w:val="Hyperlink"/>
            <w:rFonts w:cs="Arial"/>
            <w:lang w:eastAsia="en-GB"/>
          </w:rPr>
          <w:t>https://doi.org/10.3389/fpubh.2023.1166317</w:t>
        </w:r>
      </w:hyperlink>
      <w:r w:rsidRPr="00AD3C06">
        <w:rPr>
          <w:rFonts w:cs="Arial"/>
          <w:lang w:eastAsia="en-GB"/>
        </w:rPr>
        <w:t>.</w:t>
      </w:r>
    </w:p>
    <w:p w14:paraId="13518070" w14:textId="6EDF1730" w:rsidR="00BF7A36" w:rsidRPr="00AD3C06" w:rsidRDefault="00BF7A36" w:rsidP="00AD3C06">
      <w:pPr>
        <w:pStyle w:val="ListParagraph"/>
        <w:numPr>
          <w:ilvl w:val="0"/>
          <w:numId w:val="1"/>
        </w:numPr>
        <w:rPr>
          <w:rFonts w:cs="Arial"/>
          <w:lang w:eastAsia="en-GB"/>
        </w:rPr>
      </w:pPr>
      <w:r w:rsidRPr="00AD3C06">
        <w:rPr>
          <w:rFonts w:cs="Arial"/>
          <w:lang w:eastAsia="en-GB"/>
        </w:rPr>
        <w:t xml:space="preserve">Esade. (2021). </w:t>
      </w:r>
      <w:r w:rsidRPr="00AD3C06">
        <w:rPr>
          <w:rFonts w:cs="Arial"/>
          <w:i/>
          <w:iCs/>
          <w:lang w:eastAsia="en-GB"/>
        </w:rPr>
        <w:t>Salvador Illa at Esade: ‘Managing a pandemic does not allow for partial solutions. It requires us all to get organised and pull together’ - Esade</w:t>
      </w:r>
      <w:r w:rsidRPr="00AD3C06">
        <w:rPr>
          <w:rFonts w:cs="Arial"/>
          <w:lang w:eastAsia="en-GB"/>
        </w:rPr>
        <w:t xml:space="preserve">. [online] Available at: </w:t>
      </w:r>
      <w:hyperlink r:id="rId25" w:history="1">
        <w:r w:rsidR="00E96344" w:rsidRPr="00AD3C06">
          <w:rPr>
            <w:rStyle w:val="Hyperlink"/>
            <w:rFonts w:cs="Arial"/>
            <w:lang w:eastAsia="en-GB"/>
          </w:rPr>
          <w:t>https://www.esade.edu/en/news/salvador-illa-esade-managing-a-pandemic-does-not-allow-for-partial-solutions-it-requires-us</w:t>
        </w:r>
      </w:hyperlink>
      <w:r w:rsidRPr="00AD3C06">
        <w:rPr>
          <w:rFonts w:cs="Arial"/>
          <w:lang w:eastAsia="en-GB"/>
        </w:rPr>
        <w:t>.</w:t>
      </w:r>
    </w:p>
    <w:p w14:paraId="38B8F977" w14:textId="7DB81B7E" w:rsidR="00BF7A36" w:rsidRPr="00AD3C06" w:rsidRDefault="00BF7A36" w:rsidP="00AD3C06">
      <w:pPr>
        <w:pStyle w:val="ListParagraph"/>
        <w:numPr>
          <w:ilvl w:val="0"/>
          <w:numId w:val="1"/>
        </w:numPr>
        <w:rPr>
          <w:rFonts w:cs="Arial"/>
          <w:lang w:eastAsia="en-GB"/>
        </w:rPr>
      </w:pPr>
      <w:r w:rsidRPr="00AD3C06">
        <w:rPr>
          <w:rFonts w:cs="Arial"/>
          <w:lang w:eastAsia="en-GB"/>
        </w:rPr>
        <w:t xml:space="preserve">European Observatory on Health Systems and Policies (2024). </w:t>
      </w:r>
      <w:r w:rsidRPr="00AD3C06">
        <w:rPr>
          <w:rFonts w:cs="Arial"/>
          <w:i/>
          <w:iCs/>
          <w:lang w:eastAsia="en-GB"/>
        </w:rPr>
        <w:t>Spain: Health System Review 2024</w:t>
      </w:r>
      <w:r w:rsidRPr="00AD3C06">
        <w:rPr>
          <w:rFonts w:cs="Arial"/>
          <w:lang w:eastAsia="en-GB"/>
        </w:rPr>
        <w:t xml:space="preserve">. [online] Who.int. Available at: </w:t>
      </w:r>
      <w:hyperlink r:id="rId26" w:history="1">
        <w:r w:rsidR="00E96344" w:rsidRPr="00AD3C06">
          <w:rPr>
            <w:rStyle w:val="Hyperlink"/>
            <w:rFonts w:cs="Arial"/>
            <w:lang w:eastAsia="en-GB"/>
          </w:rPr>
          <w:t>https://eurohealthobservatory.who.int/publications/i/spain-health-system-review-2024</w:t>
        </w:r>
      </w:hyperlink>
      <w:r w:rsidRPr="00AD3C06">
        <w:rPr>
          <w:rFonts w:cs="Arial"/>
          <w:lang w:eastAsia="en-GB"/>
        </w:rPr>
        <w:t>.</w:t>
      </w:r>
    </w:p>
    <w:p w14:paraId="2B472D96" w14:textId="17DA22E1" w:rsidR="00BF7A36" w:rsidRPr="00AD3C06" w:rsidRDefault="00BF7A36" w:rsidP="00AD3C06">
      <w:pPr>
        <w:pStyle w:val="ListParagraph"/>
        <w:numPr>
          <w:ilvl w:val="0"/>
          <w:numId w:val="1"/>
        </w:numPr>
        <w:rPr>
          <w:rFonts w:cs="Arial"/>
          <w:lang w:eastAsia="en-GB"/>
        </w:rPr>
      </w:pPr>
      <w:r w:rsidRPr="00AD3C06">
        <w:rPr>
          <w:rFonts w:cs="Arial"/>
          <w:lang w:eastAsia="en-GB"/>
        </w:rPr>
        <w:t xml:space="preserve">Farhan, B. (2021). A new strategic leadership model for surviving and coping: Lessons from Canada’s leadership approach to COVID-19. </w:t>
      </w:r>
      <w:r w:rsidRPr="00AD3C06">
        <w:rPr>
          <w:rFonts w:cs="Arial"/>
          <w:i/>
          <w:iCs/>
          <w:lang w:eastAsia="en-GB"/>
        </w:rPr>
        <w:t>Cogent Business &amp; Management</w:t>
      </w:r>
      <w:r w:rsidRPr="00AD3C06">
        <w:rPr>
          <w:rFonts w:cs="Arial"/>
          <w:lang w:eastAsia="en-GB"/>
        </w:rPr>
        <w:t xml:space="preserve">, 8(1), p.1883221. doi: </w:t>
      </w:r>
      <w:hyperlink r:id="rId27" w:history="1">
        <w:r w:rsidR="00E96344" w:rsidRPr="00AD3C06">
          <w:rPr>
            <w:rStyle w:val="Hyperlink"/>
            <w:rFonts w:cs="Arial"/>
            <w:lang w:eastAsia="en-GB"/>
          </w:rPr>
          <w:t>https://doi.org/10.1080/23311975.2021.1883221</w:t>
        </w:r>
      </w:hyperlink>
      <w:r w:rsidRPr="00AD3C06">
        <w:rPr>
          <w:rFonts w:cs="Arial"/>
          <w:lang w:eastAsia="en-GB"/>
        </w:rPr>
        <w:t>.</w:t>
      </w:r>
    </w:p>
    <w:p w14:paraId="7F26F84E" w14:textId="77777777" w:rsidR="00E96344" w:rsidRPr="00E466C1" w:rsidRDefault="00E96344" w:rsidP="00BF7A36">
      <w:pPr>
        <w:rPr>
          <w:rFonts w:cs="Arial"/>
          <w:lang w:eastAsia="en-GB"/>
        </w:rPr>
      </w:pPr>
    </w:p>
    <w:p w14:paraId="64ACA7C9" w14:textId="29D7E07C" w:rsidR="00BF7A36" w:rsidRPr="00AD3C06" w:rsidRDefault="00BF7A36" w:rsidP="00AD3C06">
      <w:pPr>
        <w:pStyle w:val="ListParagraph"/>
        <w:numPr>
          <w:ilvl w:val="0"/>
          <w:numId w:val="1"/>
        </w:numPr>
        <w:rPr>
          <w:rFonts w:cs="Arial"/>
          <w:lang w:eastAsia="en-GB"/>
        </w:rPr>
      </w:pPr>
      <w:r w:rsidRPr="00AD3C06">
        <w:rPr>
          <w:rFonts w:cs="Arial"/>
          <w:lang w:eastAsia="en-GB"/>
        </w:rPr>
        <w:lastRenderedPageBreak/>
        <w:t xml:space="preserve">Green, A.L., Bhatia, R.K., Boateng, K.A. and Johnson, J. (2025). </w:t>
      </w:r>
      <w:r w:rsidRPr="00AD3C06">
        <w:rPr>
          <w:rFonts w:cs="Arial"/>
          <w:i/>
          <w:iCs/>
          <w:lang w:eastAsia="en-GB"/>
        </w:rPr>
        <w:t>Comparative Analysis of Five Leadership Styles and Humane Leadership During the COVID-19 Pandemic in the Context of Industry 4.0</w:t>
      </w:r>
      <w:r w:rsidRPr="00AD3C06">
        <w:rPr>
          <w:rFonts w:cs="Arial"/>
          <w:lang w:eastAsia="en-GB"/>
        </w:rPr>
        <w:t xml:space="preserve">. [online] Available at: </w:t>
      </w:r>
      <w:hyperlink r:id="rId28" w:history="1">
        <w:r w:rsidR="00E96344" w:rsidRPr="00AD3C06">
          <w:rPr>
            <w:rStyle w:val="Hyperlink"/>
            <w:rFonts w:cs="Arial"/>
            <w:lang w:eastAsia="en-GB"/>
          </w:rPr>
          <w:t>https://www.researchgate.net/publication/391850672_Comparative_Analysis_of_Five_Leadership_Styles_and_Humane_Leadership_During_the_COVID-19_Pandemic_in_the_Context_of_Industry_40</w:t>
        </w:r>
      </w:hyperlink>
      <w:r w:rsidRPr="00AD3C06">
        <w:rPr>
          <w:rFonts w:cs="Arial"/>
          <w:lang w:eastAsia="en-GB"/>
        </w:rPr>
        <w:t>.</w:t>
      </w:r>
    </w:p>
    <w:p w14:paraId="7870C9B3" w14:textId="6036A6E4" w:rsidR="00BF7A36" w:rsidRPr="00AD3C06" w:rsidRDefault="00BF7A36" w:rsidP="00AD3C06">
      <w:pPr>
        <w:pStyle w:val="ListParagraph"/>
        <w:numPr>
          <w:ilvl w:val="0"/>
          <w:numId w:val="1"/>
        </w:numPr>
        <w:rPr>
          <w:rFonts w:cs="Arial"/>
          <w:lang w:eastAsia="en-GB"/>
        </w:rPr>
      </w:pPr>
      <w:r w:rsidRPr="00AD3C06">
        <w:rPr>
          <w:rFonts w:cs="Arial"/>
          <w:lang w:eastAsia="en-GB"/>
        </w:rPr>
        <w:t xml:space="preserve">Hernández-Moreno, J. and Harguindéguy, J.-B. (2024). COVID-19 and territorial politics: towards a redefinition of Spanish intergovernmental relations? </w:t>
      </w:r>
      <w:r w:rsidRPr="00AD3C06">
        <w:rPr>
          <w:rFonts w:cs="Arial"/>
          <w:i/>
          <w:iCs/>
          <w:lang w:eastAsia="en-GB"/>
        </w:rPr>
        <w:t>Regional Studies, Regional Science</w:t>
      </w:r>
      <w:r w:rsidRPr="00AD3C06">
        <w:rPr>
          <w:rFonts w:cs="Arial"/>
          <w:lang w:eastAsia="en-GB"/>
        </w:rPr>
        <w:t xml:space="preserve">, 11(1), pp.387–405. doi: </w:t>
      </w:r>
      <w:hyperlink r:id="rId29" w:history="1">
        <w:r w:rsidR="00E96344" w:rsidRPr="00AD3C06">
          <w:rPr>
            <w:rStyle w:val="Hyperlink"/>
            <w:rFonts w:cs="Arial"/>
            <w:lang w:eastAsia="en-GB"/>
          </w:rPr>
          <w:t>https://doi.org/10.1080/21681376.2024.2370420</w:t>
        </w:r>
      </w:hyperlink>
      <w:r w:rsidRPr="00AD3C06">
        <w:rPr>
          <w:rFonts w:cs="Arial"/>
          <w:lang w:eastAsia="en-GB"/>
        </w:rPr>
        <w:t>.</w:t>
      </w:r>
    </w:p>
    <w:p w14:paraId="19F6D742" w14:textId="3E74F1F5" w:rsidR="00BF7A36" w:rsidRPr="00AD3C06" w:rsidRDefault="00BF7A36" w:rsidP="00AD3C06">
      <w:pPr>
        <w:pStyle w:val="ListParagraph"/>
        <w:numPr>
          <w:ilvl w:val="0"/>
          <w:numId w:val="1"/>
        </w:numPr>
        <w:rPr>
          <w:rFonts w:cs="Arial"/>
          <w:lang w:eastAsia="en-GB"/>
        </w:rPr>
      </w:pPr>
      <w:r w:rsidRPr="00AD3C06">
        <w:rPr>
          <w:rFonts w:cs="Arial"/>
          <w:lang w:eastAsia="en-GB"/>
        </w:rPr>
        <w:t xml:space="preserve">Jeong, E., Hagose, M., Jung, H., Ki, M. and Flahault, A. (2020). Understanding South Korea’s Response to the COVID-19 Outbreak: A Real-Time Analysis. </w:t>
      </w:r>
      <w:r w:rsidRPr="00AD3C06">
        <w:rPr>
          <w:rFonts w:cs="Arial"/>
          <w:i/>
          <w:iCs/>
          <w:lang w:eastAsia="en-GB"/>
        </w:rPr>
        <w:t>International Journal of Environmental Research and Public Health</w:t>
      </w:r>
      <w:r w:rsidRPr="00AD3C06">
        <w:rPr>
          <w:rFonts w:cs="Arial"/>
          <w:lang w:eastAsia="en-GB"/>
        </w:rPr>
        <w:t xml:space="preserve">, [online] 17(24), p.9571. doi: </w:t>
      </w:r>
      <w:hyperlink r:id="rId30" w:history="1">
        <w:r w:rsidR="00E96344" w:rsidRPr="00AD3C06">
          <w:rPr>
            <w:rStyle w:val="Hyperlink"/>
            <w:rFonts w:cs="Arial"/>
            <w:lang w:eastAsia="en-GB"/>
          </w:rPr>
          <w:t>https://doi.org/10.3390/ijerph17249571</w:t>
        </w:r>
      </w:hyperlink>
      <w:r w:rsidRPr="00AD3C06">
        <w:rPr>
          <w:rFonts w:cs="Arial"/>
          <w:lang w:eastAsia="en-GB"/>
        </w:rPr>
        <w:t>.</w:t>
      </w:r>
    </w:p>
    <w:p w14:paraId="2DACC2F0" w14:textId="6154BF6B" w:rsidR="00BF7A36" w:rsidRPr="00AD3C06" w:rsidRDefault="00BF7A36" w:rsidP="00AD3C06">
      <w:pPr>
        <w:pStyle w:val="ListParagraph"/>
        <w:numPr>
          <w:ilvl w:val="0"/>
          <w:numId w:val="1"/>
        </w:numPr>
        <w:rPr>
          <w:rFonts w:cs="Arial"/>
          <w:lang w:eastAsia="en-GB"/>
        </w:rPr>
      </w:pPr>
      <w:r w:rsidRPr="00AD3C06">
        <w:rPr>
          <w:rFonts w:cs="Arial"/>
          <w:lang w:eastAsia="en-GB"/>
        </w:rPr>
        <w:t xml:space="preserve">Kholina, K., Harmon, S.H.E. and Graham, J.E. (2022). An equitable vaccine delivery system: Lessons from the COVID-19 vaccine rollout in Canada. </w:t>
      </w:r>
      <w:r w:rsidRPr="00AD3C06">
        <w:rPr>
          <w:rFonts w:cs="Arial"/>
          <w:i/>
          <w:iCs/>
          <w:lang w:eastAsia="en-GB"/>
        </w:rPr>
        <w:t>PLOS ONE</w:t>
      </w:r>
      <w:r w:rsidRPr="00AD3C06">
        <w:rPr>
          <w:rFonts w:cs="Arial"/>
          <w:lang w:eastAsia="en-GB"/>
        </w:rPr>
        <w:t xml:space="preserve">, 17(12), p.e0279929. doi: </w:t>
      </w:r>
      <w:hyperlink r:id="rId31" w:history="1">
        <w:r w:rsidR="00E96344" w:rsidRPr="00AD3C06">
          <w:rPr>
            <w:rStyle w:val="Hyperlink"/>
            <w:rFonts w:cs="Arial"/>
            <w:lang w:eastAsia="en-GB"/>
          </w:rPr>
          <w:t>https://doi.org/10.1371/journal.pone.0279929</w:t>
        </w:r>
      </w:hyperlink>
      <w:r w:rsidRPr="00AD3C06">
        <w:rPr>
          <w:rFonts w:cs="Arial"/>
          <w:lang w:eastAsia="en-GB"/>
        </w:rPr>
        <w:t>.</w:t>
      </w:r>
    </w:p>
    <w:p w14:paraId="57BF415C" w14:textId="7CF52E58" w:rsidR="00BF7A36" w:rsidRPr="00AD3C06" w:rsidRDefault="00BF7A36" w:rsidP="00AD3C06">
      <w:pPr>
        <w:pStyle w:val="ListParagraph"/>
        <w:numPr>
          <w:ilvl w:val="0"/>
          <w:numId w:val="1"/>
        </w:numPr>
        <w:rPr>
          <w:rFonts w:cs="Arial"/>
          <w:lang w:eastAsia="en-GB"/>
        </w:rPr>
      </w:pPr>
      <w:r w:rsidRPr="00AD3C06">
        <w:rPr>
          <w:rFonts w:cs="Arial"/>
          <w:lang w:eastAsia="en-GB"/>
        </w:rPr>
        <w:t xml:space="preserve">Kim, J. and Kwan, M.-P. (2021). An Examination of People’s Privacy Concerns, Perceptions of Social Benefits, and Acceptance of COVID-19 Mitigation Measures That Harness Location Information: A Comparative Study of the U.S. and South Korea. </w:t>
      </w:r>
      <w:r w:rsidRPr="00AD3C06">
        <w:rPr>
          <w:rFonts w:cs="Arial"/>
          <w:i/>
          <w:iCs/>
          <w:lang w:eastAsia="en-GB"/>
        </w:rPr>
        <w:t>ISPRS International Journal of Geo-Information</w:t>
      </w:r>
      <w:r w:rsidRPr="00AD3C06">
        <w:rPr>
          <w:rFonts w:cs="Arial"/>
          <w:lang w:eastAsia="en-GB"/>
        </w:rPr>
        <w:t xml:space="preserve">, 10(1), p.25. doi: </w:t>
      </w:r>
      <w:hyperlink r:id="rId32" w:history="1">
        <w:r w:rsidR="00E96344" w:rsidRPr="00AD3C06">
          <w:rPr>
            <w:rStyle w:val="Hyperlink"/>
            <w:rFonts w:cs="Arial"/>
            <w:lang w:eastAsia="en-GB"/>
          </w:rPr>
          <w:t>https://doi.org/10.3390/ijgi10010025</w:t>
        </w:r>
      </w:hyperlink>
      <w:r w:rsidRPr="00AD3C06">
        <w:rPr>
          <w:rFonts w:cs="Arial"/>
          <w:lang w:eastAsia="en-GB"/>
        </w:rPr>
        <w:t>.</w:t>
      </w:r>
    </w:p>
    <w:p w14:paraId="5F3B4DE5" w14:textId="77777777" w:rsidR="00BF7A36" w:rsidRPr="00AD3C06" w:rsidRDefault="00BF7A36" w:rsidP="00AD3C06">
      <w:pPr>
        <w:pStyle w:val="ListParagraph"/>
        <w:numPr>
          <w:ilvl w:val="0"/>
          <w:numId w:val="1"/>
        </w:numPr>
        <w:rPr>
          <w:rFonts w:cs="Arial"/>
          <w:lang w:eastAsia="en-GB"/>
        </w:rPr>
      </w:pPr>
      <w:r w:rsidRPr="00AD3C06">
        <w:rPr>
          <w:rFonts w:cs="Arial"/>
          <w:lang w:eastAsia="en-GB"/>
        </w:rPr>
        <w:t xml:space="preserve">Maccoby, M. (2013). </w:t>
      </w:r>
      <w:r w:rsidRPr="00AD3C06">
        <w:rPr>
          <w:rFonts w:cs="Arial"/>
          <w:i/>
          <w:iCs/>
          <w:lang w:eastAsia="en-GB"/>
        </w:rPr>
        <w:t>Transforming health care leadership a systems guide to improve patient care, decrease costs, and improve population health</w:t>
      </w:r>
      <w:r w:rsidRPr="00AD3C06">
        <w:rPr>
          <w:rFonts w:cs="Arial"/>
          <w:lang w:eastAsia="en-GB"/>
        </w:rPr>
        <w:t>. San Francisco, Ca Jossey-Bass.</w:t>
      </w:r>
    </w:p>
    <w:p w14:paraId="0128447B" w14:textId="46327566" w:rsidR="00BF7A36" w:rsidRPr="00AD3C06" w:rsidRDefault="00BF7A36" w:rsidP="00AD3C06">
      <w:pPr>
        <w:pStyle w:val="ListParagraph"/>
        <w:numPr>
          <w:ilvl w:val="0"/>
          <w:numId w:val="1"/>
        </w:numPr>
        <w:rPr>
          <w:rFonts w:cs="Arial"/>
          <w:lang w:eastAsia="en-GB"/>
        </w:rPr>
      </w:pPr>
      <w:r w:rsidRPr="00AD3C06">
        <w:rPr>
          <w:rFonts w:cs="Arial"/>
          <w:lang w:eastAsia="en-GB"/>
        </w:rPr>
        <w:t xml:space="preserve">Mao, Y. (2024). Why do democracies respond differently to COVID-19? A comparison of the United States and South Korea. </w:t>
      </w:r>
      <w:r w:rsidRPr="00AD3C06">
        <w:rPr>
          <w:rFonts w:cs="Arial"/>
          <w:i/>
          <w:iCs/>
          <w:lang w:eastAsia="en-GB"/>
        </w:rPr>
        <w:t>Frontiers in public health</w:t>
      </w:r>
      <w:r w:rsidRPr="00AD3C06">
        <w:rPr>
          <w:rFonts w:cs="Arial"/>
          <w:lang w:eastAsia="en-GB"/>
        </w:rPr>
        <w:t xml:space="preserve">, 11. doi: </w:t>
      </w:r>
      <w:hyperlink r:id="rId33" w:history="1">
        <w:r w:rsidR="00E96344" w:rsidRPr="00AD3C06">
          <w:rPr>
            <w:rStyle w:val="Hyperlink"/>
            <w:rFonts w:cs="Arial"/>
            <w:lang w:eastAsia="en-GB"/>
          </w:rPr>
          <w:t>https://doi.org/10.3389/fpubh.2023.1285552</w:t>
        </w:r>
      </w:hyperlink>
      <w:r w:rsidRPr="00AD3C06">
        <w:rPr>
          <w:rFonts w:cs="Arial"/>
          <w:lang w:eastAsia="en-GB"/>
        </w:rPr>
        <w:t>.</w:t>
      </w:r>
    </w:p>
    <w:p w14:paraId="00D7C096" w14:textId="53056550" w:rsidR="00BF7A36" w:rsidRPr="00AD3C06" w:rsidRDefault="00BF7A36" w:rsidP="00AD3C06">
      <w:pPr>
        <w:pStyle w:val="ListParagraph"/>
        <w:numPr>
          <w:ilvl w:val="0"/>
          <w:numId w:val="1"/>
        </w:numPr>
        <w:rPr>
          <w:rFonts w:cs="Arial"/>
          <w:lang w:eastAsia="en-GB"/>
        </w:rPr>
      </w:pPr>
      <w:r w:rsidRPr="00AD3C06">
        <w:rPr>
          <w:rFonts w:cs="Arial"/>
          <w:lang w:eastAsia="en-GB"/>
        </w:rPr>
        <w:t xml:space="preserve">Marchildon, G. (2021). </w:t>
      </w:r>
      <w:r w:rsidRPr="00AD3C06">
        <w:rPr>
          <w:rFonts w:cs="Arial"/>
          <w:i/>
          <w:iCs/>
          <w:lang w:eastAsia="en-GB"/>
        </w:rPr>
        <w:t>Canada’s Response to COVID-19: Strengths and Weaknesses of Decentralization</w:t>
      </w:r>
      <w:r w:rsidRPr="00AD3C06">
        <w:rPr>
          <w:rFonts w:cs="Arial"/>
          <w:lang w:eastAsia="en-GB"/>
        </w:rPr>
        <w:t xml:space="preserve">. [online] Available at: </w:t>
      </w:r>
      <w:hyperlink r:id="rId34" w:history="1">
        <w:r w:rsidR="00E96344" w:rsidRPr="00AD3C06">
          <w:rPr>
            <w:rStyle w:val="Hyperlink"/>
            <w:rFonts w:cs="Arial"/>
            <w:lang w:eastAsia="en-GB"/>
          </w:rPr>
          <w:t>https://www.researchgate.net/publication/353482447_Canada</w:t>
        </w:r>
      </w:hyperlink>
      <w:r w:rsidRPr="00AD3C06">
        <w:rPr>
          <w:rFonts w:cs="Arial"/>
          <w:lang w:eastAsia="en-GB"/>
        </w:rPr>
        <w:t>.</w:t>
      </w:r>
    </w:p>
    <w:p w14:paraId="7003D9D0" w14:textId="2DCA48B4" w:rsidR="00BF7A36" w:rsidRPr="00AD3C06" w:rsidRDefault="00BF7A36" w:rsidP="00AD3C06">
      <w:pPr>
        <w:pStyle w:val="ListParagraph"/>
        <w:numPr>
          <w:ilvl w:val="0"/>
          <w:numId w:val="1"/>
        </w:numPr>
        <w:rPr>
          <w:rFonts w:cs="Arial"/>
          <w:lang w:eastAsia="en-GB"/>
        </w:rPr>
      </w:pPr>
      <w:r w:rsidRPr="00AD3C06">
        <w:rPr>
          <w:rFonts w:cs="Arial"/>
          <w:lang w:eastAsia="en-GB"/>
        </w:rPr>
        <w:t xml:space="preserve">Migone, A.R. (2020). Trust, but customize: federalism’s impact on the Canadian COVID-19 response. </w:t>
      </w:r>
      <w:r w:rsidRPr="00AD3C06">
        <w:rPr>
          <w:rFonts w:cs="Arial"/>
          <w:i/>
          <w:iCs/>
          <w:lang w:eastAsia="en-GB"/>
        </w:rPr>
        <w:t>Policy and Society</w:t>
      </w:r>
      <w:r w:rsidRPr="00AD3C06">
        <w:rPr>
          <w:rFonts w:cs="Arial"/>
          <w:lang w:eastAsia="en-GB"/>
        </w:rPr>
        <w:t xml:space="preserve">, 39(3), pp.1–21. doi: </w:t>
      </w:r>
      <w:hyperlink r:id="rId35" w:history="1">
        <w:r w:rsidR="00E96344" w:rsidRPr="00AD3C06">
          <w:rPr>
            <w:rStyle w:val="Hyperlink"/>
            <w:rFonts w:cs="Arial"/>
            <w:lang w:eastAsia="en-GB"/>
          </w:rPr>
          <w:t>https://doi.org/10.1080/14494035.2020.1783788</w:t>
        </w:r>
      </w:hyperlink>
      <w:r w:rsidRPr="00AD3C06">
        <w:rPr>
          <w:rFonts w:cs="Arial"/>
          <w:lang w:eastAsia="en-GB"/>
        </w:rPr>
        <w:t>.</w:t>
      </w:r>
    </w:p>
    <w:p w14:paraId="591883ED" w14:textId="77777777" w:rsidR="00E96344" w:rsidRPr="00E466C1" w:rsidRDefault="00E96344" w:rsidP="00BF7A36">
      <w:pPr>
        <w:rPr>
          <w:rFonts w:cs="Arial"/>
          <w:lang w:eastAsia="en-GB"/>
        </w:rPr>
      </w:pPr>
    </w:p>
    <w:p w14:paraId="5EC7E30D" w14:textId="14E18E02" w:rsidR="00BF7A36" w:rsidRPr="00AD3C06" w:rsidRDefault="00BF7A36" w:rsidP="00AD3C06">
      <w:pPr>
        <w:pStyle w:val="ListParagraph"/>
        <w:numPr>
          <w:ilvl w:val="0"/>
          <w:numId w:val="1"/>
        </w:numPr>
        <w:rPr>
          <w:rFonts w:cs="Arial"/>
          <w:lang w:eastAsia="en-GB"/>
        </w:rPr>
      </w:pPr>
      <w:r w:rsidRPr="00AD3C06">
        <w:rPr>
          <w:rFonts w:cs="Arial"/>
          <w:lang w:eastAsia="en-GB"/>
        </w:rPr>
        <w:lastRenderedPageBreak/>
        <w:t xml:space="preserve">Nahiyan Al-Azad, Yong, F.L. and Tan, M.N. (2024). Servant, Democratic, and Transformational Leadership Styles: Implications on Higher Educational... </w:t>
      </w:r>
      <w:r w:rsidRPr="00AD3C06">
        <w:rPr>
          <w:rFonts w:cs="Arial"/>
          <w:i/>
          <w:iCs/>
          <w:lang w:eastAsia="en-GB"/>
        </w:rPr>
        <w:t>ResearchGate</w:t>
      </w:r>
      <w:r w:rsidRPr="00AD3C06">
        <w:rPr>
          <w:rFonts w:cs="Arial"/>
          <w:lang w:eastAsia="en-GB"/>
        </w:rPr>
        <w:t xml:space="preserve">, [online] pp.10–16. Available at: </w:t>
      </w:r>
      <w:hyperlink r:id="rId36" w:history="1">
        <w:r w:rsidR="00E96344" w:rsidRPr="00AD3C06">
          <w:rPr>
            <w:rStyle w:val="Hyperlink"/>
            <w:rFonts w:cs="Arial"/>
            <w:lang w:eastAsia="en-GB"/>
          </w:rPr>
          <w:t>https://www.researchgate.net/publication/385782983_Servant_Democratic_and_Transformational_Leadership_Styles_Implications_on_Higher_Educational_Institutions_HEIs_in_Malaysia</w:t>
        </w:r>
      </w:hyperlink>
      <w:r w:rsidRPr="00AD3C06">
        <w:rPr>
          <w:rFonts w:cs="Arial"/>
          <w:lang w:eastAsia="en-GB"/>
        </w:rPr>
        <w:t>.</w:t>
      </w:r>
    </w:p>
    <w:p w14:paraId="355E5D30" w14:textId="76419605" w:rsidR="00BF7A36" w:rsidRPr="00AD3C06" w:rsidRDefault="00BF7A36" w:rsidP="00AD3C06">
      <w:pPr>
        <w:pStyle w:val="ListParagraph"/>
        <w:numPr>
          <w:ilvl w:val="0"/>
          <w:numId w:val="1"/>
        </w:numPr>
        <w:rPr>
          <w:rFonts w:cs="Arial"/>
          <w:lang w:eastAsia="en-GB"/>
        </w:rPr>
      </w:pPr>
      <w:r w:rsidRPr="00AD3C06">
        <w:rPr>
          <w:rFonts w:cs="Arial"/>
          <w:lang w:eastAsia="en-GB"/>
        </w:rPr>
        <w:t xml:space="preserve">Navarro, C. and Velasco, F. (2022). From centralisation to new ways of multi-level coordination: Spain’s intergovernmental response to the COVID-19 pandemic. </w:t>
      </w:r>
      <w:r w:rsidRPr="00AD3C06">
        <w:rPr>
          <w:rFonts w:cs="Arial"/>
          <w:i/>
          <w:iCs/>
          <w:lang w:eastAsia="en-GB"/>
        </w:rPr>
        <w:t>Local Government Studies</w:t>
      </w:r>
      <w:r w:rsidRPr="00AD3C06">
        <w:rPr>
          <w:rFonts w:cs="Arial"/>
          <w:lang w:eastAsia="en-GB"/>
        </w:rPr>
        <w:t xml:space="preserve">, 48(2), pp.1–20. doi: </w:t>
      </w:r>
      <w:hyperlink r:id="rId37" w:history="1">
        <w:r w:rsidR="00E96344" w:rsidRPr="00AD3C06">
          <w:rPr>
            <w:rStyle w:val="Hyperlink"/>
            <w:rFonts w:cs="Arial"/>
            <w:lang w:eastAsia="en-GB"/>
          </w:rPr>
          <w:t>https://doi.org/10.1080/03003930.2022.2042683</w:t>
        </w:r>
      </w:hyperlink>
      <w:r w:rsidRPr="00AD3C06">
        <w:rPr>
          <w:rFonts w:cs="Arial"/>
          <w:lang w:eastAsia="en-GB"/>
        </w:rPr>
        <w:t>.</w:t>
      </w:r>
    </w:p>
    <w:p w14:paraId="0029D0C2" w14:textId="6E078365" w:rsidR="00BF7A36" w:rsidRPr="00AD3C06" w:rsidRDefault="00BF7A36" w:rsidP="00AD3C06">
      <w:pPr>
        <w:pStyle w:val="ListParagraph"/>
        <w:numPr>
          <w:ilvl w:val="0"/>
          <w:numId w:val="1"/>
        </w:numPr>
        <w:rPr>
          <w:rFonts w:cs="Arial"/>
          <w:lang w:eastAsia="en-GB"/>
        </w:rPr>
      </w:pPr>
      <w:r w:rsidRPr="00AD3C06">
        <w:rPr>
          <w:rFonts w:cs="Arial"/>
          <w:lang w:eastAsia="en-GB"/>
        </w:rPr>
        <w:t xml:space="preserve">Oh, J., Lee, J.-K., Schwarz, D., Ratcliffe, H.L., Markuns, J.F. and Hirschhorn, L.R. (2020). National Response to COVID-19 in the Republic of Korea and Lessons Learned for Other Countries. </w:t>
      </w:r>
      <w:r w:rsidRPr="00AD3C06">
        <w:rPr>
          <w:rFonts w:cs="Arial"/>
          <w:i/>
          <w:iCs/>
          <w:lang w:eastAsia="en-GB"/>
        </w:rPr>
        <w:t>Health Systems &amp; Reform</w:t>
      </w:r>
      <w:r w:rsidRPr="00AD3C06">
        <w:rPr>
          <w:rFonts w:cs="Arial"/>
          <w:lang w:eastAsia="en-GB"/>
        </w:rPr>
        <w:t xml:space="preserve">, 6(1), p.e-1753464. doi: </w:t>
      </w:r>
      <w:hyperlink r:id="rId38" w:history="1">
        <w:r w:rsidR="00E96344" w:rsidRPr="00AD3C06">
          <w:rPr>
            <w:rStyle w:val="Hyperlink"/>
            <w:rFonts w:cs="Arial"/>
            <w:lang w:eastAsia="en-GB"/>
          </w:rPr>
          <w:t>https://doi.org/10.1080/23288604.2020.1753464</w:t>
        </w:r>
      </w:hyperlink>
      <w:r w:rsidRPr="00AD3C06">
        <w:rPr>
          <w:rFonts w:cs="Arial"/>
          <w:lang w:eastAsia="en-GB"/>
        </w:rPr>
        <w:t>.</w:t>
      </w:r>
    </w:p>
    <w:p w14:paraId="5D7032C2" w14:textId="76E13CE0" w:rsidR="00BF7A36" w:rsidRPr="00AD3C06" w:rsidRDefault="00BF7A36" w:rsidP="00AD3C06">
      <w:pPr>
        <w:pStyle w:val="ListParagraph"/>
        <w:numPr>
          <w:ilvl w:val="0"/>
          <w:numId w:val="1"/>
        </w:numPr>
        <w:rPr>
          <w:rFonts w:cs="Arial"/>
          <w:lang w:eastAsia="en-GB"/>
        </w:rPr>
      </w:pPr>
      <w:r w:rsidRPr="00AD3C06">
        <w:rPr>
          <w:rFonts w:cs="Arial"/>
          <w:lang w:eastAsia="en-GB"/>
        </w:rPr>
        <w:t xml:space="preserve">Penn Today. (2022). </w:t>
      </w:r>
      <w:r w:rsidRPr="00AD3C06">
        <w:rPr>
          <w:rFonts w:cs="Arial"/>
          <w:i/>
          <w:iCs/>
          <w:lang w:eastAsia="en-GB"/>
        </w:rPr>
        <w:t>South Korea’s response to COVID-19: Lessons for the next pandemic</w:t>
      </w:r>
      <w:r w:rsidRPr="00AD3C06">
        <w:rPr>
          <w:rFonts w:cs="Arial"/>
          <w:lang w:eastAsia="en-GB"/>
        </w:rPr>
        <w:t xml:space="preserve">. [online] Available at: </w:t>
      </w:r>
      <w:hyperlink r:id="rId39" w:history="1">
        <w:r w:rsidR="00E96344" w:rsidRPr="00AD3C06">
          <w:rPr>
            <w:rStyle w:val="Hyperlink"/>
            <w:rFonts w:cs="Arial"/>
            <w:lang w:eastAsia="en-GB"/>
          </w:rPr>
          <w:t>https://penntoday.upenn.edu/news/pwh-chung-sye-kyun-south-koreas-response-covid-19-lessons-next-pandemic</w:t>
        </w:r>
      </w:hyperlink>
      <w:r w:rsidRPr="00AD3C06">
        <w:rPr>
          <w:rFonts w:cs="Arial"/>
          <w:lang w:eastAsia="en-GB"/>
        </w:rPr>
        <w:t>.</w:t>
      </w:r>
    </w:p>
    <w:p w14:paraId="34582DD8" w14:textId="6D490E52" w:rsidR="00BF7A36" w:rsidRPr="00AD3C06" w:rsidRDefault="00BF7A36" w:rsidP="00AD3C06">
      <w:pPr>
        <w:pStyle w:val="ListParagraph"/>
        <w:numPr>
          <w:ilvl w:val="0"/>
          <w:numId w:val="1"/>
        </w:numPr>
        <w:rPr>
          <w:rFonts w:cs="Arial"/>
          <w:lang w:eastAsia="en-GB"/>
        </w:rPr>
      </w:pPr>
      <w:r w:rsidRPr="00AD3C06">
        <w:rPr>
          <w:rFonts w:cs="Arial"/>
          <w:lang w:eastAsia="en-GB"/>
        </w:rPr>
        <w:t xml:space="preserve">Pérez de la Sota, E., Piñón, M., Quintana, E. and Mestres, C.A. (2020). COVID 19—A Spanish perspective. </w:t>
      </w:r>
      <w:r w:rsidRPr="00AD3C06">
        <w:rPr>
          <w:rFonts w:cs="Arial"/>
          <w:i/>
          <w:iCs/>
          <w:lang w:eastAsia="en-GB"/>
        </w:rPr>
        <w:t>Journal of Cardiac Surgery</w:t>
      </w:r>
      <w:r w:rsidRPr="00AD3C06">
        <w:rPr>
          <w:rFonts w:cs="Arial"/>
          <w:lang w:eastAsia="en-GB"/>
        </w:rPr>
        <w:t xml:space="preserve">, 36(5), pp.1624–1631. doi: </w:t>
      </w:r>
      <w:hyperlink r:id="rId40" w:history="1">
        <w:r w:rsidR="00E96344" w:rsidRPr="00AD3C06">
          <w:rPr>
            <w:rStyle w:val="Hyperlink"/>
            <w:rFonts w:cs="Arial"/>
            <w:lang w:eastAsia="en-GB"/>
          </w:rPr>
          <w:t>https://doi.org/10.1111/jocs.14994</w:t>
        </w:r>
      </w:hyperlink>
      <w:r w:rsidRPr="00AD3C06">
        <w:rPr>
          <w:rFonts w:cs="Arial"/>
          <w:lang w:eastAsia="en-GB"/>
        </w:rPr>
        <w:t>.</w:t>
      </w:r>
    </w:p>
    <w:p w14:paraId="35E38A7E" w14:textId="773C1E4B" w:rsidR="00BF7A36" w:rsidRPr="00AD3C06" w:rsidRDefault="00BF7A36" w:rsidP="00AD3C06">
      <w:pPr>
        <w:pStyle w:val="ListParagraph"/>
        <w:numPr>
          <w:ilvl w:val="0"/>
          <w:numId w:val="1"/>
        </w:numPr>
        <w:rPr>
          <w:rFonts w:cs="Arial"/>
          <w:lang w:eastAsia="en-GB"/>
        </w:rPr>
      </w:pPr>
      <w:r w:rsidRPr="00AD3C06">
        <w:rPr>
          <w:rFonts w:cs="Arial"/>
          <w:lang w:eastAsia="en-GB"/>
        </w:rPr>
        <w:t xml:space="preserve">Prime Minister of Canada. (2020). </w:t>
      </w:r>
      <w:r w:rsidRPr="00AD3C06">
        <w:rPr>
          <w:rFonts w:cs="Arial"/>
          <w:i/>
          <w:iCs/>
          <w:lang w:eastAsia="en-GB"/>
        </w:rPr>
        <w:t>Prime Minister outlines Canada’s COVID-19 response</w:t>
      </w:r>
      <w:r w:rsidRPr="00AD3C06">
        <w:rPr>
          <w:rFonts w:cs="Arial"/>
          <w:lang w:eastAsia="en-GB"/>
        </w:rPr>
        <w:t xml:space="preserve">. [online] Available at: </w:t>
      </w:r>
      <w:hyperlink r:id="rId41" w:history="1">
        <w:r w:rsidR="00E96344" w:rsidRPr="00AD3C06">
          <w:rPr>
            <w:rStyle w:val="Hyperlink"/>
            <w:rFonts w:cs="Arial"/>
            <w:lang w:eastAsia="en-GB"/>
          </w:rPr>
          <w:t>https://www.pm.gc.ca/en/news/news-releases/2020/03/11/prime-minister-outlines-canadas-covid-19-response</w:t>
        </w:r>
      </w:hyperlink>
      <w:r w:rsidRPr="00AD3C06">
        <w:rPr>
          <w:rFonts w:cs="Arial"/>
          <w:lang w:eastAsia="en-GB"/>
        </w:rPr>
        <w:t>.</w:t>
      </w:r>
    </w:p>
    <w:p w14:paraId="7544C123" w14:textId="7D37A451" w:rsidR="00BF7A36" w:rsidRPr="00AD3C06" w:rsidRDefault="00BF7A36" w:rsidP="00AD3C06">
      <w:pPr>
        <w:pStyle w:val="ListParagraph"/>
        <w:numPr>
          <w:ilvl w:val="0"/>
          <w:numId w:val="1"/>
        </w:numPr>
        <w:rPr>
          <w:rFonts w:cs="Arial"/>
          <w:lang w:eastAsia="en-GB"/>
        </w:rPr>
      </w:pPr>
      <w:r w:rsidRPr="00AD3C06">
        <w:rPr>
          <w:rFonts w:cs="Arial"/>
          <w:lang w:eastAsia="en-GB"/>
        </w:rPr>
        <w:t>Royo, S. (2020). Responding to COVID</w:t>
      </w:r>
      <w:r w:rsidRPr="00AD3C06">
        <w:rPr>
          <w:rFonts w:ascii="Cambria Math" w:hAnsi="Cambria Math" w:cs="Cambria Math"/>
          <w:lang w:eastAsia="en-GB"/>
        </w:rPr>
        <w:t>‐</w:t>
      </w:r>
      <w:r w:rsidRPr="00AD3C06">
        <w:rPr>
          <w:rFonts w:cs="Arial"/>
          <w:lang w:eastAsia="en-GB"/>
        </w:rPr>
        <w:t xml:space="preserve">19: The Case of Spain. </w:t>
      </w:r>
      <w:r w:rsidRPr="00AD3C06">
        <w:rPr>
          <w:rFonts w:cs="Arial"/>
          <w:i/>
          <w:iCs/>
          <w:lang w:eastAsia="en-GB"/>
        </w:rPr>
        <w:t>European Policy Analysis</w:t>
      </w:r>
      <w:r w:rsidRPr="00AD3C06">
        <w:rPr>
          <w:rFonts w:cs="Arial"/>
          <w:lang w:eastAsia="en-GB"/>
        </w:rPr>
        <w:t xml:space="preserve">, 6(2). doi: </w:t>
      </w:r>
      <w:hyperlink r:id="rId42" w:history="1">
        <w:r w:rsidR="00E96344" w:rsidRPr="00AD3C06">
          <w:rPr>
            <w:rStyle w:val="Hyperlink"/>
            <w:rFonts w:cs="Arial"/>
            <w:lang w:eastAsia="en-GB"/>
          </w:rPr>
          <w:t>https://doi.org/10.1002/epa2.1099</w:t>
        </w:r>
      </w:hyperlink>
      <w:r w:rsidRPr="00AD3C06">
        <w:rPr>
          <w:rFonts w:cs="Arial"/>
          <w:lang w:eastAsia="en-GB"/>
        </w:rPr>
        <w:t>.</w:t>
      </w:r>
    </w:p>
    <w:p w14:paraId="69B252D9" w14:textId="77777777" w:rsidR="00BF7A36" w:rsidRPr="00AD3C06" w:rsidRDefault="00BF7A36" w:rsidP="00AD3C06">
      <w:pPr>
        <w:pStyle w:val="ListParagraph"/>
        <w:numPr>
          <w:ilvl w:val="0"/>
          <w:numId w:val="1"/>
        </w:numPr>
        <w:rPr>
          <w:rFonts w:cs="Arial"/>
          <w:lang w:eastAsia="en-GB"/>
        </w:rPr>
      </w:pPr>
      <w:r w:rsidRPr="00AD3C06">
        <w:rPr>
          <w:rFonts w:cs="Arial"/>
          <w:lang w:eastAsia="en-GB"/>
        </w:rPr>
        <w:t xml:space="preserve">Rubino, L.G., Esparza, S.J. and Chassiakos, Y. (2018). </w:t>
      </w:r>
      <w:r w:rsidRPr="00AD3C06">
        <w:rPr>
          <w:rFonts w:cs="Arial"/>
          <w:i/>
          <w:iCs/>
          <w:lang w:eastAsia="en-GB"/>
        </w:rPr>
        <w:t>New Leadership for Today’s Health Care Professionals</w:t>
      </w:r>
      <w:r w:rsidRPr="00AD3C06">
        <w:rPr>
          <w:rFonts w:cs="Arial"/>
          <w:lang w:eastAsia="en-GB"/>
        </w:rPr>
        <w:t>. Jones &amp; Bartlett Learning.</w:t>
      </w:r>
    </w:p>
    <w:p w14:paraId="792147D7" w14:textId="28F16367" w:rsidR="00BF7A36" w:rsidRPr="00AD3C06" w:rsidRDefault="00BF7A36" w:rsidP="00AD3C06">
      <w:pPr>
        <w:pStyle w:val="ListParagraph"/>
        <w:numPr>
          <w:ilvl w:val="0"/>
          <w:numId w:val="1"/>
        </w:numPr>
        <w:rPr>
          <w:rFonts w:cs="Arial"/>
          <w:lang w:eastAsia="en-GB"/>
        </w:rPr>
      </w:pPr>
      <w:r w:rsidRPr="00AD3C06">
        <w:rPr>
          <w:rFonts w:cs="Arial"/>
          <w:lang w:eastAsia="en-GB"/>
        </w:rPr>
        <w:t xml:space="preserve">Santoso, N.R., Sulistyaningtyas, I.D. and Pratama, B.P. (2022). Transformational Leadership During the COVID-19 Pandemic: Strengthening Employee Engagement Through Internal Communication. </w:t>
      </w:r>
      <w:r w:rsidRPr="00AD3C06">
        <w:rPr>
          <w:rFonts w:cs="Arial"/>
          <w:i/>
          <w:iCs/>
          <w:lang w:eastAsia="en-GB"/>
        </w:rPr>
        <w:t>Journal of Communication Inquiry</w:t>
      </w:r>
      <w:r w:rsidRPr="00AD3C06">
        <w:rPr>
          <w:rFonts w:cs="Arial"/>
          <w:lang w:eastAsia="en-GB"/>
        </w:rPr>
        <w:t>, 0(0), p.019685992210951.</w:t>
      </w:r>
    </w:p>
    <w:p w14:paraId="0CCDEA5C" w14:textId="6581BCF1" w:rsidR="00BF7A36" w:rsidRPr="00AD3C06" w:rsidRDefault="00BF7A36" w:rsidP="00AD3C06">
      <w:pPr>
        <w:pStyle w:val="ListParagraph"/>
        <w:numPr>
          <w:ilvl w:val="0"/>
          <w:numId w:val="1"/>
        </w:numPr>
        <w:rPr>
          <w:rFonts w:cs="Arial"/>
          <w:lang w:eastAsia="en-GB"/>
        </w:rPr>
      </w:pPr>
      <w:r w:rsidRPr="00AD3C06">
        <w:rPr>
          <w:rFonts w:cs="Arial"/>
          <w:lang w:eastAsia="en-GB"/>
        </w:rPr>
        <w:t xml:space="preserve">Schwak, J. (2022). </w:t>
      </w:r>
      <w:r w:rsidRPr="00AD3C06">
        <w:rPr>
          <w:rFonts w:cs="Arial"/>
          <w:i/>
          <w:iCs/>
          <w:lang w:eastAsia="en-GB"/>
        </w:rPr>
        <w:t>Korea’s Exemplary Response to the COVID-19 Pandemic: Successes and Challenges</w:t>
      </w:r>
      <w:r w:rsidRPr="00AD3C06">
        <w:rPr>
          <w:rFonts w:cs="Arial"/>
          <w:lang w:eastAsia="en-GB"/>
        </w:rPr>
        <w:t xml:space="preserve">. [online] National Defense University Press. Available at: </w:t>
      </w:r>
      <w:hyperlink r:id="rId43" w:history="1">
        <w:r w:rsidR="00E96344" w:rsidRPr="00AD3C06">
          <w:rPr>
            <w:rStyle w:val="Hyperlink"/>
            <w:rFonts w:cs="Arial"/>
            <w:lang w:eastAsia="en-GB"/>
          </w:rPr>
          <w:t>https://ndupress.ndu.edu/Media/News/News-Article-View/Article/2944861/koreas-exemplary-response-to-the-covid-19-pandemic-successes-and-challenges/</w:t>
        </w:r>
      </w:hyperlink>
      <w:r w:rsidRPr="00AD3C06">
        <w:rPr>
          <w:rFonts w:cs="Arial"/>
          <w:lang w:eastAsia="en-GB"/>
        </w:rPr>
        <w:t>.</w:t>
      </w:r>
    </w:p>
    <w:p w14:paraId="52A48A96" w14:textId="3307192C" w:rsidR="00BF7A36" w:rsidRPr="00AD3C06" w:rsidRDefault="00BF7A36" w:rsidP="00AD3C06">
      <w:pPr>
        <w:pStyle w:val="ListParagraph"/>
        <w:numPr>
          <w:ilvl w:val="0"/>
          <w:numId w:val="1"/>
        </w:numPr>
        <w:rPr>
          <w:rFonts w:cs="Arial"/>
          <w:lang w:eastAsia="en-GB"/>
        </w:rPr>
      </w:pPr>
      <w:r w:rsidRPr="00AD3C06">
        <w:rPr>
          <w:rFonts w:cs="Arial"/>
          <w:lang w:eastAsia="en-GB"/>
        </w:rPr>
        <w:t xml:space="preserve">Seijts, G., de Clercy, C. and Miller, R. (2022). Character and Trust in Crisis Leadership: Probing the Relationships Among Character, Identification-Based Trust, and </w:t>
      </w:r>
      <w:r w:rsidRPr="00AD3C06">
        <w:rPr>
          <w:rFonts w:cs="Arial"/>
          <w:lang w:eastAsia="en-GB"/>
        </w:rPr>
        <w:lastRenderedPageBreak/>
        <w:t xml:space="preserve">Perceptions of Effectiveness in Political Leadership During the COVID-19 Pandemic. </w:t>
      </w:r>
      <w:r w:rsidRPr="00AD3C06">
        <w:rPr>
          <w:rFonts w:cs="Arial"/>
          <w:i/>
          <w:iCs/>
          <w:lang w:eastAsia="en-GB"/>
        </w:rPr>
        <w:t>The Journal of Applied Behavioral Science</w:t>
      </w:r>
      <w:r w:rsidRPr="00AD3C06">
        <w:rPr>
          <w:rFonts w:cs="Arial"/>
          <w:lang w:eastAsia="en-GB"/>
        </w:rPr>
        <w:t xml:space="preserve">, 59(1), p.002188632211106. doi: </w:t>
      </w:r>
      <w:hyperlink r:id="rId44" w:history="1">
        <w:r w:rsidR="00E96344" w:rsidRPr="00AD3C06">
          <w:rPr>
            <w:rStyle w:val="Hyperlink"/>
            <w:rFonts w:cs="Arial"/>
            <w:lang w:eastAsia="en-GB"/>
          </w:rPr>
          <w:t>https://doi.org/10.1177/00218863221110627</w:t>
        </w:r>
      </w:hyperlink>
      <w:r w:rsidRPr="00AD3C06">
        <w:rPr>
          <w:rFonts w:cs="Arial"/>
          <w:lang w:eastAsia="en-GB"/>
        </w:rPr>
        <w:t>.</w:t>
      </w:r>
    </w:p>
    <w:p w14:paraId="0D657B0E" w14:textId="1ECE6BD8" w:rsidR="00BF7A36" w:rsidRPr="00AD3C06" w:rsidRDefault="00BF7A36" w:rsidP="00AD3C06">
      <w:pPr>
        <w:pStyle w:val="ListParagraph"/>
        <w:numPr>
          <w:ilvl w:val="0"/>
          <w:numId w:val="1"/>
        </w:numPr>
        <w:rPr>
          <w:rFonts w:cs="Arial"/>
          <w:lang w:eastAsia="en-GB"/>
        </w:rPr>
      </w:pPr>
      <w:r w:rsidRPr="00AD3C06">
        <w:rPr>
          <w:rFonts w:cs="Arial"/>
          <w:lang w:eastAsia="en-GB"/>
        </w:rPr>
        <w:t xml:space="preserve">Sergey Shishkin, Sheiman, I., Potapchik, E., Vasily Vlassov and Sazhina, S. (2025). The impact of centralization on structural changes in healthcare: when it works. </w:t>
      </w:r>
      <w:r w:rsidRPr="00AD3C06">
        <w:rPr>
          <w:rFonts w:cs="Arial"/>
          <w:i/>
          <w:iCs/>
          <w:lang w:eastAsia="en-GB"/>
        </w:rPr>
        <w:t>Frontiers in Health Services</w:t>
      </w:r>
      <w:r w:rsidRPr="00AD3C06">
        <w:rPr>
          <w:rFonts w:cs="Arial"/>
          <w:lang w:eastAsia="en-GB"/>
        </w:rPr>
        <w:t xml:space="preserve">, 5. doi: </w:t>
      </w:r>
      <w:hyperlink r:id="rId45" w:history="1">
        <w:r w:rsidR="00E96344" w:rsidRPr="00AD3C06">
          <w:rPr>
            <w:rStyle w:val="Hyperlink"/>
            <w:rFonts w:cs="Arial"/>
            <w:lang w:eastAsia="en-GB"/>
          </w:rPr>
          <w:t>https://doi.org/10.3389/frhs.2025.1484225</w:t>
        </w:r>
      </w:hyperlink>
      <w:r w:rsidRPr="00AD3C06">
        <w:rPr>
          <w:rFonts w:cs="Arial"/>
          <w:lang w:eastAsia="en-GB"/>
        </w:rPr>
        <w:t>.</w:t>
      </w:r>
    </w:p>
    <w:p w14:paraId="092E8468" w14:textId="46D3BDA7" w:rsidR="00BF7A36" w:rsidRPr="00AD3C06" w:rsidRDefault="00BF7A36" w:rsidP="00AD3C06">
      <w:pPr>
        <w:pStyle w:val="ListParagraph"/>
        <w:numPr>
          <w:ilvl w:val="0"/>
          <w:numId w:val="1"/>
        </w:numPr>
        <w:rPr>
          <w:rFonts w:cs="Arial"/>
          <w:lang w:eastAsia="en-GB"/>
        </w:rPr>
      </w:pPr>
      <w:r w:rsidRPr="00AD3C06">
        <w:rPr>
          <w:rFonts w:cs="Arial"/>
          <w:lang w:eastAsia="en-GB"/>
        </w:rPr>
        <w:t xml:space="preserve">Serrano-Alarcón, M., Wang, Y., Kentikelenis, A., Mckee, M. and Stuckler, D. (2023). The far-right and anti-vaccine attitudes: lessons from Spain’s mass COVID-19 vaccine roll-out. </w:t>
      </w:r>
      <w:r w:rsidRPr="00AD3C06">
        <w:rPr>
          <w:rFonts w:cs="Arial"/>
          <w:i/>
          <w:iCs/>
          <w:lang w:eastAsia="en-GB"/>
        </w:rPr>
        <w:t>European Journal of Public Health</w:t>
      </w:r>
      <w:r w:rsidRPr="00AD3C06">
        <w:rPr>
          <w:rFonts w:cs="Arial"/>
          <w:lang w:eastAsia="en-GB"/>
        </w:rPr>
        <w:t xml:space="preserve">. doi: </w:t>
      </w:r>
      <w:hyperlink r:id="rId46" w:history="1">
        <w:r w:rsidR="00E96344" w:rsidRPr="00AD3C06">
          <w:rPr>
            <w:rStyle w:val="Hyperlink"/>
            <w:rFonts w:cs="Arial"/>
            <w:lang w:eastAsia="en-GB"/>
          </w:rPr>
          <w:t>https://doi.org/10.1093/eurpub/ckac173</w:t>
        </w:r>
      </w:hyperlink>
      <w:r w:rsidRPr="00AD3C06">
        <w:rPr>
          <w:rFonts w:cs="Arial"/>
          <w:lang w:eastAsia="en-GB"/>
        </w:rPr>
        <w:t>.</w:t>
      </w:r>
    </w:p>
    <w:p w14:paraId="589A45B9" w14:textId="3A084752" w:rsidR="00BF7A36" w:rsidRPr="00AD3C06" w:rsidRDefault="00BF7A36" w:rsidP="00AD3C06">
      <w:pPr>
        <w:pStyle w:val="ListParagraph"/>
        <w:numPr>
          <w:ilvl w:val="0"/>
          <w:numId w:val="1"/>
        </w:numPr>
        <w:rPr>
          <w:rFonts w:cs="Arial"/>
          <w:lang w:eastAsia="en-GB"/>
        </w:rPr>
      </w:pPr>
      <w:r w:rsidRPr="00AD3C06">
        <w:rPr>
          <w:rFonts w:cs="Arial"/>
          <w:lang w:eastAsia="en-GB"/>
        </w:rPr>
        <w:t xml:space="preserve">Shazadkhan Shazadkhan (2024). </w:t>
      </w:r>
      <w:r w:rsidRPr="00AD3C06">
        <w:rPr>
          <w:rFonts w:cs="Arial"/>
          <w:i/>
          <w:iCs/>
          <w:lang w:eastAsia="en-GB"/>
        </w:rPr>
        <w:t>South Korea health care</w:t>
      </w:r>
      <w:r w:rsidRPr="00AD3C06">
        <w:rPr>
          <w:rFonts w:cs="Arial"/>
          <w:lang w:eastAsia="en-GB"/>
        </w:rPr>
        <w:t xml:space="preserve">. [online] Medium. Available at: </w:t>
      </w:r>
      <w:hyperlink r:id="rId47" w:history="1">
        <w:r w:rsidR="00E96344" w:rsidRPr="00AD3C06">
          <w:rPr>
            <w:rStyle w:val="Hyperlink"/>
            <w:rFonts w:cs="Arial"/>
            <w:lang w:eastAsia="en-GB"/>
          </w:rPr>
          <w:t>https://medium.com/@shazadkhanbloach371/south-korea-health-care-3b0a214a2e60</w:t>
        </w:r>
      </w:hyperlink>
    </w:p>
    <w:p w14:paraId="3171B009" w14:textId="12673BE5" w:rsidR="00BF7A36" w:rsidRPr="00AD3C06" w:rsidRDefault="00BF7A36" w:rsidP="00AD3C06">
      <w:pPr>
        <w:pStyle w:val="ListParagraph"/>
        <w:numPr>
          <w:ilvl w:val="0"/>
          <w:numId w:val="1"/>
        </w:numPr>
        <w:rPr>
          <w:rFonts w:cs="Arial"/>
          <w:lang w:eastAsia="en-GB"/>
        </w:rPr>
      </w:pPr>
      <w:r w:rsidRPr="00AD3C06">
        <w:rPr>
          <w:rFonts w:cs="Arial"/>
          <w:lang w:eastAsia="en-GB"/>
        </w:rPr>
        <w:t xml:space="preserve">Singh, P., Singh, S., Kumari, V. and Tiwari, M. (2024). Navigating healthcare leadership: Theories, challenges, and practical insights for the future. </w:t>
      </w:r>
      <w:r w:rsidRPr="00AD3C06">
        <w:rPr>
          <w:rFonts w:cs="Arial"/>
          <w:i/>
          <w:iCs/>
          <w:lang w:eastAsia="en-GB"/>
        </w:rPr>
        <w:t>Journal of Postgraduate Medicine</w:t>
      </w:r>
      <w:r w:rsidRPr="00AD3C06">
        <w:rPr>
          <w:rFonts w:cs="Arial"/>
          <w:lang w:eastAsia="en-GB"/>
        </w:rPr>
        <w:t xml:space="preserve">, [online] 70(4), pp.232–241. doi: </w:t>
      </w:r>
      <w:hyperlink r:id="rId48" w:history="1">
        <w:r w:rsidR="00E96344" w:rsidRPr="00AD3C06">
          <w:rPr>
            <w:rStyle w:val="Hyperlink"/>
            <w:rFonts w:cs="Arial"/>
            <w:lang w:eastAsia="en-GB"/>
          </w:rPr>
          <w:t>https://doi.org/10.4103/jpgm.jpgm_533_24</w:t>
        </w:r>
      </w:hyperlink>
      <w:r w:rsidRPr="00AD3C06">
        <w:rPr>
          <w:rFonts w:cs="Arial"/>
          <w:lang w:eastAsia="en-GB"/>
        </w:rPr>
        <w:t>.</w:t>
      </w:r>
    </w:p>
    <w:p w14:paraId="717B1D56" w14:textId="0C447332" w:rsidR="00BF7A36" w:rsidRPr="00AD3C06" w:rsidRDefault="00BF7A36" w:rsidP="00AD3C06">
      <w:pPr>
        <w:pStyle w:val="ListParagraph"/>
        <w:numPr>
          <w:ilvl w:val="0"/>
          <w:numId w:val="1"/>
        </w:numPr>
        <w:rPr>
          <w:rFonts w:cs="Arial"/>
          <w:lang w:eastAsia="en-GB"/>
        </w:rPr>
      </w:pPr>
      <w:r w:rsidRPr="00AD3C06">
        <w:rPr>
          <w:rFonts w:cs="Arial"/>
          <w:lang w:eastAsia="en-GB"/>
        </w:rPr>
        <w:t xml:space="preserve">Standiford, T.C., Davuluri, K., Trupiano, N., Portney, D., Gruppen, L. and Vinson, A.H. (2020). Physician leadership during the COVID-19 pandemic: an emphasis on the team, well-being and leadership reasoning. </w:t>
      </w:r>
      <w:r w:rsidRPr="00AD3C06">
        <w:rPr>
          <w:rFonts w:cs="Arial"/>
          <w:i/>
          <w:iCs/>
          <w:lang w:eastAsia="en-GB"/>
        </w:rPr>
        <w:t>BMJ Leader</w:t>
      </w:r>
      <w:r w:rsidRPr="00AD3C06">
        <w:rPr>
          <w:rFonts w:cs="Arial"/>
          <w:lang w:eastAsia="en-GB"/>
        </w:rPr>
        <w:t xml:space="preserve">, 5(1), p.leader-2020-000344. doi: </w:t>
      </w:r>
      <w:hyperlink r:id="rId49" w:history="1">
        <w:r w:rsidR="00E96344" w:rsidRPr="00AD3C06">
          <w:rPr>
            <w:rStyle w:val="Hyperlink"/>
            <w:rFonts w:cs="Arial"/>
            <w:lang w:eastAsia="en-GB"/>
          </w:rPr>
          <w:t>https://doi.org/10.1136/leader-2020-000344</w:t>
        </w:r>
      </w:hyperlink>
      <w:r w:rsidRPr="00AD3C06">
        <w:rPr>
          <w:rFonts w:cs="Arial"/>
          <w:lang w:eastAsia="en-GB"/>
        </w:rPr>
        <w:t>.</w:t>
      </w:r>
    </w:p>
    <w:p w14:paraId="1B2164CE" w14:textId="3FE01A14" w:rsidR="00BF7A36" w:rsidRPr="00AD3C06" w:rsidRDefault="00BF7A36" w:rsidP="00AD3C06">
      <w:pPr>
        <w:pStyle w:val="ListParagraph"/>
        <w:numPr>
          <w:ilvl w:val="0"/>
          <w:numId w:val="1"/>
        </w:numPr>
        <w:rPr>
          <w:rFonts w:cs="Arial"/>
          <w:lang w:eastAsia="en-GB"/>
        </w:rPr>
      </w:pPr>
      <w:r w:rsidRPr="00AD3C06">
        <w:rPr>
          <w:rFonts w:cs="Arial"/>
          <w:lang w:eastAsia="en-GB"/>
        </w:rPr>
        <w:t xml:space="preserve">Susitha Wanigaratne, Lu, H., Gandhi, S., Shetty, J., Stukel, T.A., Pierre-Philippe Piché-Renaud, Brandenberger, J., Abdi, S. and Guttmann, A. (2023). COVID-19 vaccine equity: a retrospective population-based cohort study examining primary series and first booster coverage among persons with a history of immigration and other residents of Ontario, Canada. </w:t>
      </w:r>
      <w:r w:rsidRPr="00AD3C06">
        <w:rPr>
          <w:rFonts w:cs="Arial"/>
          <w:i/>
          <w:iCs/>
          <w:lang w:eastAsia="en-GB"/>
        </w:rPr>
        <w:t>Frontiers in Public Health</w:t>
      </w:r>
      <w:r w:rsidRPr="00AD3C06">
        <w:rPr>
          <w:rFonts w:cs="Arial"/>
          <w:lang w:eastAsia="en-GB"/>
        </w:rPr>
        <w:t xml:space="preserve">, [online] 11. doi: </w:t>
      </w:r>
      <w:hyperlink r:id="rId50" w:history="1">
        <w:r w:rsidR="00E96344" w:rsidRPr="00AD3C06">
          <w:rPr>
            <w:rStyle w:val="Hyperlink"/>
            <w:rFonts w:cs="Arial"/>
            <w:lang w:eastAsia="en-GB"/>
          </w:rPr>
          <w:t>https://doi.org/10.3389/fpubh.2023.1232507</w:t>
        </w:r>
      </w:hyperlink>
      <w:r w:rsidRPr="00AD3C06">
        <w:rPr>
          <w:rFonts w:cs="Arial"/>
          <w:lang w:eastAsia="en-GB"/>
        </w:rPr>
        <w:t>.</w:t>
      </w:r>
    </w:p>
    <w:p w14:paraId="6B24F05A" w14:textId="5C6FE5E7" w:rsidR="00BF7A36" w:rsidRPr="00AD3C06" w:rsidRDefault="00BF7A36" w:rsidP="00AD3C06">
      <w:pPr>
        <w:pStyle w:val="ListParagraph"/>
        <w:numPr>
          <w:ilvl w:val="0"/>
          <w:numId w:val="1"/>
        </w:numPr>
        <w:rPr>
          <w:rFonts w:cs="Arial"/>
          <w:lang w:eastAsia="en-GB"/>
        </w:rPr>
      </w:pPr>
      <w:r w:rsidRPr="00AD3C06">
        <w:rPr>
          <w:rFonts w:cs="Arial"/>
          <w:lang w:eastAsia="en-GB"/>
        </w:rPr>
        <w:t xml:space="preserve">Tenney, M. (2022). </w:t>
      </w:r>
      <w:r w:rsidRPr="00AD3C06">
        <w:rPr>
          <w:rFonts w:cs="Arial"/>
          <w:i/>
          <w:iCs/>
          <w:lang w:eastAsia="en-GB"/>
        </w:rPr>
        <w:t>The 5 Leadership Styles Most Commonly Utilized - Business Leadership Today</w:t>
      </w:r>
      <w:r w:rsidRPr="00AD3C06">
        <w:rPr>
          <w:rFonts w:cs="Arial"/>
          <w:lang w:eastAsia="en-GB"/>
        </w:rPr>
        <w:t xml:space="preserve">. [online] Business Leadership Today. Available at: </w:t>
      </w:r>
      <w:hyperlink r:id="rId51" w:history="1">
        <w:r w:rsidR="00E96344" w:rsidRPr="00AD3C06">
          <w:rPr>
            <w:rStyle w:val="Hyperlink"/>
            <w:rFonts w:cs="Arial"/>
            <w:lang w:eastAsia="en-GB"/>
          </w:rPr>
          <w:t>https://businessleadershiptoday.com/what-are-the-5-leadership-styles/</w:t>
        </w:r>
      </w:hyperlink>
      <w:r w:rsidRPr="00AD3C06">
        <w:rPr>
          <w:rFonts w:cs="Arial"/>
          <w:lang w:eastAsia="en-GB"/>
        </w:rPr>
        <w:t>.</w:t>
      </w:r>
    </w:p>
    <w:p w14:paraId="03258B69" w14:textId="6D675CD1" w:rsidR="00BF7A36" w:rsidRPr="00AD3C06" w:rsidRDefault="00BF7A36" w:rsidP="00AD3C06">
      <w:pPr>
        <w:pStyle w:val="ListParagraph"/>
        <w:numPr>
          <w:ilvl w:val="0"/>
          <w:numId w:val="1"/>
        </w:numPr>
        <w:rPr>
          <w:rFonts w:cs="Arial"/>
          <w:lang w:eastAsia="en-GB"/>
        </w:rPr>
      </w:pPr>
      <w:r w:rsidRPr="00AD3C06">
        <w:rPr>
          <w:rFonts w:cs="Arial"/>
          <w:lang w:eastAsia="en-GB"/>
        </w:rPr>
        <w:t xml:space="preserve">Teruel, J.R., Pino, E. del and Real-Dato, J. (2023). The Limits of Power Concentration and Expert Knowledge in Emergency Management: Spain’s Government Response during the First Phase of the Covid-19 Pandemic. </w:t>
      </w:r>
      <w:r w:rsidRPr="00AD3C06">
        <w:rPr>
          <w:rFonts w:cs="Arial"/>
          <w:i/>
          <w:iCs/>
          <w:lang w:eastAsia="en-GB"/>
        </w:rPr>
        <w:t>South European Society and Politics</w:t>
      </w:r>
      <w:r w:rsidRPr="00AD3C06">
        <w:rPr>
          <w:rFonts w:cs="Arial"/>
          <w:lang w:eastAsia="en-GB"/>
        </w:rPr>
        <w:t xml:space="preserve">, 27(4), pp.1–33. doi: </w:t>
      </w:r>
      <w:hyperlink r:id="rId52" w:history="1">
        <w:r w:rsidR="00E96344" w:rsidRPr="00AD3C06">
          <w:rPr>
            <w:rStyle w:val="Hyperlink"/>
            <w:rFonts w:cs="Arial"/>
            <w:lang w:eastAsia="en-GB"/>
          </w:rPr>
          <w:t>https://doi.org/10.1080/13608746.2022.2091861</w:t>
        </w:r>
      </w:hyperlink>
      <w:r w:rsidRPr="00AD3C06">
        <w:rPr>
          <w:rFonts w:cs="Arial"/>
          <w:lang w:eastAsia="en-GB"/>
        </w:rPr>
        <w:t>.</w:t>
      </w:r>
    </w:p>
    <w:p w14:paraId="7A4DD6AF" w14:textId="77777777" w:rsidR="00E96344" w:rsidRPr="00E466C1" w:rsidRDefault="00E96344" w:rsidP="00BF7A36">
      <w:pPr>
        <w:rPr>
          <w:rFonts w:cs="Arial"/>
          <w:lang w:eastAsia="en-GB"/>
        </w:rPr>
      </w:pPr>
    </w:p>
    <w:p w14:paraId="5261DF09" w14:textId="769B5C05" w:rsidR="00BF7A36" w:rsidRPr="00AD3C06" w:rsidRDefault="00BF7A36" w:rsidP="00AD3C06">
      <w:pPr>
        <w:pStyle w:val="ListParagraph"/>
        <w:numPr>
          <w:ilvl w:val="0"/>
          <w:numId w:val="1"/>
        </w:numPr>
        <w:rPr>
          <w:rFonts w:cs="Arial"/>
          <w:lang w:eastAsia="en-GB"/>
        </w:rPr>
      </w:pPr>
      <w:r w:rsidRPr="00AD3C06">
        <w:rPr>
          <w:rFonts w:cs="Arial"/>
          <w:lang w:eastAsia="en-GB"/>
        </w:rPr>
        <w:lastRenderedPageBreak/>
        <w:t xml:space="preserve">The Vaccine Confidence Project. (2023). </w:t>
      </w:r>
      <w:r w:rsidRPr="00AD3C06">
        <w:rPr>
          <w:rFonts w:cs="Arial"/>
          <w:i/>
          <w:iCs/>
          <w:lang w:eastAsia="en-GB"/>
        </w:rPr>
        <w:t>Vaccine confidence in Spain – The Vaccine Confidence Project</w:t>
      </w:r>
      <w:r w:rsidRPr="00AD3C06">
        <w:rPr>
          <w:rFonts w:cs="Arial"/>
          <w:lang w:eastAsia="en-GB"/>
        </w:rPr>
        <w:t xml:space="preserve">. [online] Available at: </w:t>
      </w:r>
      <w:hyperlink r:id="rId53" w:history="1">
        <w:r w:rsidR="00E96344" w:rsidRPr="00AD3C06">
          <w:rPr>
            <w:rStyle w:val="Hyperlink"/>
            <w:rFonts w:cs="Arial"/>
            <w:lang w:eastAsia="en-GB"/>
          </w:rPr>
          <w:t>https://www.vaccineconfidence.org/vci/country/es/</w:t>
        </w:r>
      </w:hyperlink>
      <w:r w:rsidRPr="00AD3C06">
        <w:rPr>
          <w:rFonts w:cs="Arial"/>
          <w:lang w:eastAsia="en-GB"/>
        </w:rPr>
        <w:t>.</w:t>
      </w:r>
    </w:p>
    <w:p w14:paraId="0FB63657" w14:textId="5B947B11" w:rsidR="00BF7A36" w:rsidRPr="00AD3C06" w:rsidRDefault="00BF7A36" w:rsidP="00AD3C06">
      <w:pPr>
        <w:pStyle w:val="ListParagraph"/>
        <w:numPr>
          <w:ilvl w:val="0"/>
          <w:numId w:val="1"/>
        </w:numPr>
        <w:rPr>
          <w:rFonts w:cs="Arial"/>
          <w:lang w:eastAsia="en-GB"/>
        </w:rPr>
      </w:pPr>
      <w:r w:rsidRPr="00AD3C06">
        <w:rPr>
          <w:rFonts w:cs="Arial"/>
          <w:lang w:eastAsia="en-GB"/>
        </w:rPr>
        <w:t xml:space="preserve">Tikkanen, R., Osborn, R., Mossialos, E., Djordjevic, A. and Wharton, G. (2020). </w:t>
      </w:r>
      <w:r w:rsidRPr="00AD3C06">
        <w:rPr>
          <w:rFonts w:cs="Arial"/>
          <w:i/>
          <w:iCs/>
          <w:lang w:eastAsia="en-GB"/>
        </w:rPr>
        <w:t>Canada | Commonwealth Fund</w:t>
      </w:r>
      <w:r w:rsidRPr="00AD3C06">
        <w:rPr>
          <w:rFonts w:cs="Arial"/>
          <w:lang w:eastAsia="en-GB"/>
        </w:rPr>
        <w:t xml:space="preserve">. [online] www.commonwealthfund.org. Available at: </w:t>
      </w:r>
      <w:hyperlink r:id="rId54" w:history="1">
        <w:r w:rsidR="00E96344" w:rsidRPr="00AD3C06">
          <w:rPr>
            <w:rStyle w:val="Hyperlink"/>
            <w:rFonts w:cs="Arial"/>
            <w:lang w:eastAsia="en-GB"/>
          </w:rPr>
          <w:t>https://www.commonwealthfund.org/international-health-policy-center/countries/canada</w:t>
        </w:r>
      </w:hyperlink>
      <w:r w:rsidRPr="00AD3C06">
        <w:rPr>
          <w:rFonts w:cs="Arial"/>
          <w:lang w:eastAsia="en-GB"/>
        </w:rPr>
        <w:t>.</w:t>
      </w:r>
    </w:p>
    <w:p w14:paraId="5C4F5875" w14:textId="77777777" w:rsidR="00BF7A36" w:rsidRPr="00AD3C06" w:rsidRDefault="00BF7A36" w:rsidP="00AD3C06">
      <w:pPr>
        <w:pStyle w:val="ListParagraph"/>
        <w:numPr>
          <w:ilvl w:val="0"/>
          <w:numId w:val="1"/>
        </w:numPr>
        <w:rPr>
          <w:rFonts w:cs="Arial"/>
          <w:lang w:eastAsia="en-GB"/>
        </w:rPr>
      </w:pPr>
      <w:r w:rsidRPr="00AD3C06">
        <w:rPr>
          <w:rFonts w:cs="Arial"/>
          <w:lang w:eastAsia="en-GB"/>
        </w:rPr>
        <w:t xml:space="preserve">Turner, P. (2019). </w:t>
      </w:r>
      <w:r w:rsidRPr="00AD3C06">
        <w:rPr>
          <w:rFonts w:cs="Arial"/>
          <w:i/>
          <w:iCs/>
          <w:lang w:eastAsia="en-GB"/>
        </w:rPr>
        <w:t>Leadership in Healthcare : Delivering Organisational Transformation and Operational Excellence</w:t>
      </w:r>
      <w:r w:rsidRPr="00AD3C06">
        <w:rPr>
          <w:rFonts w:cs="Arial"/>
          <w:lang w:eastAsia="en-GB"/>
        </w:rPr>
        <w:t>. Cham: Springer International Publishing.</w:t>
      </w:r>
    </w:p>
    <w:p w14:paraId="6B016AD3" w14:textId="32B3B13C" w:rsidR="00BF7A36" w:rsidRDefault="00BF7A36" w:rsidP="00AD3C06">
      <w:pPr>
        <w:pStyle w:val="ListParagraph"/>
        <w:numPr>
          <w:ilvl w:val="0"/>
          <w:numId w:val="1"/>
        </w:numPr>
      </w:pPr>
      <w:r>
        <w:t xml:space="preserve">Worldometer (2022). </w:t>
      </w:r>
      <w:r w:rsidRPr="00AD3C06">
        <w:rPr>
          <w:i/>
          <w:iCs/>
        </w:rPr>
        <w:t>Coronavirus Update (Live): 69,290 Cases and 1,671 Deaths from COVID-19 Wuhan China Virus Outbreak - Worldometer</w:t>
      </w:r>
      <w:r>
        <w:t xml:space="preserve">. [online] www.worldometers.info. Available at: </w:t>
      </w:r>
      <w:hyperlink r:id="rId55" w:anchor="countries" w:history="1">
        <w:r w:rsidR="00E96344" w:rsidRPr="0034551E">
          <w:rPr>
            <w:rStyle w:val="Hyperlink"/>
          </w:rPr>
          <w:t>https://www.worldometers.info/coronavirus/#countries</w:t>
        </w:r>
      </w:hyperlink>
      <w:r>
        <w:t>.</w:t>
      </w:r>
    </w:p>
    <w:p w14:paraId="306C1731" w14:textId="3AB48F72" w:rsidR="00BF7A36" w:rsidRPr="00AD3C06" w:rsidRDefault="00BF7A36" w:rsidP="00AD3C06">
      <w:pPr>
        <w:pStyle w:val="ListParagraph"/>
        <w:numPr>
          <w:ilvl w:val="0"/>
          <w:numId w:val="1"/>
        </w:numPr>
        <w:rPr>
          <w:rFonts w:cs="Arial"/>
          <w:lang w:eastAsia="en-GB"/>
        </w:rPr>
      </w:pPr>
      <w:r w:rsidRPr="00AD3C06">
        <w:rPr>
          <w:rFonts w:cs="Arial"/>
          <w:lang w:eastAsia="en-GB"/>
        </w:rPr>
        <w:t xml:space="preserve">Yang, C. (2022). Digital contact tracing in the pandemic cities: Problematizing the regime of traceability in South Korea. </w:t>
      </w:r>
      <w:r w:rsidRPr="00AD3C06">
        <w:rPr>
          <w:rFonts w:cs="Arial"/>
          <w:i/>
          <w:iCs/>
          <w:lang w:eastAsia="en-GB"/>
        </w:rPr>
        <w:t>Big Data &amp; Society</w:t>
      </w:r>
      <w:r w:rsidRPr="00AD3C06">
        <w:rPr>
          <w:rFonts w:cs="Arial"/>
          <w:lang w:eastAsia="en-GB"/>
        </w:rPr>
        <w:t xml:space="preserve">, 9(1), p.205395172210892. doi: </w:t>
      </w:r>
      <w:hyperlink r:id="rId56" w:history="1">
        <w:r w:rsidRPr="00AD3C06">
          <w:rPr>
            <w:rStyle w:val="Hyperlink"/>
            <w:rFonts w:cs="Arial"/>
            <w:lang w:eastAsia="en-GB"/>
          </w:rPr>
          <w:t>https://doi.org/10.1177/20539517221089294</w:t>
        </w:r>
      </w:hyperlink>
      <w:r w:rsidRPr="00AD3C06">
        <w:rPr>
          <w:rFonts w:cs="Arial"/>
          <w:lang w:eastAsia="en-GB"/>
        </w:rPr>
        <w:t>.</w:t>
      </w:r>
    </w:p>
    <w:p w14:paraId="492B39DC" w14:textId="326D3CD7" w:rsidR="00BF7A36" w:rsidRDefault="00BF7A36" w:rsidP="00AD3C06">
      <w:pPr>
        <w:pStyle w:val="ListParagraph"/>
        <w:numPr>
          <w:ilvl w:val="0"/>
          <w:numId w:val="1"/>
        </w:numPr>
      </w:pPr>
      <w:r>
        <w:t xml:space="preserve">Avanzas, P., Pascual, I. and Moris, C. (2017). The great challenge of the public health system in Spain. </w:t>
      </w:r>
      <w:r w:rsidRPr="00AD3C06">
        <w:rPr>
          <w:i/>
          <w:iCs/>
        </w:rPr>
        <w:t>Journal of Thoracic Disease</w:t>
      </w:r>
      <w:r>
        <w:t xml:space="preserve">, [online] 9(S6), pp.S430–S433. doi: </w:t>
      </w:r>
      <w:hyperlink r:id="rId57" w:history="1">
        <w:r w:rsidR="00E96344" w:rsidRPr="0034551E">
          <w:rPr>
            <w:rStyle w:val="Hyperlink"/>
          </w:rPr>
          <w:t>https://doi.org/10.21037/jtd.2017.04.59</w:t>
        </w:r>
      </w:hyperlink>
      <w:r>
        <w:t>.</w:t>
      </w:r>
    </w:p>
    <w:p w14:paraId="1A5793F3" w14:textId="3202B1CC" w:rsidR="00BF7A36" w:rsidRDefault="00BF7A36" w:rsidP="00AD3C06">
      <w:pPr>
        <w:pStyle w:val="ListParagraph"/>
        <w:numPr>
          <w:ilvl w:val="0"/>
          <w:numId w:val="1"/>
        </w:numPr>
      </w:pPr>
      <w:r>
        <w:t xml:space="preserve">Casares, M. and Khan, H. (2020). The Timing and Intensity of Social Distancing to Flatten the COVID-19 Curve: The Case of Spain. </w:t>
      </w:r>
      <w:r w:rsidRPr="00AD3C06">
        <w:rPr>
          <w:i/>
          <w:iCs/>
        </w:rPr>
        <w:t>International Journal of Environmental Research and Public Health</w:t>
      </w:r>
      <w:r>
        <w:t xml:space="preserve">, 17(19), p.7283. doi: </w:t>
      </w:r>
      <w:hyperlink r:id="rId58" w:history="1">
        <w:r w:rsidR="00E96344" w:rsidRPr="0034551E">
          <w:rPr>
            <w:rStyle w:val="Hyperlink"/>
          </w:rPr>
          <w:t>https://doi.org/10.3390/ijerph17197283</w:t>
        </w:r>
      </w:hyperlink>
      <w:r>
        <w:t>.</w:t>
      </w:r>
    </w:p>
    <w:p w14:paraId="2CD3A1C0" w14:textId="5DFB14BB" w:rsidR="00BF7A36" w:rsidRDefault="00BF7A36" w:rsidP="00AD3C06">
      <w:pPr>
        <w:pStyle w:val="ListParagraph"/>
        <w:numPr>
          <w:ilvl w:val="0"/>
          <w:numId w:val="1"/>
        </w:numPr>
      </w:pPr>
      <w:r>
        <w:t xml:space="preserve">Cheol Seong, S., Kim, Y.-Y., Khang, Y.-H., Heon Park, J., Kang, H.-J., Lee, H., Do, C.-H., Song, J.-S., Hyon Bang, J., Ha, S., Lee, E.-J. and Ae Shin, S. (2016). Data Resource Profile: The National Health Information Database of the National Health Insurance Service in South Korea. </w:t>
      </w:r>
      <w:r w:rsidRPr="00AD3C06">
        <w:rPr>
          <w:i/>
          <w:iCs/>
        </w:rPr>
        <w:t>International Journal of Epidemiology</w:t>
      </w:r>
      <w:r>
        <w:t xml:space="preserve">, p.dyw253. doi: </w:t>
      </w:r>
      <w:hyperlink r:id="rId59" w:history="1">
        <w:r w:rsidR="00E96344" w:rsidRPr="0034551E">
          <w:rPr>
            <w:rStyle w:val="Hyperlink"/>
          </w:rPr>
          <w:t>https://doi.org/10.1093/ije/dyw253</w:t>
        </w:r>
      </w:hyperlink>
      <w:r>
        <w:t>.</w:t>
      </w:r>
    </w:p>
    <w:p w14:paraId="4DF11FBC" w14:textId="4D3AD65D" w:rsidR="00BF7A36" w:rsidRDefault="00BF7A36" w:rsidP="00AD3C06">
      <w:pPr>
        <w:pStyle w:val="ListParagraph"/>
        <w:numPr>
          <w:ilvl w:val="0"/>
          <w:numId w:val="1"/>
        </w:numPr>
      </w:pPr>
      <w:r>
        <w:t xml:space="preserve">Government of Canada, S.C. (2021). </w:t>
      </w:r>
      <w:r w:rsidRPr="00AD3C06">
        <w:rPr>
          <w:i/>
          <w:iCs/>
        </w:rPr>
        <w:t>Preliminary dataset on confirmed cases of COVID-19, Public Health Agency of Canada</w:t>
      </w:r>
      <w:r>
        <w:t xml:space="preserve">. [online] www150.statcan.gc.ca. Available at: </w:t>
      </w:r>
      <w:hyperlink r:id="rId60" w:history="1">
        <w:r w:rsidR="00E96344" w:rsidRPr="0034551E">
          <w:rPr>
            <w:rStyle w:val="Hyperlink"/>
          </w:rPr>
          <w:t>https://www150.statcan.gc.ca/n1/en/catalogue/13260003</w:t>
        </w:r>
      </w:hyperlink>
      <w:r>
        <w:t>.</w:t>
      </w:r>
    </w:p>
    <w:p w14:paraId="365B5919" w14:textId="22829B08" w:rsidR="00BF7A36" w:rsidRDefault="00BF7A36" w:rsidP="00AD3C06">
      <w:pPr>
        <w:pStyle w:val="ListParagraph"/>
        <w:numPr>
          <w:ilvl w:val="0"/>
          <w:numId w:val="1"/>
        </w:numPr>
      </w:pPr>
      <w:r>
        <w:t xml:space="preserve">Imer, D. (2024). </w:t>
      </w:r>
      <w:r w:rsidRPr="00AD3C06">
        <w:rPr>
          <w:i/>
          <w:iCs/>
        </w:rPr>
        <w:t>Democratic Leadership Style: Is it right for your workplace? - Teamflect Blog</w:t>
      </w:r>
      <w:r>
        <w:t xml:space="preserve">. [online] Teamflect.com. Available at: </w:t>
      </w:r>
      <w:hyperlink r:id="rId61" w:history="1">
        <w:r w:rsidR="00E96344" w:rsidRPr="0034551E">
          <w:rPr>
            <w:rStyle w:val="Hyperlink"/>
          </w:rPr>
          <w:t>https://teamflect.com/blog/employee-engagement/democratic-leadership-style</w:t>
        </w:r>
      </w:hyperlink>
      <w:r>
        <w:t>.</w:t>
      </w:r>
    </w:p>
    <w:p w14:paraId="3DBA0A32" w14:textId="77777777" w:rsidR="00E96344" w:rsidRDefault="00E96344" w:rsidP="00BF7A36"/>
    <w:p w14:paraId="6975D9D7" w14:textId="1D8FA354" w:rsidR="00BF7A36" w:rsidRDefault="00BF7A36" w:rsidP="00AD3C06">
      <w:pPr>
        <w:pStyle w:val="ListParagraph"/>
        <w:numPr>
          <w:ilvl w:val="0"/>
          <w:numId w:val="1"/>
        </w:numPr>
      </w:pPr>
      <w:r>
        <w:lastRenderedPageBreak/>
        <w:t xml:space="preserve">Jaro Education (2025). </w:t>
      </w:r>
      <w:r w:rsidRPr="00AD3C06">
        <w:rPr>
          <w:i/>
          <w:iCs/>
        </w:rPr>
        <w:t>Autocratic Leadership: Characteristics, Benefits &amp; Examples Explained</w:t>
      </w:r>
      <w:r>
        <w:t xml:space="preserve">. [online] Jaroeducation.com. Available at: </w:t>
      </w:r>
      <w:hyperlink r:id="rId62" w:history="1">
        <w:r w:rsidR="00E96344" w:rsidRPr="0034551E">
          <w:rPr>
            <w:rStyle w:val="Hyperlink"/>
          </w:rPr>
          <w:t>https://www.jaroeducation.com/blog/autocratic-leadership-characteristics-benefits-examples</w:t>
        </w:r>
      </w:hyperlink>
    </w:p>
    <w:p w14:paraId="6932EB10" w14:textId="624A7E99" w:rsidR="00BF7A36" w:rsidRDefault="00BF7A36" w:rsidP="00AD3C06">
      <w:pPr>
        <w:pStyle w:val="ListParagraph"/>
        <w:numPr>
          <w:ilvl w:val="0"/>
          <w:numId w:val="1"/>
        </w:numPr>
      </w:pPr>
      <w:r>
        <w:t xml:space="preserve">Kang, J., Jang, Y.Y., Kim, J., Han, S.-H., Lee, K.R., Kim, M. and Eom, J.S. (2020). South Korea’s responses to stop the COVID-19 pandemic. </w:t>
      </w:r>
      <w:r w:rsidRPr="00AD3C06">
        <w:rPr>
          <w:i/>
          <w:iCs/>
        </w:rPr>
        <w:t>American Journal of Infection Control</w:t>
      </w:r>
      <w:r>
        <w:t xml:space="preserve">, 48(9), pp.1080–1086. doi: </w:t>
      </w:r>
      <w:hyperlink r:id="rId63" w:history="1">
        <w:r w:rsidRPr="0034551E">
          <w:rPr>
            <w:rStyle w:val="Hyperlink"/>
          </w:rPr>
          <w:t>https://doi.org/10.1016/j.ajic.2020.06.003</w:t>
        </w:r>
      </w:hyperlink>
      <w:r>
        <w:t>.</w:t>
      </w:r>
    </w:p>
    <w:p w14:paraId="6170BC79" w14:textId="72CDDCE4" w:rsidR="00BF7A36" w:rsidRDefault="00BF7A36" w:rsidP="00AD3C06">
      <w:pPr>
        <w:pStyle w:val="ListParagraph"/>
        <w:numPr>
          <w:ilvl w:val="0"/>
          <w:numId w:val="1"/>
        </w:numPr>
      </w:pPr>
      <w:r>
        <w:t xml:space="preserve">Marchildon, G. (2013). Canada: Health system review. </w:t>
      </w:r>
      <w:r w:rsidRPr="00AD3C06">
        <w:rPr>
          <w:i/>
          <w:iCs/>
        </w:rPr>
        <w:t>Health Systems in Transition</w:t>
      </w:r>
      <w:r>
        <w:t xml:space="preserve">, [online] 15(1), pp.1–179. Available at: </w:t>
      </w:r>
      <w:hyperlink r:id="rId64" w:history="1">
        <w:r w:rsidRPr="0034551E">
          <w:rPr>
            <w:rStyle w:val="Hyperlink"/>
          </w:rPr>
          <w:t>https://www.researchgate.net/publication/236580238_Canada_Health_system_review?_tp=eyJjb250ZXh0Ijp7ImZpcnN0UGFnZSI6Il9kaXJlY3QiLCJwYWdlIjoiX2RpcmVjdCJ9fQ</w:t>
        </w:r>
      </w:hyperlink>
    </w:p>
    <w:p w14:paraId="3CFB4ADE" w14:textId="24704A09" w:rsidR="00BF7A36" w:rsidRDefault="00BF7A36" w:rsidP="00AD3C06">
      <w:pPr>
        <w:pStyle w:val="ListParagraph"/>
        <w:numPr>
          <w:ilvl w:val="0"/>
          <w:numId w:val="1"/>
        </w:numPr>
      </w:pPr>
      <w:r>
        <w:t xml:space="preserve">OWKIN (2024). </w:t>
      </w:r>
      <w:r w:rsidRPr="00AD3C06">
        <w:rPr>
          <w:i/>
          <w:iCs/>
        </w:rPr>
        <w:t>The Spanish AI healthcare landscape</w:t>
      </w:r>
      <w:r>
        <w:t xml:space="preserve">. [online] Owkin.com. Available at: </w:t>
      </w:r>
      <w:hyperlink r:id="rId65" w:history="1">
        <w:r w:rsidRPr="0034551E">
          <w:rPr>
            <w:rStyle w:val="Hyperlink"/>
          </w:rPr>
          <w:t>https://www.owkin.com/blogs-case-studies/the-spanish-ai-healthcare-landscape</w:t>
        </w:r>
      </w:hyperlink>
      <w:r>
        <w:t>.</w:t>
      </w:r>
    </w:p>
    <w:p w14:paraId="0F74097B" w14:textId="2E1BF380" w:rsidR="00BF7A36" w:rsidRDefault="00BF7A36" w:rsidP="00AD3C06">
      <w:pPr>
        <w:pStyle w:val="ListParagraph"/>
        <w:numPr>
          <w:ilvl w:val="0"/>
          <w:numId w:val="1"/>
        </w:numPr>
      </w:pPr>
      <w:r>
        <w:t xml:space="preserve">Samuel, M. (2023). </w:t>
      </w:r>
      <w:r w:rsidRPr="00AD3C06">
        <w:rPr>
          <w:i/>
          <w:iCs/>
        </w:rPr>
        <w:t>Participative Leadership: What it Can Do for Organizations - CEOMichaelHR Resume Writing Services</w:t>
      </w:r>
      <w:r>
        <w:t xml:space="preserve">. [online] ceomichaelhr.com. Available at: </w:t>
      </w:r>
      <w:hyperlink r:id="rId66" w:history="1">
        <w:r w:rsidRPr="0034551E">
          <w:rPr>
            <w:rStyle w:val="Hyperlink"/>
          </w:rPr>
          <w:t>https://ceomichaelhr.com/participative-leadership-style-all-you-need-to-know/</w:t>
        </w:r>
      </w:hyperlink>
      <w:r>
        <w:t>.</w:t>
      </w:r>
    </w:p>
    <w:p w14:paraId="5C0E1A0A" w14:textId="77777777" w:rsidR="00BF7A36" w:rsidRDefault="00BF7A36" w:rsidP="00BF7A36"/>
    <w:p w14:paraId="24DA42D9" w14:textId="77777777" w:rsidR="00BF7A36" w:rsidRPr="00E466C1" w:rsidRDefault="00BF7A36" w:rsidP="00BF7A36">
      <w:pPr>
        <w:rPr>
          <w:rFonts w:cs="Arial"/>
          <w:lang w:eastAsia="en-GB"/>
        </w:rPr>
      </w:pPr>
    </w:p>
    <w:p w14:paraId="5FAD50D4" w14:textId="77777777" w:rsidR="008804E9" w:rsidRDefault="008804E9" w:rsidP="002668BE"/>
    <w:sectPr w:rsidR="008804E9">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C0A73" w14:textId="77777777" w:rsidR="00B84050" w:rsidRDefault="00B84050" w:rsidP="00E96344">
      <w:pPr>
        <w:spacing w:after="0" w:line="240" w:lineRule="auto"/>
      </w:pPr>
      <w:r>
        <w:separator/>
      </w:r>
    </w:p>
  </w:endnote>
  <w:endnote w:type="continuationSeparator" w:id="0">
    <w:p w14:paraId="77603E94" w14:textId="77777777" w:rsidR="00B84050" w:rsidRDefault="00B84050" w:rsidP="00E963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147115"/>
      <w:docPartObj>
        <w:docPartGallery w:val="Page Numbers (Bottom of Page)"/>
        <w:docPartUnique/>
      </w:docPartObj>
    </w:sdtPr>
    <w:sdtEndPr>
      <w:rPr>
        <w:color w:val="7F7F7F" w:themeColor="background1" w:themeShade="7F"/>
        <w:spacing w:val="60"/>
      </w:rPr>
    </w:sdtEndPr>
    <w:sdtContent>
      <w:p w14:paraId="73D3F03B" w14:textId="29620C4B" w:rsidR="00E96344" w:rsidRDefault="00E9634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3782394" w14:textId="77777777" w:rsidR="00E96344" w:rsidRDefault="00E963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1F133" w14:textId="77777777" w:rsidR="00B84050" w:rsidRDefault="00B84050" w:rsidP="00E96344">
      <w:pPr>
        <w:spacing w:after="0" w:line="240" w:lineRule="auto"/>
      </w:pPr>
      <w:r>
        <w:separator/>
      </w:r>
    </w:p>
  </w:footnote>
  <w:footnote w:type="continuationSeparator" w:id="0">
    <w:p w14:paraId="02CF9C4B" w14:textId="77777777" w:rsidR="00B84050" w:rsidRDefault="00B84050" w:rsidP="00E963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B11B8F"/>
    <w:multiLevelType w:val="hybridMultilevel"/>
    <w:tmpl w:val="FC5E5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092"/>
    <w:rsid w:val="002618B9"/>
    <w:rsid w:val="002668BE"/>
    <w:rsid w:val="002F108C"/>
    <w:rsid w:val="002F777E"/>
    <w:rsid w:val="00502B53"/>
    <w:rsid w:val="00527FBA"/>
    <w:rsid w:val="005476ED"/>
    <w:rsid w:val="005B703B"/>
    <w:rsid w:val="005E3DA2"/>
    <w:rsid w:val="006257A7"/>
    <w:rsid w:val="006E3DA8"/>
    <w:rsid w:val="007F0160"/>
    <w:rsid w:val="0082317E"/>
    <w:rsid w:val="00834800"/>
    <w:rsid w:val="008804E9"/>
    <w:rsid w:val="008F1779"/>
    <w:rsid w:val="00910226"/>
    <w:rsid w:val="009109B0"/>
    <w:rsid w:val="0095160B"/>
    <w:rsid w:val="00955F96"/>
    <w:rsid w:val="00AD3C06"/>
    <w:rsid w:val="00B84050"/>
    <w:rsid w:val="00BA27BE"/>
    <w:rsid w:val="00BD7092"/>
    <w:rsid w:val="00BF7A36"/>
    <w:rsid w:val="00C12E49"/>
    <w:rsid w:val="00CE6FC5"/>
    <w:rsid w:val="00E44395"/>
    <w:rsid w:val="00E96344"/>
    <w:rsid w:val="00F95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76D40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24A"/>
    <w:pPr>
      <w:spacing w:line="360" w:lineRule="auto"/>
      <w:jc w:val="both"/>
    </w:pPr>
    <w:rPr>
      <w:rFonts w:ascii="Arial" w:hAnsi="Arial"/>
    </w:rPr>
  </w:style>
  <w:style w:type="paragraph" w:styleId="Heading1">
    <w:name w:val="heading 1"/>
    <w:basedOn w:val="Normal"/>
    <w:next w:val="Normal"/>
    <w:link w:val="Heading1Char"/>
    <w:autoRedefine/>
    <w:uiPriority w:val="9"/>
    <w:qFormat/>
    <w:rsid w:val="00F9524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F9524A"/>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834800"/>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9524A"/>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F9524A"/>
    <w:rPr>
      <w:rFonts w:ascii="Arial" w:eastAsiaTheme="majorEastAsia" w:hAnsi="Arial" w:cstheme="majorBidi"/>
      <w:color w:val="2F5496" w:themeColor="accent1" w:themeShade="BF"/>
      <w:sz w:val="32"/>
      <w:szCs w:val="32"/>
    </w:rPr>
  </w:style>
  <w:style w:type="table" w:styleId="GridTable4-Accent3">
    <w:name w:val="Grid Table 4 Accent 3"/>
    <w:basedOn w:val="TableNormal"/>
    <w:uiPriority w:val="49"/>
    <w:rsid w:val="00F9524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F9524A"/>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3Char">
    <w:name w:val="Heading 3 Char"/>
    <w:basedOn w:val="DefaultParagraphFont"/>
    <w:link w:val="Heading3"/>
    <w:uiPriority w:val="9"/>
    <w:rsid w:val="00834800"/>
    <w:rPr>
      <w:rFonts w:ascii="Arial" w:eastAsiaTheme="majorEastAsia" w:hAnsi="Arial" w:cstheme="majorBidi"/>
      <w:color w:val="1F3763" w:themeColor="accent1" w:themeShade="7F"/>
      <w:sz w:val="24"/>
      <w:szCs w:val="24"/>
    </w:rPr>
  </w:style>
  <w:style w:type="character" w:styleId="Hyperlink">
    <w:name w:val="Hyperlink"/>
    <w:basedOn w:val="DefaultParagraphFont"/>
    <w:uiPriority w:val="99"/>
    <w:unhideWhenUsed/>
    <w:rsid w:val="00BF7A36"/>
    <w:rPr>
      <w:color w:val="0563C1" w:themeColor="hyperlink"/>
      <w:u w:val="single"/>
    </w:rPr>
  </w:style>
  <w:style w:type="character" w:styleId="UnresolvedMention">
    <w:name w:val="Unresolved Mention"/>
    <w:basedOn w:val="DefaultParagraphFont"/>
    <w:uiPriority w:val="99"/>
    <w:semiHidden/>
    <w:unhideWhenUsed/>
    <w:rsid w:val="00BF7A36"/>
    <w:rPr>
      <w:color w:val="605E5C"/>
      <w:shd w:val="clear" w:color="auto" w:fill="E1DFDD"/>
    </w:rPr>
  </w:style>
  <w:style w:type="paragraph" w:styleId="NormalWeb">
    <w:name w:val="Normal (Web)"/>
    <w:basedOn w:val="Normal"/>
    <w:uiPriority w:val="99"/>
    <w:semiHidden/>
    <w:unhideWhenUsed/>
    <w:rsid w:val="00BF7A3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963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344"/>
    <w:rPr>
      <w:rFonts w:ascii="Arial" w:hAnsi="Arial"/>
    </w:rPr>
  </w:style>
  <w:style w:type="paragraph" w:styleId="Footer">
    <w:name w:val="footer"/>
    <w:basedOn w:val="Normal"/>
    <w:link w:val="FooterChar"/>
    <w:uiPriority w:val="99"/>
    <w:unhideWhenUsed/>
    <w:rsid w:val="00E963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344"/>
    <w:rPr>
      <w:rFonts w:ascii="Arial" w:hAnsi="Arial"/>
    </w:rPr>
  </w:style>
  <w:style w:type="paragraph" w:styleId="ListParagraph">
    <w:name w:val="List Paragraph"/>
    <w:basedOn w:val="Normal"/>
    <w:uiPriority w:val="34"/>
    <w:qFormat/>
    <w:rsid w:val="00AD3C06"/>
    <w:pPr>
      <w:ind w:left="720"/>
      <w:contextualSpacing/>
    </w:pPr>
  </w:style>
  <w:style w:type="paragraph" w:styleId="TOCHeading">
    <w:name w:val="TOC Heading"/>
    <w:basedOn w:val="Heading1"/>
    <w:next w:val="Normal"/>
    <w:uiPriority w:val="39"/>
    <w:unhideWhenUsed/>
    <w:qFormat/>
    <w:rsid w:val="0082317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82317E"/>
    <w:pPr>
      <w:spacing w:after="100"/>
    </w:pPr>
  </w:style>
  <w:style w:type="paragraph" w:styleId="TOC2">
    <w:name w:val="toc 2"/>
    <w:basedOn w:val="Normal"/>
    <w:next w:val="Normal"/>
    <w:autoRedefine/>
    <w:uiPriority w:val="39"/>
    <w:unhideWhenUsed/>
    <w:rsid w:val="0082317E"/>
    <w:pPr>
      <w:spacing w:after="100"/>
      <w:ind w:left="220"/>
    </w:pPr>
  </w:style>
  <w:style w:type="paragraph" w:styleId="TOC3">
    <w:name w:val="toc 3"/>
    <w:basedOn w:val="Normal"/>
    <w:next w:val="Normal"/>
    <w:autoRedefine/>
    <w:uiPriority w:val="39"/>
    <w:unhideWhenUsed/>
    <w:rsid w:val="0082317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176169">
      <w:bodyDiv w:val="1"/>
      <w:marLeft w:val="0"/>
      <w:marRight w:val="0"/>
      <w:marTop w:val="0"/>
      <w:marBottom w:val="0"/>
      <w:divBdr>
        <w:top w:val="none" w:sz="0" w:space="0" w:color="auto"/>
        <w:left w:val="none" w:sz="0" w:space="0" w:color="auto"/>
        <w:bottom w:val="none" w:sz="0" w:space="0" w:color="auto"/>
        <w:right w:val="none" w:sz="0" w:space="0" w:color="auto"/>
      </w:divBdr>
      <w:divsChild>
        <w:div w:id="21332036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urohealthobservatory.who.int/publications/i/spain-health-system-review-2024" TargetMode="External"/><Relationship Id="rId21" Type="http://schemas.openxmlformats.org/officeDocument/2006/relationships/hyperlink" Target="https://www.canada.ca/en/health-canada/corporate/about-health-canada/public-engagement/external-advisory-bodies/review-federal-approach-pandemic-science-advice-research-coordination/time-to-act.html" TargetMode="External"/><Relationship Id="rId42" Type="http://schemas.openxmlformats.org/officeDocument/2006/relationships/hyperlink" Target="https://doi.org/10.1002/epa2.1099" TargetMode="External"/><Relationship Id="rId47" Type="http://schemas.openxmlformats.org/officeDocument/2006/relationships/hyperlink" Target="https://medium.com/@shazadkhanbloach371/south-korea-health-care-3b0a214a2e60" TargetMode="External"/><Relationship Id="rId63" Type="http://schemas.openxmlformats.org/officeDocument/2006/relationships/hyperlink" Target="https://doi.org/10.1016/j.ajic.2020.06.003"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80/21681376.2024.2370420" TargetMode="External"/><Relationship Id="rId11" Type="http://schemas.openxmlformats.org/officeDocument/2006/relationships/image" Target="media/image4.png"/><Relationship Id="rId24" Type="http://schemas.openxmlformats.org/officeDocument/2006/relationships/hyperlink" Target="https://doi.org/10.3389/fpubh.2023.1166317" TargetMode="External"/><Relationship Id="rId32" Type="http://schemas.openxmlformats.org/officeDocument/2006/relationships/hyperlink" Target="https://doi.org/10.3390/ijgi10010025" TargetMode="External"/><Relationship Id="rId37" Type="http://schemas.openxmlformats.org/officeDocument/2006/relationships/hyperlink" Target="https://doi.org/10.1080/03003930.2022.2042683" TargetMode="External"/><Relationship Id="rId40" Type="http://schemas.openxmlformats.org/officeDocument/2006/relationships/hyperlink" Target="https://doi.org/10.1111/jocs.14994" TargetMode="External"/><Relationship Id="rId45" Type="http://schemas.openxmlformats.org/officeDocument/2006/relationships/hyperlink" Target="https://doi.org/10.3389/frhs.2025.1484225" TargetMode="External"/><Relationship Id="rId53" Type="http://schemas.openxmlformats.org/officeDocument/2006/relationships/hyperlink" Target="https://www.vaccineconfidence.org/vci/country/es/" TargetMode="External"/><Relationship Id="rId58" Type="http://schemas.openxmlformats.org/officeDocument/2006/relationships/hyperlink" Target="https://doi.org/10.3390/ijerph17197283" TargetMode="External"/><Relationship Id="rId66" Type="http://schemas.openxmlformats.org/officeDocument/2006/relationships/hyperlink" Target="https://ceomichaelhr.com/participative-leadership-style-all-you-need-to-know/" TargetMode="External"/><Relationship Id="rId5" Type="http://schemas.openxmlformats.org/officeDocument/2006/relationships/webSettings" Target="webSettings.xml"/><Relationship Id="rId61" Type="http://schemas.openxmlformats.org/officeDocument/2006/relationships/hyperlink" Target="https://teamflect.com/blog/employee-engagement/democratic-leadership-style"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csis.org/analysis/timeline-south-koreas-response-covid-19" TargetMode="External"/><Relationship Id="rId27" Type="http://schemas.openxmlformats.org/officeDocument/2006/relationships/hyperlink" Target="https://doi.org/10.1080/23311975.2021.1883221" TargetMode="External"/><Relationship Id="rId30" Type="http://schemas.openxmlformats.org/officeDocument/2006/relationships/hyperlink" Target="https://doi.org/10.3390/ijerph17249571" TargetMode="External"/><Relationship Id="rId35" Type="http://schemas.openxmlformats.org/officeDocument/2006/relationships/hyperlink" Target="https://doi.org/10.1080/14494035.2020.1783788" TargetMode="External"/><Relationship Id="rId43" Type="http://schemas.openxmlformats.org/officeDocument/2006/relationships/hyperlink" Target="https://ndupress.ndu.edu/Media/News/News-Article-View/Article/2944861/koreas-exemplary-response-to-the-covid-19-pandemic-successes-and-challenges/" TargetMode="External"/><Relationship Id="rId48" Type="http://schemas.openxmlformats.org/officeDocument/2006/relationships/hyperlink" Target="https://doi.org/10.4103/jpgm.jpgm_533_24" TargetMode="External"/><Relationship Id="rId56" Type="http://schemas.openxmlformats.org/officeDocument/2006/relationships/hyperlink" Target="https://doi.org/10.1177/20539517221089294" TargetMode="External"/><Relationship Id="rId64" Type="http://schemas.openxmlformats.org/officeDocument/2006/relationships/hyperlink" Target="https://www.researchgate.net/publication/236580238_Canada_Health_system_review?_tp=eyJjb250ZXh0Ijp7ImZpcnN0UGFnZSI6Il9kaXJlY3QiLCJwYWdlIjoiX2RpcmVjdCJ9fQ" TargetMode="External"/><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businessleadershiptoday.com/what-are-the-5-leadership-styles/"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esade.edu/en/news/salvador-illa-esade-managing-a-pandemic-does-not-allow-for-partial-solutions-it-requires-us" TargetMode="External"/><Relationship Id="rId33" Type="http://schemas.openxmlformats.org/officeDocument/2006/relationships/hyperlink" Target="https://doi.org/10.3389/fpubh.2023.1285552" TargetMode="External"/><Relationship Id="rId38" Type="http://schemas.openxmlformats.org/officeDocument/2006/relationships/hyperlink" Target="https://doi.org/10.1080/23288604.2020.1753464" TargetMode="External"/><Relationship Id="rId46" Type="http://schemas.openxmlformats.org/officeDocument/2006/relationships/hyperlink" Target="https://doi.org/10.1093/eurpub/ckac173" TargetMode="External"/><Relationship Id="rId59" Type="http://schemas.openxmlformats.org/officeDocument/2006/relationships/hyperlink" Target="https://doi.org/10.1093/ije/dyw253" TargetMode="External"/><Relationship Id="rId67" Type="http://schemas.openxmlformats.org/officeDocument/2006/relationships/footer" Target="footer1.xml"/><Relationship Id="rId20" Type="http://schemas.openxmlformats.org/officeDocument/2006/relationships/hyperlink" Target="https://doi.org/10.1016/j.hlpt.2021.100594" TargetMode="External"/><Relationship Id="rId41" Type="http://schemas.openxmlformats.org/officeDocument/2006/relationships/hyperlink" Target="https://www.pm.gc.ca/en/news/news-releases/2020/03/11/prime-minister-outlines-canadas-covid-19-response" TargetMode="External"/><Relationship Id="rId54" Type="http://schemas.openxmlformats.org/officeDocument/2006/relationships/hyperlink" Target="https://www.commonwealthfund.org/international-health-policy-center/countries/canada" TargetMode="External"/><Relationship Id="rId62" Type="http://schemas.openxmlformats.org/officeDocument/2006/relationships/hyperlink" Target="https://www.jaroeducation.com/blog/autocratic-leadership-characteristics-benefits-exampl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doi.org/10.3389/fpubh.2021.708496" TargetMode="External"/><Relationship Id="rId28" Type="http://schemas.openxmlformats.org/officeDocument/2006/relationships/hyperlink" Target="https://www.researchgate.net/publication/391850672_Comparative_Analysis_of_Five_Leadership_Styles_and_Humane_Leadership_During_the_COVID-19_Pandemic_in_the_Context_of_Industry_40" TargetMode="External"/><Relationship Id="rId36" Type="http://schemas.openxmlformats.org/officeDocument/2006/relationships/hyperlink" Target="https://www.researchgate.net/publication/385782983_Servant_Democratic_and_Transformational_Leadership_Styles_Implications_on_Higher_Educational_Institutions_HEIs_in_Malaysia" TargetMode="External"/><Relationship Id="rId49" Type="http://schemas.openxmlformats.org/officeDocument/2006/relationships/hyperlink" Target="https://doi.org/10.1136/leader-2020-000344" TargetMode="External"/><Relationship Id="rId57" Type="http://schemas.openxmlformats.org/officeDocument/2006/relationships/hyperlink" Target="https://doi.org/10.21037/jtd.2017.04.59" TargetMode="External"/><Relationship Id="rId10" Type="http://schemas.openxmlformats.org/officeDocument/2006/relationships/image" Target="media/image3.png"/><Relationship Id="rId31" Type="http://schemas.openxmlformats.org/officeDocument/2006/relationships/hyperlink" Target="https://doi.org/10.1371/journal.pone.0279929" TargetMode="External"/><Relationship Id="rId44" Type="http://schemas.openxmlformats.org/officeDocument/2006/relationships/hyperlink" Target="https://doi.org/10.1177/00218863221110627" TargetMode="External"/><Relationship Id="rId52" Type="http://schemas.openxmlformats.org/officeDocument/2006/relationships/hyperlink" Target="https://doi.org/10.1080/13608746.2022.2091861" TargetMode="External"/><Relationship Id="rId60" Type="http://schemas.openxmlformats.org/officeDocument/2006/relationships/hyperlink" Target="https://www150.statcan.gc.ca/n1/en/catalogue/13260003" TargetMode="External"/><Relationship Id="rId65" Type="http://schemas.openxmlformats.org/officeDocument/2006/relationships/hyperlink" Target="https://www.owkin.com/blogs-case-studies/the-spanish-ai-healthcare-landscape"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penntoday.upenn.edu/news/pwh-chung-sye-kyun-south-koreas-response-covid-19-lessons-next-pandemic" TargetMode="External"/><Relationship Id="rId34" Type="http://schemas.openxmlformats.org/officeDocument/2006/relationships/hyperlink" Target="https://www.researchgate.net/publication/353482447_Canada" TargetMode="External"/><Relationship Id="rId50" Type="http://schemas.openxmlformats.org/officeDocument/2006/relationships/hyperlink" Target="https://doi.org/10.3389/fpubh.2023.1232507" TargetMode="External"/><Relationship Id="rId55" Type="http://schemas.openxmlformats.org/officeDocument/2006/relationships/hyperlink" Target="https://www.worldometers.info/corona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CD3EAD-6E19-4A82-A1AD-65A156A62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8697</Words>
  <Characters>49574</Characters>
  <Application>Microsoft Office Word</Application>
  <DocSecurity>0</DocSecurity>
  <Lines>413</Lines>
  <Paragraphs>116</Paragraphs>
  <ScaleCrop>false</ScaleCrop>
  <Company/>
  <LinksUpToDate>false</LinksUpToDate>
  <CharactersWithSpaces>58155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2025-12-12T15:46:00Z</dcterms:created>
  <dcterms:modified xsi:type="dcterms:W3CDTF">2025-12-14T20:07:00Z</dcterms:modified>
</cp:coreProperties>
</file>