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4DF357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923EE">
              <w:rPr>
                <w:rFonts w:ascii="Times New Roman" w:hAnsi="Times New Roman" w:cs="Times New Roman"/>
                <w:b/>
                <w:color w:val="auto"/>
                <w:sz w:val="48"/>
              </w:rPr>
              <w:t>Elan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B4B9DDB" w14:textId="56019C03" w:rsidR="007923EE" w:rsidRDefault="009C337F" w:rsidP="007923E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923EE">
              <w:rPr>
                <w:rFonts w:ascii="Times New Roman" w:hAnsi="Times New Roman" w:cs="Times New Roman"/>
                <w:b/>
                <w:color w:val="auto"/>
                <w:sz w:val="48"/>
              </w:rPr>
              <w:t xml:space="preserve"> Email address: </w:t>
            </w:r>
            <w:hyperlink r:id="rId11" w:history="1">
              <w:r w:rsidR="007923EE" w:rsidRPr="008B08E2">
                <w:rPr>
                  <w:rStyle w:val="Hyperlink"/>
                  <w:rFonts w:ascii="Times New Roman" w:hAnsi="Times New Roman" w:cs="Times New Roman"/>
                  <w:b/>
                  <w:sz w:val="48"/>
                </w:rPr>
                <w:t>elanrevans@hotmail.com</w:t>
              </w:r>
            </w:hyperlink>
          </w:p>
          <w:p w14:paraId="4EF3D597" w14:textId="77777777" w:rsidR="007923EE" w:rsidRDefault="007923EE" w:rsidP="007923E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2518588@student.uwtsd.ac.uk</w:t>
            </w:r>
          </w:p>
          <w:p w14:paraId="7B55E595" w14:textId="77777777" w:rsidR="007923EE" w:rsidRDefault="007923EE" w:rsidP="007923EE">
            <w:pPr>
              <w:overflowPunct/>
              <w:autoSpaceDE/>
              <w:autoSpaceDN/>
              <w:adjustRightInd/>
              <w:ind w:right="-957"/>
              <w:textAlignment w:val="auto"/>
              <w:rPr>
                <w:rFonts w:ascii="Times New Roman" w:hAnsi="Times New Roman" w:cs="Times New Roman"/>
                <w:b/>
                <w:color w:val="auto"/>
                <w:sz w:val="48"/>
              </w:rPr>
            </w:pPr>
          </w:p>
          <w:p w14:paraId="6D65CAFF" w14:textId="77777777" w:rsidR="007923EE" w:rsidRDefault="007923EE" w:rsidP="007923E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w:t>
            </w:r>
          </w:p>
          <w:p w14:paraId="29557C44" w14:textId="5BDDF751" w:rsidR="007923EE" w:rsidRPr="005D3F07" w:rsidRDefault="007923EE" w:rsidP="007923E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2518588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EF984DF" w14:textId="7A16EA99" w:rsidR="000D0BB6" w:rsidRPr="007923EE" w:rsidRDefault="00337FEF" w:rsidP="007923EE">
      <w:pPr>
        <w:rPr>
          <w:b/>
          <w:sz w:val="24"/>
          <w:szCs w:val="24"/>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1772195" w14:textId="77777777" w:rsidR="00F872D2"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225007E7" w14:textId="77777777" w:rsidR="00F872D2" w:rsidRPr="006108C9" w:rsidRDefault="00BB7FD2" w:rsidP="00F872D2">
            <w:pPr>
              <w:jc w:val="both"/>
              <w:rPr>
                <w:sz w:val="24"/>
                <w:szCs w:val="24"/>
              </w:rPr>
            </w:pPr>
            <w:r>
              <w:rPr>
                <w:sz w:val="24"/>
                <w:szCs w:val="24"/>
              </w:rPr>
              <w:t xml:space="preserve"> </w:t>
            </w:r>
          </w:p>
          <w:p w14:paraId="734BFA4A" w14:textId="77777777" w:rsidR="00F872D2" w:rsidRDefault="00F872D2" w:rsidP="00F872D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44CDCCC3" w:rsidR="008B28E7" w:rsidRDefault="008B28E7" w:rsidP="00FF7EBB">
            <w:pPr>
              <w:jc w:val="both"/>
              <w:rPr>
                <w:sz w:val="24"/>
                <w:szCs w:val="24"/>
              </w:rPr>
            </w:pPr>
          </w:p>
          <w:p w14:paraId="053B948B" w14:textId="77777777" w:rsidR="00F872D2" w:rsidRPr="00F872D2" w:rsidRDefault="00F872D2" w:rsidP="00F872D2">
            <w:pPr>
              <w:spacing w:before="100" w:beforeAutospacing="1" w:after="100" w:afterAutospacing="1" w:line="300" w:lineRule="atLeast"/>
              <w:jc w:val="both"/>
              <w:rPr>
                <w:sz w:val="22"/>
                <w:szCs w:val="22"/>
              </w:rPr>
            </w:pPr>
            <w:r w:rsidRPr="00F872D2">
              <w:rPr>
                <w:sz w:val="22"/>
                <w:szCs w:val="22"/>
              </w:rPr>
              <w:t>Adult safeguarding in Wales is primarily governed by the Social Services and Well-being (Wales) Act 2014 (SSWBA). Part 7 provides the statutory framework for protecting adults from abuse and neglect. Section 126 defines an adult at risk as a person who is experiencing, or is at risk of, abuse or neglect, has needs for care and support and, because of those needs, is unable to protect themselves. Where a local authority has reasonable cause to suspect that a person in its area is an adult at risk, it must make, or cause to be made, enquiries necessary to determine whether action should be taken and, if so, what action and by whom (SSWBA 2014, s.126).</w:t>
            </w:r>
          </w:p>
          <w:p w14:paraId="59BE502B" w14:textId="77777777" w:rsidR="00F872D2" w:rsidRPr="00F872D2" w:rsidRDefault="00F872D2" w:rsidP="00F872D2">
            <w:pPr>
              <w:spacing w:before="100" w:beforeAutospacing="1" w:after="100" w:afterAutospacing="1" w:line="300" w:lineRule="atLeast"/>
              <w:jc w:val="both"/>
              <w:rPr>
                <w:sz w:val="22"/>
                <w:szCs w:val="22"/>
              </w:rPr>
            </w:pPr>
            <w:r w:rsidRPr="00F872D2">
              <w:rPr>
                <w:sz w:val="22"/>
                <w:szCs w:val="22"/>
              </w:rPr>
              <w:t>The Mental Capacity Act 2005 (MCA) is also central to safeguarding practice because it protects an individual's right to make their own decisions. Practitioners must presume capacity unless established otherwise, take practicable steps to support decision-making and recognise that an unwise decision does not, by itself, indicate a lack of capacity. Capacity is specific to the particular decision and time. Where an adult lacks capacity, decisions made on their behalf must be in their best interests and consideration given to less restrictive alternatives.</w:t>
            </w:r>
          </w:p>
          <w:p w14:paraId="751659E2" w14:textId="77777777" w:rsidR="00F872D2" w:rsidRPr="00F872D2" w:rsidRDefault="00F872D2" w:rsidP="00F872D2">
            <w:pPr>
              <w:spacing w:before="100" w:beforeAutospacing="1" w:after="100" w:afterAutospacing="1" w:line="300" w:lineRule="atLeast"/>
              <w:jc w:val="both"/>
              <w:rPr>
                <w:sz w:val="22"/>
                <w:szCs w:val="22"/>
              </w:rPr>
            </w:pPr>
            <w:r w:rsidRPr="00F872D2">
              <w:rPr>
                <w:sz w:val="22"/>
                <w:szCs w:val="22"/>
              </w:rPr>
              <w:t>Nationally, legislation is supported by Working Together to Safeguard People, Volume 6: Handling Individual Cases to Protect Adults at Risk, statutory guidance relating to Part 7 of the SSWBA (Social Care Wales, 2025), and the Wales Safeguarding Procedures. These procedures provide a national framework for practitioners and support consistency across agencies (Wales Safeguarding Procedures, 2026).</w:t>
            </w:r>
          </w:p>
          <w:p w14:paraId="75833240" w14:textId="77777777" w:rsidR="00F872D2" w:rsidRPr="00F872D2" w:rsidRDefault="00F872D2" w:rsidP="00F872D2">
            <w:pPr>
              <w:spacing w:before="100" w:beforeAutospacing="1" w:after="100" w:afterAutospacing="1" w:line="300" w:lineRule="atLeast"/>
              <w:jc w:val="both"/>
              <w:rPr>
                <w:sz w:val="22"/>
                <w:szCs w:val="22"/>
              </w:rPr>
            </w:pPr>
            <w:r w:rsidRPr="00F872D2">
              <w:rPr>
                <w:sz w:val="22"/>
                <w:szCs w:val="22"/>
              </w:rPr>
              <w:t>Following an adult-at-risk report, a Section 126 enquiry should normally be completed within seven working days, with reasons recorded where this takes longer (XXX Wales Safeguarding Board, 2021). These enquiries gather information to determine whether action is required rather than constituting formal investigations. Practitioners should consider the adult's wishes and desired outcomes, capacity regarding relevant safeguarding decisions, possible criminal matters requiring police involvement, and wider care and support needs. This supports a person-centred and multi-agency approach.</w:t>
            </w:r>
          </w:p>
          <w:p w14:paraId="452BCAE5" w14:textId="3B42F1A1" w:rsidR="00F872D2" w:rsidRPr="00F872D2" w:rsidRDefault="00F872D2" w:rsidP="00F872D2">
            <w:pPr>
              <w:spacing w:before="100" w:beforeAutospacing="1" w:after="100" w:afterAutospacing="1" w:line="300" w:lineRule="atLeast"/>
              <w:jc w:val="both"/>
              <w:rPr>
                <w:sz w:val="22"/>
                <w:szCs w:val="22"/>
              </w:rPr>
            </w:pPr>
            <w:r w:rsidRPr="00F872D2">
              <w:rPr>
                <w:sz w:val="22"/>
                <w:szCs w:val="22"/>
              </w:rPr>
              <w:lastRenderedPageBreak/>
              <w:t xml:space="preserve">Regionally, I work within the arrangements of the XXX Wales Safeguarding Board, which includes </w:t>
            </w:r>
            <w:r w:rsidR="0017284D">
              <w:rPr>
                <w:sz w:val="22"/>
                <w:szCs w:val="22"/>
              </w:rPr>
              <w:t>my local Authority</w:t>
            </w:r>
            <w:r w:rsidRPr="00F872D2">
              <w:rPr>
                <w:sz w:val="22"/>
                <w:szCs w:val="22"/>
              </w:rPr>
              <w:t xml:space="preserve"> alongside other XXX Wales local authorities, XXX Wales Police, XXX University Health Board and the National Probation Service (Wales) (XXX Wales Safeguarding Board, 2026). Regional guidance emphasises that outcomes following enquiries should reflect the adult's wishes wherever possible, expressed directly or through a representative or advocate (XWSB, 2021).</w:t>
            </w:r>
          </w:p>
          <w:p w14:paraId="3C138098" w14:textId="77777777" w:rsidR="00F872D2" w:rsidRPr="00F872D2" w:rsidRDefault="00F872D2" w:rsidP="00F872D2">
            <w:pPr>
              <w:spacing w:before="100" w:beforeAutospacing="1" w:after="100" w:afterAutospacing="1" w:line="300" w:lineRule="atLeast"/>
              <w:jc w:val="both"/>
              <w:rPr>
                <w:sz w:val="22"/>
                <w:szCs w:val="22"/>
              </w:rPr>
            </w:pPr>
            <w:r w:rsidRPr="00F872D2">
              <w:rPr>
                <w:sz w:val="22"/>
                <w:szCs w:val="22"/>
              </w:rPr>
              <w:t>Within my organisation, I must recognise potential abuse or neglect, respond to immediate risks, accurately record and report concerns through safeguarding procedures, and share relevant information appropriately. I must cooperate with Section 126 enquiries and multi-agency processes, establish and document the adult's wishes and desired outcomes, and consider mental capacity without assuming that risky or unwise choices indicate incapacity. This ensures my practice remains lawful, person-centred and proportionate.</w:t>
            </w:r>
          </w:p>
          <w:p w14:paraId="6D8CB8AF" w14:textId="77777777" w:rsidR="00FC0334" w:rsidRPr="00F872D2" w:rsidRDefault="00FC0334" w:rsidP="00FF7EBB">
            <w:pPr>
              <w:jc w:val="both"/>
              <w:rPr>
                <w:sz w:val="28"/>
                <w:szCs w:val="28"/>
              </w:rPr>
            </w:pPr>
          </w:p>
          <w:p w14:paraId="75DF59E2" w14:textId="34342AD4" w:rsidR="00FC0334" w:rsidRPr="00F872D2" w:rsidRDefault="00F872D2" w:rsidP="00FF7EBB">
            <w:pPr>
              <w:jc w:val="both"/>
              <w:rPr>
                <w:sz w:val="22"/>
                <w:szCs w:val="22"/>
              </w:rPr>
            </w:pPr>
            <w:r w:rsidRPr="00F872D2">
              <w:rPr>
                <w:sz w:val="22"/>
                <w:szCs w:val="22"/>
              </w:rPr>
              <w:t>Word Count 46</w:t>
            </w:r>
            <w:r w:rsidR="00AF3CB1">
              <w:rPr>
                <w:sz w:val="22"/>
                <w:szCs w:val="22"/>
              </w:rPr>
              <w:t>2</w:t>
            </w:r>
          </w:p>
          <w:p w14:paraId="14883BA0" w14:textId="77777777" w:rsidR="00FC0334" w:rsidRPr="00F872D2" w:rsidRDefault="00FC0334" w:rsidP="00FF7EBB">
            <w:pPr>
              <w:jc w:val="both"/>
              <w:rPr>
                <w:sz w:val="28"/>
                <w:szCs w:val="28"/>
              </w:rPr>
            </w:pPr>
          </w:p>
          <w:p w14:paraId="03BD6D93" w14:textId="56AD433A" w:rsidR="007A628F" w:rsidRPr="008B28E7" w:rsidRDefault="007A628F" w:rsidP="00F872D2">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4AB12E1" w14:textId="77777777" w:rsidR="00506314" w:rsidRDefault="00506314" w:rsidP="0050631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5F651FC" w14:textId="77777777" w:rsidR="00506314" w:rsidRPr="00506314" w:rsidRDefault="00506314" w:rsidP="00506314">
            <w:pPr>
              <w:spacing w:before="100" w:beforeAutospacing="1" w:after="100" w:afterAutospacing="1" w:line="300" w:lineRule="atLeast"/>
              <w:jc w:val="both"/>
              <w:rPr>
                <w:sz w:val="22"/>
                <w:szCs w:val="22"/>
              </w:rPr>
            </w:pPr>
            <w:r w:rsidRPr="00506314">
              <w:rPr>
                <w:sz w:val="22"/>
                <w:szCs w:val="22"/>
              </w:rPr>
              <w:t>Safeguarding is the process of protecting individuals from abuse, neglect, exploitation and harm while promoting their welfare and well-being. Although safeguarding adults and children shares the same overall aim, there are important differences in legislation, decision-making and professional practice. These differences reflect the rights, needs, vulnerabilities and levels of autonomy of children and adults.</w:t>
            </w:r>
          </w:p>
          <w:p w14:paraId="35B41DDE" w14:textId="77777777" w:rsidR="00506314" w:rsidRPr="00506314" w:rsidRDefault="00506314" w:rsidP="00506314">
            <w:pPr>
              <w:spacing w:before="100" w:beforeAutospacing="1" w:after="100" w:afterAutospacing="1" w:line="300" w:lineRule="atLeast"/>
              <w:jc w:val="both"/>
              <w:rPr>
                <w:sz w:val="22"/>
                <w:szCs w:val="22"/>
              </w:rPr>
            </w:pPr>
            <w:r w:rsidRPr="00506314">
              <w:rPr>
                <w:sz w:val="22"/>
                <w:szCs w:val="22"/>
              </w:rPr>
              <w:t>A key difference is the emphasis placed on protection compared with choice and autonomy. Child safeguarding is based on the principle that the child's welfare is paramount. Children are considered particularly vulnerable because of their age and dependence on adults. Professionals therefore have a responsibility to intervene where there are concerns about a child's safety or well-being, including situations where the child or their family may disagree with professional intervention. Decisions should remain child-centred and consider the child's wishes and feelings alongside their safety and welfare.</w:t>
            </w:r>
          </w:p>
          <w:p w14:paraId="59EAA803" w14:textId="77777777" w:rsidR="00506314" w:rsidRPr="00506314" w:rsidRDefault="00506314" w:rsidP="00506314">
            <w:pPr>
              <w:spacing w:before="100" w:beforeAutospacing="1" w:after="100" w:afterAutospacing="1" w:line="300" w:lineRule="atLeast"/>
              <w:jc w:val="both"/>
              <w:rPr>
                <w:sz w:val="22"/>
                <w:szCs w:val="22"/>
              </w:rPr>
            </w:pPr>
            <w:r w:rsidRPr="00506314">
              <w:rPr>
                <w:sz w:val="22"/>
                <w:szCs w:val="22"/>
              </w:rPr>
              <w:t>Adult safeguarding places greater emphasis on choice, independence and empowerment. Adults are generally presumed to have mental capacity to make their own decisions unless there is evidence otherwise. Consequently, an adult with capacity may make decisions that professionals consider unwise or that involve some degree of risk. They may also decline safeguarding support. This can create ethical challenges for practitioners, who must balance their responsibility to safeguard individuals with respecting their rights, autonomy and freedoms.</w:t>
            </w:r>
          </w:p>
          <w:p w14:paraId="17E93C41" w14:textId="3873EAF3" w:rsidR="00506314" w:rsidRPr="00060FB4" w:rsidRDefault="003601F7" w:rsidP="00060FB4">
            <w:pPr>
              <w:pStyle w:val="NormalWeb"/>
              <w:spacing w:line="300" w:lineRule="atLeast"/>
              <w:jc w:val="both"/>
              <w:rPr>
                <w:rFonts w:ascii="Arial" w:hAnsi="Arial" w:cs="Arial"/>
                <w:sz w:val="22"/>
                <w:szCs w:val="22"/>
              </w:rPr>
            </w:pPr>
            <w:r w:rsidRPr="003601F7">
              <w:rPr>
                <w:rFonts w:ascii="Arial" w:hAnsi="Arial" w:cs="Arial"/>
                <w:sz w:val="22"/>
                <w:szCs w:val="22"/>
              </w:rPr>
              <w:lastRenderedPageBreak/>
              <w:t xml:space="preserve">Mental capacity is therefore particularly significant within adult safeguarding. The </w:t>
            </w:r>
            <w:r w:rsidRPr="003601F7">
              <w:rPr>
                <w:rStyle w:val="Strong"/>
                <w:rFonts w:ascii="Arial" w:hAnsi="Arial" w:cs="Arial"/>
                <w:b w:val="0"/>
                <w:bCs w:val="0"/>
                <w:sz w:val="22"/>
                <w:szCs w:val="22"/>
              </w:rPr>
              <w:t>Mental Capacity Act 2005</w:t>
            </w:r>
            <w:r w:rsidRPr="003601F7">
              <w:rPr>
                <w:rFonts w:ascii="Arial" w:hAnsi="Arial" w:cs="Arial"/>
                <w:sz w:val="22"/>
                <w:szCs w:val="22"/>
              </w:rPr>
              <w:t xml:space="preserve"> provides the framework for assessing capacity to make a specific decision and, where capacity is lacking, decisions must be made in the person’s </w:t>
            </w:r>
            <w:r w:rsidRPr="003601F7">
              <w:rPr>
                <w:rStyle w:val="Strong"/>
                <w:rFonts w:ascii="Arial" w:hAnsi="Arial" w:cs="Arial"/>
                <w:b w:val="0"/>
                <w:bCs w:val="0"/>
                <w:sz w:val="22"/>
                <w:szCs w:val="22"/>
              </w:rPr>
              <w:t>best interests</w:t>
            </w:r>
            <w:r w:rsidRPr="003601F7">
              <w:rPr>
                <w:rFonts w:ascii="Arial" w:hAnsi="Arial" w:cs="Arial"/>
                <w:sz w:val="22"/>
                <w:szCs w:val="22"/>
              </w:rPr>
              <w:t xml:space="preserve">, while respecting their </w:t>
            </w:r>
            <w:r w:rsidRPr="003601F7">
              <w:rPr>
                <w:rStyle w:val="Strong"/>
                <w:rFonts w:ascii="Arial" w:hAnsi="Arial" w:cs="Arial"/>
                <w:b w:val="0"/>
                <w:bCs w:val="0"/>
                <w:sz w:val="22"/>
                <w:szCs w:val="22"/>
              </w:rPr>
              <w:t>human rights, dignity and autonomy</w:t>
            </w:r>
            <w:r w:rsidRPr="003601F7">
              <w:rPr>
                <w:rFonts w:ascii="Arial" w:hAnsi="Arial" w:cs="Arial"/>
                <w:b/>
                <w:bCs/>
                <w:sz w:val="22"/>
                <w:szCs w:val="22"/>
              </w:rPr>
              <w:t>.</w:t>
            </w:r>
            <w:r w:rsidRPr="003601F7">
              <w:rPr>
                <w:rFonts w:ascii="Arial" w:hAnsi="Arial" w:cs="Arial"/>
                <w:sz w:val="22"/>
                <w:szCs w:val="22"/>
              </w:rPr>
              <w:t xml:space="preserve"> In children’s safeguarding, age, development, understanding and parental responsibility are relevant, with an older child’s ability to make their own decisions considered through </w:t>
            </w:r>
            <w:r w:rsidRPr="003601F7">
              <w:rPr>
                <w:rStyle w:val="Strong"/>
                <w:rFonts w:ascii="Arial" w:hAnsi="Arial" w:cs="Arial"/>
                <w:b w:val="0"/>
                <w:bCs w:val="0"/>
                <w:sz w:val="22"/>
                <w:szCs w:val="22"/>
              </w:rPr>
              <w:t>Gillick competence</w:t>
            </w:r>
            <w:r w:rsidRPr="003601F7">
              <w:rPr>
                <w:rFonts w:ascii="Arial" w:hAnsi="Arial" w:cs="Arial"/>
                <w:sz w:val="22"/>
                <w:szCs w:val="22"/>
              </w:rPr>
              <w:t>.</w:t>
            </w:r>
            <w:r w:rsidR="00060FB4">
              <w:rPr>
                <w:rFonts w:ascii="Arial" w:hAnsi="Arial" w:cs="Arial"/>
                <w:sz w:val="22"/>
                <w:szCs w:val="22"/>
              </w:rPr>
              <w:t xml:space="preserve"> </w:t>
            </w:r>
            <w:r w:rsidR="00060FB4" w:rsidRPr="00060FB4">
              <w:rPr>
                <w:rFonts w:ascii="Arial" w:hAnsi="Arial" w:cs="Arial"/>
                <w:sz w:val="22"/>
                <w:szCs w:val="22"/>
              </w:rPr>
              <w:t>I</w:t>
            </w:r>
            <w:r w:rsidR="00506314" w:rsidRPr="00060FB4">
              <w:rPr>
                <w:rFonts w:ascii="Arial" w:hAnsi="Arial" w:cs="Arial"/>
                <w:sz w:val="22"/>
                <w:szCs w:val="22"/>
              </w:rPr>
              <w:t>n Wales, safeguarding practice is underpinned by legislation including the Social Services and Well-being (Wales) Act 2014, alongside the Mental Capacity Act 2005, Human Rights Act 1998 and relevant safeguarding procedures and guidance.</w:t>
            </w:r>
          </w:p>
          <w:p w14:paraId="69B95A75" w14:textId="77777777" w:rsidR="00506314" w:rsidRPr="00506314" w:rsidRDefault="00506314" w:rsidP="00506314">
            <w:pPr>
              <w:spacing w:before="100" w:beforeAutospacing="1" w:after="100" w:afterAutospacing="1" w:line="300" w:lineRule="atLeast"/>
              <w:jc w:val="both"/>
              <w:rPr>
                <w:sz w:val="22"/>
                <w:szCs w:val="22"/>
              </w:rPr>
            </w:pPr>
            <w:r w:rsidRPr="00060FB4">
              <w:rPr>
                <w:sz w:val="22"/>
                <w:szCs w:val="22"/>
              </w:rPr>
              <w:t>Partnership working is essential in both</w:t>
            </w:r>
            <w:r w:rsidRPr="00506314">
              <w:rPr>
                <w:sz w:val="22"/>
                <w:szCs w:val="22"/>
              </w:rPr>
              <w:t xml:space="preserve"> areas. Children's safeguarding often requires close involvement with parents, carers, education, health and other agencies. Adult safeguarding generally places greater emphasis on working directly with the individual to understand what outcomes they want to achieve.</w:t>
            </w:r>
          </w:p>
          <w:p w14:paraId="06D03A56" w14:textId="77777777" w:rsidR="00506314" w:rsidRPr="00506314" w:rsidRDefault="00506314" w:rsidP="00506314">
            <w:pPr>
              <w:spacing w:before="100" w:beforeAutospacing="1" w:after="100" w:afterAutospacing="1" w:line="300" w:lineRule="atLeast"/>
              <w:jc w:val="both"/>
              <w:rPr>
                <w:sz w:val="22"/>
                <w:szCs w:val="22"/>
              </w:rPr>
            </w:pPr>
            <w:r w:rsidRPr="00506314">
              <w:rPr>
                <w:sz w:val="22"/>
                <w:szCs w:val="22"/>
              </w:rPr>
              <w:t>Reflecting on my practice, I recognise that safeguarding cannot follow a one-size-fits-all approach. Effective safeguarding requires practitioners to consider each person's circumstances, rights, wishes and vulnerabilities. I must therefore remain person-centred, professionally curious and legally informed, ensuring that protection is balanced appropriately with autonomy, dignity and individual rights.</w:t>
            </w:r>
          </w:p>
          <w:p w14:paraId="795C6051" w14:textId="77777777" w:rsidR="00FC0334" w:rsidRDefault="00FC0334" w:rsidP="00FC0334">
            <w:pPr>
              <w:jc w:val="both"/>
              <w:rPr>
                <w:sz w:val="24"/>
                <w:szCs w:val="24"/>
              </w:rPr>
            </w:pPr>
          </w:p>
          <w:p w14:paraId="67E7ED72" w14:textId="1AE84324" w:rsidR="00FC0334" w:rsidRPr="00506314" w:rsidRDefault="00506314" w:rsidP="00FC0334">
            <w:pPr>
              <w:jc w:val="both"/>
              <w:rPr>
                <w:sz w:val="22"/>
                <w:szCs w:val="22"/>
              </w:rPr>
            </w:pPr>
            <w:r w:rsidRPr="00506314">
              <w:rPr>
                <w:sz w:val="22"/>
                <w:szCs w:val="22"/>
              </w:rPr>
              <w:t>Word Count 40</w:t>
            </w:r>
            <w:r w:rsidR="00EC25A3">
              <w:rPr>
                <w:sz w:val="22"/>
                <w:szCs w:val="22"/>
              </w:rPr>
              <w:t>9</w:t>
            </w:r>
          </w:p>
          <w:p w14:paraId="08760B3D" w14:textId="77777777" w:rsidR="00FC0334" w:rsidRPr="006108C9" w:rsidRDefault="00FC0334" w:rsidP="00506314">
            <w:pPr>
              <w:jc w:val="both"/>
              <w:rPr>
                <w:sz w:val="24"/>
                <w:szCs w:val="24"/>
              </w:rPr>
            </w:pPr>
          </w:p>
        </w:tc>
      </w:tr>
      <w:tr w:rsidR="00506314" w:rsidRPr="008B28E7" w14:paraId="0393D71F" w14:textId="77777777" w:rsidTr="00FC0334">
        <w:tc>
          <w:tcPr>
            <w:tcW w:w="10278" w:type="dxa"/>
          </w:tcPr>
          <w:p w14:paraId="1FFB37AE" w14:textId="7447EB50" w:rsidR="00506314" w:rsidRPr="00EB695F" w:rsidRDefault="00506314" w:rsidP="00FC0334">
            <w:pPr>
              <w:jc w:val="both"/>
              <w:rPr>
                <w:b/>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05520" w14:textId="77777777" w:rsidR="008112A0" w:rsidRDefault="008112A0">
      <w:r>
        <w:separator/>
      </w:r>
    </w:p>
  </w:endnote>
  <w:endnote w:type="continuationSeparator" w:id="0">
    <w:p w14:paraId="22F5D398" w14:textId="77777777" w:rsidR="008112A0" w:rsidRDefault="00811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9A283" w14:textId="77777777" w:rsidR="008112A0" w:rsidRDefault="008112A0">
      <w:r>
        <w:separator/>
      </w:r>
    </w:p>
  </w:footnote>
  <w:footnote w:type="continuationSeparator" w:id="0">
    <w:p w14:paraId="3DFF2FAB" w14:textId="77777777" w:rsidR="008112A0" w:rsidRDefault="008112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FB4"/>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284D"/>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1F7"/>
    <w:rsid w:val="00365DF9"/>
    <w:rsid w:val="0037066E"/>
    <w:rsid w:val="0037188C"/>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1C6A"/>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314"/>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D99"/>
    <w:rsid w:val="006B4496"/>
    <w:rsid w:val="006B5E67"/>
    <w:rsid w:val="006B6612"/>
    <w:rsid w:val="006C2EB5"/>
    <w:rsid w:val="006D18A3"/>
    <w:rsid w:val="006D5970"/>
    <w:rsid w:val="006E481E"/>
    <w:rsid w:val="006E795F"/>
    <w:rsid w:val="006F0862"/>
    <w:rsid w:val="006F1438"/>
    <w:rsid w:val="006F2A9E"/>
    <w:rsid w:val="006F4B68"/>
    <w:rsid w:val="006F5ED3"/>
    <w:rsid w:val="00700249"/>
    <w:rsid w:val="007046D2"/>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3EE"/>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12A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46D"/>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4F75"/>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CB1"/>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6A71"/>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5A3"/>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217"/>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2D2"/>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cf01">
    <w:name w:val="cf01"/>
    <w:basedOn w:val="DefaultParagraphFont"/>
    <w:rsid w:val="006F4B68"/>
    <w:rPr>
      <w:rFonts w:ascii="Segoe UI" w:hAnsi="Segoe UI" w:cs="Segoe UI" w:hint="default"/>
      <w:sz w:val="18"/>
      <w:szCs w:val="18"/>
    </w:rPr>
  </w:style>
  <w:style w:type="paragraph" w:styleId="NormalWeb">
    <w:name w:val="Normal (Web)"/>
    <w:basedOn w:val="Normal"/>
    <w:uiPriority w:val="99"/>
    <w:unhideWhenUsed/>
    <w:rsid w:val="003601F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601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lanrevans@hot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Pages>
  <Words>1146</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Evans</cp:lastModifiedBy>
  <cp:revision>13</cp:revision>
  <cp:lastPrinted>2020-02-11T19:20:00Z</cp:lastPrinted>
  <dcterms:created xsi:type="dcterms:W3CDTF">2026-09-30T09:47:00Z</dcterms:created>
  <dcterms:modified xsi:type="dcterms:W3CDTF">2026-10-03T14:39:00Z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