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rPr>
      </w:pPr>
      <w:r>
        <w:rPr>
          <w:b/>
          <w:sz w:val="32"/>
        </w:rPr>
        <w:t>Investigating CSR in Coca Cola</w:t>
      </w:r>
    </w:p>
    <w:p/>
    <w:p/>
    <w:p/>
    <w:p/>
    <w:p/>
    <w:p/>
    <w:p/>
    <w:p/>
    <w:p/>
    <w:p/>
    <w:p/>
    <w:p/>
    <w:p/>
    <w:p/>
    <w:p/>
    <w:p/>
    <w:p/>
    <w:p/>
    <w:p/>
    <w:p/>
    <w:p>
      <w:pPr>
        <w:pStyle w:val="2"/>
        <w:spacing w:line="360" w:lineRule="auto"/>
        <w:outlineLvl w:val="9"/>
        <w:sectPr>
          <w:pgSz w:w="11906" w:h="16838"/>
          <w:pgMar w:top="1440" w:right="1440" w:bottom="1440" w:left="1440" w:header="708" w:footer="708" w:gutter="0"/>
          <w:cols w:space="708" w:num="1"/>
          <w:docGrid w:linePitch="360" w:charSpace="0"/>
        </w:sectPr>
      </w:pPr>
    </w:p>
    <w:p>
      <w:pPr>
        <w:pStyle w:val="2"/>
        <w:spacing w:line="360" w:lineRule="auto"/>
      </w:pPr>
      <w:bookmarkStart w:id="0" w:name="_Toc21061"/>
      <w:r>
        <w:t>Introduction:</w:t>
      </w:r>
      <w:bookmarkEnd w:id="0"/>
    </w:p>
    <w:p>
      <w:pPr>
        <w:ind w:firstLine="720"/>
      </w:pPr>
      <w:r>
        <w:t xml:space="preserve">Social responsibility suggests that every organization, person or entity have an obligation to work, behave or act for the best interest or benefit of the society. Over past two decades, the concept has become a key concern of the corporate world. In the past corporations were merely concerned with their profits and growth. However, due to increasing expectations of stakeholders, shareholder activism, regulations and legislations, companies have to pay more emphasizes on social responsibility and ethics. Companies invest significantly for CSR campaigns to benefit society, ensure its sustainability and to come up to the expectations of stakeholders (Mory et al., 2016). An example of such companies include, Coca Cola. Recently, Dow Jones Sustainability Index of 2019, ranked Coca Cola HBC as the top most sustainable beverage corporation in the European region (Obi, 2019). In this essay, an assessment of Coca Cola CSR objectives, strategic management and performance will be done. The essay will also reflect on the CSR of the company in the light of recent criticism published within journals and newspapers. </w:t>
      </w:r>
    </w:p>
    <w:p>
      <w:bookmarkStart w:id="5" w:name="_GoBack"/>
      <w:bookmarkEnd w:id="5"/>
    </w:p>
    <w:p>
      <w:pPr>
        <w:pStyle w:val="2"/>
        <w:spacing w:line="360" w:lineRule="auto"/>
      </w:pPr>
      <w:bookmarkStart w:id="1" w:name="_Toc14675"/>
      <w:r>
        <w:t>Coca Cola CSR Strategies:</w:t>
      </w:r>
      <w:bookmarkEnd w:id="1"/>
    </w:p>
    <w:p>
      <w:pPr>
        <w:ind w:firstLine="720"/>
      </w:pPr>
      <w:r>
        <w:t xml:space="preserve">Coca Cola is an American carbonated beverage manufacturing giant that has operations in more than 200 countries since 1886 (Tikhonov et al., 2019). Coca Cola claims that CSR is the heart of the business and an important element of corporate vision. In order to achieve the vision, the company invests 1% of its annual operating profits in the CSR programs (Brownlee et al., 2017). In the year 2014, the company invested $126 million or 1.3% of its operating profit to ensure the success of its CSR initiative, the "Water Stewardship Program - SWP" (Parekh, 2016). The company acknowledge that water is a key resource that is used in production of Coca Cola beverages. Excessive use of water by the company can impact environment sustainability. In order to sustain environment, the company initiated SWP with an objective to ensure water sustainability in water-stressed areas (Agha, 2017). Along with the program, the company also developed significant changes in the corporate model. In the year 2004, the company used 2.7 liters of water for each liter of production. However, the company has redesigned its system to enhance water efficiency that will help the company to ensure that only 1.3 lire water is used for each lire of production (Jones et al., 2016). Water efficiency is one of the key goal to achieve in 2020, therefore, the company made considerable efforts by developing effective wastewater management system. The company realized that waste-water created in production centers of Coke had to be treated. The company altered its wastewater management into performance-based model that helped to improve efficiency and reduce water wastage (Gallagher, 2018). </w:t>
      </w:r>
    </w:p>
    <w:p>
      <w:pPr>
        <w:ind w:firstLine="720"/>
      </w:pPr>
      <w:r>
        <w:t xml:space="preserve">While SWP proved to be a successful CSR initiative, the company also introduced CSR initiatives to benefit environment, and overall societies. Multiple education projects are introduced by Coke to help poor population of India while the company also provided employment opportunities to the deaf people in the region (Jones et al, 2016). In United States, Coca Cola introduced 'Me, We, World' campaign. The campaign was focused on 'enhancing personal well-being (Me)', by distributing low-calorie and sugar drinks to the market, with clear and honest nutrition information on the package. Furthermore, the company also focused on 'building strong communities (We)' by providing employment and empowering more than 5 million women entrepreneurs till the year 2020. Finally, the company 'protects environment (World)' by reducing carbon emissions, water intake, creating water, and sustainable sourcing (Gehani, 2016). The company aims to replenish 100% water utilized in production, along with 25% reduction in the carbon footprint. In Mexico, the company has already created a new recipe of Coke that will reduce sugar by 30% ensuring sustainable health of the consumers. The company has also introduced multiple initiatives to reduce packaging wastes as a result 88% of the Coca Cola packaging waste in Mexico were recycled. The company also claimed that it used 30% of the recycled materials in its production in 2018. It is also committed to introducing new bottles that will help contribute in reducing global warming (Bista, 2019). </w:t>
      </w:r>
    </w:p>
    <w:p>
      <w:pPr>
        <w:ind w:firstLine="720"/>
      </w:pPr>
      <w:r>
        <w:t>Apart from customers, communities, and environment, the company also ensure that sustainability and CSR is practices in its business model. Therefore, in the year 2012, the company released its own sustainable agriculture guideline for the suppliers that supply agriculture products (Schillinger and Kearns, 2017). The company has multiple partners, and allies that help company in its CSR initiatives. Furthermore, multiple times, Coca Cola partnered with communities, organizations, employees and agencies to help flood, or earthquake victims as well. Such practices reveal strong dedication of the company in ensuring sustainability and responsibility in its conduct. The company is dedicated to contribute in resolving a number of environmental, society and other concerns (Agha, 2017). The dedication is evident from 17 goals to be achieved by 2025, set out in the sustainability report of Coca Cola (2018). The company developed the goals after consultation with more than 100 stakeholders as well as insights from more than 12,000 customers as well as 1000 Coca Cola workers. The has set out reasonable timescale to achieve the goals while the company is gradually progressing to achieve its goals. Below priority matrix reveal various issues that the company is focused to resolve;</w:t>
      </w:r>
    </w:p>
    <w:p>
      <w:pPr>
        <w:jc w:val="center"/>
        <w:rPr>
          <w:lang w:val="en"/>
        </w:rPr>
      </w:pPr>
      <w:r>
        <w:rPr>
          <w:lang w:val="en-GB" w:eastAsia="en-GB"/>
        </w:rPr>
        <w:drawing>
          <wp:inline distT="0" distB="0" distL="0" distR="0">
            <wp:extent cx="4603750" cy="4572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603750" cy="4572000"/>
                    </a:xfrm>
                    <a:prstGeom prst="rect">
                      <a:avLst/>
                    </a:prstGeom>
                    <a:noFill/>
                    <a:ln>
                      <a:noFill/>
                    </a:ln>
                  </pic:spPr>
                </pic:pic>
              </a:graphicData>
            </a:graphic>
          </wp:inline>
        </w:drawing>
      </w:r>
    </w:p>
    <w:p>
      <w:pPr>
        <w:jc w:val="center"/>
        <w:rPr>
          <w:lang w:val="en"/>
        </w:rPr>
      </w:pPr>
      <w:r>
        <w:rPr>
          <w:lang w:val="en"/>
        </w:rPr>
        <w:t>Figure 1: Priority Issue Matrix of Coca Cola</w:t>
      </w:r>
    </w:p>
    <w:p>
      <w:pPr>
        <w:jc w:val="center"/>
        <w:rPr>
          <w:lang w:val="en"/>
        </w:rPr>
      </w:pPr>
      <w:r>
        <w:rPr>
          <w:lang w:val="en"/>
        </w:rPr>
        <w:t>Source: Coca Cola (2018)</w:t>
      </w:r>
    </w:p>
    <w:p>
      <w:pPr>
        <w:rPr>
          <w:lang w:val="en"/>
        </w:rPr>
      </w:pPr>
      <w:r>
        <w:rPr>
          <w:lang w:val="en"/>
        </w:rPr>
        <w:tab/>
      </w:r>
      <w:r>
        <w:rPr>
          <w:lang w:val="en"/>
        </w:rPr>
        <w:t xml:space="preserve">As they say, ‘actions speak louder than words’. Coca Cola actions are consistent with the goals spelled out by the company in its sustainability report. </w:t>
      </w:r>
      <w:r>
        <w:t xml:space="preserve">The company has set up an independent committee of public issues and diversity review, along with social responsibility committee that help to ensure that CSR objectives are achieved. Furthermore, director of sustainability, Water Stewardship and Sustainable Agriculture ensure that the corporate practices are aligned with the goals set out by companies in sustainability report 2018 (Coca Cola, 2018).  </w:t>
      </w:r>
      <w:r>
        <w:rPr>
          <w:lang w:val="en"/>
        </w:rPr>
        <w:t xml:space="preserve">The company also disclose its CSR progress and plans of CSR, in form of annual sustainability disclosures. According to Coca Cola (2018), the annual sustainability report of Coca Cola is prepared as per Global Reporting Initiative (GRI) that provides most widely accepted standards of reporting sustainability. The company report is in line with 2016 GRI Standards because it provides discussion of foundation, general disclosures, economic performance, environmental performance, social performance as well as management approach that the company will use. The disclosures are audited, honest, detailed and consistent that help to build trust and integrity in corporate CSR and sustainability. </w:t>
      </w:r>
    </w:p>
    <w:p>
      <w:pPr>
        <w:pStyle w:val="2"/>
        <w:spacing w:line="360" w:lineRule="auto"/>
        <w:rPr>
          <w:lang w:val="en"/>
        </w:rPr>
      </w:pPr>
      <w:bookmarkStart w:id="2" w:name="_Toc13147"/>
      <w:r>
        <w:rPr>
          <w:lang w:val="en"/>
        </w:rPr>
        <w:t>Criticism of Coca Cola CSR:</w:t>
      </w:r>
      <w:bookmarkEnd w:id="2"/>
    </w:p>
    <w:p>
      <w:r>
        <w:rPr>
          <w:lang w:val="en"/>
        </w:rPr>
        <w:tab/>
      </w:r>
      <w:r>
        <w:rPr>
          <w:lang w:val="en"/>
        </w:rPr>
        <w:t>While recent disclosure of the company reveal strong commitment to CSR, many journalists and author claim that Coca Cola CSR strategy is a two edge sword. The company has paid considerable attention to water replenishment program. However, it is yet one of the key culprit that the world is gradually becoming dehydrated (Backes, 2017). In the beginning of the 20</w:t>
      </w:r>
      <w:r>
        <w:rPr>
          <w:vertAlign w:val="superscript"/>
          <w:lang w:val="en"/>
        </w:rPr>
        <w:t>th</w:t>
      </w:r>
      <w:r>
        <w:rPr>
          <w:lang w:val="en"/>
        </w:rPr>
        <w:t xml:space="preserve"> century, rumors were observed regarding large amount of water used by Coca Cola for production of its beverages. The rumors became reality when during 2000, researches claimed that Coca bottling plants were reducing water levels in lands significantly (Dillard-Wright &amp; Misirhiralall, 2018). In 1999, the company established production plants in small village located in Rajasthan. The area was already deserted and the locals in the region relied on groundwater for irrigation and living. However, local villagers testified that since Coca Cola started its operations in the region, the water level has fallen by almost 10 meters by 2005. Coca Cola initially ignored the warning until the area was water deprived (Bhattacharya, 2016). </w:t>
      </w:r>
      <w:r>
        <w:t xml:space="preserve">Other communities living near Coca Cola production facilities also reported severe water crises. The company has also exploited water resources in Kerala, Uttar Pradesh and many other regions of India. Due to the actions of the company, the plant in Kerala was closed down by local authorities in 2004 while the company faced multiple lawsuits and protests due its other production plants in India (George, 2016). </w:t>
      </w:r>
    </w:p>
    <w:p>
      <w:pPr>
        <w:ind w:firstLine="720"/>
      </w:pPr>
      <w:r>
        <w:t xml:space="preserve">Apart from India, the company bottling plants in other nations are also accused for water resource exploitation. In El Salvador, the company was held liable for exploitation of water resource over a period of 25 years. The company has received criticism and encountered protests from local publics, and organizations for mass water exploitation. Despite of multiple efforts made by the company to present itself as responsible company, Coca Cola was criticized for being profit hungry and dehydrating the world (George, 2016). The sustainability disclosures of the company highlighted glorious efforts of company in waste water management and water recycling to win a good image in public. In annual disclosure of Coca Cola (2016), the company claimed that for each drop it takes from the world to make beverage, it gives one back. The statement indicated that the company now gives back 100% of the water it takes from the world. However, an article published in ‘The Verge’ during 2018 criticized the statement. The article pointed that the company is making false claim while it is not even close to returning the total amount of water it consumes. The article also pointed that the strategy of water neutrality is itself not sustainable. As the company will continue to grow its sales, the water consumption will continue to increase, leading to inability to create enough water compared to the water consumed (MacDonald, 2018). </w:t>
      </w:r>
    </w:p>
    <w:p>
      <w:pPr>
        <w:rPr>
          <w:lang w:val="en"/>
        </w:rPr>
      </w:pPr>
      <w:r>
        <w:rPr>
          <w:lang w:val="en"/>
        </w:rPr>
        <w:t xml:space="preserve"> </w:t>
      </w:r>
      <w:r>
        <w:rPr>
          <w:lang w:val="en"/>
        </w:rPr>
        <w:tab/>
      </w:r>
      <w:r>
        <w:rPr>
          <w:lang w:val="en"/>
        </w:rPr>
        <w:t xml:space="preserve">While the historic water crises brought by Coca Cola are one of key reason to claim that the company is not all about CSR, the performance of company in achieving its other CSR and sustainability goals of 2025 are also noteworthy. According to the criticism done by MacDonald (2018), the company has come up with rather far stretched and flashy goals in 2025. The company previously introduced sustainability goals for 2020 that the company has not achieved yet. The company claimed that it will reduce direct carbon emissions by 50% in 2020, while in recent sustainability report (2018) the company reported a rise in carbon emission to 21% in 2018 from 19% in 2017. Furthermore, the company also claimed that in 2020, the company will reduce water use by 30%. On the contrary, the company water use has increased from 15% in 2017 to 16% in 2018. It was also claimed that company will invest 2% of annual operating profit in CSR, while on contrary, the percentage of investment is only 1% of the annual operating profits. It is also observed that the total amount of waste water recycled in tons or percentage from the year 2017 till 2018 are not available on the recent sustainability disclosure of Coca Cola in 2018. </w:t>
      </w:r>
    </w:p>
    <w:p>
      <w:r>
        <w:tab/>
      </w:r>
      <w:r>
        <w:t xml:space="preserve">Lack of commitment in achieving CSR goals or dried up lakes and lands or are not sufficient to claim that Coca Cola CSR is ineffective. However, in their work, George (2016) revealed a number of other reasons to criticize the CSR performance of the company. The authors pointed that the company is consistently involved in anti-union practices since 90s. In 1990, a notable situation was observed in Colombia where the main trade union, Sinaltrainal accused the company for utilizing paramilitaries to carry out anti-union practices (Olava, 2018). During 20s, multiple cases were observed where Coca Cola was accused for firing workers for their participation in trade unions or protests. According to Rim et al. (2018) Coca Cola bottling plants are yet criticized for mistreatment with workers; such as recent case of employee that got fired for drinking Pepsi. According to the sustainability report 2018, the number of total workplace cases have increased from 143 to 161. Apart from ill-treatment with workers, the company also placed great emphasizes on women empowerment within its marketing campaigns. However, the sustainability report (2018) also show that in Coca Cola, compared to 2017, the number of women hired as senior leaders reduced from 32.2% to 32.1%. Furthermore, the number of discrimination cases have also increased. The sustainability report 2018 also reveal that the number of materials that were collected or recycled have also reduced from 2017 till 2018. It can be concluded that lack of CSR management is the culprit such performance of company in achieving in 2020 targets. If the company fail to improvise, it may also fail to achieve the 2025 targets. Based on the assessment of CSR claims by company, as well as evaluation of the critique, the key conclusions are provided in upcoming section. </w:t>
      </w:r>
    </w:p>
    <w:p>
      <w:pPr>
        <w:pStyle w:val="2"/>
        <w:spacing w:line="360" w:lineRule="auto"/>
      </w:pPr>
      <w:bookmarkStart w:id="3" w:name="_Toc7963"/>
      <w:r>
        <w:t>Conclusion:</w:t>
      </w:r>
      <w:bookmarkEnd w:id="3"/>
    </w:p>
    <w:p>
      <w:pPr>
        <w:ind w:firstLine="720"/>
      </w:pPr>
      <w:r>
        <w:t xml:space="preserve">It can be concluded that the corporate social responsibility of Coca Cola is indeed a double edge sword.  The company has failed to achieve its 2020 goals of sustainability while the goals of 2025 seem to be far stretched. It is also observed that the company has low actual performance in achieving its sustainability targets with significant reduction in performance in 2018 compared to 2017. The company ‘water neutrality’ program focused on returning each drop of water taken seems to be flawed. The company must develop effective management to ensure strong CSR campaigns and achievement of CSR objectives. It is also suggested that the company must put CSR in the business model to achieve the objectives and align the company with the CSR visions and aims. </w:t>
      </w:r>
    </w:p>
    <w:p>
      <w:pPr>
        <w:ind w:firstLine="720"/>
      </w:pPr>
    </w:p>
    <w:p>
      <w:pPr>
        <w:ind w:firstLine="720"/>
      </w:pPr>
    </w:p>
    <w:p>
      <w:pPr>
        <w:ind w:firstLine="720"/>
      </w:pPr>
    </w:p>
    <w:p>
      <w:pPr>
        <w:ind w:firstLine="720"/>
      </w:pPr>
    </w:p>
    <w:p>
      <w:pPr>
        <w:ind w:firstLine="720"/>
      </w:pPr>
    </w:p>
    <w:p>
      <w:pPr>
        <w:pStyle w:val="2"/>
        <w:spacing w:line="360" w:lineRule="auto"/>
      </w:pPr>
      <w:bookmarkStart w:id="4" w:name="_Toc22533"/>
      <w:r>
        <w:t>References:</w:t>
      </w:r>
      <w:bookmarkEnd w:id="4"/>
    </w:p>
    <w:p>
      <w:pPr>
        <w:ind w:left="1440" w:hanging="1440"/>
        <w:rPr>
          <w:rFonts w:cs="Times New Roman"/>
          <w:color w:val="222222"/>
          <w:szCs w:val="24"/>
          <w:shd w:val="clear" w:color="auto" w:fill="FFFFFF"/>
        </w:rPr>
      </w:pPr>
      <w:r>
        <w:rPr>
          <w:rFonts w:cs="Times New Roman"/>
          <w:color w:val="222222"/>
          <w:szCs w:val="24"/>
          <w:shd w:val="clear" w:color="auto" w:fill="FFFFFF"/>
        </w:rPr>
        <w:t>Agha, Z. (2017) Always Coca-Cola: Why Environmental Exploitation Should Be Included in the Legal Construction of International Crimes. </w:t>
      </w:r>
      <w:r>
        <w:rPr>
          <w:rFonts w:cs="Times New Roman"/>
          <w:i/>
          <w:iCs/>
          <w:color w:val="222222"/>
          <w:szCs w:val="24"/>
          <w:shd w:val="clear" w:color="auto" w:fill="FFFFFF"/>
        </w:rPr>
        <w:t>Amsterdam LF</w:t>
      </w:r>
      <w:r>
        <w:rPr>
          <w:rFonts w:cs="Times New Roman"/>
          <w:color w:val="222222"/>
          <w:szCs w:val="24"/>
          <w:shd w:val="clear" w:color="auto" w:fill="FFFFFF"/>
        </w:rPr>
        <w:t>, </w:t>
      </w:r>
      <w:r>
        <w:rPr>
          <w:rFonts w:cs="Times New Roman"/>
          <w:i/>
          <w:iCs/>
          <w:color w:val="222222"/>
          <w:szCs w:val="24"/>
          <w:shd w:val="clear" w:color="auto" w:fill="FFFFFF"/>
        </w:rPr>
        <w:t>9</w:t>
      </w:r>
      <w:r>
        <w:rPr>
          <w:rFonts w:cs="Times New Roman"/>
          <w:color w:val="222222"/>
          <w:szCs w:val="24"/>
          <w:shd w:val="clear" w:color="auto" w:fill="FFFFFF"/>
        </w:rPr>
        <w:t>, 104.</w:t>
      </w:r>
    </w:p>
    <w:p>
      <w:pPr>
        <w:ind w:left="1440" w:hanging="1440"/>
        <w:rPr>
          <w:rFonts w:cs="Times New Roman"/>
          <w:color w:val="222222"/>
          <w:szCs w:val="24"/>
          <w:shd w:val="clear" w:color="auto" w:fill="FFFFFF"/>
        </w:rPr>
      </w:pPr>
      <w:r>
        <w:rPr>
          <w:rFonts w:cs="Times New Roman"/>
          <w:color w:val="222222"/>
          <w:szCs w:val="24"/>
          <w:shd w:val="clear" w:color="auto" w:fill="FFFFFF"/>
        </w:rPr>
        <w:t>Backes, S. R. (2017) Sustaining Success At Coca-Cola. </w:t>
      </w:r>
      <w:r>
        <w:rPr>
          <w:rFonts w:cs="Times New Roman"/>
          <w:i/>
          <w:iCs/>
          <w:color w:val="222222"/>
          <w:szCs w:val="24"/>
          <w:shd w:val="clear" w:color="auto" w:fill="FFFFFF"/>
        </w:rPr>
        <w:t>Fruit processing: journal for the fruit processing and juice producing european and overseas industry</w:t>
      </w:r>
      <w:r>
        <w:rPr>
          <w:rFonts w:cs="Times New Roman"/>
          <w:color w:val="222222"/>
          <w:szCs w:val="24"/>
          <w:shd w:val="clear" w:color="auto" w:fill="FFFFFF"/>
        </w:rPr>
        <w:t>, </w:t>
      </w:r>
      <w:r>
        <w:rPr>
          <w:rFonts w:cs="Times New Roman"/>
          <w:i/>
          <w:iCs/>
          <w:color w:val="222222"/>
          <w:szCs w:val="24"/>
          <w:shd w:val="clear" w:color="auto" w:fill="FFFFFF"/>
        </w:rPr>
        <w:t>27</w:t>
      </w:r>
      <w:r>
        <w:rPr>
          <w:rFonts w:cs="Times New Roman"/>
          <w:color w:val="222222"/>
          <w:szCs w:val="24"/>
          <w:shd w:val="clear" w:color="auto" w:fill="FFFFFF"/>
        </w:rPr>
        <w:t>(1), pp. 18-21.</w:t>
      </w:r>
    </w:p>
    <w:p>
      <w:pPr>
        <w:ind w:left="1440" w:hanging="1440"/>
        <w:rPr>
          <w:rFonts w:cs="Times New Roman"/>
          <w:color w:val="222222"/>
          <w:szCs w:val="24"/>
          <w:shd w:val="clear" w:color="auto" w:fill="FFFFFF"/>
        </w:rPr>
      </w:pPr>
      <w:r>
        <w:rPr>
          <w:rFonts w:cs="Times New Roman"/>
          <w:color w:val="222222"/>
          <w:szCs w:val="24"/>
          <w:shd w:val="clear" w:color="auto" w:fill="FFFFFF"/>
        </w:rPr>
        <w:t>Bhattacharya, S. (2016) Changing dimensions and interactions of water crisis and human rights in developing countries. </w:t>
      </w:r>
      <w:r>
        <w:rPr>
          <w:rFonts w:cs="Times New Roman"/>
          <w:i/>
          <w:iCs/>
          <w:color w:val="222222"/>
          <w:szCs w:val="24"/>
          <w:shd w:val="clear" w:color="auto" w:fill="FFFFFF"/>
        </w:rPr>
        <w:t>World Scientific News</w:t>
      </w:r>
      <w:r>
        <w:rPr>
          <w:rFonts w:cs="Times New Roman"/>
          <w:color w:val="222222"/>
          <w:szCs w:val="24"/>
          <w:shd w:val="clear" w:color="auto" w:fill="FFFFFF"/>
        </w:rPr>
        <w:t>, </w:t>
      </w:r>
      <w:r>
        <w:rPr>
          <w:rFonts w:cs="Times New Roman"/>
          <w:i/>
          <w:iCs/>
          <w:color w:val="222222"/>
          <w:szCs w:val="24"/>
          <w:shd w:val="clear" w:color="auto" w:fill="FFFFFF"/>
        </w:rPr>
        <w:t>34</w:t>
      </w:r>
      <w:r>
        <w:rPr>
          <w:rFonts w:cs="Times New Roman"/>
          <w:color w:val="222222"/>
          <w:szCs w:val="24"/>
          <w:shd w:val="clear" w:color="auto" w:fill="FFFFFF"/>
        </w:rPr>
        <w:t>, pp. 86-97.</w:t>
      </w:r>
    </w:p>
    <w:p>
      <w:pPr>
        <w:ind w:left="1440" w:hanging="1440"/>
        <w:rPr>
          <w:rFonts w:cs="Times New Roman"/>
          <w:color w:val="222222"/>
          <w:szCs w:val="24"/>
          <w:shd w:val="clear" w:color="auto" w:fill="FFFFFF"/>
        </w:rPr>
      </w:pPr>
      <w:r>
        <w:rPr>
          <w:rFonts w:cs="Times New Roman"/>
          <w:color w:val="222222"/>
          <w:szCs w:val="24"/>
          <w:shd w:val="clear" w:color="auto" w:fill="FFFFFF"/>
        </w:rPr>
        <w:t>Bista, S. (2019) Sustainability in Business (A critique of environmental sustainability practices in Coca-Cola and Unilever)</w:t>
      </w:r>
    </w:p>
    <w:p>
      <w:pPr>
        <w:ind w:left="1440" w:hanging="1440"/>
        <w:rPr>
          <w:rFonts w:cs="Times New Roman"/>
          <w:color w:val="222222"/>
          <w:szCs w:val="24"/>
          <w:shd w:val="clear" w:color="auto" w:fill="FFFFFF"/>
        </w:rPr>
      </w:pPr>
      <w:r>
        <w:rPr>
          <w:rFonts w:cs="Times New Roman"/>
          <w:color w:val="222222"/>
          <w:szCs w:val="24"/>
          <w:shd w:val="clear" w:color="auto" w:fill="FFFFFF"/>
        </w:rPr>
        <w:t>Brownlee, E. R., Dmytriyev, S., and Elias, A. (2017) Integrative Stakeholder Engagement: Stakeholder-Oriented Partnership Between the Coca-Cola Company and World Wildlife Fund. In </w:t>
      </w:r>
      <w:r>
        <w:rPr>
          <w:rFonts w:cs="Times New Roman"/>
          <w:i/>
          <w:iCs/>
          <w:color w:val="222222"/>
          <w:szCs w:val="24"/>
          <w:shd w:val="clear" w:color="auto" w:fill="FFFFFF"/>
        </w:rPr>
        <w:t>Stakeholder engagement: Clinical research cases</w:t>
      </w:r>
      <w:r>
        <w:rPr>
          <w:rFonts w:cs="Times New Roman"/>
          <w:color w:val="222222"/>
          <w:szCs w:val="24"/>
          <w:shd w:val="clear" w:color="auto" w:fill="FFFFFF"/>
        </w:rPr>
        <w:t> (pp. 339-367) Springer, Cham.</w:t>
      </w:r>
    </w:p>
    <w:p>
      <w:pPr>
        <w:ind w:left="1440" w:hanging="1440"/>
        <w:rPr>
          <w:rFonts w:cs="Times New Roman"/>
          <w:szCs w:val="24"/>
        </w:rPr>
      </w:pPr>
      <w:r>
        <w:rPr>
          <w:rFonts w:cs="Times New Roman"/>
          <w:szCs w:val="24"/>
        </w:rPr>
        <w:t xml:space="preserve">Coca Cola. (2018) </w:t>
      </w:r>
      <w:r>
        <w:rPr>
          <w:rFonts w:cs="Times New Roman"/>
          <w:i/>
          <w:szCs w:val="24"/>
        </w:rPr>
        <w:t>The Coca Cola Company sustainability report 2018</w:t>
      </w:r>
      <w:r>
        <w:rPr>
          <w:rFonts w:cs="Times New Roman"/>
          <w:szCs w:val="24"/>
        </w:rPr>
        <w:t xml:space="preserve">. [online] Available from: </w:t>
      </w:r>
      <w:r>
        <w:fldChar w:fldCharType="begin"/>
      </w:r>
      <w:r>
        <w:instrText xml:space="preserve"> HYPERLINK "https://www.coca-colacompany.com/content/dam/journey/us/en/policies/pdf/safety-health/coca-cola-business-and-sustainability-report-2018.pdf" </w:instrText>
      </w:r>
      <w:r>
        <w:fldChar w:fldCharType="separate"/>
      </w:r>
      <w:r>
        <w:rPr>
          <w:rStyle w:val="7"/>
          <w:rFonts w:cs="Times New Roman"/>
          <w:szCs w:val="24"/>
        </w:rPr>
        <w:t>https://www.coca-colacompany.com/content/dam/journey/us/en/policies/pdf/safety-health/coca-cola-business-and-sustainability-report-2018.pdf</w:t>
      </w:r>
      <w:r>
        <w:rPr>
          <w:rStyle w:val="7"/>
          <w:rFonts w:cs="Times New Roman"/>
          <w:szCs w:val="24"/>
        </w:rPr>
        <w:fldChar w:fldCharType="end"/>
      </w:r>
      <w:r>
        <w:rPr>
          <w:rFonts w:cs="Times New Roman"/>
          <w:szCs w:val="24"/>
        </w:rPr>
        <w:t xml:space="preserve"> [Accessed: 26</w:t>
      </w:r>
      <w:r>
        <w:rPr>
          <w:rFonts w:cs="Times New Roman"/>
          <w:szCs w:val="24"/>
          <w:vertAlign w:val="superscript"/>
        </w:rPr>
        <w:t>th</w:t>
      </w:r>
      <w:r>
        <w:rPr>
          <w:rFonts w:cs="Times New Roman"/>
          <w:szCs w:val="24"/>
        </w:rPr>
        <w:t xml:space="preserve"> February 2020]</w:t>
      </w:r>
    </w:p>
    <w:p>
      <w:pPr>
        <w:ind w:left="1440" w:hanging="1440"/>
        <w:rPr>
          <w:rFonts w:cs="Times New Roman"/>
          <w:color w:val="222222"/>
          <w:szCs w:val="24"/>
          <w:shd w:val="clear" w:color="auto" w:fill="FFFFFF"/>
        </w:rPr>
      </w:pPr>
      <w:r>
        <w:rPr>
          <w:rFonts w:cs="Times New Roman"/>
          <w:color w:val="222222"/>
          <w:szCs w:val="24"/>
          <w:shd w:val="clear" w:color="auto" w:fill="FFFFFF"/>
        </w:rPr>
        <w:t>Dillard-Wright, D., and Misirhiralall, S. D. (2018) Too Much and Too Little: Understanding the Water Crisis in the Indian Subcontinent. </w:t>
      </w:r>
      <w:r>
        <w:rPr>
          <w:rFonts w:cs="Times New Roman"/>
          <w:i/>
          <w:iCs/>
          <w:color w:val="222222"/>
          <w:szCs w:val="24"/>
          <w:shd w:val="clear" w:color="auto" w:fill="FFFFFF"/>
        </w:rPr>
        <w:t>Environment, Space, Place</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(2),  pp.128-146.</w:t>
      </w:r>
    </w:p>
    <w:p>
      <w:pPr>
        <w:ind w:left="1440" w:hanging="1440"/>
        <w:rPr>
          <w:rFonts w:cs="Times New Roman"/>
          <w:color w:val="222222"/>
          <w:szCs w:val="24"/>
          <w:shd w:val="clear" w:color="auto" w:fill="FFFFFF"/>
        </w:rPr>
      </w:pPr>
      <w:r>
        <w:rPr>
          <w:rFonts w:cs="Times New Roman"/>
          <w:color w:val="222222"/>
          <w:szCs w:val="24"/>
          <w:shd w:val="clear" w:color="auto" w:fill="FFFFFF"/>
        </w:rPr>
        <w:t>Gallagher, D. R. (2018) Sustainable Business. In </w:t>
      </w:r>
      <w:r>
        <w:rPr>
          <w:rFonts w:cs="Times New Roman"/>
          <w:i/>
          <w:iCs/>
          <w:color w:val="222222"/>
          <w:szCs w:val="24"/>
          <w:shd w:val="clear" w:color="auto" w:fill="FFFFFF"/>
        </w:rPr>
        <w:t>The Palgrave Handbook of Sustainability</w:t>
      </w:r>
      <w:r>
        <w:rPr>
          <w:rFonts w:cs="Times New Roman"/>
          <w:color w:val="222222"/>
          <w:szCs w:val="24"/>
          <w:shd w:val="clear" w:color="auto" w:fill="FFFFFF"/>
        </w:rPr>
        <w:t> (pp. 451-465) Palgrave Macmillan, Cham.</w:t>
      </w:r>
    </w:p>
    <w:p>
      <w:pPr>
        <w:ind w:left="1440" w:hanging="1440"/>
        <w:rPr>
          <w:rFonts w:cs="Times New Roman"/>
          <w:color w:val="222222"/>
          <w:szCs w:val="24"/>
          <w:shd w:val="clear" w:color="auto" w:fill="FFFFFF"/>
        </w:rPr>
      </w:pPr>
      <w:r>
        <w:rPr>
          <w:rFonts w:cs="Times New Roman"/>
          <w:color w:val="222222"/>
          <w:szCs w:val="24"/>
          <w:shd w:val="clear" w:color="auto" w:fill="FFFFFF"/>
        </w:rPr>
        <w:t>Gehani, R. R. (2016) Corporate brand value shifting from identity to innovation capability: From Coca-Cola to Apple. </w:t>
      </w:r>
      <w:r>
        <w:rPr>
          <w:rFonts w:cs="Times New Roman"/>
          <w:i/>
          <w:iCs/>
          <w:color w:val="222222"/>
          <w:szCs w:val="24"/>
          <w:shd w:val="clear" w:color="auto" w:fill="FFFFFF"/>
        </w:rPr>
        <w:t>Journal of technology management and innovation</w:t>
      </w:r>
      <w:r>
        <w:rPr>
          <w:rFonts w:cs="Times New Roman"/>
          <w:color w:val="222222"/>
          <w:szCs w:val="24"/>
          <w:shd w:val="clear" w:color="auto" w:fill="FFFFFF"/>
        </w:rPr>
        <w:t>, </w:t>
      </w:r>
      <w:r>
        <w:rPr>
          <w:rFonts w:cs="Times New Roman"/>
          <w:i/>
          <w:iCs/>
          <w:color w:val="222222"/>
          <w:szCs w:val="24"/>
          <w:shd w:val="clear" w:color="auto" w:fill="FFFFFF"/>
        </w:rPr>
        <w:t>11</w:t>
      </w:r>
      <w:r>
        <w:rPr>
          <w:rFonts w:cs="Times New Roman"/>
          <w:color w:val="222222"/>
          <w:szCs w:val="24"/>
          <w:shd w:val="clear" w:color="auto" w:fill="FFFFFF"/>
        </w:rPr>
        <w:t>(3), pp. 11-20.</w:t>
      </w:r>
    </w:p>
    <w:p>
      <w:pPr>
        <w:ind w:left="1440" w:hanging="1440"/>
        <w:rPr>
          <w:rFonts w:cs="Times New Roman"/>
          <w:color w:val="222222"/>
          <w:szCs w:val="24"/>
          <w:shd w:val="clear" w:color="auto" w:fill="FFFFFF"/>
        </w:rPr>
      </w:pPr>
      <w:r>
        <w:rPr>
          <w:rFonts w:cs="Times New Roman"/>
          <w:color w:val="222222"/>
          <w:szCs w:val="24"/>
          <w:shd w:val="clear" w:color="auto" w:fill="FFFFFF"/>
        </w:rPr>
        <w:t>George, R. M. (2016) Bore wells vs. open wells: water crisis and sustainable alternatives in Kerala. </w:t>
      </w:r>
      <w:r>
        <w:rPr>
          <w:rFonts w:cs="Times New Roman"/>
          <w:i/>
          <w:iCs/>
          <w:color w:val="222222"/>
          <w:szCs w:val="24"/>
          <w:shd w:val="clear" w:color="auto" w:fill="FFFFFF"/>
        </w:rPr>
        <w:t>Journal of Management and Public Policy</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(2), pp. 19-28.</w:t>
      </w:r>
    </w:p>
    <w:p>
      <w:pPr>
        <w:ind w:left="1440" w:hanging="1440"/>
        <w:rPr>
          <w:rFonts w:cs="Times New Roman"/>
          <w:color w:val="222222"/>
          <w:szCs w:val="24"/>
          <w:shd w:val="clear" w:color="auto" w:fill="FFFFFF"/>
        </w:rPr>
      </w:pPr>
      <w:r>
        <w:rPr>
          <w:rFonts w:cs="Times New Roman"/>
          <w:color w:val="222222"/>
          <w:szCs w:val="24"/>
          <w:shd w:val="clear" w:color="auto" w:fill="FFFFFF"/>
        </w:rPr>
        <w:t>Jones, P., Comfort, D., and Hillier, D. (2016) Water stewardship and North America's food and beverage companies: a case study in corporate sustainability. </w:t>
      </w:r>
      <w:r>
        <w:rPr>
          <w:rFonts w:cs="Times New Roman"/>
          <w:i/>
          <w:iCs/>
          <w:color w:val="222222"/>
          <w:szCs w:val="24"/>
          <w:shd w:val="clear" w:color="auto" w:fill="FFFFFF"/>
        </w:rPr>
        <w:t>International Journal of Corporate Strategy and Social Responsibility</w:t>
      </w:r>
      <w:r>
        <w:rPr>
          <w:rFonts w:cs="Times New Roman"/>
          <w:color w:val="222222"/>
          <w:szCs w:val="24"/>
          <w:shd w:val="clear" w:color="auto" w:fill="FFFFFF"/>
        </w:rPr>
        <w:t>, </w:t>
      </w:r>
      <w:r>
        <w:rPr>
          <w:rFonts w:cs="Times New Roman"/>
          <w:i/>
          <w:iCs/>
          <w:color w:val="222222"/>
          <w:szCs w:val="24"/>
          <w:shd w:val="clear" w:color="auto" w:fill="FFFFFF"/>
        </w:rPr>
        <w:t>1</w:t>
      </w:r>
      <w:r>
        <w:rPr>
          <w:rFonts w:cs="Times New Roman"/>
          <w:color w:val="222222"/>
          <w:szCs w:val="24"/>
          <w:shd w:val="clear" w:color="auto" w:fill="FFFFFF"/>
        </w:rPr>
        <w:t>(1), pp. 26-43.</w:t>
      </w:r>
    </w:p>
    <w:p>
      <w:pPr>
        <w:ind w:left="1440" w:hanging="1440"/>
        <w:rPr>
          <w:rFonts w:cs="Times New Roman"/>
          <w:szCs w:val="24"/>
        </w:rPr>
      </w:pPr>
      <w:r>
        <w:rPr>
          <w:rFonts w:cs="Times New Roman"/>
          <w:szCs w:val="24"/>
        </w:rPr>
        <w:t xml:space="preserve">MacDonald, C. (2018) Coke claims to give back as much water as it uses. An investigation shows it isn’t even close. [Online] Available from: </w:t>
      </w:r>
      <w:r>
        <w:fldChar w:fldCharType="begin"/>
      </w:r>
      <w:r>
        <w:instrText xml:space="preserve"> HYPERLINK "https://www.theverge.com/2018/5/31/17377964/coca-cola-water-sustainability-recycling-controversy-investigation" </w:instrText>
      </w:r>
      <w:r>
        <w:fldChar w:fldCharType="separate"/>
      </w:r>
      <w:r>
        <w:rPr>
          <w:rStyle w:val="7"/>
          <w:rFonts w:cs="Times New Roman"/>
          <w:szCs w:val="24"/>
        </w:rPr>
        <w:t>https://www.theverge.com/2018/5/31/17377964/coca-cola-water-sustainability-recycling-controversy-investigation</w:t>
      </w:r>
      <w:r>
        <w:rPr>
          <w:rStyle w:val="7"/>
          <w:rFonts w:cs="Times New Roman"/>
          <w:szCs w:val="24"/>
        </w:rPr>
        <w:fldChar w:fldCharType="end"/>
      </w:r>
      <w:r>
        <w:rPr>
          <w:rFonts w:cs="Times New Roman"/>
          <w:szCs w:val="24"/>
        </w:rPr>
        <w:t xml:space="preserve"> [Accessed: 26</w:t>
      </w:r>
      <w:r>
        <w:rPr>
          <w:rFonts w:cs="Times New Roman"/>
          <w:szCs w:val="24"/>
          <w:vertAlign w:val="superscript"/>
        </w:rPr>
        <w:t>th</w:t>
      </w:r>
      <w:r>
        <w:rPr>
          <w:rFonts w:cs="Times New Roman"/>
          <w:szCs w:val="24"/>
        </w:rPr>
        <w:t xml:space="preserve"> February 2020]</w:t>
      </w:r>
    </w:p>
    <w:p>
      <w:pPr>
        <w:ind w:left="1440" w:hanging="1440"/>
        <w:rPr>
          <w:rFonts w:cs="Times New Roman"/>
          <w:color w:val="222222"/>
          <w:sz w:val="32"/>
          <w:szCs w:val="24"/>
          <w:shd w:val="clear" w:color="auto" w:fill="FFFFFF"/>
        </w:rPr>
      </w:pPr>
      <w:r>
        <w:rPr>
          <w:rFonts w:cs="Times New Roman"/>
          <w:color w:val="222222"/>
          <w:szCs w:val="20"/>
          <w:shd w:val="clear" w:color="auto" w:fill="FFFFFF"/>
        </w:rPr>
        <w:t>Mory, L., Wirtz, B. W., &amp; Göttel, V. (2016) Factors of internal corporate social responsibility and the effect on organizational commitment. </w:t>
      </w:r>
      <w:r>
        <w:rPr>
          <w:rFonts w:cs="Times New Roman"/>
          <w:i/>
          <w:iCs/>
          <w:color w:val="222222"/>
          <w:szCs w:val="20"/>
          <w:shd w:val="clear" w:color="auto" w:fill="FFFFFF"/>
        </w:rPr>
        <w:t>The International Journal of Human Resource Management</w:t>
      </w:r>
      <w:r>
        <w:rPr>
          <w:rFonts w:cs="Times New Roman"/>
          <w:color w:val="222222"/>
          <w:szCs w:val="20"/>
          <w:shd w:val="clear" w:color="auto" w:fill="FFFFFF"/>
        </w:rPr>
        <w:t>, </w:t>
      </w:r>
      <w:r>
        <w:rPr>
          <w:rFonts w:cs="Times New Roman"/>
          <w:i/>
          <w:iCs/>
          <w:color w:val="222222"/>
          <w:szCs w:val="20"/>
          <w:shd w:val="clear" w:color="auto" w:fill="FFFFFF"/>
        </w:rPr>
        <w:t>27</w:t>
      </w:r>
      <w:r>
        <w:rPr>
          <w:rFonts w:cs="Times New Roman"/>
          <w:color w:val="222222"/>
          <w:szCs w:val="20"/>
          <w:shd w:val="clear" w:color="auto" w:fill="FFFFFF"/>
        </w:rPr>
        <w:t>(13), pp. 1393-1425.</w:t>
      </w:r>
    </w:p>
    <w:p>
      <w:pPr>
        <w:ind w:left="1440" w:hanging="1440"/>
        <w:rPr>
          <w:rFonts w:cs="Times New Roman"/>
          <w:szCs w:val="24"/>
        </w:rPr>
      </w:pPr>
      <w:r>
        <w:rPr>
          <w:rFonts w:cs="Times New Roman"/>
          <w:szCs w:val="24"/>
        </w:rPr>
        <w:t xml:space="preserve">Obi, D. (2019) </w:t>
      </w:r>
      <w:r>
        <w:rPr>
          <w:rFonts w:cs="Times New Roman"/>
          <w:i/>
          <w:szCs w:val="24"/>
        </w:rPr>
        <w:t>Dow Jones names Coca-Cola as Europe’s most sustainable beverage company</w:t>
      </w:r>
      <w:r>
        <w:rPr>
          <w:rFonts w:cs="Times New Roman"/>
          <w:szCs w:val="24"/>
        </w:rPr>
        <w:t xml:space="preserve">. [Online] Available from: </w:t>
      </w:r>
      <w:r>
        <w:fldChar w:fldCharType="begin"/>
      </w:r>
      <w:r>
        <w:instrText xml:space="preserve"> HYPERLINK "https://businessday.ng/brands-advertising/article/dow-jones-names-coca-cola-as-europes-most-sustainable-beverage-company/" </w:instrText>
      </w:r>
      <w:r>
        <w:fldChar w:fldCharType="separate"/>
      </w:r>
      <w:r>
        <w:rPr>
          <w:rStyle w:val="7"/>
          <w:rFonts w:cs="Times New Roman"/>
          <w:szCs w:val="24"/>
        </w:rPr>
        <w:t>https://businessday.ng/brands-advertising/article/dow-jones-names-coca-cola-as-europes-most-sustainable-beverage-company/</w:t>
      </w:r>
      <w:r>
        <w:rPr>
          <w:rStyle w:val="7"/>
          <w:rFonts w:cs="Times New Roman"/>
          <w:szCs w:val="24"/>
        </w:rPr>
        <w:fldChar w:fldCharType="end"/>
      </w:r>
      <w:r>
        <w:rPr>
          <w:rFonts w:cs="Times New Roman"/>
          <w:szCs w:val="24"/>
        </w:rPr>
        <w:t xml:space="preserve"> [Accessed: 26</w:t>
      </w:r>
      <w:r>
        <w:rPr>
          <w:rFonts w:cs="Times New Roman"/>
          <w:szCs w:val="24"/>
          <w:vertAlign w:val="superscript"/>
        </w:rPr>
        <w:t>th</w:t>
      </w:r>
      <w:r>
        <w:rPr>
          <w:rFonts w:cs="Times New Roman"/>
          <w:szCs w:val="24"/>
        </w:rPr>
        <w:t xml:space="preserve"> February 2020]</w:t>
      </w:r>
    </w:p>
    <w:p>
      <w:pPr>
        <w:ind w:left="1440" w:hanging="1440"/>
        <w:rPr>
          <w:rFonts w:cs="Times New Roman"/>
          <w:color w:val="222222"/>
          <w:szCs w:val="24"/>
          <w:shd w:val="clear" w:color="auto" w:fill="FFFFFF"/>
        </w:rPr>
      </w:pPr>
      <w:r>
        <w:rPr>
          <w:rFonts w:cs="Times New Roman"/>
          <w:color w:val="222222"/>
          <w:szCs w:val="24"/>
          <w:shd w:val="clear" w:color="auto" w:fill="FFFFFF"/>
        </w:rPr>
        <w:t>Olaya, C. (2018) Sinaltrainal: Transforming the Workers’ Movement in Colombia. In </w:t>
      </w:r>
      <w:r>
        <w:rPr>
          <w:rFonts w:cs="Times New Roman"/>
          <w:i/>
          <w:iCs/>
          <w:color w:val="222222"/>
          <w:szCs w:val="24"/>
          <w:shd w:val="clear" w:color="auto" w:fill="FFFFFF"/>
        </w:rPr>
        <w:t>The Class Strikes Back</w:t>
      </w:r>
      <w:r>
        <w:rPr>
          <w:rFonts w:cs="Times New Roman"/>
          <w:color w:val="222222"/>
          <w:szCs w:val="24"/>
          <w:shd w:val="clear" w:color="auto" w:fill="FFFFFF"/>
        </w:rPr>
        <w:t> (pp. 176-194) Brill.</w:t>
      </w:r>
    </w:p>
    <w:p>
      <w:pPr>
        <w:ind w:left="1440" w:hanging="1440"/>
        <w:rPr>
          <w:rFonts w:cs="Times New Roman"/>
          <w:color w:val="222222"/>
          <w:szCs w:val="24"/>
          <w:shd w:val="clear" w:color="auto" w:fill="FFFFFF"/>
        </w:rPr>
      </w:pPr>
      <w:r>
        <w:rPr>
          <w:rFonts w:cs="Times New Roman"/>
          <w:color w:val="222222"/>
          <w:szCs w:val="24"/>
          <w:shd w:val="clear" w:color="auto" w:fill="FFFFFF"/>
        </w:rPr>
        <w:t>Parekh, A. (2016) Journey of sustainable development by private sector actors. In </w:t>
      </w:r>
      <w:r>
        <w:rPr>
          <w:rFonts w:cs="Times New Roman"/>
          <w:i/>
          <w:iCs/>
          <w:color w:val="222222"/>
          <w:szCs w:val="24"/>
          <w:shd w:val="clear" w:color="auto" w:fill="FFFFFF"/>
        </w:rPr>
        <w:t>Water security, climate change and sustainable development</w:t>
      </w:r>
      <w:r>
        <w:rPr>
          <w:rFonts w:cs="Times New Roman"/>
          <w:color w:val="222222"/>
          <w:szCs w:val="24"/>
          <w:shd w:val="clear" w:color="auto" w:fill="FFFFFF"/>
        </w:rPr>
        <w:t> (pp. 137-153) Springer, Singapore.</w:t>
      </w:r>
    </w:p>
    <w:p>
      <w:pPr>
        <w:ind w:left="1440" w:hanging="1440"/>
        <w:rPr>
          <w:rFonts w:cs="Times New Roman"/>
          <w:color w:val="222222"/>
          <w:szCs w:val="24"/>
          <w:shd w:val="clear" w:color="auto" w:fill="FFFFFF"/>
        </w:rPr>
      </w:pPr>
      <w:r>
        <w:rPr>
          <w:rFonts w:cs="Times New Roman"/>
          <w:color w:val="222222"/>
          <w:szCs w:val="24"/>
          <w:shd w:val="clear" w:color="auto" w:fill="FFFFFF"/>
        </w:rPr>
        <w:t>Rim, H., Park, Y. E., and Song, D. (2018) Watch out when expectancy is violated: An experiment of inconsistent CSR message cueing. </w:t>
      </w:r>
      <w:r>
        <w:rPr>
          <w:rFonts w:cs="Times New Roman"/>
          <w:i/>
          <w:iCs/>
          <w:color w:val="222222"/>
          <w:szCs w:val="24"/>
          <w:shd w:val="clear" w:color="auto" w:fill="FFFFFF"/>
        </w:rPr>
        <w:t>Journal of Marketing Communications</w:t>
      </w:r>
      <w:r>
        <w:rPr>
          <w:rFonts w:cs="Times New Roman"/>
          <w:color w:val="222222"/>
          <w:szCs w:val="24"/>
          <w:shd w:val="clear" w:color="auto" w:fill="FFFFFF"/>
        </w:rPr>
        <w:t>, pp. 1-19.</w:t>
      </w:r>
    </w:p>
    <w:p>
      <w:pPr>
        <w:ind w:left="1440" w:hanging="1440"/>
        <w:rPr>
          <w:rFonts w:cs="Times New Roman"/>
          <w:szCs w:val="24"/>
        </w:rPr>
      </w:pPr>
      <w:r>
        <w:rPr>
          <w:rFonts w:cs="Times New Roman"/>
          <w:color w:val="222222"/>
          <w:szCs w:val="24"/>
          <w:shd w:val="clear" w:color="auto" w:fill="FFFFFF"/>
        </w:rPr>
        <w:t>Schillinger, D., and Kearns, C. (2017) Guidelines to limit added sugar intake: junk science or junk food?. </w:t>
      </w:r>
      <w:r>
        <w:rPr>
          <w:rFonts w:cs="Times New Roman"/>
          <w:i/>
          <w:iCs/>
          <w:color w:val="222222"/>
          <w:szCs w:val="24"/>
          <w:shd w:val="clear" w:color="auto" w:fill="FFFFFF"/>
        </w:rPr>
        <w:t>Annals of internal medicine</w:t>
      </w:r>
      <w:r>
        <w:rPr>
          <w:rFonts w:cs="Times New Roman"/>
          <w:color w:val="222222"/>
          <w:szCs w:val="24"/>
          <w:shd w:val="clear" w:color="auto" w:fill="FFFFFF"/>
        </w:rPr>
        <w:t>, </w:t>
      </w:r>
      <w:r>
        <w:rPr>
          <w:rFonts w:cs="Times New Roman"/>
          <w:i/>
          <w:iCs/>
          <w:color w:val="222222"/>
          <w:szCs w:val="24"/>
          <w:shd w:val="clear" w:color="auto" w:fill="FFFFFF"/>
        </w:rPr>
        <w:t>166</w:t>
      </w:r>
      <w:r>
        <w:rPr>
          <w:rFonts w:cs="Times New Roman"/>
          <w:color w:val="222222"/>
          <w:szCs w:val="24"/>
          <w:shd w:val="clear" w:color="auto" w:fill="FFFFFF"/>
        </w:rPr>
        <w:t>(4), pp. 305-306.</w:t>
      </w:r>
    </w:p>
    <w:p>
      <w:pPr>
        <w:ind w:left="1440" w:hanging="1440"/>
        <w:rPr>
          <w:rFonts w:cs="Times New Roman"/>
          <w:color w:val="222222"/>
          <w:szCs w:val="24"/>
          <w:shd w:val="clear" w:color="auto" w:fill="FFFFFF"/>
        </w:rPr>
      </w:pPr>
      <w:r>
        <w:rPr>
          <w:rFonts w:cs="Times New Roman"/>
          <w:color w:val="222222"/>
          <w:szCs w:val="24"/>
          <w:shd w:val="clear" w:color="auto" w:fill="FFFFFF"/>
        </w:rPr>
        <w:t>Tikhonov, D. G., Lebedeva, U. M., and Stepanov, K. M. (2019) From the history of the study of the diet in North-Eastern Siberia: from the paleo diet to Coca-Cola in just 100 years. </w:t>
      </w:r>
      <w:r>
        <w:rPr>
          <w:rFonts w:cs="Times New Roman"/>
          <w:i/>
          <w:iCs/>
          <w:color w:val="222222"/>
          <w:szCs w:val="24"/>
          <w:shd w:val="clear" w:color="auto" w:fill="FFFFFF"/>
        </w:rPr>
        <w:t>History of Medicine</w:t>
      </w:r>
      <w:r>
        <w:rPr>
          <w:rFonts w:cs="Times New Roman"/>
          <w:color w:val="222222"/>
          <w:szCs w:val="24"/>
          <w:shd w:val="clear" w:color="auto" w:fill="FFFFFF"/>
        </w:rPr>
        <w:t>, </w:t>
      </w:r>
      <w:r>
        <w:rPr>
          <w:rFonts w:cs="Times New Roman"/>
          <w:i/>
          <w:iCs/>
          <w:color w:val="222222"/>
          <w:szCs w:val="24"/>
          <w:shd w:val="clear" w:color="auto" w:fill="FFFFFF"/>
        </w:rPr>
        <w:t>6</w:t>
      </w:r>
      <w:r>
        <w:rPr>
          <w:rFonts w:cs="Times New Roman"/>
          <w:color w:val="222222"/>
          <w:szCs w:val="24"/>
          <w:shd w:val="clear" w:color="auto" w:fill="FFFFFF"/>
        </w:rPr>
        <w:t>(2), pp. 63.</w:t>
      </w:r>
    </w:p>
    <w:p/>
    <w:sectPr>
      <w:footerReference r:id="rId3" w:type="default"/>
      <w:pgSz w:w="11906" w:h="16838"/>
      <w:pgMar w:top="1440" w:right="1440" w:bottom="1440" w:left="1440" w:header="708" w:footer="708" w:gutter="0"/>
      <w:pgNumType w:fmt="decimal"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908"/>
    <w:rsid w:val="00120908"/>
    <w:rsid w:val="001F2CB9"/>
    <w:rsid w:val="4D7F2C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8"/>
    <w:qFormat/>
    <w:uiPriority w:val="9"/>
    <w:pPr>
      <w:keepNext/>
      <w:keepLines/>
      <w:spacing w:before="240" w:after="0" w:line="480" w:lineRule="auto"/>
      <w:outlineLvl w:val="0"/>
    </w:pPr>
    <w:rPr>
      <w:rFonts w:eastAsiaTheme="majorEastAsia" w:cstheme="majorBidi"/>
      <w:b/>
      <w:sz w:val="28"/>
      <w:szCs w:val="32"/>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semiHidden/>
    <w:unhideWhenUsed/>
    <w:uiPriority w:val="99"/>
    <w:rPr>
      <w:color w:val="0000FF"/>
      <w:u w:val="single"/>
    </w:rPr>
  </w:style>
  <w:style w:type="character" w:customStyle="1" w:styleId="8">
    <w:name w:val="Heading 1 Char"/>
    <w:basedOn w:val="6"/>
    <w:link w:val="2"/>
    <w:uiPriority w:val="9"/>
    <w:rPr>
      <w:rFonts w:ascii="Times New Roman" w:hAnsi="Times New Roman" w:eastAsiaTheme="majorEastAsia" w:cstheme="majorBidi"/>
      <w:b/>
      <w:sz w:val="28"/>
      <w:szCs w:val="32"/>
      <w:lang w:val="en-US"/>
    </w:rPr>
  </w:style>
  <w:style w:type="paragraph" w:customStyle="1" w:styleId="9">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2680</Words>
  <Characters>15281</Characters>
  <Lines>127</Lines>
  <Paragraphs>35</Paragraphs>
  <TotalTime>1</TotalTime>
  <ScaleCrop>false</ScaleCrop>
  <LinksUpToDate>false</LinksUpToDate>
  <CharactersWithSpaces>17926</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2020-03-01T13:38:00Z</dcterms:created>
  <dc:creator>hp</dc:creator>
  <cp:lastModifiedBy>x</cp:lastModifiedBy>
  <dcterms:modified xsi:type="dcterms:W3CDTF">2020-03-02T17:58:53Z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