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73F6A" w14:textId="77777777" w:rsidR="00F512C3" w:rsidRDefault="00F512C3" w:rsidP="008059D3">
      <w:pPr>
        <w:pStyle w:val="Title"/>
        <w:spacing w:line="360" w:lineRule="auto"/>
      </w:pPr>
    </w:p>
    <w:p w14:paraId="1CD36C8F" w14:textId="5F7DF544" w:rsidR="00F512C3" w:rsidRDefault="00F512C3" w:rsidP="008059D3">
      <w:pPr>
        <w:pStyle w:val="Title"/>
        <w:spacing w:line="360" w:lineRule="auto"/>
      </w:pPr>
      <w:r>
        <w:rPr>
          <w:noProof/>
        </w:rPr>
        <w:drawing>
          <wp:inline distT="0" distB="0" distL="0" distR="0" wp14:anchorId="7E37167A" wp14:editId="2266524A">
            <wp:extent cx="1809750" cy="723900"/>
            <wp:effectExtent l="0" t="0" r="0" b="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officeArt object" descr="Discover University of Wales Trinity Saint David"/>
                    <pic:cNvPicPr/>
                  </pic:nvPicPr>
                  <pic:blipFill>
                    <a:blip r:embed="rId8"/>
                    <a:stretch>
                      <a:fillRect/>
                    </a:stretch>
                  </pic:blipFill>
                  <pic:spPr>
                    <a:xfrm>
                      <a:off x="0" y="0"/>
                      <a:ext cx="1809750" cy="723900"/>
                    </a:xfrm>
                    <a:prstGeom prst="rect">
                      <a:avLst/>
                    </a:prstGeom>
                    <a:ln w="12700" cap="flat">
                      <a:noFill/>
                      <a:miter lim="400000"/>
                    </a:ln>
                    <a:effectLst/>
                  </pic:spPr>
                </pic:pic>
              </a:graphicData>
            </a:graphic>
          </wp:inline>
        </w:drawing>
      </w:r>
    </w:p>
    <w:p w14:paraId="55BD1DE7" w14:textId="27991C1D" w:rsidR="00F512C3" w:rsidRDefault="00F512C3" w:rsidP="008059D3">
      <w:pPr>
        <w:pStyle w:val="Title"/>
        <w:spacing w:line="360" w:lineRule="auto"/>
      </w:pPr>
    </w:p>
    <w:p w14:paraId="5731DCA4" w14:textId="77777777" w:rsidR="00F512C3" w:rsidRPr="00F512C3" w:rsidRDefault="00F512C3" w:rsidP="00F512C3">
      <w:pPr>
        <w:pStyle w:val="Title"/>
        <w:spacing w:line="360" w:lineRule="auto"/>
        <w:rPr>
          <w:sz w:val="36"/>
          <w:szCs w:val="44"/>
        </w:rPr>
      </w:pPr>
      <w:r w:rsidRPr="00F512C3">
        <w:rPr>
          <w:sz w:val="36"/>
          <w:szCs w:val="44"/>
        </w:rPr>
        <w:t>Module:</w:t>
      </w:r>
      <w:r w:rsidRPr="00F512C3">
        <w:rPr>
          <w:sz w:val="36"/>
          <w:szCs w:val="44"/>
        </w:rPr>
        <w:tab/>
        <w:t>Global Business Challenges</w:t>
      </w:r>
    </w:p>
    <w:p w14:paraId="37D84520" w14:textId="2EEA71FF" w:rsidR="00F512C3" w:rsidRPr="00F512C3" w:rsidRDefault="00F512C3" w:rsidP="00F512C3">
      <w:pPr>
        <w:pStyle w:val="Title"/>
        <w:spacing w:line="360" w:lineRule="auto"/>
        <w:rPr>
          <w:sz w:val="36"/>
          <w:szCs w:val="44"/>
        </w:rPr>
      </w:pPr>
      <w:r w:rsidRPr="00F512C3">
        <w:rPr>
          <w:sz w:val="36"/>
          <w:szCs w:val="44"/>
        </w:rPr>
        <w:t>Module code: BMMB7006</w:t>
      </w:r>
    </w:p>
    <w:p w14:paraId="0B522119" w14:textId="77777777" w:rsidR="00F512C3" w:rsidRPr="00F512C3" w:rsidRDefault="00F512C3" w:rsidP="008059D3">
      <w:pPr>
        <w:pStyle w:val="Title"/>
        <w:spacing w:line="360" w:lineRule="auto"/>
        <w:rPr>
          <w:sz w:val="36"/>
          <w:szCs w:val="44"/>
        </w:rPr>
      </w:pPr>
    </w:p>
    <w:p w14:paraId="616D4204" w14:textId="75F86810" w:rsidR="00F227D4" w:rsidRPr="00F512C3" w:rsidRDefault="00A409F2" w:rsidP="008059D3">
      <w:pPr>
        <w:pStyle w:val="Title"/>
        <w:spacing w:line="360" w:lineRule="auto"/>
        <w:rPr>
          <w:sz w:val="36"/>
          <w:szCs w:val="44"/>
        </w:rPr>
      </w:pPr>
      <w:r w:rsidRPr="00F512C3">
        <w:rPr>
          <w:sz w:val="36"/>
          <w:szCs w:val="44"/>
        </w:rPr>
        <w:t>Artificial Intelligence in Operational Risk</w:t>
      </w:r>
      <w:r w:rsidR="00D95054" w:rsidRPr="00F512C3">
        <w:rPr>
          <w:sz w:val="36"/>
          <w:szCs w:val="44"/>
        </w:rPr>
        <w:t xml:space="preserve"> </w:t>
      </w:r>
      <w:r w:rsidRPr="00F512C3">
        <w:rPr>
          <w:sz w:val="36"/>
          <w:szCs w:val="44"/>
        </w:rPr>
        <w:t>and</w:t>
      </w:r>
      <w:r w:rsidR="00D95054" w:rsidRPr="00F512C3">
        <w:rPr>
          <w:sz w:val="36"/>
          <w:szCs w:val="44"/>
        </w:rPr>
        <w:t xml:space="preserve"> </w:t>
      </w:r>
      <w:r w:rsidRPr="00F512C3">
        <w:rPr>
          <w:sz w:val="36"/>
          <w:szCs w:val="44"/>
        </w:rPr>
        <w:t>Environmental Compliance: Managing AI-Driven</w:t>
      </w:r>
      <w:r w:rsidR="00D95054" w:rsidRPr="00F512C3">
        <w:rPr>
          <w:sz w:val="36"/>
          <w:szCs w:val="44"/>
        </w:rPr>
        <w:t xml:space="preserve"> </w:t>
      </w:r>
      <w:r w:rsidRPr="00F512C3">
        <w:rPr>
          <w:sz w:val="36"/>
          <w:szCs w:val="44"/>
        </w:rPr>
        <w:t>Decision Risks in bp across the UK and the United States</w:t>
      </w:r>
    </w:p>
    <w:p w14:paraId="378A8E09" w14:textId="77777777" w:rsidR="00F227D4" w:rsidRPr="00F512C3" w:rsidRDefault="00F227D4" w:rsidP="008059D3">
      <w:pPr>
        <w:spacing w:line="360" w:lineRule="auto"/>
        <w:rPr>
          <w:sz w:val="16"/>
          <w:szCs w:val="16"/>
        </w:rPr>
      </w:pPr>
    </w:p>
    <w:p w14:paraId="004131ED" w14:textId="77777777" w:rsidR="00D95054" w:rsidRPr="00F512C3" w:rsidRDefault="00D95054" w:rsidP="008059D3">
      <w:pPr>
        <w:spacing w:line="360" w:lineRule="auto"/>
        <w:rPr>
          <w:b/>
          <w:bCs/>
          <w:color w:val="000000" w:themeColor="text1"/>
          <w:sz w:val="20"/>
          <w:szCs w:val="20"/>
        </w:rPr>
      </w:pPr>
    </w:p>
    <w:p w14:paraId="0797A84B" w14:textId="2DA0AF5F" w:rsidR="00D95054" w:rsidRPr="00F512C3" w:rsidRDefault="00F512C3" w:rsidP="00F512C3">
      <w:pPr>
        <w:pStyle w:val="Title"/>
        <w:spacing w:line="360" w:lineRule="auto"/>
        <w:rPr>
          <w:sz w:val="36"/>
          <w:szCs w:val="44"/>
        </w:rPr>
      </w:pPr>
      <w:r w:rsidRPr="00F512C3">
        <w:rPr>
          <w:sz w:val="36"/>
          <w:szCs w:val="44"/>
        </w:rPr>
        <w:t xml:space="preserve">Shahin </w:t>
      </w:r>
      <w:proofErr w:type="spellStart"/>
      <w:r w:rsidRPr="00F512C3">
        <w:rPr>
          <w:sz w:val="36"/>
          <w:szCs w:val="44"/>
        </w:rPr>
        <w:t>Howlader</w:t>
      </w:r>
      <w:proofErr w:type="spellEnd"/>
      <w:r w:rsidRPr="00F512C3">
        <w:rPr>
          <w:sz w:val="36"/>
          <w:szCs w:val="44"/>
        </w:rPr>
        <w:t xml:space="preserve"> (ID: 2438319)</w:t>
      </w:r>
    </w:p>
    <w:p w14:paraId="47D1A925" w14:textId="77777777" w:rsidR="00D95054" w:rsidRPr="008059D3" w:rsidRDefault="00D95054" w:rsidP="008059D3">
      <w:pPr>
        <w:spacing w:line="360" w:lineRule="auto"/>
        <w:rPr>
          <w:b/>
          <w:bCs/>
          <w:color w:val="000000" w:themeColor="text1"/>
          <w:sz w:val="28"/>
          <w:szCs w:val="28"/>
        </w:rPr>
      </w:pPr>
    </w:p>
    <w:p w14:paraId="6A283729" w14:textId="77777777" w:rsidR="00D95054" w:rsidRPr="008059D3" w:rsidRDefault="00D95054" w:rsidP="008059D3">
      <w:pPr>
        <w:spacing w:line="360" w:lineRule="auto"/>
        <w:rPr>
          <w:b/>
          <w:bCs/>
          <w:color w:val="000000" w:themeColor="text1"/>
          <w:sz w:val="28"/>
          <w:szCs w:val="28"/>
        </w:rPr>
      </w:pPr>
    </w:p>
    <w:p w14:paraId="7D9583BB" w14:textId="77777777" w:rsidR="00D95054" w:rsidRPr="008059D3" w:rsidRDefault="00D95054" w:rsidP="008059D3">
      <w:pPr>
        <w:spacing w:line="360" w:lineRule="auto"/>
        <w:rPr>
          <w:b/>
          <w:bCs/>
          <w:color w:val="000000" w:themeColor="text1"/>
          <w:sz w:val="28"/>
          <w:szCs w:val="28"/>
        </w:rPr>
      </w:pPr>
    </w:p>
    <w:p w14:paraId="5B506D8D" w14:textId="15682A3C" w:rsidR="00F227D4" w:rsidRPr="008059D3" w:rsidRDefault="00F227D4" w:rsidP="008059D3">
      <w:pPr>
        <w:spacing w:line="360" w:lineRule="auto"/>
        <w:rPr>
          <w:b/>
          <w:bCs/>
          <w:color w:val="000000" w:themeColor="text1"/>
          <w:sz w:val="28"/>
          <w:szCs w:val="28"/>
        </w:rPr>
      </w:pPr>
    </w:p>
    <w:p w14:paraId="3787A812" w14:textId="77777777" w:rsidR="00F227D4" w:rsidRPr="008059D3" w:rsidRDefault="00A409F2" w:rsidP="008059D3">
      <w:pPr>
        <w:spacing w:line="360" w:lineRule="auto"/>
        <w:rPr>
          <w:b/>
          <w:bCs/>
          <w:color w:val="000000" w:themeColor="text1"/>
          <w:sz w:val="28"/>
          <w:szCs w:val="28"/>
        </w:rPr>
      </w:pPr>
      <w:r w:rsidRPr="008059D3">
        <w:rPr>
          <w:b/>
          <w:bCs/>
          <w:color w:val="000000" w:themeColor="text1"/>
          <w:sz w:val="28"/>
          <w:szCs w:val="28"/>
        </w:rPr>
        <w:br w:type="page"/>
      </w:r>
    </w:p>
    <w:p w14:paraId="52F80E3E" w14:textId="2B8C04A4" w:rsidR="00F227D4" w:rsidRPr="008059D3" w:rsidRDefault="00A409F2" w:rsidP="008059D3">
      <w:pPr>
        <w:pStyle w:val="Heading1"/>
        <w:spacing w:before="0" w:after="0" w:line="360" w:lineRule="auto"/>
      </w:pPr>
      <w:bookmarkStart w:id="0" w:name="_Toc227967378"/>
      <w:r w:rsidRPr="008059D3">
        <w:lastRenderedPageBreak/>
        <w:t>Executive Summary</w:t>
      </w:r>
      <w:bookmarkEnd w:id="0"/>
    </w:p>
    <w:p w14:paraId="73BB2F3B" w14:textId="77777777" w:rsidR="006D1E73" w:rsidRDefault="006D1E73" w:rsidP="006D1E73">
      <w:pPr>
        <w:spacing w:line="360" w:lineRule="auto"/>
        <w:jc w:val="both"/>
      </w:pPr>
      <w:r>
        <w:t>Unless BP has incorporated an AI Governance Board and implemented explainable AI (XAI) audit controls on all safety-critical systems within 90 days, BP will be subject to cumulative regulatory fines exceeding USD 1 billion by 2028 under EPA and BSEE regulatory frameworks, based on Clean Air Act civil penalty maximum of USD 70,117 per day per violation (42 USC 7 This report includes a consultancy review of the governance, risk, and regulatory issues with the implementation of AI within the operations of the upstream and downstream of bp in the United Kingdom and the United States.</w:t>
      </w:r>
    </w:p>
    <w:p w14:paraId="6F0FDF3F" w14:textId="68205530" w:rsidR="006D1E73" w:rsidRDefault="006D1E73" w:rsidP="006D1E73">
      <w:pPr>
        <w:spacing w:line="360" w:lineRule="auto"/>
        <w:jc w:val="both"/>
      </w:pPr>
      <w:r>
        <w:t xml:space="preserve">The study is applicable to </w:t>
      </w:r>
      <w:r w:rsidR="00D91756">
        <w:t xml:space="preserve">the two-jurisdiction PESTLE framework, Porter Diamond Model and OLI (Ownership, Location, </w:t>
      </w:r>
      <w:proofErr w:type="spellStart"/>
      <w:r w:rsidR="00D91756">
        <w:t>Internalisation</w:t>
      </w:r>
      <w:proofErr w:type="spellEnd"/>
      <w:r w:rsidR="00D91756">
        <w:t>) framework, to determine the strategic role of BP</w:t>
      </w:r>
      <w:r>
        <w:t xml:space="preserve"> in AI governance. It enumerates four categories of AI risks of priority: sensor-based AI bias of under-reporting methane; false </w:t>
      </w:r>
      <w:r w:rsidR="00D91756">
        <w:t>negatives</w:t>
      </w:r>
      <w:r>
        <w:t xml:space="preserve"> in Blowout Preventer (BOP) predictive maintenance systems; algorithmic discrimination in workforce and safety decision systems; and AI-assisted ESG greenwashing using data manipulation or selective disclosure.</w:t>
      </w:r>
    </w:p>
    <w:p w14:paraId="4EF4549E" w14:textId="2A4FB374" w:rsidR="006D1E73" w:rsidRDefault="006D1E73" w:rsidP="006D1E73">
      <w:pPr>
        <w:spacing w:line="360" w:lineRule="auto"/>
        <w:jc w:val="both"/>
      </w:pPr>
      <w:r>
        <w:t xml:space="preserve">The report advises the creation of a cross-functional AI Governance Board, </w:t>
      </w:r>
      <w:r w:rsidR="00D91756">
        <w:t xml:space="preserve">the </w:t>
      </w:r>
      <w:r>
        <w:t xml:space="preserve">establishment of XAI audit measures in all </w:t>
      </w:r>
      <w:r w:rsidR="00D91756">
        <w:t>safety-critical systems, a multi-sensor</w:t>
      </w:r>
      <w:r>
        <w:t xml:space="preserve"> methane monitoring network, and certification of ISO/IEC 42001 by 2028. The overall amount of the estimated investment of about GBP 67.8 million (approximately USD 84.8 million at GBP/USD 1.25 on </w:t>
      </w:r>
      <w:r w:rsidR="00D91756">
        <w:t>average in March 2026, though) is slightly less than 0.31 per cent of BP's</w:t>
      </w:r>
      <w:r>
        <w:t xml:space="preserve"> 2023 EBITDA of USD 27.7 billion and significantly less than the possible cost of a significant regulatory enforcement action.</w:t>
      </w:r>
    </w:p>
    <w:p w14:paraId="6D6F2152" w14:textId="76CD7607" w:rsidR="00201463" w:rsidRPr="008059D3" w:rsidRDefault="006D1E73" w:rsidP="006D1E73">
      <w:pPr>
        <w:spacing w:line="360" w:lineRule="auto"/>
        <w:jc w:val="both"/>
      </w:pPr>
      <w:r>
        <w:t>The implementation plan has three fundamental priorities: (1) within 90 days create the AI Governance Board to achieve an immediate reduction in regulatory risk; (2) within six months deploy XAI audit tools to achieve a payback of an estimated 18 months using reduced insurance premiums and cost of capital; and (3) within 2028 consider ISO/IEC 42001 certification to achieve a payback of estimated 18</w:t>
      </w:r>
      <w:r w:rsidR="00F7468A">
        <w:t>.</w:t>
      </w:r>
      <w:r w:rsidR="00A409F2" w:rsidRPr="008059D3">
        <w:br w:type="page"/>
      </w:r>
    </w:p>
    <w:sdt>
      <w:sdtPr>
        <w:rPr>
          <w:rFonts w:ascii="Arial" w:eastAsia="Arial" w:hAnsi="Arial" w:cs="Arial"/>
          <w:color w:val="auto"/>
          <w:sz w:val="22"/>
          <w:szCs w:val="22"/>
        </w:rPr>
        <w:id w:val="-939365698"/>
        <w:docPartObj>
          <w:docPartGallery w:val="Table of Contents"/>
          <w:docPartUnique/>
        </w:docPartObj>
      </w:sdtPr>
      <w:sdtEndPr>
        <w:rPr>
          <w:b/>
          <w:bCs/>
          <w:noProof/>
        </w:rPr>
      </w:sdtEndPr>
      <w:sdtContent>
        <w:p w14:paraId="5B5E354F" w14:textId="6305790D" w:rsidR="00201463" w:rsidRPr="008059D3" w:rsidRDefault="00201463" w:rsidP="008059D3">
          <w:pPr>
            <w:pStyle w:val="TOCHeading"/>
            <w:spacing w:before="0" w:line="360" w:lineRule="auto"/>
            <w:rPr>
              <w:rFonts w:ascii="Arial" w:hAnsi="Arial" w:cs="Arial"/>
            </w:rPr>
          </w:pPr>
          <w:r w:rsidRPr="008059D3">
            <w:rPr>
              <w:rFonts w:ascii="Arial" w:hAnsi="Arial" w:cs="Arial"/>
            </w:rPr>
            <w:t>Table of Contents</w:t>
          </w:r>
        </w:p>
        <w:p w14:paraId="6C802672" w14:textId="277AF866" w:rsidR="00DC791B" w:rsidRDefault="00201463">
          <w:pPr>
            <w:pStyle w:val="TOC1"/>
            <w:tabs>
              <w:tab w:val="right" w:leader="dot" w:pos="9710"/>
            </w:tabs>
            <w:rPr>
              <w:rFonts w:asciiTheme="minorHAnsi" w:eastAsiaTheme="minorEastAsia" w:hAnsiTheme="minorHAnsi" w:cstheme="minorBidi"/>
              <w:noProof/>
              <w:kern w:val="2"/>
              <w:sz w:val="24"/>
              <w:szCs w:val="24"/>
              <w14:ligatures w14:val="standardContextual"/>
            </w:rPr>
          </w:pPr>
          <w:r w:rsidRPr="008059D3">
            <w:fldChar w:fldCharType="begin"/>
          </w:r>
          <w:r w:rsidRPr="008059D3">
            <w:instrText xml:space="preserve"> TOC \o "1-3" \h \z \u </w:instrText>
          </w:r>
          <w:r w:rsidRPr="008059D3">
            <w:fldChar w:fldCharType="separate"/>
          </w:r>
          <w:hyperlink w:anchor="_Toc227967378" w:history="1">
            <w:r w:rsidR="00DC791B" w:rsidRPr="003A3702">
              <w:rPr>
                <w:rStyle w:val="Hyperlink"/>
                <w:noProof/>
              </w:rPr>
              <w:t>Executive Summary</w:t>
            </w:r>
            <w:r w:rsidR="00DC791B">
              <w:rPr>
                <w:noProof/>
                <w:webHidden/>
              </w:rPr>
              <w:tab/>
            </w:r>
            <w:r w:rsidR="00DC791B">
              <w:rPr>
                <w:noProof/>
                <w:webHidden/>
              </w:rPr>
              <w:fldChar w:fldCharType="begin"/>
            </w:r>
            <w:r w:rsidR="00DC791B">
              <w:rPr>
                <w:noProof/>
                <w:webHidden/>
              </w:rPr>
              <w:instrText xml:space="preserve"> PAGEREF _Toc227967378 \h </w:instrText>
            </w:r>
            <w:r w:rsidR="00DC791B">
              <w:rPr>
                <w:noProof/>
                <w:webHidden/>
              </w:rPr>
            </w:r>
            <w:r w:rsidR="00DC791B">
              <w:rPr>
                <w:noProof/>
                <w:webHidden/>
              </w:rPr>
              <w:fldChar w:fldCharType="separate"/>
            </w:r>
            <w:r w:rsidR="00C25193">
              <w:rPr>
                <w:noProof/>
                <w:webHidden/>
              </w:rPr>
              <w:t>2</w:t>
            </w:r>
            <w:r w:rsidR="00DC791B">
              <w:rPr>
                <w:noProof/>
                <w:webHidden/>
              </w:rPr>
              <w:fldChar w:fldCharType="end"/>
            </w:r>
          </w:hyperlink>
        </w:p>
        <w:p w14:paraId="0B4FD921" w14:textId="64BD69A4" w:rsidR="00DC791B" w:rsidRDefault="003A0E53">
          <w:pPr>
            <w:pStyle w:val="TOC1"/>
            <w:tabs>
              <w:tab w:val="right" w:leader="dot" w:pos="9710"/>
            </w:tabs>
            <w:rPr>
              <w:rFonts w:asciiTheme="minorHAnsi" w:eastAsiaTheme="minorEastAsia" w:hAnsiTheme="minorHAnsi" w:cstheme="minorBidi"/>
              <w:noProof/>
              <w:kern w:val="2"/>
              <w:sz w:val="24"/>
              <w:szCs w:val="24"/>
              <w14:ligatures w14:val="standardContextual"/>
            </w:rPr>
          </w:pPr>
          <w:hyperlink w:anchor="_Toc227967379" w:history="1">
            <w:r w:rsidR="00DC791B" w:rsidRPr="003A3702">
              <w:rPr>
                <w:rStyle w:val="Hyperlink"/>
                <w:noProof/>
              </w:rPr>
              <w:t>1.0 Introduction</w:t>
            </w:r>
            <w:r w:rsidR="00DC791B">
              <w:rPr>
                <w:noProof/>
                <w:webHidden/>
              </w:rPr>
              <w:tab/>
            </w:r>
            <w:r w:rsidR="00DC791B">
              <w:rPr>
                <w:noProof/>
                <w:webHidden/>
              </w:rPr>
              <w:fldChar w:fldCharType="begin"/>
            </w:r>
            <w:r w:rsidR="00DC791B">
              <w:rPr>
                <w:noProof/>
                <w:webHidden/>
              </w:rPr>
              <w:instrText xml:space="preserve"> PAGEREF _Toc227967379 \h </w:instrText>
            </w:r>
            <w:r w:rsidR="00DC791B">
              <w:rPr>
                <w:noProof/>
                <w:webHidden/>
              </w:rPr>
            </w:r>
            <w:r w:rsidR="00DC791B">
              <w:rPr>
                <w:noProof/>
                <w:webHidden/>
              </w:rPr>
              <w:fldChar w:fldCharType="separate"/>
            </w:r>
            <w:r w:rsidR="00C25193">
              <w:rPr>
                <w:noProof/>
                <w:webHidden/>
              </w:rPr>
              <w:t>4</w:t>
            </w:r>
            <w:r w:rsidR="00DC791B">
              <w:rPr>
                <w:noProof/>
                <w:webHidden/>
              </w:rPr>
              <w:fldChar w:fldCharType="end"/>
            </w:r>
          </w:hyperlink>
        </w:p>
        <w:p w14:paraId="11498841" w14:textId="70465C95" w:rsidR="00DC791B" w:rsidRDefault="003A0E53">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27967380" w:history="1">
            <w:r w:rsidR="00DC791B" w:rsidRPr="003A3702">
              <w:rPr>
                <w:rStyle w:val="Hyperlink"/>
                <w:noProof/>
              </w:rPr>
              <w:t>1.1 Purpose and Scope</w:t>
            </w:r>
            <w:r w:rsidR="00DC791B">
              <w:rPr>
                <w:noProof/>
                <w:webHidden/>
              </w:rPr>
              <w:tab/>
            </w:r>
            <w:r w:rsidR="00DC791B">
              <w:rPr>
                <w:noProof/>
                <w:webHidden/>
              </w:rPr>
              <w:fldChar w:fldCharType="begin"/>
            </w:r>
            <w:r w:rsidR="00DC791B">
              <w:rPr>
                <w:noProof/>
                <w:webHidden/>
              </w:rPr>
              <w:instrText xml:space="preserve"> PAGEREF _Toc227967380 \h </w:instrText>
            </w:r>
            <w:r w:rsidR="00DC791B">
              <w:rPr>
                <w:noProof/>
                <w:webHidden/>
              </w:rPr>
            </w:r>
            <w:r w:rsidR="00DC791B">
              <w:rPr>
                <w:noProof/>
                <w:webHidden/>
              </w:rPr>
              <w:fldChar w:fldCharType="separate"/>
            </w:r>
            <w:r w:rsidR="00C25193">
              <w:rPr>
                <w:noProof/>
                <w:webHidden/>
              </w:rPr>
              <w:t>4</w:t>
            </w:r>
            <w:r w:rsidR="00DC791B">
              <w:rPr>
                <w:noProof/>
                <w:webHidden/>
              </w:rPr>
              <w:fldChar w:fldCharType="end"/>
            </w:r>
          </w:hyperlink>
        </w:p>
        <w:p w14:paraId="4CFCE11B" w14:textId="18F420FE" w:rsidR="00DC791B" w:rsidRDefault="003A0E53">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27967381" w:history="1">
            <w:r w:rsidR="00DC791B" w:rsidRPr="003A3702">
              <w:rPr>
                <w:rStyle w:val="Hyperlink"/>
                <w:noProof/>
              </w:rPr>
              <w:t>1.2 bp Corporate Background</w:t>
            </w:r>
            <w:r w:rsidR="00DC791B">
              <w:rPr>
                <w:noProof/>
                <w:webHidden/>
              </w:rPr>
              <w:tab/>
            </w:r>
            <w:r w:rsidR="00DC791B">
              <w:rPr>
                <w:noProof/>
                <w:webHidden/>
              </w:rPr>
              <w:fldChar w:fldCharType="begin"/>
            </w:r>
            <w:r w:rsidR="00DC791B">
              <w:rPr>
                <w:noProof/>
                <w:webHidden/>
              </w:rPr>
              <w:instrText xml:space="preserve"> PAGEREF _Toc227967381 \h </w:instrText>
            </w:r>
            <w:r w:rsidR="00DC791B">
              <w:rPr>
                <w:noProof/>
                <w:webHidden/>
              </w:rPr>
            </w:r>
            <w:r w:rsidR="00DC791B">
              <w:rPr>
                <w:noProof/>
                <w:webHidden/>
              </w:rPr>
              <w:fldChar w:fldCharType="separate"/>
            </w:r>
            <w:r w:rsidR="00C25193">
              <w:rPr>
                <w:noProof/>
                <w:webHidden/>
              </w:rPr>
              <w:t>4</w:t>
            </w:r>
            <w:r w:rsidR="00DC791B">
              <w:rPr>
                <w:noProof/>
                <w:webHidden/>
              </w:rPr>
              <w:fldChar w:fldCharType="end"/>
            </w:r>
          </w:hyperlink>
        </w:p>
        <w:p w14:paraId="1C54AB31" w14:textId="5BBB8751" w:rsidR="00DC791B" w:rsidRDefault="003A0E53">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27967382" w:history="1">
            <w:r w:rsidR="00DC791B" w:rsidRPr="003A3702">
              <w:rPr>
                <w:rStyle w:val="Hyperlink"/>
                <w:noProof/>
              </w:rPr>
              <w:t>1.3 Why AI in the Energy Sector</w:t>
            </w:r>
            <w:r w:rsidR="00DC791B">
              <w:rPr>
                <w:noProof/>
                <w:webHidden/>
              </w:rPr>
              <w:tab/>
            </w:r>
            <w:r w:rsidR="00DC791B">
              <w:rPr>
                <w:noProof/>
                <w:webHidden/>
              </w:rPr>
              <w:fldChar w:fldCharType="begin"/>
            </w:r>
            <w:r w:rsidR="00DC791B">
              <w:rPr>
                <w:noProof/>
                <w:webHidden/>
              </w:rPr>
              <w:instrText xml:space="preserve"> PAGEREF _Toc227967382 \h </w:instrText>
            </w:r>
            <w:r w:rsidR="00DC791B">
              <w:rPr>
                <w:noProof/>
                <w:webHidden/>
              </w:rPr>
            </w:r>
            <w:r w:rsidR="00DC791B">
              <w:rPr>
                <w:noProof/>
                <w:webHidden/>
              </w:rPr>
              <w:fldChar w:fldCharType="separate"/>
            </w:r>
            <w:r w:rsidR="00C25193">
              <w:rPr>
                <w:noProof/>
                <w:webHidden/>
              </w:rPr>
              <w:t>4</w:t>
            </w:r>
            <w:r w:rsidR="00DC791B">
              <w:rPr>
                <w:noProof/>
                <w:webHidden/>
              </w:rPr>
              <w:fldChar w:fldCharType="end"/>
            </w:r>
          </w:hyperlink>
        </w:p>
        <w:p w14:paraId="77383D3B" w14:textId="215FE4A9" w:rsidR="00DC791B" w:rsidRDefault="003A0E53">
          <w:pPr>
            <w:pStyle w:val="TOC1"/>
            <w:tabs>
              <w:tab w:val="right" w:leader="dot" w:pos="9710"/>
            </w:tabs>
            <w:rPr>
              <w:rFonts w:asciiTheme="minorHAnsi" w:eastAsiaTheme="minorEastAsia" w:hAnsiTheme="minorHAnsi" w:cstheme="minorBidi"/>
              <w:noProof/>
              <w:kern w:val="2"/>
              <w:sz w:val="24"/>
              <w:szCs w:val="24"/>
              <w14:ligatures w14:val="standardContextual"/>
            </w:rPr>
          </w:pPr>
          <w:hyperlink w:anchor="_Toc227967383" w:history="1">
            <w:r w:rsidR="00DC791B" w:rsidRPr="003A3702">
              <w:rPr>
                <w:rStyle w:val="Hyperlink"/>
                <w:noProof/>
              </w:rPr>
              <w:t>2.0 Main Findings</w:t>
            </w:r>
            <w:r w:rsidR="00DC791B">
              <w:rPr>
                <w:noProof/>
                <w:webHidden/>
              </w:rPr>
              <w:tab/>
            </w:r>
            <w:r w:rsidR="00DC791B">
              <w:rPr>
                <w:noProof/>
                <w:webHidden/>
              </w:rPr>
              <w:fldChar w:fldCharType="begin"/>
            </w:r>
            <w:r w:rsidR="00DC791B">
              <w:rPr>
                <w:noProof/>
                <w:webHidden/>
              </w:rPr>
              <w:instrText xml:space="preserve"> PAGEREF _Toc227967383 \h </w:instrText>
            </w:r>
            <w:r w:rsidR="00DC791B">
              <w:rPr>
                <w:noProof/>
                <w:webHidden/>
              </w:rPr>
            </w:r>
            <w:r w:rsidR="00DC791B">
              <w:rPr>
                <w:noProof/>
                <w:webHidden/>
              </w:rPr>
              <w:fldChar w:fldCharType="separate"/>
            </w:r>
            <w:r w:rsidR="00C25193">
              <w:rPr>
                <w:noProof/>
                <w:webHidden/>
              </w:rPr>
              <w:t>5</w:t>
            </w:r>
            <w:r w:rsidR="00DC791B">
              <w:rPr>
                <w:noProof/>
                <w:webHidden/>
              </w:rPr>
              <w:fldChar w:fldCharType="end"/>
            </w:r>
          </w:hyperlink>
        </w:p>
        <w:p w14:paraId="4391F6BF" w14:textId="00E32BE0" w:rsidR="00DC791B" w:rsidRDefault="003A0E53">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27967384" w:history="1">
            <w:r w:rsidR="00DC791B" w:rsidRPr="003A3702">
              <w:rPr>
                <w:rStyle w:val="Hyperlink"/>
                <w:noProof/>
              </w:rPr>
              <w:t>2.1 PESTLE Analysis: UK and US AI Regulatory Environments</w:t>
            </w:r>
            <w:r w:rsidR="00DC791B">
              <w:rPr>
                <w:noProof/>
                <w:webHidden/>
              </w:rPr>
              <w:tab/>
            </w:r>
            <w:r w:rsidR="00DC791B">
              <w:rPr>
                <w:noProof/>
                <w:webHidden/>
              </w:rPr>
              <w:fldChar w:fldCharType="begin"/>
            </w:r>
            <w:r w:rsidR="00DC791B">
              <w:rPr>
                <w:noProof/>
                <w:webHidden/>
              </w:rPr>
              <w:instrText xml:space="preserve"> PAGEREF _Toc227967384 \h </w:instrText>
            </w:r>
            <w:r w:rsidR="00DC791B">
              <w:rPr>
                <w:noProof/>
                <w:webHidden/>
              </w:rPr>
            </w:r>
            <w:r w:rsidR="00DC791B">
              <w:rPr>
                <w:noProof/>
                <w:webHidden/>
              </w:rPr>
              <w:fldChar w:fldCharType="separate"/>
            </w:r>
            <w:r w:rsidR="00C25193">
              <w:rPr>
                <w:noProof/>
                <w:webHidden/>
              </w:rPr>
              <w:t>5</w:t>
            </w:r>
            <w:r w:rsidR="00DC791B">
              <w:rPr>
                <w:noProof/>
                <w:webHidden/>
              </w:rPr>
              <w:fldChar w:fldCharType="end"/>
            </w:r>
          </w:hyperlink>
        </w:p>
        <w:p w14:paraId="51B3D008" w14:textId="2ACA0205" w:rsidR="00DC791B" w:rsidRDefault="003A0E53">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27967385" w:history="1">
            <w:r w:rsidR="00DC791B" w:rsidRPr="003A3702">
              <w:rPr>
                <w:rStyle w:val="Hyperlink"/>
                <w:noProof/>
              </w:rPr>
              <w:t>2.1.1 Porter’s Five Forces Analysis</w:t>
            </w:r>
            <w:r w:rsidR="00DC791B">
              <w:rPr>
                <w:noProof/>
                <w:webHidden/>
              </w:rPr>
              <w:tab/>
            </w:r>
            <w:r w:rsidR="00DC791B">
              <w:rPr>
                <w:noProof/>
                <w:webHidden/>
              </w:rPr>
              <w:fldChar w:fldCharType="begin"/>
            </w:r>
            <w:r w:rsidR="00DC791B">
              <w:rPr>
                <w:noProof/>
                <w:webHidden/>
              </w:rPr>
              <w:instrText xml:space="preserve"> PAGEREF _Toc227967385 \h </w:instrText>
            </w:r>
            <w:r w:rsidR="00DC791B">
              <w:rPr>
                <w:noProof/>
                <w:webHidden/>
              </w:rPr>
            </w:r>
            <w:r w:rsidR="00DC791B">
              <w:rPr>
                <w:noProof/>
                <w:webHidden/>
              </w:rPr>
              <w:fldChar w:fldCharType="separate"/>
            </w:r>
            <w:r w:rsidR="00C25193">
              <w:rPr>
                <w:noProof/>
                <w:webHidden/>
              </w:rPr>
              <w:t>8</w:t>
            </w:r>
            <w:r w:rsidR="00DC791B">
              <w:rPr>
                <w:noProof/>
                <w:webHidden/>
              </w:rPr>
              <w:fldChar w:fldCharType="end"/>
            </w:r>
          </w:hyperlink>
        </w:p>
        <w:p w14:paraId="7A40AA27" w14:textId="793A6ED3" w:rsidR="00DC791B" w:rsidRDefault="003A0E53">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27967386" w:history="1">
            <w:r w:rsidR="00DC791B" w:rsidRPr="003A3702">
              <w:rPr>
                <w:rStyle w:val="Hyperlink"/>
                <w:noProof/>
              </w:rPr>
              <w:t>2.2 AI Risk Categories in bp Operations</w:t>
            </w:r>
            <w:r w:rsidR="00DC791B">
              <w:rPr>
                <w:noProof/>
                <w:webHidden/>
              </w:rPr>
              <w:tab/>
            </w:r>
            <w:r w:rsidR="00DC791B">
              <w:rPr>
                <w:noProof/>
                <w:webHidden/>
              </w:rPr>
              <w:fldChar w:fldCharType="begin"/>
            </w:r>
            <w:r w:rsidR="00DC791B">
              <w:rPr>
                <w:noProof/>
                <w:webHidden/>
              </w:rPr>
              <w:instrText xml:space="preserve"> PAGEREF _Toc227967386 \h </w:instrText>
            </w:r>
            <w:r w:rsidR="00DC791B">
              <w:rPr>
                <w:noProof/>
                <w:webHidden/>
              </w:rPr>
            </w:r>
            <w:r w:rsidR="00DC791B">
              <w:rPr>
                <w:noProof/>
                <w:webHidden/>
              </w:rPr>
              <w:fldChar w:fldCharType="separate"/>
            </w:r>
            <w:r w:rsidR="00C25193">
              <w:rPr>
                <w:noProof/>
                <w:webHidden/>
              </w:rPr>
              <w:t>9</w:t>
            </w:r>
            <w:r w:rsidR="00DC791B">
              <w:rPr>
                <w:noProof/>
                <w:webHidden/>
              </w:rPr>
              <w:fldChar w:fldCharType="end"/>
            </w:r>
          </w:hyperlink>
        </w:p>
        <w:p w14:paraId="1DCCA5E9" w14:textId="7A20B5E1" w:rsidR="00DC791B" w:rsidRDefault="003A0E53">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27967387" w:history="1">
            <w:r w:rsidR="00DC791B" w:rsidRPr="003A3702">
              <w:rPr>
                <w:rStyle w:val="Hyperlink"/>
                <w:noProof/>
              </w:rPr>
              <w:t>2.2.1 Predictive Maintenance and Safety System Failures</w:t>
            </w:r>
            <w:r w:rsidR="00DC791B">
              <w:rPr>
                <w:noProof/>
                <w:webHidden/>
              </w:rPr>
              <w:tab/>
            </w:r>
            <w:r w:rsidR="00DC791B">
              <w:rPr>
                <w:noProof/>
                <w:webHidden/>
              </w:rPr>
              <w:fldChar w:fldCharType="begin"/>
            </w:r>
            <w:r w:rsidR="00DC791B">
              <w:rPr>
                <w:noProof/>
                <w:webHidden/>
              </w:rPr>
              <w:instrText xml:space="preserve"> PAGEREF _Toc227967387 \h </w:instrText>
            </w:r>
            <w:r w:rsidR="00DC791B">
              <w:rPr>
                <w:noProof/>
                <w:webHidden/>
              </w:rPr>
            </w:r>
            <w:r w:rsidR="00DC791B">
              <w:rPr>
                <w:noProof/>
                <w:webHidden/>
              </w:rPr>
              <w:fldChar w:fldCharType="separate"/>
            </w:r>
            <w:r w:rsidR="00C25193">
              <w:rPr>
                <w:noProof/>
                <w:webHidden/>
              </w:rPr>
              <w:t>11</w:t>
            </w:r>
            <w:r w:rsidR="00DC791B">
              <w:rPr>
                <w:noProof/>
                <w:webHidden/>
              </w:rPr>
              <w:fldChar w:fldCharType="end"/>
            </w:r>
          </w:hyperlink>
        </w:p>
        <w:p w14:paraId="4F05AC57" w14:textId="0F75E8A5" w:rsidR="00DC791B" w:rsidRDefault="003A0E53">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27967388" w:history="1">
            <w:r w:rsidR="00DC791B" w:rsidRPr="003A3702">
              <w:rPr>
                <w:rStyle w:val="Hyperlink"/>
                <w:noProof/>
              </w:rPr>
              <w:t>2.2.2 Environmental Monitoring and Emissions Reporting Bias</w:t>
            </w:r>
            <w:r w:rsidR="00DC791B">
              <w:rPr>
                <w:noProof/>
                <w:webHidden/>
              </w:rPr>
              <w:tab/>
            </w:r>
            <w:r w:rsidR="00DC791B">
              <w:rPr>
                <w:noProof/>
                <w:webHidden/>
              </w:rPr>
              <w:fldChar w:fldCharType="begin"/>
            </w:r>
            <w:r w:rsidR="00DC791B">
              <w:rPr>
                <w:noProof/>
                <w:webHidden/>
              </w:rPr>
              <w:instrText xml:space="preserve"> PAGEREF _Toc227967388 \h </w:instrText>
            </w:r>
            <w:r w:rsidR="00DC791B">
              <w:rPr>
                <w:noProof/>
                <w:webHidden/>
              </w:rPr>
            </w:r>
            <w:r w:rsidR="00DC791B">
              <w:rPr>
                <w:noProof/>
                <w:webHidden/>
              </w:rPr>
              <w:fldChar w:fldCharType="separate"/>
            </w:r>
            <w:r w:rsidR="00C25193">
              <w:rPr>
                <w:noProof/>
                <w:webHidden/>
              </w:rPr>
              <w:t>12</w:t>
            </w:r>
            <w:r w:rsidR="00DC791B">
              <w:rPr>
                <w:noProof/>
                <w:webHidden/>
              </w:rPr>
              <w:fldChar w:fldCharType="end"/>
            </w:r>
          </w:hyperlink>
        </w:p>
        <w:p w14:paraId="27B17780" w14:textId="5EE61415" w:rsidR="00DC791B" w:rsidRDefault="003A0E53">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27967389" w:history="1">
            <w:r w:rsidR="00DC791B" w:rsidRPr="003A3702">
              <w:rPr>
                <w:rStyle w:val="Hyperlink"/>
                <w:noProof/>
              </w:rPr>
              <w:t>2.2.3 Algorithmic Discrimination and Workforce Decisions</w:t>
            </w:r>
            <w:r w:rsidR="00DC791B">
              <w:rPr>
                <w:noProof/>
                <w:webHidden/>
              </w:rPr>
              <w:tab/>
            </w:r>
            <w:r w:rsidR="00DC791B">
              <w:rPr>
                <w:noProof/>
                <w:webHidden/>
              </w:rPr>
              <w:fldChar w:fldCharType="begin"/>
            </w:r>
            <w:r w:rsidR="00DC791B">
              <w:rPr>
                <w:noProof/>
                <w:webHidden/>
              </w:rPr>
              <w:instrText xml:space="preserve"> PAGEREF _Toc227967389 \h </w:instrText>
            </w:r>
            <w:r w:rsidR="00DC791B">
              <w:rPr>
                <w:noProof/>
                <w:webHidden/>
              </w:rPr>
            </w:r>
            <w:r w:rsidR="00DC791B">
              <w:rPr>
                <w:noProof/>
                <w:webHidden/>
              </w:rPr>
              <w:fldChar w:fldCharType="separate"/>
            </w:r>
            <w:r w:rsidR="00C25193">
              <w:rPr>
                <w:noProof/>
                <w:webHidden/>
              </w:rPr>
              <w:t>13</w:t>
            </w:r>
            <w:r w:rsidR="00DC791B">
              <w:rPr>
                <w:noProof/>
                <w:webHidden/>
              </w:rPr>
              <w:fldChar w:fldCharType="end"/>
            </w:r>
          </w:hyperlink>
        </w:p>
        <w:p w14:paraId="5E422092" w14:textId="33F0E4FF" w:rsidR="00DC791B" w:rsidRDefault="003A0E53">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27967390" w:history="1">
            <w:r w:rsidR="00DC791B" w:rsidRPr="003A3702">
              <w:rPr>
                <w:rStyle w:val="Hyperlink"/>
                <w:noProof/>
              </w:rPr>
              <w:t>2.2.4 AI-Driven ESG Disclosure and Greenwashing Risk</w:t>
            </w:r>
            <w:r w:rsidR="00DC791B">
              <w:rPr>
                <w:noProof/>
                <w:webHidden/>
              </w:rPr>
              <w:tab/>
            </w:r>
            <w:r w:rsidR="00DC791B">
              <w:rPr>
                <w:noProof/>
                <w:webHidden/>
              </w:rPr>
              <w:fldChar w:fldCharType="begin"/>
            </w:r>
            <w:r w:rsidR="00DC791B">
              <w:rPr>
                <w:noProof/>
                <w:webHidden/>
              </w:rPr>
              <w:instrText xml:space="preserve"> PAGEREF _Toc227967390 \h </w:instrText>
            </w:r>
            <w:r w:rsidR="00DC791B">
              <w:rPr>
                <w:noProof/>
                <w:webHidden/>
              </w:rPr>
            </w:r>
            <w:r w:rsidR="00DC791B">
              <w:rPr>
                <w:noProof/>
                <w:webHidden/>
              </w:rPr>
              <w:fldChar w:fldCharType="separate"/>
            </w:r>
            <w:r w:rsidR="00C25193">
              <w:rPr>
                <w:noProof/>
                <w:webHidden/>
              </w:rPr>
              <w:t>14</w:t>
            </w:r>
            <w:r w:rsidR="00DC791B">
              <w:rPr>
                <w:noProof/>
                <w:webHidden/>
              </w:rPr>
              <w:fldChar w:fldCharType="end"/>
            </w:r>
          </w:hyperlink>
        </w:p>
        <w:p w14:paraId="29E86E49" w14:textId="27497011" w:rsidR="00DC791B" w:rsidRDefault="003A0E53">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27967391" w:history="1">
            <w:r w:rsidR="00DC791B" w:rsidRPr="003A3702">
              <w:rPr>
                <w:rStyle w:val="Hyperlink"/>
                <w:noProof/>
              </w:rPr>
              <w:t>2.3 Strategic Framework Integration: Porter's Diamond and OLI Analysis</w:t>
            </w:r>
            <w:r w:rsidR="00DC791B">
              <w:rPr>
                <w:noProof/>
                <w:webHidden/>
              </w:rPr>
              <w:tab/>
            </w:r>
            <w:r w:rsidR="00DC791B">
              <w:rPr>
                <w:noProof/>
                <w:webHidden/>
              </w:rPr>
              <w:fldChar w:fldCharType="begin"/>
            </w:r>
            <w:r w:rsidR="00DC791B">
              <w:rPr>
                <w:noProof/>
                <w:webHidden/>
              </w:rPr>
              <w:instrText xml:space="preserve"> PAGEREF _Toc227967391 \h </w:instrText>
            </w:r>
            <w:r w:rsidR="00DC791B">
              <w:rPr>
                <w:noProof/>
                <w:webHidden/>
              </w:rPr>
            </w:r>
            <w:r w:rsidR="00DC791B">
              <w:rPr>
                <w:noProof/>
                <w:webHidden/>
              </w:rPr>
              <w:fldChar w:fldCharType="separate"/>
            </w:r>
            <w:r w:rsidR="00C25193">
              <w:rPr>
                <w:noProof/>
                <w:webHidden/>
              </w:rPr>
              <w:t>15</w:t>
            </w:r>
            <w:r w:rsidR="00DC791B">
              <w:rPr>
                <w:noProof/>
                <w:webHidden/>
              </w:rPr>
              <w:fldChar w:fldCharType="end"/>
            </w:r>
          </w:hyperlink>
        </w:p>
        <w:p w14:paraId="54DBB9EA" w14:textId="261397FF" w:rsidR="00DC791B" w:rsidRDefault="003A0E53">
          <w:pPr>
            <w:pStyle w:val="TOC1"/>
            <w:tabs>
              <w:tab w:val="right" w:leader="dot" w:pos="9710"/>
            </w:tabs>
            <w:rPr>
              <w:rFonts w:asciiTheme="minorHAnsi" w:eastAsiaTheme="minorEastAsia" w:hAnsiTheme="minorHAnsi" w:cstheme="minorBidi"/>
              <w:noProof/>
              <w:kern w:val="2"/>
              <w:sz w:val="24"/>
              <w:szCs w:val="24"/>
              <w14:ligatures w14:val="standardContextual"/>
            </w:rPr>
          </w:pPr>
          <w:hyperlink w:anchor="_Toc227967392" w:history="1">
            <w:r w:rsidR="00DC791B" w:rsidRPr="003A3702">
              <w:rPr>
                <w:rStyle w:val="Hyperlink"/>
                <w:noProof/>
              </w:rPr>
              <w:t>3.0 Implementation Plan</w:t>
            </w:r>
            <w:r w:rsidR="00DC791B">
              <w:rPr>
                <w:noProof/>
                <w:webHidden/>
              </w:rPr>
              <w:tab/>
            </w:r>
            <w:r w:rsidR="00DC791B">
              <w:rPr>
                <w:noProof/>
                <w:webHidden/>
              </w:rPr>
              <w:fldChar w:fldCharType="begin"/>
            </w:r>
            <w:r w:rsidR="00DC791B">
              <w:rPr>
                <w:noProof/>
                <w:webHidden/>
              </w:rPr>
              <w:instrText xml:space="preserve"> PAGEREF _Toc227967392 \h </w:instrText>
            </w:r>
            <w:r w:rsidR="00DC791B">
              <w:rPr>
                <w:noProof/>
                <w:webHidden/>
              </w:rPr>
            </w:r>
            <w:r w:rsidR="00DC791B">
              <w:rPr>
                <w:noProof/>
                <w:webHidden/>
              </w:rPr>
              <w:fldChar w:fldCharType="separate"/>
            </w:r>
            <w:r w:rsidR="00C25193">
              <w:rPr>
                <w:noProof/>
                <w:webHidden/>
              </w:rPr>
              <w:t>16</w:t>
            </w:r>
            <w:r w:rsidR="00DC791B">
              <w:rPr>
                <w:noProof/>
                <w:webHidden/>
              </w:rPr>
              <w:fldChar w:fldCharType="end"/>
            </w:r>
          </w:hyperlink>
        </w:p>
        <w:p w14:paraId="0C782638" w14:textId="2043328A" w:rsidR="00DC791B" w:rsidRDefault="003A0E53">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27967393" w:history="1">
            <w:r w:rsidR="00DC791B" w:rsidRPr="003A3702">
              <w:rPr>
                <w:rStyle w:val="Hyperlink"/>
                <w:noProof/>
              </w:rPr>
              <w:t>3.1 Guiding Principles</w:t>
            </w:r>
            <w:r w:rsidR="00DC791B">
              <w:rPr>
                <w:noProof/>
                <w:webHidden/>
              </w:rPr>
              <w:tab/>
            </w:r>
            <w:r w:rsidR="00DC791B">
              <w:rPr>
                <w:noProof/>
                <w:webHidden/>
              </w:rPr>
              <w:fldChar w:fldCharType="begin"/>
            </w:r>
            <w:r w:rsidR="00DC791B">
              <w:rPr>
                <w:noProof/>
                <w:webHidden/>
              </w:rPr>
              <w:instrText xml:space="preserve"> PAGEREF _Toc227967393 \h </w:instrText>
            </w:r>
            <w:r w:rsidR="00DC791B">
              <w:rPr>
                <w:noProof/>
                <w:webHidden/>
              </w:rPr>
            </w:r>
            <w:r w:rsidR="00DC791B">
              <w:rPr>
                <w:noProof/>
                <w:webHidden/>
              </w:rPr>
              <w:fldChar w:fldCharType="separate"/>
            </w:r>
            <w:r w:rsidR="00C25193">
              <w:rPr>
                <w:noProof/>
                <w:webHidden/>
              </w:rPr>
              <w:t>16</w:t>
            </w:r>
            <w:r w:rsidR="00DC791B">
              <w:rPr>
                <w:noProof/>
                <w:webHidden/>
              </w:rPr>
              <w:fldChar w:fldCharType="end"/>
            </w:r>
          </w:hyperlink>
        </w:p>
        <w:p w14:paraId="785EEE82" w14:textId="0B0F75B4" w:rsidR="00DC791B" w:rsidRDefault="003A0E53">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27967394" w:history="1">
            <w:r w:rsidR="00DC791B" w:rsidRPr="003A3702">
              <w:rPr>
                <w:rStyle w:val="Hyperlink"/>
                <w:noProof/>
              </w:rPr>
              <w:t>3.2 Phased Action Plan with Costings</w:t>
            </w:r>
            <w:r w:rsidR="00DC791B">
              <w:rPr>
                <w:noProof/>
                <w:webHidden/>
              </w:rPr>
              <w:tab/>
            </w:r>
            <w:r w:rsidR="00DC791B">
              <w:rPr>
                <w:noProof/>
                <w:webHidden/>
              </w:rPr>
              <w:fldChar w:fldCharType="begin"/>
            </w:r>
            <w:r w:rsidR="00DC791B">
              <w:rPr>
                <w:noProof/>
                <w:webHidden/>
              </w:rPr>
              <w:instrText xml:space="preserve"> PAGEREF _Toc227967394 \h </w:instrText>
            </w:r>
            <w:r w:rsidR="00DC791B">
              <w:rPr>
                <w:noProof/>
                <w:webHidden/>
              </w:rPr>
            </w:r>
            <w:r w:rsidR="00DC791B">
              <w:rPr>
                <w:noProof/>
                <w:webHidden/>
              </w:rPr>
              <w:fldChar w:fldCharType="separate"/>
            </w:r>
            <w:r w:rsidR="00C25193">
              <w:rPr>
                <w:noProof/>
                <w:webHidden/>
              </w:rPr>
              <w:t>17</w:t>
            </w:r>
            <w:r w:rsidR="00DC791B">
              <w:rPr>
                <w:noProof/>
                <w:webHidden/>
              </w:rPr>
              <w:fldChar w:fldCharType="end"/>
            </w:r>
          </w:hyperlink>
        </w:p>
        <w:p w14:paraId="6CF0EBF5" w14:textId="52CA9DC4" w:rsidR="00DC791B" w:rsidRDefault="003A0E53">
          <w:pPr>
            <w:pStyle w:val="TOC1"/>
            <w:tabs>
              <w:tab w:val="right" w:leader="dot" w:pos="9710"/>
            </w:tabs>
            <w:rPr>
              <w:rFonts w:asciiTheme="minorHAnsi" w:eastAsiaTheme="minorEastAsia" w:hAnsiTheme="minorHAnsi" w:cstheme="minorBidi"/>
              <w:noProof/>
              <w:kern w:val="2"/>
              <w:sz w:val="24"/>
              <w:szCs w:val="24"/>
              <w14:ligatures w14:val="standardContextual"/>
            </w:rPr>
          </w:pPr>
          <w:hyperlink w:anchor="_Toc227967395" w:history="1">
            <w:r w:rsidR="00DC791B" w:rsidRPr="003A3702">
              <w:rPr>
                <w:rStyle w:val="Hyperlink"/>
                <w:noProof/>
              </w:rPr>
              <w:t>4.0 Conclusion</w:t>
            </w:r>
            <w:r w:rsidR="00DC791B">
              <w:rPr>
                <w:noProof/>
                <w:webHidden/>
              </w:rPr>
              <w:tab/>
            </w:r>
            <w:r w:rsidR="00DC791B">
              <w:rPr>
                <w:noProof/>
                <w:webHidden/>
              </w:rPr>
              <w:fldChar w:fldCharType="begin"/>
            </w:r>
            <w:r w:rsidR="00DC791B">
              <w:rPr>
                <w:noProof/>
                <w:webHidden/>
              </w:rPr>
              <w:instrText xml:space="preserve"> PAGEREF _Toc227967395 \h </w:instrText>
            </w:r>
            <w:r w:rsidR="00DC791B">
              <w:rPr>
                <w:noProof/>
                <w:webHidden/>
              </w:rPr>
            </w:r>
            <w:r w:rsidR="00DC791B">
              <w:rPr>
                <w:noProof/>
                <w:webHidden/>
              </w:rPr>
              <w:fldChar w:fldCharType="separate"/>
            </w:r>
            <w:r w:rsidR="00C25193">
              <w:rPr>
                <w:noProof/>
                <w:webHidden/>
              </w:rPr>
              <w:t>21</w:t>
            </w:r>
            <w:r w:rsidR="00DC791B">
              <w:rPr>
                <w:noProof/>
                <w:webHidden/>
              </w:rPr>
              <w:fldChar w:fldCharType="end"/>
            </w:r>
          </w:hyperlink>
        </w:p>
        <w:p w14:paraId="71990439" w14:textId="7328BF71" w:rsidR="00DC791B" w:rsidRDefault="003A0E53">
          <w:pPr>
            <w:pStyle w:val="TOC1"/>
            <w:tabs>
              <w:tab w:val="right" w:leader="dot" w:pos="9710"/>
            </w:tabs>
            <w:rPr>
              <w:rFonts w:asciiTheme="minorHAnsi" w:eastAsiaTheme="minorEastAsia" w:hAnsiTheme="minorHAnsi" w:cstheme="minorBidi"/>
              <w:noProof/>
              <w:kern w:val="2"/>
              <w:sz w:val="24"/>
              <w:szCs w:val="24"/>
              <w14:ligatures w14:val="standardContextual"/>
            </w:rPr>
          </w:pPr>
          <w:hyperlink w:anchor="_Toc227967396" w:history="1">
            <w:r w:rsidR="00DC791B" w:rsidRPr="003A3702">
              <w:rPr>
                <w:rStyle w:val="Hyperlink"/>
                <w:noProof/>
              </w:rPr>
              <w:t>5.0 Bibliography</w:t>
            </w:r>
            <w:r w:rsidR="00DC791B">
              <w:rPr>
                <w:noProof/>
                <w:webHidden/>
              </w:rPr>
              <w:tab/>
            </w:r>
            <w:r w:rsidR="00DC791B">
              <w:rPr>
                <w:noProof/>
                <w:webHidden/>
              </w:rPr>
              <w:fldChar w:fldCharType="begin"/>
            </w:r>
            <w:r w:rsidR="00DC791B">
              <w:rPr>
                <w:noProof/>
                <w:webHidden/>
              </w:rPr>
              <w:instrText xml:space="preserve"> PAGEREF _Toc227967396 \h </w:instrText>
            </w:r>
            <w:r w:rsidR="00DC791B">
              <w:rPr>
                <w:noProof/>
                <w:webHidden/>
              </w:rPr>
            </w:r>
            <w:r w:rsidR="00DC791B">
              <w:rPr>
                <w:noProof/>
                <w:webHidden/>
              </w:rPr>
              <w:fldChar w:fldCharType="separate"/>
            </w:r>
            <w:r w:rsidR="00C25193">
              <w:rPr>
                <w:noProof/>
                <w:webHidden/>
              </w:rPr>
              <w:t>23</w:t>
            </w:r>
            <w:r w:rsidR="00DC791B">
              <w:rPr>
                <w:noProof/>
                <w:webHidden/>
              </w:rPr>
              <w:fldChar w:fldCharType="end"/>
            </w:r>
          </w:hyperlink>
        </w:p>
        <w:p w14:paraId="4473169D" w14:textId="1643E00B" w:rsidR="00201463" w:rsidRPr="008059D3" w:rsidRDefault="00201463" w:rsidP="008059D3">
          <w:pPr>
            <w:spacing w:line="360" w:lineRule="auto"/>
            <w:rPr>
              <w:b/>
              <w:bCs/>
              <w:noProof/>
            </w:rPr>
          </w:pPr>
          <w:r w:rsidRPr="008059D3">
            <w:rPr>
              <w:b/>
              <w:bCs/>
              <w:noProof/>
            </w:rPr>
            <w:fldChar w:fldCharType="end"/>
          </w:r>
        </w:p>
      </w:sdtContent>
    </w:sdt>
    <w:p w14:paraId="7CC9D500" w14:textId="304C0DE3" w:rsidR="00F227D4" w:rsidRPr="008059D3" w:rsidRDefault="00201463" w:rsidP="008059D3">
      <w:pPr>
        <w:pStyle w:val="Heading1"/>
        <w:spacing w:before="0" w:after="0" w:line="360" w:lineRule="auto"/>
      </w:pPr>
      <w:r w:rsidRPr="008059D3">
        <w:br w:type="column"/>
      </w:r>
      <w:bookmarkStart w:id="1" w:name="_Toc227967379"/>
      <w:r w:rsidR="00A409F2" w:rsidRPr="008059D3">
        <w:lastRenderedPageBreak/>
        <w:t>1.</w:t>
      </w:r>
      <w:r w:rsidR="00D95054" w:rsidRPr="008059D3">
        <w:t>0</w:t>
      </w:r>
      <w:r w:rsidR="00A409F2" w:rsidRPr="008059D3">
        <w:t xml:space="preserve"> Introduction</w:t>
      </w:r>
      <w:bookmarkEnd w:id="1"/>
    </w:p>
    <w:p w14:paraId="65FD4B8C" w14:textId="77777777" w:rsidR="00F227D4" w:rsidRPr="008059D3" w:rsidRDefault="00A409F2" w:rsidP="008059D3">
      <w:pPr>
        <w:pStyle w:val="Heading2"/>
      </w:pPr>
      <w:bookmarkStart w:id="2" w:name="_Toc227967380"/>
      <w:r w:rsidRPr="008059D3">
        <w:t>1.1 Purpose and Scope</w:t>
      </w:r>
      <w:bookmarkEnd w:id="2"/>
    </w:p>
    <w:p w14:paraId="41481F16" w14:textId="7862C5E4" w:rsidR="00F227D4" w:rsidRPr="008059D3" w:rsidRDefault="00F7468A" w:rsidP="008059D3">
      <w:pPr>
        <w:spacing w:line="360" w:lineRule="auto"/>
        <w:jc w:val="both"/>
        <w:rPr>
          <w:sz w:val="24"/>
          <w:szCs w:val="24"/>
        </w:rPr>
      </w:pPr>
      <w:r w:rsidRPr="00F7468A">
        <w:rPr>
          <w:sz w:val="24"/>
          <w:szCs w:val="24"/>
        </w:rPr>
        <w:t xml:space="preserve">This report, commissioned by RFD Global on behalf of British Petroleum plc (bp), analyses the governance, risk and regulatory aspects of AI implementation in the upstream oil and gas business of bp in the United Kingdom and the United States. The applications of AI include predictive maintenance, environmental monitoring, workforce management, </w:t>
      </w:r>
      <w:r w:rsidR="00D91756">
        <w:rPr>
          <w:sz w:val="24"/>
          <w:szCs w:val="24"/>
        </w:rPr>
        <w:t xml:space="preserve">and </w:t>
      </w:r>
      <w:r w:rsidRPr="00F7468A">
        <w:rPr>
          <w:sz w:val="24"/>
          <w:szCs w:val="24"/>
        </w:rPr>
        <w:t>ESG disclosure. It is based on the PESTLE analysis</w:t>
      </w:r>
      <w:r w:rsidR="00D91756">
        <w:rPr>
          <w:sz w:val="24"/>
          <w:szCs w:val="24"/>
        </w:rPr>
        <w:t xml:space="preserve">, which will compare the macro-environmental conditions in which AI is regulated in each jurisdiction and give priority to four categories of AI-driven risks that should be </w:t>
      </w:r>
      <w:proofErr w:type="spellStart"/>
      <w:r w:rsidR="00D91756">
        <w:rPr>
          <w:sz w:val="24"/>
          <w:szCs w:val="24"/>
        </w:rPr>
        <w:t>organised</w:t>
      </w:r>
      <w:proofErr w:type="spellEnd"/>
      <w:r w:rsidRPr="00F7468A">
        <w:rPr>
          <w:sz w:val="24"/>
          <w:szCs w:val="24"/>
        </w:rPr>
        <w:t xml:space="preserve"> and addressed through mitigation. The report ends with a costed, stepwise implementation plan that is in line with the existing and expected regulatory provisions in the two markets.</w:t>
      </w:r>
    </w:p>
    <w:p w14:paraId="06DD780C" w14:textId="5EEE6B72" w:rsidR="00F227D4" w:rsidRPr="008059D3" w:rsidRDefault="00A409F2" w:rsidP="008059D3">
      <w:pPr>
        <w:pStyle w:val="Heading2"/>
      </w:pPr>
      <w:bookmarkStart w:id="3" w:name="_Toc227967381"/>
      <w:r w:rsidRPr="008059D3">
        <w:t xml:space="preserve">1.2 </w:t>
      </w:r>
      <w:r w:rsidR="00F7468A">
        <w:t>BP</w:t>
      </w:r>
      <w:r w:rsidRPr="008059D3">
        <w:t xml:space="preserve"> Corporate Background</w:t>
      </w:r>
      <w:bookmarkEnd w:id="3"/>
    </w:p>
    <w:p w14:paraId="79530ACB" w14:textId="20C4D29A" w:rsidR="00F227D4" w:rsidRPr="008059D3" w:rsidRDefault="00A364BB" w:rsidP="008059D3">
      <w:pPr>
        <w:spacing w:line="360" w:lineRule="auto"/>
        <w:jc w:val="both"/>
        <w:rPr>
          <w:sz w:val="24"/>
          <w:szCs w:val="24"/>
        </w:rPr>
      </w:pPr>
      <w:r w:rsidRPr="00A364BB">
        <w:rPr>
          <w:sz w:val="24"/>
          <w:szCs w:val="24"/>
        </w:rPr>
        <w:t>British Petroleum plc (</w:t>
      </w:r>
      <w:r w:rsidR="00D91756">
        <w:rPr>
          <w:sz w:val="24"/>
          <w:szCs w:val="24"/>
        </w:rPr>
        <w:t>BP) is an integrated energy company that is among the largest in the world and is operating in more than 60 countries, employing approximately 87,000 people, with its upstream activities in the North Sea, United Kingdom, the Gulf of Mexico,</w:t>
      </w:r>
      <w:r w:rsidRPr="00A364BB">
        <w:rPr>
          <w:sz w:val="24"/>
          <w:szCs w:val="24"/>
        </w:rPr>
        <w:t xml:space="preserve"> the Permian Basin, Azerbaijan, Angola and Australia. The company has reported revenues of over USD 213 billion</w:t>
      </w:r>
      <w:r w:rsidR="00D91756">
        <w:rPr>
          <w:sz w:val="24"/>
          <w:szCs w:val="24"/>
        </w:rPr>
        <w:t xml:space="preserve">. The company has publicly committed to becoming net-zero by 2050 and has placed digital transformation, including AI, at its </w:t>
      </w:r>
      <w:proofErr w:type="spellStart"/>
      <w:r w:rsidR="00D91756">
        <w:rPr>
          <w:sz w:val="24"/>
          <w:szCs w:val="24"/>
        </w:rPr>
        <w:t>centre</w:t>
      </w:r>
      <w:proofErr w:type="spellEnd"/>
      <w:r w:rsidRPr="00A364BB">
        <w:rPr>
          <w:sz w:val="24"/>
          <w:szCs w:val="24"/>
        </w:rPr>
        <w:t xml:space="preserve"> as a strategic facilitator of this shift. AI is already implemented throughout the operations of </w:t>
      </w:r>
      <w:r w:rsidR="00D91756">
        <w:rPr>
          <w:sz w:val="24"/>
          <w:szCs w:val="24"/>
        </w:rPr>
        <w:t>BP</w:t>
      </w:r>
      <w:r w:rsidRPr="00A364BB">
        <w:rPr>
          <w:sz w:val="24"/>
          <w:szCs w:val="24"/>
        </w:rPr>
        <w:t xml:space="preserve"> in such applications as seismic data analysis, equipment health monitoring, process </w:t>
      </w:r>
      <w:proofErr w:type="spellStart"/>
      <w:r w:rsidRPr="00A364BB">
        <w:rPr>
          <w:sz w:val="24"/>
          <w:szCs w:val="24"/>
        </w:rPr>
        <w:t>optimisation</w:t>
      </w:r>
      <w:proofErr w:type="spellEnd"/>
      <w:r w:rsidRPr="00A364BB">
        <w:rPr>
          <w:sz w:val="24"/>
          <w:szCs w:val="24"/>
        </w:rPr>
        <w:t>, and emissions tracking. The deployments are simultaneously a source of competitive advantage and an increasing source of operational, legal and reputational risk.</w:t>
      </w:r>
    </w:p>
    <w:p w14:paraId="01D214EC" w14:textId="77777777" w:rsidR="00F227D4" w:rsidRPr="008059D3" w:rsidRDefault="00A409F2" w:rsidP="008059D3">
      <w:pPr>
        <w:pStyle w:val="Heading2"/>
      </w:pPr>
      <w:bookmarkStart w:id="4" w:name="_Toc227967382"/>
      <w:r w:rsidRPr="008059D3">
        <w:t>1.3 Why AI in the Energy Sector</w:t>
      </w:r>
      <w:bookmarkEnd w:id="4"/>
    </w:p>
    <w:p w14:paraId="737948EB" w14:textId="26792CE9" w:rsidR="00F227D4" w:rsidRPr="008059D3" w:rsidRDefault="00A364BB" w:rsidP="008059D3">
      <w:pPr>
        <w:spacing w:line="360" w:lineRule="auto"/>
        <w:jc w:val="both"/>
        <w:rPr>
          <w:sz w:val="24"/>
          <w:szCs w:val="24"/>
        </w:rPr>
      </w:pPr>
      <w:r w:rsidRPr="00A364BB">
        <w:rPr>
          <w:sz w:val="24"/>
          <w:szCs w:val="24"/>
        </w:rPr>
        <w:t xml:space="preserve">One of the most impactful deployment settings of AI in the world is the energy sector, with the upstream oil and gas sub-sector falling under it. There is a growing use of AI systems in making or assisting decisions that directly impact worker safety, environmental compliance, asset integrity, and financial disclosure. The industry is dependent on remote and high-risk assets, and the material impacts of system failure, which is why AI governance is not a simple technical issue but a strategic and fiduciary duty; </w:t>
      </w:r>
      <w:r w:rsidR="00D91756">
        <w:rPr>
          <w:sz w:val="24"/>
          <w:szCs w:val="24"/>
        </w:rPr>
        <w:t>BP</w:t>
      </w:r>
      <w:r w:rsidRPr="00A364BB">
        <w:rPr>
          <w:sz w:val="24"/>
          <w:szCs w:val="24"/>
        </w:rPr>
        <w:t xml:space="preserve"> has a dual-jurisdiction risk profile in the United Kingdom and the United States, which means that the two regulatory regimes differ significantly in their philosophy, enforcement strategy and specificity.</w:t>
      </w:r>
    </w:p>
    <w:p w14:paraId="0C320C92" w14:textId="70BD8146" w:rsidR="00F227D4" w:rsidRPr="008059D3" w:rsidRDefault="00A409F2" w:rsidP="008059D3">
      <w:pPr>
        <w:pStyle w:val="Heading1"/>
        <w:spacing w:before="0" w:after="0" w:line="360" w:lineRule="auto"/>
      </w:pPr>
      <w:bookmarkStart w:id="5" w:name="_Toc227967383"/>
      <w:r w:rsidRPr="008059D3">
        <w:lastRenderedPageBreak/>
        <w:t>2.</w:t>
      </w:r>
      <w:r w:rsidR="00D95054" w:rsidRPr="008059D3">
        <w:t>0</w:t>
      </w:r>
      <w:r w:rsidRPr="008059D3">
        <w:t xml:space="preserve"> Main Findings</w:t>
      </w:r>
      <w:bookmarkEnd w:id="5"/>
    </w:p>
    <w:p w14:paraId="77190797" w14:textId="77777777" w:rsidR="00F227D4" w:rsidRPr="008059D3" w:rsidRDefault="00A409F2" w:rsidP="008059D3">
      <w:pPr>
        <w:pStyle w:val="Heading2"/>
      </w:pPr>
      <w:bookmarkStart w:id="6" w:name="_Toc227967384"/>
      <w:r w:rsidRPr="008059D3">
        <w:t>2.1 PESTLE Analysis: UK and US AI Regulatory Environments</w:t>
      </w:r>
      <w:bookmarkEnd w:id="6"/>
    </w:p>
    <w:p w14:paraId="0A334C60" w14:textId="06FEECE4" w:rsidR="00F227D4" w:rsidRPr="008059D3" w:rsidRDefault="00211991" w:rsidP="008059D3">
      <w:pPr>
        <w:spacing w:line="360" w:lineRule="auto"/>
        <w:jc w:val="both"/>
        <w:rPr>
          <w:sz w:val="24"/>
          <w:szCs w:val="24"/>
        </w:rPr>
      </w:pPr>
      <w:r w:rsidRPr="00211991">
        <w:rPr>
          <w:sz w:val="24"/>
          <w:szCs w:val="24"/>
        </w:rPr>
        <w:t>The macro-environment surrounding the introduction of AI in the energy industry is found in the swiftly changing political, economic, social, technological, legal</w:t>
      </w:r>
      <w:r w:rsidR="00D91756">
        <w:rPr>
          <w:sz w:val="24"/>
          <w:szCs w:val="24"/>
        </w:rPr>
        <w:t>, and</w:t>
      </w:r>
      <w:r w:rsidRPr="00211991">
        <w:rPr>
          <w:sz w:val="24"/>
          <w:szCs w:val="24"/>
        </w:rPr>
        <w:t xml:space="preserve"> environmental factors. An </w:t>
      </w:r>
      <w:proofErr w:type="spellStart"/>
      <w:r w:rsidR="00D91756">
        <w:rPr>
          <w:sz w:val="24"/>
          <w:szCs w:val="24"/>
        </w:rPr>
        <w:t>organised</w:t>
      </w:r>
      <w:proofErr w:type="spellEnd"/>
      <w:r w:rsidR="00D91756">
        <w:rPr>
          <w:sz w:val="24"/>
          <w:szCs w:val="24"/>
        </w:rPr>
        <w:t xml:space="preserve"> PESTLE analysis between the UK and the US shows that there are material differences in the regulatory philosophy that pose structural compliance risks to dual-jurisdiction players, including BP</w:t>
      </w:r>
      <w:r w:rsidRPr="00211991">
        <w:rPr>
          <w:sz w:val="24"/>
          <w:szCs w:val="24"/>
        </w:rPr>
        <w:t xml:space="preserve">. The different PEST dimensions below are </w:t>
      </w:r>
      <w:proofErr w:type="spellStart"/>
      <w:r w:rsidRPr="00211991">
        <w:rPr>
          <w:sz w:val="24"/>
          <w:szCs w:val="24"/>
        </w:rPr>
        <w:t>analysed</w:t>
      </w:r>
      <w:proofErr w:type="spellEnd"/>
      <w:r w:rsidRPr="00211991">
        <w:rPr>
          <w:sz w:val="24"/>
          <w:szCs w:val="24"/>
        </w:rPr>
        <w:t xml:space="preserve"> individually to enhance analytical </w:t>
      </w:r>
      <w:proofErr w:type="spellStart"/>
      <w:r w:rsidRPr="00211991">
        <w:rPr>
          <w:sz w:val="24"/>
          <w:szCs w:val="24"/>
        </w:rPr>
        <w:t>rigour</w:t>
      </w:r>
      <w:proofErr w:type="spellEnd"/>
      <w:r w:rsidRPr="00211991">
        <w:rPr>
          <w:sz w:val="24"/>
          <w:szCs w:val="24"/>
        </w:rPr>
        <w:t xml:space="preserve"> and to prevent confounding of variables.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33"/>
        <w:gridCol w:w="2665"/>
        <w:gridCol w:w="2477"/>
        <w:gridCol w:w="2601"/>
      </w:tblGrid>
      <w:tr w:rsidR="00567BB1" w:rsidRPr="008059D3" w14:paraId="5AB5F22B" w14:textId="77777777" w:rsidTr="00C2751E">
        <w:trPr>
          <w:jc w:val="center"/>
        </w:trPr>
        <w:tc>
          <w:tcPr>
            <w:tcW w:w="871" w:type="pct"/>
            <w:shd w:val="clear" w:color="auto" w:fill="1F3864"/>
            <w:tcMar>
              <w:top w:w="80" w:type="dxa"/>
              <w:left w:w="120" w:type="dxa"/>
              <w:bottom w:w="80" w:type="dxa"/>
              <w:right w:w="120" w:type="dxa"/>
            </w:tcMar>
            <w:vAlign w:val="center"/>
          </w:tcPr>
          <w:p w14:paraId="6D05B80B" w14:textId="77777777" w:rsidR="00F227D4" w:rsidRPr="008059D3" w:rsidRDefault="00A409F2" w:rsidP="008059D3">
            <w:pPr>
              <w:spacing w:line="360" w:lineRule="auto"/>
              <w:jc w:val="center"/>
            </w:pPr>
            <w:r w:rsidRPr="008059D3">
              <w:rPr>
                <w:b/>
                <w:bCs/>
                <w:color w:val="FFFFFF"/>
                <w:sz w:val="20"/>
                <w:szCs w:val="20"/>
              </w:rPr>
              <w:t>Factor</w:t>
            </w:r>
          </w:p>
        </w:tc>
        <w:tc>
          <w:tcPr>
            <w:tcW w:w="1421" w:type="pct"/>
            <w:shd w:val="clear" w:color="auto" w:fill="1F3864"/>
            <w:tcMar>
              <w:top w:w="80" w:type="dxa"/>
              <w:left w:w="120" w:type="dxa"/>
              <w:bottom w:w="80" w:type="dxa"/>
              <w:right w:w="120" w:type="dxa"/>
            </w:tcMar>
            <w:vAlign w:val="center"/>
          </w:tcPr>
          <w:p w14:paraId="0F726E8B" w14:textId="77777777" w:rsidR="00F227D4" w:rsidRPr="008059D3" w:rsidRDefault="00A409F2" w:rsidP="008059D3">
            <w:pPr>
              <w:spacing w:line="360" w:lineRule="auto"/>
            </w:pPr>
            <w:r w:rsidRPr="008059D3">
              <w:rPr>
                <w:b/>
                <w:bCs/>
                <w:color w:val="FFFFFF"/>
                <w:sz w:val="20"/>
                <w:szCs w:val="20"/>
              </w:rPr>
              <w:t>UK Regulatory Environment</w:t>
            </w:r>
          </w:p>
        </w:tc>
        <w:tc>
          <w:tcPr>
            <w:tcW w:w="1321" w:type="pct"/>
            <w:shd w:val="clear" w:color="auto" w:fill="1F3864"/>
            <w:tcMar>
              <w:top w:w="80" w:type="dxa"/>
              <w:left w:w="120" w:type="dxa"/>
              <w:bottom w:w="80" w:type="dxa"/>
              <w:right w:w="120" w:type="dxa"/>
            </w:tcMar>
            <w:vAlign w:val="center"/>
          </w:tcPr>
          <w:p w14:paraId="34077761" w14:textId="77777777" w:rsidR="00F227D4" w:rsidRPr="008059D3" w:rsidRDefault="00A409F2" w:rsidP="008059D3">
            <w:pPr>
              <w:spacing w:line="360" w:lineRule="auto"/>
            </w:pPr>
            <w:r w:rsidRPr="008059D3">
              <w:rPr>
                <w:b/>
                <w:bCs/>
                <w:color w:val="FFFFFF"/>
                <w:sz w:val="20"/>
                <w:szCs w:val="20"/>
              </w:rPr>
              <w:t>US Regulatory Environment</w:t>
            </w:r>
          </w:p>
        </w:tc>
        <w:tc>
          <w:tcPr>
            <w:tcW w:w="1387" w:type="pct"/>
            <w:shd w:val="clear" w:color="auto" w:fill="1F3864"/>
            <w:tcMar>
              <w:top w:w="80" w:type="dxa"/>
              <w:left w:w="120" w:type="dxa"/>
              <w:bottom w:w="80" w:type="dxa"/>
              <w:right w:w="120" w:type="dxa"/>
            </w:tcMar>
            <w:vAlign w:val="center"/>
          </w:tcPr>
          <w:p w14:paraId="1D7B9683" w14:textId="77777777" w:rsidR="00F227D4" w:rsidRPr="008059D3" w:rsidRDefault="00A409F2" w:rsidP="008059D3">
            <w:pPr>
              <w:spacing w:line="360" w:lineRule="auto"/>
            </w:pPr>
            <w:r w:rsidRPr="008059D3">
              <w:rPr>
                <w:b/>
                <w:bCs/>
                <w:color w:val="FFFFFF"/>
                <w:sz w:val="20"/>
                <w:szCs w:val="20"/>
              </w:rPr>
              <w:t>Implications for bp AI Operations</w:t>
            </w:r>
          </w:p>
        </w:tc>
      </w:tr>
      <w:tr w:rsidR="00567BB1" w:rsidRPr="008059D3" w14:paraId="6ABECAE8" w14:textId="77777777" w:rsidTr="00C2751E">
        <w:trPr>
          <w:jc w:val="center"/>
        </w:trPr>
        <w:tc>
          <w:tcPr>
            <w:tcW w:w="871" w:type="pct"/>
            <w:shd w:val="clear" w:color="auto" w:fill="2E75B6"/>
            <w:tcMar>
              <w:top w:w="80" w:type="dxa"/>
              <w:left w:w="120" w:type="dxa"/>
              <w:bottom w:w="80" w:type="dxa"/>
              <w:right w:w="120" w:type="dxa"/>
            </w:tcMar>
            <w:vAlign w:val="center"/>
          </w:tcPr>
          <w:p w14:paraId="12BCA7A0" w14:textId="77777777" w:rsidR="00F227D4" w:rsidRPr="008059D3" w:rsidRDefault="00A409F2" w:rsidP="008059D3">
            <w:pPr>
              <w:spacing w:line="360" w:lineRule="auto"/>
              <w:jc w:val="center"/>
            </w:pPr>
            <w:r w:rsidRPr="008059D3">
              <w:rPr>
                <w:b/>
                <w:bCs/>
                <w:color w:val="FFFFFF"/>
                <w:sz w:val="20"/>
                <w:szCs w:val="20"/>
              </w:rPr>
              <w:t>Political</w:t>
            </w:r>
          </w:p>
        </w:tc>
        <w:tc>
          <w:tcPr>
            <w:tcW w:w="1421" w:type="pct"/>
            <w:shd w:val="clear" w:color="auto" w:fill="EBF3FB"/>
            <w:tcMar>
              <w:top w:w="80" w:type="dxa"/>
              <w:left w:w="120" w:type="dxa"/>
              <w:bottom w:w="80" w:type="dxa"/>
              <w:right w:w="120" w:type="dxa"/>
            </w:tcMar>
            <w:vAlign w:val="center"/>
          </w:tcPr>
          <w:p w14:paraId="6A774D82" w14:textId="77777777" w:rsidR="00F227D4" w:rsidRPr="008059D3" w:rsidRDefault="00A409F2" w:rsidP="008059D3">
            <w:pPr>
              <w:spacing w:line="360" w:lineRule="auto"/>
            </w:pPr>
            <w:r w:rsidRPr="008059D3">
              <w:rPr>
                <w:color w:val="000000"/>
                <w:sz w:val="20"/>
                <w:szCs w:val="20"/>
              </w:rPr>
              <w:t>Pro-innovation AI framework; goal-based ALARP (As Low As Reasonably Practicable) approach via HSE; devolved regulatory authority post-Brexit</w:t>
            </w:r>
          </w:p>
        </w:tc>
        <w:tc>
          <w:tcPr>
            <w:tcW w:w="1321" w:type="pct"/>
            <w:shd w:val="clear" w:color="auto" w:fill="EBF3FB"/>
            <w:tcMar>
              <w:top w:w="80" w:type="dxa"/>
              <w:left w:w="120" w:type="dxa"/>
              <w:bottom w:w="80" w:type="dxa"/>
              <w:right w:w="120" w:type="dxa"/>
            </w:tcMar>
            <w:vAlign w:val="center"/>
          </w:tcPr>
          <w:p w14:paraId="7DE570C1" w14:textId="77777777" w:rsidR="00F227D4" w:rsidRPr="008059D3" w:rsidRDefault="00A409F2" w:rsidP="008059D3">
            <w:pPr>
              <w:spacing w:line="360" w:lineRule="auto"/>
            </w:pPr>
            <w:r w:rsidRPr="008059D3">
              <w:rPr>
                <w:color w:val="000000"/>
                <w:sz w:val="20"/>
                <w:szCs w:val="20"/>
              </w:rPr>
              <w:t>Prescriptive BSEE rules (30 CFR §250); Executive Order 14110 (Biden) on safe AI; ongoing legislative fragmentation across federal agencies</w:t>
            </w:r>
          </w:p>
        </w:tc>
        <w:tc>
          <w:tcPr>
            <w:tcW w:w="1387" w:type="pct"/>
            <w:shd w:val="clear" w:color="auto" w:fill="FFFFFF"/>
            <w:tcMar>
              <w:top w:w="80" w:type="dxa"/>
              <w:left w:w="120" w:type="dxa"/>
              <w:bottom w:w="80" w:type="dxa"/>
              <w:right w:w="120" w:type="dxa"/>
            </w:tcMar>
            <w:vAlign w:val="center"/>
          </w:tcPr>
          <w:p w14:paraId="662397F8" w14:textId="48FA96D9" w:rsidR="00F227D4" w:rsidRPr="008059D3" w:rsidRDefault="00D91756" w:rsidP="008059D3">
            <w:pPr>
              <w:spacing w:line="360" w:lineRule="auto"/>
            </w:pPr>
            <w:r>
              <w:rPr>
                <w:color w:val="000000"/>
                <w:sz w:val="20"/>
                <w:szCs w:val="20"/>
              </w:rPr>
              <w:t>BP</w:t>
            </w:r>
            <w:r w:rsidR="00A409F2" w:rsidRPr="008059D3">
              <w:rPr>
                <w:color w:val="000000"/>
                <w:sz w:val="20"/>
                <w:szCs w:val="20"/>
              </w:rPr>
              <w:t xml:space="preserve"> must maintain dual compliance postures; UK flexibility contrasts with US rule specificity, increasing governance complexity</w:t>
            </w:r>
            <w:r>
              <w:rPr>
                <w:color w:val="000000"/>
                <w:sz w:val="20"/>
                <w:szCs w:val="20"/>
              </w:rPr>
              <w:t>.</w:t>
            </w:r>
          </w:p>
        </w:tc>
      </w:tr>
      <w:tr w:rsidR="00567BB1" w:rsidRPr="008059D3" w14:paraId="6ED74A63" w14:textId="77777777" w:rsidTr="00C2751E">
        <w:trPr>
          <w:jc w:val="center"/>
        </w:trPr>
        <w:tc>
          <w:tcPr>
            <w:tcW w:w="871" w:type="pct"/>
            <w:shd w:val="clear" w:color="auto" w:fill="2E75B6"/>
            <w:tcMar>
              <w:top w:w="80" w:type="dxa"/>
              <w:left w:w="120" w:type="dxa"/>
              <w:bottom w:w="80" w:type="dxa"/>
              <w:right w:w="120" w:type="dxa"/>
            </w:tcMar>
            <w:vAlign w:val="center"/>
          </w:tcPr>
          <w:p w14:paraId="0BAFF7B0" w14:textId="77777777" w:rsidR="00F227D4" w:rsidRPr="008059D3" w:rsidRDefault="00A409F2" w:rsidP="008059D3">
            <w:pPr>
              <w:spacing w:line="360" w:lineRule="auto"/>
              <w:jc w:val="center"/>
            </w:pPr>
            <w:r w:rsidRPr="008059D3">
              <w:rPr>
                <w:b/>
                <w:bCs/>
                <w:color w:val="FFFFFF"/>
                <w:sz w:val="20"/>
                <w:szCs w:val="20"/>
              </w:rPr>
              <w:t>Economic</w:t>
            </w:r>
          </w:p>
        </w:tc>
        <w:tc>
          <w:tcPr>
            <w:tcW w:w="1421" w:type="pct"/>
            <w:shd w:val="clear" w:color="auto" w:fill="D6E4F0"/>
            <w:tcMar>
              <w:top w:w="80" w:type="dxa"/>
              <w:left w:w="120" w:type="dxa"/>
              <w:bottom w:w="80" w:type="dxa"/>
              <w:right w:w="120" w:type="dxa"/>
            </w:tcMar>
            <w:vAlign w:val="center"/>
          </w:tcPr>
          <w:p w14:paraId="78BDCF4F" w14:textId="77777777" w:rsidR="00F227D4" w:rsidRPr="008059D3" w:rsidRDefault="00A409F2" w:rsidP="008059D3">
            <w:pPr>
              <w:spacing w:line="360" w:lineRule="auto"/>
            </w:pPr>
            <w:r w:rsidRPr="008059D3">
              <w:rPr>
                <w:color w:val="000000"/>
                <w:sz w:val="20"/>
                <w:szCs w:val="20"/>
              </w:rPr>
              <w:t xml:space="preserve">North Sea Transition Deal; AI investment incentives under ARIA; energy sector capital pressure amid </w:t>
            </w:r>
            <w:proofErr w:type="spellStart"/>
            <w:r w:rsidRPr="008059D3">
              <w:rPr>
                <w:color w:val="000000"/>
                <w:sz w:val="20"/>
                <w:szCs w:val="20"/>
              </w:rPr>
              <w:t>decarbonisation</w:t>
            </w:r>
            <w:proofErr w:type="spellEnd"/>
            <w:r w:rsidRPr="008059D3">
              <w:rPr>
                <w:color w:val="000000"/>
                <w:sz w:val="20"/>
                <w:szCs w:val="20"/>
              </w:rPr>
              <w:t xml:space="preserve"> targets</w:t>
            </w:r>
          </w:p>
        </w:tc>
        <w:tc>
          <w:tcPr>
            <w:tcW w:w="1321" w:type="pct"/>
            <w:shd w:val="clear" w:color="auto" w:fill="D6E4F0"/>
            <w:tcMar>
              <w:top w:w="80" w:type="dxa"/>
              <w:left w:w="120" w:type="dxa"/>
              <w:bottom w:w="80" w:type="dxa"/>
              <w:right w:w="120" w:type="dxa"/>
            </w:tcMar>
            <w:vAlign w:val="center"/>
          </w:tcPr>
          <w:p w14:paraId="24C708A1" w14:textId="77777777" w:rsidR="00F227D4" w:rsidRPr="008059D3" w:rsidRDefault="00A409F2" w:rsidP="008059D3">
            <w:pPr>
              <w:spacing w:line="360" w:lineRule="auto"/>
            </w:pPr>
            <w:r w:rsidRPr="008059D3">
              <w:rPr>
                <w:color w:val="000000"/>
                <w:sz w:val="20"/>
                <w:szCs w:val="20"/>
              </w:rPr>
              <w:t>Inflation Reduction Act incentives for clean energy tech; SEC climate disclosure rules escalating AI-linked ESG reporting costs</w:t>
            </w:r>
          </w:p>
        </w:tc>
        <w:tc>
          <w:tcPr>
            <w:tcW w:w="1387" w:type="pct"/>
            <w:shd w:val="clear" w:color="auto" w:fill="FFFFFF"/>
            <w:tcMar>
              <w:top w:w="80" w:type="dxa"/>
              <w:left w:w="120" w:type="dxa"/>
              <w:bottom w:w="80" w:type="dxa"/>
              <w:right w:w="120" w:type="dxa"/>
            </w:tcMar>
            <w:vAlign w:val="center"/>
          </w:tcPr>
          <w:p w14:paraId="02A2D6F1" w14:textId="58BE3CAC" w:rsidR="00F227D4" w:rsidRPr="008059D3" w:rsidRDefault="00A409F2" w:rsidP="008059D3">
            <w:pPr>
              <w:spacing w:line="360" w:lineRule="auto"/>
            </w:pPr>
            <w:r w:rsidRPr="008059D3">
              <w:rPr>
                <w:color w:val="000000"/>
                <w:sz w:val="20"/>
                <w:szCs w:val="20"/>
              </w:rPr>
              <w:t xml:space="preserve">Cost-benefit calculus for AI adoption differs by region; </w:t>
            </w:r>
            <w:r w:rsidR="00D91756">
              <w:rPr>
                <w:color w:val="000000"/>
                <w:sz w:val="20"/>
                <w:szCs w:val="20"/>
              </w:rPr>
              <w:t>BP's</w:t>
            </w:r>
            <w:r w:rsidRPr="008059D3">
              <w:rPr>
                <w:color w:val="000000"/>
                <w:sz w:val="20"/>
                <w:szCs w:val="20"/>
              </w:rPr>
              <w:t xml:space="preserve"> Gulf of Mexico operations carry </w:t>
            </w:r>
            <w:r w:rsidR="00D91756">
              <w:rPr>
                <w:color w:val="000000"/>
                <w:sz w:val="20"/>
                <w:szCs w:val="20"/>
              </w:rPr>
              <w:t xml:space="preserve">a </w:t>
            </w:r>
            <w:r w:rsidRPr="008059D3">
              <w:rPr>
                <w:color w:val="000000"/>
                <w:sz w:val="20"/>
                <w:szCs w:val="20"/>
              </w:rPr>
              <w:t>higher regulatory cost burden</w:t>
            </w:r>
            <w:r w:rsidR="00D91756">
              <w:rPr>
                <w:color w:val="000000"/>
                <w:sz w:val="20"/>
                <w:szCs w:val="20"/>
              </w:rPr>
              <w:t>.</w:t>
            </w:r>
          </w:p>
        </w:tc>
      </w:tr>
      <w:tr w:rsidR="00567BB1" w:rsidRPr="008059D3" w14:paraId="4223D806" w14:textId="77777777" w:rsidTr="00C2751E">
        <w:trPr>
          <w:jc w:val="center"/>
        </w:trPr>
        <w:tc>
          <w:tcPr>
            <w:tcW w:w="871" w:type="pct"/>
            <w:shd w:val="clear" w:color="auto" w:fill="2E75B6"/>
            <w:tcMar>
              <w:top w:w="80" w:type="dxa"/>
              <w:left w:w="120" w:type="dxa"/>
              <w:bottom w:w="80" w:type="dxa"/>
              <w:right w:w="120" w:type="dxa"/>
            </w:tcMar>
            <w:vAlign w:val="center"/>
          </w:tcPr>
          <w:p w14:paraId="2FAD6573" w14:textId="77777777" w:rsidR="00F227D4" w:rsidRPr="008059D3" w:rsidRDefault="00A409F2" w:rsidP="008059D3">
            <w:pPr>
              <w:spacing w:line="360" w:lineRule="auto"/>
              <w:jc w:val="center"/>
            </w:pPr>
            <w:r w:rsidRPr="008059D3">
              <w:rPr>
                <w:b/>
                <w:bCs/>
                <w:color w:val="FFFFFF"/>
                <w:sz w:val="20"/>
                <w:szCs w:val="20"/>
              </w:rPr>
              <w:t>Social</w:t>
            </w:r>
          </w:p>
        </w:tc>
        <w:tc>
          <w:tcPr>
            <w:tcW w:w="1421" w:type="pct"/>
            <w:shd w:val="clear" w:color="auto" w:fill="EBF3FB"/>
            <w:tcMar>
              <w:top w:w="80" w:type="dxa"/>
              <w:left w:w="120" w:type="dxa"/>
              <w:bottom w:w="80" w:type="dxa"/>
              <w:right w:w="120" w:type="dxa"/>
            </w:tcMar>
            <w:vAlign w:val="center"/>
          </w:tcPr>
          <w:p w14:paraId="2A19BF6D" w14:textId="481C0315" w:rsidR="00F227D4" w:rsidRPr="008059D3" w:rsidRDefault="00A409F2" w:rsidP="008059D3">
            <w:pPr>
              <w:spacing w:line="360" w:lineRule="auto"/>
            </w:pPr>
            <w:r w:rsidRPr="008059D3">
              <w:rPr>
                <w:color w:val="000000"/>
                <w:sz w:val="20"/>
                <w:szCs w:val="20"/>
              </w:rPr>
              <w:t xml:space="preserve">Growing public scrutiny on AI algorithmic bias; worker union concerns over AI-driven job displacement in </w:t>
            </w:r>
            <w:r w:rsidR="00D91756">
              <w:rPr>
                <w:color w:val="000000"/>
                <w:sz w:val="20"/>
                <w:szCs w:val="20"/>
              </w:rPr>
              <w:t xml:space="preserve">the </w:t>
            </w:r>
            <w:r w:rsidRPr="008059D3">
              <w:rPr>
                <w:color w:val="000000"/>
                <w:sz w:val="20"/>
                <w:szCs w:val="20"/>
              </w:rPr>
              <w:t>energy sector</w:t>
            </w:r>
          </w:p>
        </w:tc>
        <w:tc>
          <w:tcPr>
            <w:tcW w:w="1321" w:type="pct"/>
            <w:shd w:val="clear" w:color="auto" w:fill="EBF3FB"/>
            <w:tcMar>
              <w:top w:w="80" w:type="dxa"/>
              <w:left w:w="120" w:type="dxa"/>
              <w:bottom w:w="80" w:type="dxa"/>
              <w:right w:w="120" w:type="dxa"/>
            </w:tcMar>
            <w:vAlign w:val="center"/>
          </w:tcPr>
          <w:p w14:paraId="38D1797C" w14:textId="37C98E76" w:rsidR="00F227D4" w:rsidRPr="008059D3" w:rsidRDefault="00A409F2" w:rsidP="008059D3">
            <w:pPr>
              <w:spacing w:line="360" w:lineRule="auto"/>
            </w:pPr>
            <w:r w:rsidRPr="008059D3">
              <w:rPr>
                <w:color w:val="000000"/>
                <w:sz w:val="20"/>
                <w:szCs w:val="20"/>
              </w:rPr>
              <w:t xml:space="preserve">Stronger civil society AI accountability movements; environmental justice communities adjacent to </w:t>
            </w:r>
            <w:r w:rsidR="00D91756">
              <w:rPr>
                <w:color w:val="000000"/>
                <w:sz w:val="20"/>
                <w:szCs w:val="20"/>
              </w:rPr>
              <w:t>BP</w:t>
            </w:r>
            <w:r w:rsidRPr="008059D3">
              <w:rPr>
                <w:color w:val="000000"/>
                <w:sz w:val="20"/>
                <w:szCs w:val="20"/>
              </w:rPr>
              <w:t xml:space="preserve"> US operations demand transparency</w:t>
            </w:r>
            <w:r w:rsidR="00D91756">
              <w:rPr>
                <w:color w:val="000000"/>
                <w:sz w:val="20"/>
                <w:szCs w:val="20"/>
              </w:rPr>
              <w:t>.</w:t>
            </w:r>
          </w:p>
        </w:tc>
        <w:tc>
          <w:tcPr>
            <w:tcW w:w="1387" w:type="pct"/>
            <w:shd w:val="clear" w:color="auto" w:fill="FFFFFF"/>
            <w:tcMar>
              <w:top w:w="80" w:type="dxa"/>
              <w:left w:w="120" w:type="dxa"/>
              <w:bottom w:w="80" w:type="dxa"/>
              <w:right w:w="120" w:type="dxa"/>
            </w:tcMar>
            <w:vAlign w:val="center"/>
          </w:tcPr>
          <w:p w14:paraId="572E6F6C" w14:textId="24E92BE6" w:rsidR="00F227D4" w:rsidRPr="008059D3" w:rsidRDefault="00A409F2" w:rsidP="008059D3">
            <w:pPr>
              <w:spacing w:line="360" w:lineRule="auto"/>
            </w:pPr>
            <w:r w:rsidRPr="008059D3">
              <w:rPr>
                <w:color w:val="000000"/>
                <w:sz w:val="20"/>
                <w:szCs w:val="20"/>
              </w:rPr>
              <w:t xml:space="preserve">Social </w:t>
            </w:r>
            <w:proofErr w:type="spellStart"/>
            <w:r w:rsidRPr="008059D3">
              <w:rPr>
                <w:color w:val="000000"/>
                <w:sz w:val="20"/>
                <w:szCs w:val="20"/>
              </w:rPr>
              <w:t>licence</w:t>
            </w:r>
            <w:proofErr w:type="spellEnd"/>
            <w:r w:rsidRPr="008059D3">
              <w:rPr>
                <w:color w:val="000000"/>
                <w:sz w:val="20"/>
                <w:szCs w:val="20"/>
              </w:rPr>
              <w:t xml:space="preserve"> to operate requires explainable AI; bias risks in AI hiring or safety scoring must be actively mitigated</w:t>
            </w:r>
            <w:r w:rsidR="00D91756">
              <w:rPr>
                <w:color w:val="000000"/>
                <w:sz w:val="20"/>
                <w:szCs w:val="20"/>
              </w:rPr>
              <w:t>.</w:t>
            </w:r>
          </w:p>
        </w:tc>
      </w:tr>
      <w:tr w:rsidR="00567BB1" w:rsidRPr="008059D3" w14:paraId="06B0036A" w14:textId="77777777" w:rsidTr="00C2751E">
        <w:trPr>
          <w:jc w:val="center"/>
        </w:trPr>
        <w:tc>
          <w:tcPr>
            <w:tcW w:w="871" w:type="pct"/>
            <w:shd w:val="clear" w:color="auto" w:fill="2E75B6"/>
            <w:tcMar>
              <w:top w:w="80" w:type="dxa"/>
              <w:left w:w="120" w:type="dxa"/>
              <w:bottom w:w="80" w:type="dxa"/>
              <w:right w:w="120" w:type="dxa"/>
            </w:tcMar>
            <w:vAlign w:val="center"/>
          </w:tcPr>
          <w:p w14:paraId="54B84444" w14:textId="77777777" w:rsidR="00F227D4" w:rsidRPr="008059D3" w:rsidRDefault="00A409F2" w:rsidP="008059D3">
            <w:pPr>
              <w:spacing w:line="360" w:lineRule="auto"/>
              <w:jc w:val="center"/>
            </w:pPr>
            <w:r w:rsidRPr="008059D3">
              <w:rPr>
                <w:b/>
                <w:bCs/>
                <w:color w:val="FFFFFF"/>
                <w:sz w:val="20"/>
                <w:szCs w:val="20"/>
              </w:rPr>
              <w:t>Technological</w:t>
            </w:r>
          </w:p>
        </w:tc>
        <w:tc>
          <w:tcPr>
            <w:tcW w:w="1421" w:type="pct"/>
            <w:shd w:val="clear" w:color="auto" w:fill="D6E4F0"/>
            <w:tcMar>
              <w:top w:w="80" w:type="dxa"/>
              <w:left w:w="120" w:type="dxa"/>
              <w:bottom w:w="80" w:type="dxa"/>
              <w:right w:w="120" w:type="dxa"/>
            </w:tcMar>
            <w:vAlign w:val="center"/>
          </w:tcPr>
          <w:p w14:paraId="3C1FC643" w14:textId="42EAD5BB" w:rsidR="00F227D4" w:rsidRPr="008059D3" w:rsidRDefault="00A409F2" w:rsidP="008059D3">
            <w:pPr>
              <w:spacing w:line="360" w:lineRule="auto"/>
            </w:pPr>
            <w:r w:rsidRPr="008059D3">
              <w:rPr>
                <w:color w:val="000000"/>
                <w:sz w:val="20"/>
                <w:szCs w:val="20"/>
              </w:rPr>
              <w:t xml:space="preserve">AI adoption in predictive maintenance and leak detection </w:t>
            </w:r>
            <w:r w:rsidR="00D91756">
              <w:rPr>
                <w:color w:val="000000"/>
                <w:sz w:val="20"/>
                <w:szCs w:val="20"/>
              </w:rPr>
              <w:t xml:space="preserve">is </w:t>
            </w:r>
            <w:r w:rsidRPr="008059D3">
              <w:rPr>
                <w:color w:val="000000"/>
                <w:sz w:val="20"/>
                <w:szCs w:val="20"/>
              </w:rPr>
              <w:t xml:space="preserve">maturing; UK ARIA funds frontier AI R&amp;D; XAI standards </w:t>
            </w:r>
            <w:r w:rsidR="00D91756">
              <w:rPr>
                <w:color w:val="000000"/>
                <w:sz w:val="20"/>
                <w:szCs w:val="20"/>
              </w:rPr>
              <w:t xml:space="preserve">are </w:t>
            </w:r>
            <w:r w:rsidRPr="008059D3">
              <w:rPr>
                <w:color w:val="000000"/>
                <w:sz w:val="20"/>
                <w:szCs w:val="20"/>
              </w:rPr>
              <w:lastRenderedPageBreak/>
              <w:t xml:space="preserve">emerging via </w:t>
            </w:r>
            <w:r w:rsidR="00D91756">
              <w:rPr>
                <w:color w:val="000000"/>
                <w:sz w:val="20"/>
                <w:szCs w:val="20"/>
              </w:rPr>
              <w:t xml:space="preserve">the </w:t>
            </w:r>
            <w:r w:rsidRPr="008059D3">
              <w:rPr>
                <w:color w:val="000000"/>
                <w:sz w:val="20"/>
                <w:szCs w:val="20"/>
              </w:rPr>
              <w:t>Alan Turing Institute</w:t>
            </w:r>
            <w:r w:rsidR="00D91756">
              <w:rPr>
                <w:color w:val="000000"/>
                <w:sz w:val="20"/>
                <w:szCs w:val="20"/>
              </w:rPr>
              <w:t>.</w:t>
            </w:r>
          </w:p>
        </w:tc>
        <w:tc>
          <w:tcPr>
            <w:tcW w:w="1321" w:type="pct"/>
            <w:shd w:val="clear" w:color="auto" w:fill="D6E4F0"/>
            <w:tcMar>
              <w:top w:w="80" w:type="dxa"/>
              <w:left w:w="120" w:type="dxa"/>
              <w:bottom w:w="80" w:type="dxa"/>
              <w:right w:w="120" w:type="dxa"/>
            </w:tcMar>
            <w:vAlign w:val="center"/>
          </w:tcPr>
          <w:p w14:paraId="2A05BED9" w14:textId="77777777" w:rsidR="00F227D4" w:rsidRPr="008059D3" w:rsidRDefault="00A409F2" w:rsidP="008059D3">
            <w:pPr>
              <w:spacing w:line="360" w:lineRule="auto"/>
            </w:pPr>
            <w:r w:rsidRPr="008059D3">
              <w:rPr>
                <w:color w:val="000000"/>
                <w:sz w:val="20"/>
                <w:szCs w:val="20"/>
              </w:rPr>
              <w:lastRenderedPageBreak/>
              <w:t xml:space="preserve">Advanced ML for seismic imaging and BOP control; NIST AI RMF 1.0 (2023) provides voluntary technical </w:t>
            </w:r>
            <w:r w:rsidRPr="008059D3">
              <w:rPr>
                <w:color w:val="000000"/>
                <w:sz w:val="20"/>
                <w:szCs w:val="20"/>
              </w:rPr>
              <w:lastRenderedPageBreak/>
              <w:t>standards; DOE AI research funding</w:t>
            </w:r>
          </w:p>
        </w:tc>
        <w:tc>
          <w:tcPr>
            <w:tcW w:w="1387" w:type="pct"/>
            <w:shd w:val="clear" w:color="auto" w:fill="FFFFFF"/>
            <w:tcMar>
              <w:top w:w="80" w:type="dxa"/>
              <w:left w:w="120" w:type="dxa"/>
              <w:bottom w:w="80" w:type="dxa"/>
              <w:right w:w="120" w:type="dxa"/>
            </w:tcMar>
            <w:vAlign w:val="center"/>
          </w:tcPr>
          <w:p w14:paraId="397761C0" w14:textId="22E4DE8A" w:rsidR="00F227D4" w:rsidRPr="008059D3" w:rsidRDefault="00A409F2" w:rsidP="008059D3">
            <w:pPr>
              <w:spacing w:line="360" w:lineRule="auto"/>
            </w:pPr>
            <w:r w:rsidRPr="008059D3">
              <w:rPr>
                <w:color w:val="000000"/>
                <w:sz w:val="20"/>
                <w:szCs w:val="20"/>
              </w:rPr>
              <w:lastRenderedPageBreak/>
              <w:t xml:space="preserve">Interoperability of AI systems across UK/US assets requires </w:t>
            </w:r>
            <w:proofErr w:type="spellStart"/>
            <w:r w:rsidRPr="008059D3">
              <w:rPr>
                <w:color w:val="000000"/>
                <w:sz w:val="20"/>
                <w:szCs w:val="20"/>
              </w:rPr>
              <w:t>harmonised</w:t>
            </w:r>
            <w:proofErr w:type="spellEnd"/>
            <w:r w:rsidRPr="008059D3">
              <w:rPr>
                <w:color w:val="000000"/>
                <w:sz w:val="20"/>
                <w:szCs w:val="20"/>
              </w:rPr>
              <w:t xml:space="preserve"> data protocols; XAI deployment </w:t>
            </w:r>
            <w:r w:rsidR="00D91756">
              <w:rPr>
                <w:color w:val="000000"/>
                <w:sz w:val="20"/>
                <w:szCs w:val="20"/>
              </w:rPr>
              <w:lastRenderedPageBreak/>
              <w:t xml:space="preserve">is </w:t>
            </w:r>
            <w:r w:rsidRPr="008059D3">
              <w:rPr>
                <w:color w:val="000000"/>
                <w:sz w:val="20"/>
                <w:szCs w:val="20"/>
              </w:rPr>
              <w:t>critical for regulator trust</w:t>
            </w:r>
            <w:r w:rsidR="00D91756">
              <w:rPr>
                <w:color w:val="000000"/>
                <w:sz w:val="20"/>
                <w:szCs w:val="20"/>
              </w:rPr>
              <w:t>.</w:t>
            </w:r>
          </w:p>
        </w:tc>
      </w:tr>
      <w:tr w:rsidR="00567BB1" w:rsidRPr="008059D3" w14:paraId="21C5D51A" w14:textId="77777777" w:rsidTr="00C2751E">
        <w:trPr>
          <w:jc w:val="center"/>
        </w:trPr>
        <w:tc>
          <w:tcPr>
            <w:tcW w:w="871" w:type="pct"/>
            <w:shd w:val="clear" w:color="auto" w:fill="2E75B6"/>
            <w:tcMar>
              <w:top w:w="80" w:type="dxa"/>
              <w:left w:w="120" w:type="dxa"/>
              <w:bottom w:w="80" w:type="dxa"/>
              <w:right w:w="120" w:type="dxa"/>
            </w:tcMar>
            <w:vAlign w:val="center"/>
          </w:tcPr>
          <w:p w14:paraId="457F722F" w14:textId="77777777" w:rsidR="00F227D4" w:rsidRPr="008059D3" w:rsidRDefault="00A409F2" w:rsidP="008059D3">
            <w:pPr>
              <w:spacing w:line="360" w:lineRule="auto"/>
              <w:jc w:val="center"/>
            </w:pPr>
            <w:r w:rsidRPr="008059D3">
              <w:rPr>
                <w:b/>
                <w:bCs/>
                <w:color w:val="FFFFFF"/>
                <w:sz w:val="20"/>
                <w:szCs w:val="20"/>
              </w:rPr>
              <w:lastRenderedPageBreak/>
              <w:t>Legal</w:t>
            </w:r>
          </w:p>
        </w:tc>
        <w:tc>
          <w:tcPr>
            <w:tcW w:w="1421" w:type="pct"/>
            <w:shd w:val="clear" w:color="auto" w:fill="EBF3FB"/>
            <w:tcMar>
              <w:top w:w="80" w:type="dxa"/>
              <w:left w:w="120" w:type="dxa"/>
              <w:bottom w:w="80" w:type="dxa"/>
              <w:right w:w="120" w:type="dxa"/>
            </w:tcMar>
            <w:vAlign w:val="center"/>
          </w:tcPr>
          <w:p w14:paraId="454C5B0D" w14:textId="781E274A" w:rsidR="00F227D4" w:rsidRPr="008059D3" w:rsidRDefault="00A409F2" w:rsidP="008059D3">
            <w:pPr>
              <w:spacing w:line="360" w:lineRule="auto"/>
            </w:pPr>
            <w:r w:rsidRPr="008059D3">
              <w:rPr>
                <w:color w:val="000000"/>
                <w:sz w:val="20"/>
                <w:szCs w:val="20"/>
              </w:rPr>
              <w:t xml:space="preserve">UK AI Act equivalent under development; Data Protection Act 2018 / UK GDPR; HSE AI guidance </w:t>
            </w:r>
            <w:r w:rsidR="00D91756">
              <w:rPr>
                <w:color w:val="000000"/>
                <w:sz w:val="20"/>
                <w:szCs w:val="20"/>
              </w:rPr>
              <w:t xml:space="preserve">is </w:t>
            </w:r>
            <w:r w:rsidRPr="008059D3">
              <w:rPr>
                <w:color w:val="000000"/>
                <w:sz w:val="20"/>
                <w:szCs w:val="20"/>
              </w:rPr>
              <w:t>non-statutory but expected standard of care</w:t>
            </w:r>
          </w:p>
        </w:tc>
        <w:tc>
          <w:tcPr>
            <w:tcW w:w="1321" w:type="pct"/>
            <w:shd w:val="clear" w:color="auto" w:fill="EBF3FB"/>
            <w:tcMar>
              <w:top w:w="80" w:type="dxa"/>
              <w:left w:w="120" w:type="dxa"/>
              <w:bottom w:w="80" w:type="dxa"/>
              <w:right w:w="120" w:type="dxa"/>
            </w:tcMar>
            <w:vAlign w:val="center"/>
          </w:tcPr>
          <w:p w14:paraId="1D4DE3BB" w14:textId="77777777" w:rsidR="00F227D4" w:rsidRPr="008059D3" w:rsidRDefault="00A409F2" w:rsidP="008059D3">
            <w:pPr>
              <w:spacing w:line="360" w:lineRule="auto"/>
            </w:pPr>
            <w:r w:rsidRPr="008059D3">
              <w:rPr>
                <w:color w:val="000000"/>
                <w:sz w:val="20"/>
                <w:szCs w:val="20"/>
              </w:rPr>
              <w:t>No federal AI Act; sector-by-sector enforcement; EPA Clean Air Act methane rules (40 CFR Part 60); BSEE BOP integrity regulations</w:t>
            </w:r>
          </w:p>
        </w:tc>
        <w:tc>
          <w:tcPr>
            <w:tcW w:w="1387" w:type="pct"/>
            <w:shd w:val="clear" w:color="auto" w:fill="FFFFFF"/>
            <w:tcMar>
              <w:top w:w="80" w:type="dxa"/>
              <w:left w:w="120" w:type="dxa"/>
              <w:bottom w:w="80" w:type="dxa"/>
              <w:right w:w="120" w:type="dxa"/>
            </w:tcMar>
            <w:vAlign w:val="center"/>
          </w:tcPr>
          <w:p w14:paraId="502646E3" w14:textId="2C1A320F" w:rsidR="00F227D4" w:rsidRPr="008059D3" w:rsidRDefault="00A409F2" w:rsidP="008059D3">
            <w:pPr>
              <w:spacing w:line="360" w:lineRule="auto"/>
            </w:pPr>
            <w:r w:rsidRPr="008059D3">
              <w:rPr>
                <w:color w:val="000000"/>
                <w:sz w:val="20"/>
                <w:szCs w:val="20"/>
              </w:rPr>
              <w:t xml:space="preserve">Legal liability for AI-driven decisions remains untested; </w:t>
            </w:r>
            <w:r w:rsidR="00D91756">
              <w:rPr>
                <w:color w:val="000000"/>
                <w:sz w:val="20"/>
                <w:szCs w:val="20"/>
              </w:rPr>
              <w:t>BP</w:t>
            </w:r>
            <w:r w:rsidRPr="008059D3">
              <w:rPr>
                <w:color w:val="000000"/>
                <w:sz w:val="20"/>
                <w:szCs w:val="20"/>
              </w:rPr>
              <w:t xml:space="preserve"> faces exposure if AI systems misclassify equipment status or under-report emissions</w:t>
            </w:r>
            <w:r w:rsidR="00D91756">
              <w:rPr>
                <w:color w:val="000000"/>
                <w:sz w:val="20"/>
                <w:szCs w:val="20"/>
              </w:rPr>
              <w:t>.</w:t>
            </w:r>
          </w:p>
        </w:tc>
      </w:tr>
      <w:tr w:rsidR="00567BB1" w:rsidRPr="008059D3" w14:paraId="65931670" w14:textId="77777777" w:rsidTr="00C2751E">
        <w:trPr>
          <w:jc w:val="center"/>
        </w:trPr>
        <w:tc>
          <w:tcPr>
            <w:tcW w:w="871" w:type="pct"/>
            <w:shd w:val="clear" w:color="auto" w:fill="2E75B6"/>
            <w:tcMar>
              <w:top w:w="80" w:type="dxa"/>
              <w:left w:w="120" w:type="dxa"/>
              <w:bottom w:w="80" w:type="dxa"/>
              <w:right w:w="120" w:type="dxa"/>
            </w:tcMar>
            <w:vAlign w:val="center"/>
          </w:tcPr>
          <w:p w14:paraId="5B692B83" w14:textId="77777777" w:rsidR="00F227D4" w:rsidRPr="008059D3" w:rsidRDefault="00A409F2" w:rsidP="008059D3">
            <w:pPr>
              <w:spacing w:line="360" w:lineRule="auto"/>
              <w:jc w:val="center"/>
            </w:pPr>
            <w:r w:rsidRPr="008059D3">
              <w:rPr>
                <w:b/>
                <w:bCs/>
                <w:color w:val="FFFFFF"/>
                <w:sz w:val="20"/>
                <w:szCs w:val="20"/>
              </w:rPr>
              <w:t>Environmental</w:t>
            </w:r>
          </w:p>
        </w:tc>
        <w:tc>
          <w:tcPr>
            <w:tcW w:w="1421" w:type="pct"/>
            <w:shd w:val="clear" w:color="auto" w:fill="D6E4F0"/>
            <w:tcMar>
              <w:top w:w="80" w:type="dxa"/>
              <w:left w:w="120" w:type="dxa"/>
              <w:bottom w:w="80" w:type="dxa"/>
              <w:right w:w="120" w:type="dxa"/>
            </w:tcMar>
            <w:vAlign w:val="center"/>
          </w:tcPr>
          <w:p w14:paraId="6CB7327A" w14:textId="77777777" w:rsidR="00F227D4" w:rsidRPr="008059D3" w:rsidRDefault="00A409F2" w:rsidP="008059D3">
            <w:pPr>
              <w:spacing w:line="360" w:lineRule="auto"/>
            </w:pPr>
            <w:r w:rsidRPr="008059D3">
              <w:rPr>
                <w:color w:val="000000"/>
                <w:sz w:val="20"/>
                <w:szCs w:val="20"/>
              </w:rPr>
              <w:t>North Sea Transition Authority emissions monitoring; AI-assisted CCUS (Carbon Capture); UK net zero 2050 statutory commitment</w:t>
            </w:r>
          </w:p>
        </w:tc>
        <w:tc>
          <w:tcPr>
            <w:tcW w:w="1321" w:type="pct"/>
            <w:shd w:val="clear" w:color="auto" w:fill="D6E4F0"/>
            <w:tcMar>
              <w:top w:w="80" w:type="dxa"/>
              <w:left w:w="120" w:type="dxa"/>
              <w:bottom w:w="80" w:type="dxa"/>
              <w:right w:w="120" w:type="dxa"/>
            </w:tcMar>
            <w:vAlign w:val="center"/>
          </w:tcPr>
          <w:p w14:paraId="4B18761E" w14:textId="77777777" w:rsidR="00F227D4" w:rsidRPr="008059D3" w:rsidRDefault="00A409F2" w:rsidP="008059D3">
            <w:pPr>
              <w:spacing w:line="360" w:lineRule="auto"/>
            </w:pPr>
            <w:r w:rsidRPr="008059D3">
              <w:rPr>
                <w:color w:val="000000"/>
                <w:sz w:val="20"/>
                <w:szCs w:val="20"/>
              </w:rPr>
              <w:t>EPA methane final rule (2024); US Congress AI environmental impact legislation proposed; SEC Scope 3 disclosure requirements</w:t>
            </w:r>
          </w:p>
        </w:tc>
        <w:tc>
          <w:tcPr>
            <w:tcW w:w="1387" w:type="pct"/>
            <w:shd w:val="clear" w:color="auto" w:fill="FFFFFF"/>
            <w:tcMar>
              <w:top w:w="80" w:type="dxa"/>
              <w:left w:w="120" w:type="dxa"/>
              <w:bottom w:w="80" w:type="dxa"/>
              <w:right w:w="120" w:type="dxa"/>
            </w:tcMar>
            <w:vAlign w:val="center"/>
          </w:tcPr>
          <w:p w14:paraId="04784A39" w14:textId="685BEA41" w:rsidR="00F227D4" w:rsidRPr="008059D3" w:rsidRDefault="00A409F2" w:rsidP="008059D3">
            <w:pPr>
              <w:spacing w:line="360" w:lineRule="auto"/>
            </w:pPr>
            <w:r w:rsidRPr="008059D3">
              <w:rPr>
                <w:color w:val="000000"/>
                <w:sz w:val="20"/>
                <w:szCs w:val="20"/>
              </w:rPr>
              <w:t>AI-powered methane detection and ESG reporting are strategic imperatives; inaccurate AI environmental outputs create legal and reputational exposure</w:t>
            </w:r>
            <w:r w:rsidR="00D91756">
              <w:rPr>
                <w:color w:val="000000"/>
                <w:sz w:val="20"/>
                <w:szCs w:val="20"/>
              </w:rPr>
              <w:t>.</w:t>
            </w:r>
          </w:p>
        </w:tc>
      </w:tr>
    </w:tbl>
    <w:p w14:paraId="517E22A8" w14:textId="187C79C5" w:rsidR="00CF029B" w:rsidRPr="008059D3" w:rsidRDefault="00CF029B" w:rsidP="008059D3">
      <w:pPr>
        <w:spacing w:line="360" w:lineRule="auto"/>
        <w:jc w:val="center"/>
        <w:rPr>
          <w:color w:val="000000" w:themeColor="text1"/>
          <w:sz w:val="20"/>
          <w:szCs w:val="20"/>
        </w:rPr>
      </w:pPr>
      <w:r w:rsidRPr="008059D3">
        <w:rPr>
          <w:i/>
          <w:iCs/>
          <w:color w:val="000000" w:themeColor="text1"/>
          <w:sz w:val="18"/>
          <w:szCs w:val="18"/>
        </w:rPr>
        <w:t xml:space="preserve">Table 1: PESTLE Comparison of UK and US AI Regulatory Environments for </w:t>
      </w:r>
      <w:r w:rsidR="00D91756">
        <w:rPr>
          <w:i/>
          <w:iCs/>
          <w:color w:val="000000" w:themeColor="text1"/>
          <w:sz w:val="18"/>
          <w:szCs w:val="18"/>
        </w:rPr>
        <w:t>BP</w:t>
      </w:r>
      <w:r w:rsidRPr="008059D3">
        <w:rPr>
          <w:i/>
          <w:iCs/>
          <w:color w:val="000000" w:themeColor="text1"/>
          <w:sz w:val="18"/>
          <w:szCs w:val="18"/>
        </w:rPr>
        <w:t xml:space="preserve"> Upstream Operations</w:t>
      </w:r>
    </w:p>
    <w:p w14:paraId="34BACC9A" w14:textId="6903C4C7" w:rsidR="00211991" w:rsidRPr="00211991" w:rsidRDefault="00211991" w:rsidP="00211991">
      <w:pPr>
        <w:spacing w:line="360" w:lineRule="auto"/>
        <w:jc w:val="both"/>
        <w:rPr>
          <w:sz w:val="24"/>
          <w:szCs w:val="24"/>
        </w:rPr>
      </w:pPr>
      <w:r w:rsidRPr="00211991">
        <w:rPr>
          <w:sz w:val="24"/>
          <w:szCs w:val="24"/>
        </w:rPr>
        <w:t xml:space="preserve">Political: The UK government, through its strategy of pro-innovation AI, which is led by the Department for Science, Innovation and Technology (DSTI), is using a principles-based approach to assign regulatory responsibility to the established sectoral authorities like the Health and Safety Executive (HSE) (Department for Science, Innovation and Technology, 2024). The HSE implements the ALARP principle to AI-related risks by using the existing safety frameworks to extend to algorithmic systems without introducing a new law (Health and Safety Executive, 2023). The United States, in contrast, uses a more prescriptive regulatory approach, with the Bureau of Safety and Environmental Enforcement (BSEE) imposing specific technical requirements under 30 CFR §250, such as fixed BOP testing requirements </w:t>
      </w:r>
      <w:r w:rsidR="00D91756">
        <w:rPr>
          <w:sz w:val="24"/>
          <w:szCs w:val="24"/>
        </w:rPr>
        <w:t>that</w:t>
      </w:r>
      <w:r w:rsidRPr="00211991">
        <w:rPr>
          <w:sz w:val="24"/>
          <w:szCs w:val="24"/>
        </w:rPr>
        <w:t xml:space="preserve"> need to correspond to AI-driven maintenance deliverables. According to Anderson (2025), it is challenging to enforce rigid regulatory systems on </w:t>
      </w:r>
      <w:r w:rsidR="00D91756">
        <w:rPr>
          <w:sz w:val="24"/>
          <w:szCs w:val="24"/>
        </w:rPr>
        <w:t>dynamic technologies, and this is the main trouble of BP</w:t>
      </w:r>
      <w:r w:rsidRPr="00211991">
        <w:rPr>
          <w:sz w:val="24"/>
          <w:szCs w:val="24"/>
        </w:rPr>
        <w:t xml:space="preserve"> operations under both jurisdictions.</w:t>
      </w:r>
    </w:p>
    <w:p w14:paraId="7D480C7A" w14:textId="08191771" w:rsidR="00211991" w:rsidRPr="00211991" w:rsidRDefault="00211991" w:rsidP="00211991">
      <w:pPr>
        <w:spacing w:line="360" w:lineRule="auto"/>
        <w:jc w:val="both"/>
        <w:rPr>
          <w:sz w:val="24"/>
          <w:szCs w:val="24"/>
        </w:rPr>
      </w:pPr>
      <w:r w:rsidRPr="00211991">
        <w:rPr>
          <w:sz w:val="24"/>
          <w:szCs w:val="24"/>
        </w:rPr>
        <w:t xml:space="preserve">Economic: </w:t>
      </w:r>
      <w:r w:rsidR="00D91756">
        <w:rPr>
          <w:sz w:val="24"/>
          <w:szCs w:val="24"/>
        </w:rPr>
        <w:t>BP</w:t>
      </w:r>
      <w:r w:rsidRPr="00211991">
        <w:rPr>
          <w:sz w:val="24"/>
          <w:szCs w:val="24"/>
        </w:rPr>
        <w:t xml:space="preserve"> takes advantage of the fact that in the UK, the North Sea Transition Deal has supported digital technologies, and the funding streams of the Advanced Research and Invention Agency (ARIA) on frontier AI applications in the energy transition. The Inflation Reduction Act gives incentives to deploy clean energy technology in the US, though the SEC climate disclosure rules (</w:t>
      </w:r>
      <w:proofErr w:type="spellStart"/>
      <w:r w:rsidRPr="00211991">
        <w:rPr>
          <w:sz w:val="24"/>
          <w:szCs w:val="24"/>
        </w:rPr>
        <w:t>finalised</w:t>
      </w:r>
      <w:proofErr w:type="spellEnd"/>
      <w:r w:rsidRPr="00211991">
        <w:rPr>
          <w:sz w:val="24"/>
          <w:szCs w:val="24"/>
        </w:rPr>
        <w:t xml:space="preserve"> March 2024, with Securities Release No. 33-11275) are increasing </w:t>
      </w:r>
      <w:r w:rsidR="00D91756">
        <w:rPr>
          <w:sz w:val="24"/>
          <w:szCs w:val="24"/>
        </w:rPr>
        <w:t xml:space="preserve">the </w:t>
      </w:r>
      <w:r w:rsidRPr="00211991">
        <w:rPr>
          <w:sz w:val="24"/>
          <w:szCs w:val="24"/>
        </w:rPr>
        <w:t xml:space="preserve">costs of compliance through incremental levels of </w:t>
      </w:r>
      <w:r w:rsidRPr="00211991">
        <w:rPr>
          <w:sz w:val="24"/>
          <w:szCs w:val="24"/>
        </w:rPr>
        <w:lastRenderedPageBreak/>
        <w:t xml:space="preserve">precision of AI-assisted ESG data collection. Mardanov et al. (2026) empirically show that AI adoption in oil and gas is sensitive to the regulatory cost environment, with firms based in jurisdictions with high enforcement recovering AI investment much more slowly than those based in jurisdictions with enabling regulatory environments, indicating the economic materiality of the regulatory gap between the UK and the US in the context of investment decisions made by </w:t>
      </w:r>
      <w:r w:rsidR="00D91756">
        <w:rPr>
          <w:sz w:val="24"/>
          <w:szCs w:val="24"/>
        </w:rPr>
        <w:t>BP</w:t>
      </w:r>
      <w:r w:rsidRPr="00211991">
        <w:rPr>
          <w:sz w:val="24"/>
          <w:szCs w:val="24"/>
        </w:rPr>
        <w:t>.</w:t>
      </w:r>
    </w:p>
    <w:p w14:paraId="5013B109" w14:textId="7EC27B6E" w:rsidR="00211991" w:rsidRPr="00211991" w:rsidRDefault="00211991" w:rsidP="00211991">
      <w:pPr>
        <w:spacing w:line="360" w:lineRule="auto"/>
        <w:jc w:val="both"/>
        <w:rPr>
          <w:sz w:val="24"/>
          <w:szCs w:val="24"/>
        </w:rPr>
      </w:pPr>
      <w:r w:rsidRPr="00211991">
        <w:rPr>
          <w:sz w:val="24"/>
          <w:szCs w:val="24"/>
        </w:rPr>
        <w:t xml:space="preserve">Social: Consequential energy decisions: AI acceptance by the public </w:t>
      </w:r>
      <w:r w:rsidR="00D91756">
        <w:rPr>
          <w:sz w:val="24"/>
          <w:szCs w:val="24"/>
        </w:rPr>
        <w:t>is</w:t>
      </w:r>
      <w:r w:rsidRPr="00211991">
        <w:rPr>
          <w:sz w:val="24"/>
          <w:szCs w:val="24"/>
        </w:rPr>
        <w:t xml:space="preserve"> an </w:t>
      </w:r>
      <w:r w:rsidR="00D91756">
        <w:rPr>
          <w:sz w:val="24"/>
          <w:szCs w:val="24"/>
        </w:rPr>
        <w:t xml:space="preserve">ever-more-important governance variable that both the </w:t>
      </w:r>
      <w:r w:rsidRPr="00211991">
        <w:rPr>
          <w:sz w:val="24"/>
          <w:szCs w:val="24"/>
        </w:rPr>
        <w:t xml:space="preserve">UK and US regulatory settings are starting to codify. Within the UK, the increasing concern among civil society regarding algorithmic bias and the loss of jobs to workers in the energy industry has seen the involvement of the unions in the decision-making process on AI implementation. In the United States, activist groups such as the Algorithmic Justice League and AI Now Institute have stepped up pressure on </w:t>
      </w:r>
      <w:proofErr w:type="spellStart"/>
      <w:r w:rsidRPr="00211991">
        <w:rPr>
          <w:sz w:val="24"/>
          <w:szCs w:val="24"/>
        </w:rPr>
        <w:t>organisations</w:t>
      </w:r>
      <w:proofErr w:type="spellEnd"/>
      <w:r w:rsidRPr="00211991">
        <w:rPr>
          <w:sz w:val="24"/>
          <w:szCs w:val="24"/>
        </w:rPr>
        <w:t xml:space="preserve"> to disclose corporate AI systems, especially in communities near energy infrastructure, where the environmental justice issue exacerbates the </w:t>
      </w:r>
      <w:r w:rsidR="00D91756">
        <w:rPr>
          <w:sz w:val="24"/>
          <w:szCs w:val="24"/>
        </w:rPr>
        <w:t>need for</w:t>
      </w:r>
      <w:r w:rsidRPr="00211991">
        <w:rPr>
          <w:sz w:val="24"/>
          <w:szCs w:val="24"/>
        </w:rPr>
        <w:t xml:space="preserve"> algorithmic accountability. Hatoum et al. (2023) affirm that social </w:t>
      </w:r>
      <w:proofErr w:type="spellStart"/>
      <w:r w:rsidRPr="00211991">
        <w:rPr>
          <w:sz w:val="24"/>
          <w:szCs w:val="24"/>
        </w:rPr>
        <w:t>licence</w:t>
      </w:r>
      <w:proofErr w:type="spellEnd"/>
      <w:r w:rsidRPr="00211991">
        <w:rPr>
          <w:sz w:val="24"/>
          <w:szCs w:val="24"/>
        </w:rPr>
        <w:t xml:space="preserve"> considerations constitute the first, and often </w:t>
      </w:r>
      <w:proofErr w:type="spellStart"/>
      <w:r w:rsidRPr="00211991">
        <w:rPr>
          <w:sz w:val="24"/>
          <w:szCs w:val="24"/>
        </w:rPr>
        <w:t>underemphasised</w:t>
      </w:r>
      <w:proofErr w:type="spellEnd"/>
      <w:r w:rsidRPr="00211991">
        <w:rPr>
          <w:sz w:val="24"/>
          <w:szCs w:val="24"/>
        </w:rPr>
        <w:t xml:space="preserve">, aspect of PESTLE analysis of </w:t>
      </w:r>
      <w:r w:rsidR="00D91756">
        <w:rPr>
          <w:sz w:val="24"/>
          <w:szCs w:val="24"/>
        </w:rPr>
        <w:t>capital-intensive infrastructure companies, which is why the dimension is of strategic significance to the community relations and public affairs strategy adopted by BP</w:t>
      </w:r>
      <w:r w:rsidRPr="00211991">
        <w:rPr>
          <w:sz w:val="24"/>
          <w:szCs w:val="24"/>
        </w:rPr>
        <w:t>.</w:t>
      </w:r>
    </w:p>
    <w:p w14:paraId="1E7B84E8" w14:textId="397D148C" w:rsidR="00211991" w:rsidRPr="00211991" w:rsidRDefault="00211991" w:rsidP="00211991">
      <w:pPr>
        <w:spacing w:line="360" w:lineRule="auto"/>
        <w:jc w:val="both"/>
        <w:rPr>
          <w:sz w:val="24"/>
          <w:szCs w:val="24"/>
        </w:rPr>
      </w:pPr>
      <w:r w:rsidRPr="00211991">
        <w:rPr>
          <w:sz w:val="24"/>
          <w:szCs w:val="24"/>
        </w:rPr>
        <w:t xml:space="preserve">Technological: The two jurisdictions are moving towards explainable AI (XAI) as the technical standard of regulatory trust, although at varying paces. </w:t>
      </w:r>
      <w:proofErr w:type="spellStart"/>
      <w:r w:rsidRPr="00211991">
        <w:rPr>
          <w:sz w:val="24"/>
          <w:szCs w:val="24"/>
        </w:rPr>
        <w:t>Machlev</w:t>
      </w:r>
      <w:proofErr w:type="spellEnd"/>
      <w:r w:rsidRPr="00211991">
        <w:rPr>
          <w:sz w:val="24"/>
          <w:szCs w:val="24"/>
        </w:rPr>
        <w:t xml:space="preserve"> et al. (2022) review the XAI methods in the energy and power systems and conclude that the main technical obstacle to regulatory acceptance of AI decision-making is the lack of transparency, and tools like SHAP (</w:t>
      </w:r>
      <w:r w:rsidR="00D91756">
        <w:rPr>
          <w:sz w:val="24"/>
          <w:szCs w:val="24"/>
        </w:rPr>
        <w:t>Shapley</w:t>
      </w:r>
      <w:r w:rsidRPr="00211991">
        <w:rPr>
          <w:sz w:val="24"/>
          <w:szCs w:val="24"/>
        </w:rPr>
        <w:t xml:space="preserve"> Additive </w:t>
      </w:r>
      <w:proofErr w:type="spellStart"/>
      <w:r w:rsidRPr="00211991">
        <w:rPr>
          <w:sz w:val="24"/>
          <w:szCs w:val="24"/>
        </w:rPr>
        <w:t>exPlanations</w:t>
      </w:r>
      <w:proofErr w:type="spellEnd"/>
      <w:r w:rsidRPr="00211991">
        <w:rPr>
          <w:sz w:val="24"/>
          <w:szCs w:val="24"/>
        </w:rPr>
        <w:t xml:space="preserve">) and LIME (Local Interpretable Model-agnostic Explanations) may offer a way to comply. Alsaigh et al. (2023) </w:t>
      </w:r>
      <w:proofErr w:type="spellStart"/>
      <w:r w:rsidR="00D91756">
        <w:rPr>
          <w:sz w:val="24"/>
          <w:szCs w:val="24"/>
        </w:rPr>
        <w:t>generalise</w:t>
      </w:r>
      <w:proofErr w:type="spellEnd"/>
      <w:r w:rsidRPr="00211991">
        <w:rPr>
          <w:sz w:val="24"/>
          <w:szCs w:val="24"/>
        </w:rPr>
        <w:t xml:space="preserve"> this discussion to smart energy governance, stating that explainability is not only a technical attribute but a governance requirement without which no AI system can meet the UK ALARP requirement or the US documentation-heavy BSEE model. The NIST AI Risk Management Framework 1.0 (2023) serves as the de facto voluntary technical standard by which regulators in the US are evaluating the maturity of AI governance in the regulated industry, and is also increasingly becoming a reference point by UK regulators to base AI safety regulation in industrial contexts on.</w:t>
      </w:r>
    </w:p>
    <w:p w14:paraId="03A67B92" w14:textId="21D1EF85" w:rsidR="00211991" w:rsidRPr="00211991" w:rsidRDefault="00211991" w:rsidP="00211991">
      <w:pPr>
        <w:spacing w:line="360" w:lineRule="auto"/>
        <w:jc w:val="both"/>
        <w:rPr>
          <w:sz w:val="24"/>
          <w:szCs w:val="24"/>
        </w:rPr>
      </w:pPr>
      <w:r w:rsidRPr="00211991">
        <w:rPr>
          <w:sz w:val="24"/>
          <w:szCs w:val="24"/>
        </w:rPr>
        <w:t xml:space="preserve">Legal: The legal aspect of the PESTLE analysis shows that </w:t>
      </w:r>
      <w:r w:rsidR="00D91756">
        <w:rPr>
          <w:sz w:val="24"/>
          <w:szCs w:val="24"/>
        </w:rPr>
        <w:t>BP has huge and, in most cases,</w:t>
      </w:r>
      <w:r w:rsidRPr="00211991">
        <w:rPr>
          <w:sz w:val="24"/>
          <w:szCs w:val="24"/>
        </w:rPr>
        <w:t xml:space="preserve"> unevaluated liabilities. The question of who bears responsibility in decisions made </w:t>
      </w:r>
      <w:r w:rsidRPr="00211991">
        <w:rPr>
          <w:sz w:val="24"/>
          <w:szCs w:val="24"/>
        </w:rPr>
        <w:lastRenderedPageBreak/>
        <w:t xml:space="preserve">by AI in both the United States and the UK is not completely answered. </w:t>
      </w:r>
      <w:proofErr w:type="spellStart"/>
      <w:r w:rsidRPr="00211991">
        <w:rPr>
          <w:sz w:val="24"/>
          <w:szCs w:val="24"/>
        </w:rPr>
        <w:t>Szadeczky</w:t>
      </w:r>
      <w:proofErr w:type="spellEnd"/>
      <w:r w:rsidRPr="00211991">
        <w:rPr>
          <w:sz w:val="24"/>
          <w:szCs w:val="24"/>
        </w:rPr>
        <w:t xml:space="preserve"> and </w:t>
      </w:r>
      <w:proofErr w:type="spellStart"/>
      <w:r w:rsidRPr="00211991">
        <w:rPr>
          <w:sz w:val="24"/>
          <w:szCs w:val="24"/>
        </w:rPr>
        <w:t>Bederna</w:t>
      </w:r>
      <w:proofErr w:type="spellEnd"/>
      <w:r w:rsidRPr="00211991">
        <w:rPr>
          <w:sz w:val="24"/>
          <w:szCs w:val="24"/>
        </w:rPr>
        <w:t xml:space="preserve"> (2025) demonstrate that the current AI governance frameworks lack clarity in allocating responsibility in case of autonomous or semi-autonomous systems err in controlled industries. In the UK, common law negligence and the Health and Safety at Work Act 1974, which is not </w:t>
      </w:r>
      <w:r w:rsidR="00D91756">
        <w:rPr>
          <w:sz w:val="24"/>
          <w:szCs w:val="24"/>
        </w:rPr>
        <w:t xml:space="preserve">an </w:t>
      </w:r>
      <w:r w:rsidRPr="00211991">
        <w:rPr>
          <w:sz w:val="24"/>
          <w:szCs w:val="24"/>
        </w:rPr>
        <w:t xml:space="preserve">autonomous system-designed, apply to liability. The AI Compliance Plan (2024) by </w:t>
      </w:r>
      <w:r w:rsidR="00D91756">
        <w:rPr>
          <w:sz w:val="24"/>
          <w:szCs w:val="24"/>
        </w:rPr>
        <w:t xml:space="preserve">the </w:t>
      </w:r>
      <w:r w:rsidRPr="00211991">
        <w:rPr>
          <w:sz w:val="24"/>
          <w:szCs w:val="24"/>
        </w:rPr>
        <w:t xml:space="preserve">EPA in the US has created a duty of treatment on the agencies but not the regulated firms, which creates uncertainty regarding how the AI-generated environmental data will be treated. Also, </w:t>
      </w:r>
      <w:r w:rsidR="00D91756">
        <w:rPr>
          <w:sz w:val="24"/>
          <w:szCs w:val="24"/>
        </w:rPr>
        <w:t>BP operations in the EU are subject to the EU AI Act in terms of its territorial scope (Article 2(1)(a)),</w:t>
      </w:r>
      <w:r w:rsidRPr="00211991">
        <w:rPr>
          <w:sz w:val="24"/>
          <w:szCs w:val="24"/>
        </w:rPr>
        <w:t xml:space="preserve"> which expands the scope of compliance requirements to the UK-US context. According to Garvey (2024), this extraterritorial scope is one of the main problems of energy multinationals.</w:t>
      </w:r>
    </w:p>
    <w:p w14:paraId="1F165AD7" w14:textId="47FB8AED" w:rsidR="008059D3" w:rsidRPr="008059D3" w:rsidRDefault="00211991" w:rsidP="00211991">
      <w:pPr>
        <w:spacing w:line="360" w:lineRule="auto"/>
        <w:jc w:val="both"/>
        <w:rPr>
          <w:sz w:val="24"/>
          <w:szCs w:val="24"/>
        </w:rPr>
      </w:pPr>
      <w:r w:rsidRPr="00211991">
        <w:rPr>
          <w:sz w:val="24"/>
          <w:szCs w:val="24"/>
        </w:rPr>
        <w:t xml:space="preserve">Environmental: The final rule on methane by EPA under 40 CFR Part 60, and a proposed US Congress bill to examine environmental effects of AI systems themselves (US Congress, 2024), indicates a twofold environmental responsibility: bp needs to ensure an accurate detection and reporting of environmental emissions by its AI systems, and, more and more, that the AI systems themselves can meet emerging sustainability requirements. According to the Kleinman </w:t>
      </w:r>
      <w:r w:rsidR="00D91756">
        <w:rPr>
          <w:sz w:val="24"/>
          <w:szCs w:val="24"/>
        </w:rPr>
        <w:t>Centre</w:t>
      </w:r>
      <w:r w:rsidRPr="00211991">
        <w:rPr>
          <w:sz w:val="24"/>
          <w:szCs w:val="24"/>
        </w:rPr>
        <w:t xml:space="preserve"> for Energy Policy (2024), remote sensing technologies facilitated by AI are becoming the core of next-generation environmental monitoring, with network-based satellite and aerial detection of methane being the technical standard according to which regulatory compliance will be assessed. This establishes an operational necessity on the part of </w:t>
      </w:r>
      <w:r w:rsidR="00D91756">
        <w:rPr>
          <w:sz w:val="24"/>
          <w:szCs w:val="24"/>
        </w:rPr>
        <w:t xml:space="preserve">BP: AI-assisted methane monitoring needs to be fielded at a technical level that satisfies the changing EPA standards, or the company will face not only regulatory fines but also negative publicity in the context of the </w:t>
      </w:r>
      <w:proofErr w:type="spellStart"/>
      <w:r w:rsidR="00D91756">
        <w:rPr>
          <w:sz w:val="24"/>
          <w:szCs w:val="24"/>
        </w:rPr>
        <w:t>finalised</w:t>
      </w:r>
      <w:proofErr w:type="spellEnd"/>
      <w:r w:rsidR="00D91756">
        <w:rPr>
          <w:sz w:val="24"/>
          <w:szCs w:val="24"/>
        </w:rPr>
        <w:t xml:space="preserve"> climate disclosure regulations of the </w:t>
      </w:r>
      <w:r w:rsidRPr="00211991">
        <w:rPr>
          <w:sz w:val="24"/>
          <w:szCs w:val="24"/>
        </w:rPr>
        <w:t>SEC.</w:t>
      </w:r>
    </w:p>
    <w:p w14:paraId="0BED0AF3" w14:textId="6AFA6B7B" w:rsidR="00EC04C0" w:rsidRPr="008059D3" w:rsidRDefault="008059D3" w:rsidP="008059D3">
      <w:pPr>
        <w:pStyle w:val="Heading3"/>
        <w:spacing w:line="360" w:lineRule="auto"/>
      </w:pPr>
      <w:bookmarkStart w:id="7" w:name="_Toc227967385"/>
      <w:r w:rsidRPr="008059D3">
        <w:t xml:space="preserve">2.1.1 </w:t>
      </w:r>
      <w:r w:rsidR="00EC04C0" w:rsidRPr="008059D3">
        <w:t>Porter’s Five Forces Analysis</w:t>
      </w:r>
      <w:bookmarkEnd w:id="7"/>
    </w:p>
    <w:p w14:paraId="439D1D99" w14:textId="7F1877E0" w:rsidR="00801360" w:rsidRPr="00801360" w:rsidRDefault="00801360" w:rsidP="00801360">
      <w:pPr>
        <w:spacing w:line="360" w:lineRule="auto"/>
        <w:jc w:val="both"/>
        <w:rPr>
          <w:sz w:val="24"/>
          <w:szCs w:val="24"/>
        </w:rPr>
      </w:pPr>
      <w:r w:rsidRPr="00801360">
        <w:rPr>
          <w:sz w:val="24"/>
          <w:szCs w:val="24"/>
        </w:rPr>
        <w:t xml:space="preserve">The Five Forces framework by Porter will be used to offer an understanding of the competitive forces </w:t>
      </w:r>
      <w:r w:rsidR="00E461C8">
        <w:rPr>
          <w:sz w:val="24"/>
          <w:szCs w:val="24"/>
        </w:rPr>
        <w:t>that have influenced BP's</w:t>
      </w:r>
      <w:r w:rsidRPr="00801360">
        <w:rPr>
          <w:sz w:val="24"/>
          <w:szCs w:val="24"/>
        </w:rPr>
        <w:t xml:space="preserve"> AI-driven business activities in the energy industry.</w:t>
      </w:r>
    </w:p>
    <w:p w14:paraId="7D85500B" w14:textId="764F7B8B" w:rsidR="00801360" w:rsidRPr="00801360" w:rsidRDefault="00801360" w:rsidP="00801360">
      <w:pPr>
        <w:spacing w:line="360" w:lineRule="auto"/>
        <w:jc w:val="both"/>
        <w:rPr>
          <w:sz w:val="24"/>
          <w:szCs w:val="24"/>
        </w:rPr>
      </w:pPr>
      <w:r w:rsidRPr="00801360">
        <w:rPr>
          <w:sz w:val="24"/>
          <w:szCs w:val="24"/>
        </w:rPr>
        <w:t>To begin with, there is a high level of competitive rivalry between the giant oil and gas companies in the market</w:t>
      </w:r>
      <w:r w:rsidR="00E461C8">
        <w:rPr>
          <w:sz w:val="24"/>
          <w:szCs w:val="24"/>
        </w:rPr>
        <w:t>, like Shell and ExxonMobil, all investing in AI to enhance the efficiency of their</w:t>
      </w:r>
      <w:r w:rsidRPr="00801360">
        <w:rPr>
          <w:sz w:val="24"/>
          <w:szCs w:val="24"/>
        </w:rPr>
        <w:t xml:space="preserve"> operations, emissions tracking, and predictive maintenance. This competition encourages constant innovation yet puts more pressure on </w:t>
      </w:r>
      <w:r w:rsidR="00E461C8">
        <w:rPr>
          <w:sz w:val="24"/>
          <w:szCs w:val="24"/>
        </w:rPr>
        <w:t>BP</w:t>
      </w:r>
      <w:r w:rsidRPr="00801360">
        <w:rPr>
          <w:sz w:val="24"/>
          <w:szCs w:val="24"/>
        </w:rPr>
        <w:t xml:space="preserve"> to be technologically and governance ahead.</w:t>
      </w:r>
    </w:p>
    <w:p w14:paraId="7E5CB18D" w14:textId="129D6978" w:rsidR="00801360" w:rsidRPr="00801360" w:rsidRDefault="00801360" w:rsidP="00801360">
      <w:pPr>
        <w:spacing w:line="360" w:lineRule="auto"/>
        <w:jc w:val="both"/>
        <w:rPr>
          <w:sz w:val="24"/>
          <w:szCs w:val="24"/>
        </w:rPr>
      </w:pPr>
      <w:r w:rsidRPr="00801360">
        <w:rPr>
          <w:sz w:val="24"/>
          <w:szCs w:val="24"/>
        </w:rPr>
        <w:lastRenderedPageBreak/>
        <w:t xml:space="preserve">Second, new entrants have a low threat because the capital requirement and </w:t>
      </w:r>
      <w:r w:rsidR="00E461C8">
        <w:rPr>
          <w:sz w:val="24"/>
          <w:szCs w:val="24"/>
        </w:rPr>
        <w:t>regulatory barriers</w:t>
      </w:r>
      <w:r w:rsidRPr="00801360">
        <w:rPr>
          <w:sz w:val="24"/>
          <w:szCs w:val="24"/>
        </w:rPr>
        <w:t xml:space="preserve"> are high, and the upstream operations are complex. Nevertheless, niche AI technology companies and digital startups are also a partial threat with their </w:t>
      </w:r>
      <w:proofErr w:type="spellStart"/>
      <w:r w:rsidRPr="00801360">
        <w:rPr>
          <w:sz w:val="24"/>
          <w:szCs w:val="24"/>
        </w:rPr>
        <w:t>specialised</w:t>
      </w:r>
      <w:proofErr w:type="spellEnd"/>
      <w:r w:rsidRPr="00801360">
        <w:rPr>
          <w:sz w:val="24"/>
          <w:szCs w:val="24"/>
        </w:rPr>
        <w:t xml:space="preserve"> solutions (e.g., methane detection or AI analytics), which can disrupt the established value chains.</w:t>
      </w:r>
    </w:p>
    <w:p w14:paraId="45145C4B" w14:textId="2D31C693" w:rsidR="00801360" w:rsidRPr="00801360" w:rsidRDefault="00B06D2D" w:rsidP="00801360">
      <w:pPr>
        <w:spacing w:line="360" w:lineRule="auto"/>
        <w:jc w:val="both"/>
        <w:rPr>
          <w:sz w:val="24"/>
          <w:szCs w:val="24"/>
        </w:rPr>
      </w:pPr>
      <w:r w:rsidRPr="00B06D2D">
        <w:rPr>
          <w:sz w:val="24"/>
          <w:szCs w:val="24"/>
        </w:rPr>
        <w:t>Third, the bargaining power of suppliers is medium and high</w:t>
      </w:r>
      <w:r w:rsidR="00E461C8">
        <w:rPr>
          <w:sz w:val="24"/>
          <w:szCs w:val="24"/>
        </w:rPr>
        <w:t>, particularly for</w:t>
      </w:r>
      <w:r w:rsidRPr="00B06D2D">
        <w:rPr>
          <w:sz w:val="24"/>
          <w:szCs w:val="24"/>
        </w:rPr>
        <w:t xml:space="preserve"> new AI technologies. Providers of AI platforms, cloud infrastructure, and explainability systems (e.g., XAI systems) have a strong influence, as bp uses their proprietary technologies and knowledge to comply and act in the area of operational efficiency.</w:t>
      </w:r>
    </w:p>
    <w:p w14:paraId="39257CA4" w14:textId="1917EDCC" w:rsidR="00801360" w:rsidRPr="00801360" w:rsidRDefault="00801360" w:rsidP="00801360">
      <w:pPr>
        <w:spacing w:line="360" w:lineRule="auto"/>
        <w:jc w:val="both"/>
        <w:rPr>
          <w:sz w:val="24"/>
          <w:szCs w:val="24"/>
        </w:rPr>
      </w:pPr>
      <w:r w:rsidRPr="00801360">
        <w:rPr>
          <w:sz w:val="24"/>
          <w:szCs w:val="24"/>
        </w:rPr>
        <w:t>Fourth, the power of buyers (regulators, investors and energy consumers) is growing. In the UK and US, regulators are expecting greater transparency and compliance</w:t>
      </w:r>
      <w:r w:rsidR="00E461C8">
        <w:rPr>
          <w:sz w:val="24"/>
          <w:szCs w:val="24"/>
        </w:rPr>
        <w:t>,</w:t>
      </w:r>
      <w:r w:rsidRPr="00801360">
        <w:rPr>
          <w:sz w:val="24"/>
          <w:szCs w:val="24"/>
        </w:rPr>
        <w:t xml:space="preserve"> and investors are increasingly focusing on ESG performance, which puts pressure on bp to guarantee proper AI-driven reporting and governance.</w:t>
      </w:r>
    </w:p>
    <w:p w14:paraId="6E2B7FC9" w14:textId="77777777" w:rsidR="00801360" w:rsidRPr="00801360" w:rsidRDefault="00801360" w:rsidP="00801360">
      <w:pPr>
        <w:spacing w:line="360" w:lineRule="auto"/>
        <w:jc w:val="both"/>
        <w:rPr>
          <w:sz w:val="24"/>
          <w:szCs w:val="24"/>
        </w:rPr>
      </w:pPr>
      <w:r w:rsidRPr="00801360">
        <w:rPr>
          <w:sz w:val="24"/>
          <w:szCs w:val="24"/>
        </w:rPr>
        <w:t>Lastly, the threat of substitutes is also on the increase with the global trend towards renewable energy. The use of AI in the renewables sector raises the efficiency and appeal of the sector, which applies greater pressure on the conventional oil and gas operations in the form of substitution.</w:t>
      </w:r>
    </w:p>
    <w:p w14:paraId="2C4CF1FD" w14:textId="4453AD69" w:rsidR="00F227D4" w:rsidRPr="008059D3" w:rsidRDefault="00801360" w:rsidP="00801360">
      <w:pPr>
        <w:spacing w:line="360" w:lineRule="auto"/>
        <w:jc w:val="both"/>
        <w:rPr>
          <w:sz w:val="24"/>
          <w:szCs w:val="24"/>
        </w:rPr>
      </w:pPr>
      <w:r w:rsidRPr="00801360">
        <w:rPr>
          <w:sz w:val="24"/>
          <w:szCs w:val="24"/>
        </w:rPr>
        <w:t xml:space="preserve">In general, the framework </w:t>
      </w:r>
      <w:proofErr w:type="spellStart"/>
      <w:r w:rsidR="00E461C8">
        <w:rPr>
          <w:sz w:val="24"/>
          <w:szCs w:val="24"/>
        </w:rPr>
        <w:t>emphasises</w:t>
      </w:r>
      <w:proofErr w:type="spellEnd"/>
      <w:r w:rsidR="00E461C8">
        <w:rPr>
          <w:sz w:val="24"/>
          <w:szCs w:val="24"/>
        </w:rPr>
        <w:t xml:space="preserve"> that BP needs to use the capabilities of strong AI governance and innovation to maintain its competitiveness in an environment of </w:t>
      </w:r>
      <w:r w:rsidRPr="00801360">
        <w:rPr>
          <w:sz w:val="24"/>
          <w:szCs w:val="24"/>
        </w:rPr>
        <w:t>high pressure and continuous changes in the industry environment.</w:t>
      </w:r>
    </w:p>
    <w:p w14:paraId="1EEC3507" w14:textId="77777777" w:rsidR="00F227D4" w:rsidRPr="008059D3" w:rsidRDefault="00A409F2" w:rsidP="008059D3">
      <w:pPr>
        <w:pStyle w:val="Heading2"/>
      </w:pPr>
      <w:bookmarkStart w:id="8" w:name="_Toc227967386"/>
      <w:r w:rsidRPr="008059D3">
        <w:t>2.2 AI Risk Categories in bp Operations</w:t>
      </w:r>
      <w:bookmarkEnd w:id="8"/>
    </w:p>
    <w:p w14:paraId="746FC3B4" w14:textId="2B3E35EE" w:rsidR="00995BC5" w:rsidRPr="008059D3" w:rsidRDefault="00801360" w:rsidP="008059D3">
      <w:pPr>
        <w:spacing w:line="360" w:lineRule="auto"/>
        <w:jc w:val="both"/>
        <w:rPr>
          <w:sz w:val="24"/>
          <w:szCs w:val="24"/>
        </w:rPr>
      </w:pPr>
      <w:r w:rsidRPr="00801360">
        <w:rPr>
          <w:sz w:val="24"/>
          <w:szCs w:val="24"/>
        </w:rPr>
        <w:t>Based on the macro-environmental analysis, four distinct AI risk groups are defined</w:t>
      </w:r>
      <w:r w:rsidR="00E461C8">
        <w:rPr>
          <w:sz w:val="24"/>
          <w:szCs w:val="24"/>
        </w:rPr>
        <w:t>, which pose the greatest risk-adjusted priority to BP</w:t>
      </w:r>
      <w:r w:rsidRPr="00801360">
        <w:rPr>
          <w:sz w:val="24"/>
          <w:szCs w:val="24"/>
        </w:rPr>
        <w:t xml:space="preserve"> in its UK and US activities. The risk scoring methodology uses a 5x5 likelihood-impact matrix in line with the principles of ISO 31000.</w:t>
      </w:r>
    </w:p>
    <w:p w14:paraId="18372E28" w14:textId="17AF8E2F" w:rsidR="00995BC5" w:rsidRPr="008059D3" w:rsidRDefault="00325DC5" w:rsidP="008059D3">
      <w:pPr>
        <w:spacing w:line="360" w:lineRule="auto"/>
        <w:jc w:val="center"/>
        <w:rPr>
          <w:noProof/>
        </w:rPr>
      </w:pPr>
      <w:r w:rsidRPr="008059D3">
        <w:rPr>
          <w:noProof/>
        </w:rPr>
        <w:lastRenderedPageBreak/>
        <w:drawing>
          <wp:inline distT="0" distB="0" distL="0" distR="0" wp14:anchorId="46B40ACE" wp14:editId="3ACA2808">
            <wp:extent cx="5602422" cy="2798860"/>
            <wp:effectExtent l="0" t="0" r="0" b="1905"/>
            <wp:docPr id="1953838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5326" cy="2820294"/>
                    </a:xfrm>
                    <a:prstGeom prst="rect">
                      <a:avLst/>
                    </a:prstGeom>
                    <a:noFill/>
                    <a:ln>
                      <a:noFill/>
                    </a:ln>
                  </pic:spPr>
                </pic:pic>
              </a:graphicData>
            </a:graphic>
          </wp:inline>
        </w:drawing>
      </w:r>
    </w:p>
    <w:p w14:paraId="61476BFA" w14:textId="2001700B" w:rsidR="00F227D4" w:rsidRPr="008059D3" w:rsidRDefault="00995BC5" w:rsidP="008059D3">
      <w:pPr>
        <w:spacing w:line="360" w:lineRule="auto"/>
        <w:jc w:val="center"/>
        <w:rPr>
          <w:i/>
          <w:iCs/>
          <w:color w:val="000000" w:themeColor="text1"/>
          <w:sz w:val="18"/>
          <w:szCs w:val="18"/>
        </w:rPr>
      </w:pPr>
      <w:r w:rsidRPr="008059D3">
        <w:rPr>
          <w:i/>
          <w:iCs/>
          <w:color w:val="000000" w:themeColor="text1"/>
          <w:sz w:val="18"/>
          <w:szCs w:val="18"/>
        </w:rPr>
        <w:t>Figure 1: AI Risk Heat Map – Likelihood vs. Impact Matrix for bp AI Risks</w:t>
      </w:r>
      <w:r w:rsidR="00D95054" w:rsidRPr="008059D3">
        <w:rPr>
          <w:i/>
          <w:iCs/>
          <w:color w:val="000000" w:themeColor="text1"/>
          <w:sz w:val="18"/>
          <w:szCs w:val="18"/>
        </w:rPr>
        <w:t xml:space="preserve"> (Self-Made)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27"/>
        <w:gridCol w:w="1335"/>
        <w:gridCol w:w="983"/>
        <w:gridCol w:w="954"/>
        <w:gridCol w:w="3677"/>
      </w:tblGrid>
      <w:tr w:rsidR="00567BB1" w:rsidRPr="008059D3" w14:paraId="1EE4531C" w14:textId="77777777" w:rsidTr="00801360">
        <w:trPr>
          <w:trHeight w:val="394"/>
        </w:trPr>
        <w:tc>
          <w:tcPr>
            <w:tcW w:w="1294" w:type="pct"/>
            <w:shd w:val="clear" w:color="auto" w:fill="1F3864"/>
            <w:tcMar>
              <w:top w:w="80" w:type="dxa"/>
              <w:left w:w="120" w:type="dxa"/>
              <w:bottom w:w="80" w:type="dxa"/>
              <w:right w:w="120" w:type="dxa"/>
            </w:tcMar>
            <w:vAlign w:val="center"/>
          </w:tcPr>
          <w:p w14:paraId="0C063A9A" w14:textId="77777777" w:rsidR="00F227D4" w:rsidRPr="008059D3" w:rsidRDefault="00A409F2" w:rsidP="008059D3">
            <w:pPr>
              <w:spacing w:line="360" w:lineRule="auto"/>
            </w:pPr>
            <w:r w:rsidRPr="008059D3">
              <w:rPr>
                <w:b/>
                <w:bCs/>
                <w:color w:val="FFFFFF"/>
                <w:sz w:val="20"/>
                <w:szCs w:val="20"/>
              </w:rPr>
              <w:t>AI Risk Category</w:t>
            </w:r>
          </w:p>
        </w:tc>
        <w:tc>
          <w:tcPr>
            <w:tcW w:w="712" w:type="pct"/>
            <w:shd w:val="clear" w:color="auto" w:fill="1F3864"/>
            <w:tcMar>
              <w:top w:w="80" w:type="dxa"/>
              <w:left w:w="120" w:type="dxa"/>
              <w:bottom w:w="80" w:type="dxa"/>
              <w:right w:w="120" w:type="dxa"/>
            </w:tcMar>
            <w:vAlign w:val="center"/>
          </w:tcPr>
          <w:p w14:paraId="6602E52F" w14:textId="77777777" w:rsidR="00F227D4" w:rsidRPr="008059D3" w:rsidRDefault="00A409F2" w:rsidP="008059D3">
            <w:pPr>
              <w:spacing w:line="360" w:lineRule="auto"/>
            </w:pPr>
            <w:r w:rsidRPr="008059D3">
              <w:rPr>
                <w:b/>
                <w:bCs/>
                <w:color w:val="FFFFFF"/>
                <w:sz w:val="20"/>
                <w:szCs w:val="20"/>
              </w:rPr>
              <w:t>Likelihood (1-5)</w:t>
            </w:r>
          </w:p>
        </w:tc>
        <w:tc>
          <w:tcPr>
            <w:tcW w:w="524" w:type="pct"/>
            <w:shd w:val="clear" w:color="auto" w:fill="1F3864"/>
            <w:tcMar>
              <w:top w:w="80" w:type="dxa"/>
              <w:left w:w="120" w:type="dxa"/>
              <w:bottom w:w="80" w:type="dxa"/>
              <w:right w:w="120" w:type="dxa"/>
            </w:tcMar>
            <w:vAlign w:val="center"/>
          </w:tcPr>
          <w:p w14:paraId="181F219B" w14:textId="77777777" w:rsidR="00F227D4" w:rsidRPr="008059D3" w:rsidRDefault="00A409F2" w:rsidP="008059D3">
            <w:pPr>
              <w:spacing w:line="360" w:lineRule="auto"/>
            </w:pPr>
            <w:r w:rsidRPr="008059D3">
              <w:rPr>
                <w:b/>
                <w:bCs/>
                <w:color w:val="FFFFFF"/>
                <w:sz w:val="20"/>
                <w:szCs w:val="20"/>
              </w:rPr>
              <w:t>Impact (1-5)</w:t>
            </w:r>
          </w:p>
        </w:tc>
        <w:tc>
          <w:tcPr>
            <w:tcW w:w="509" w:type="pct"/>
            <w:shd w:val="clear" w:color="auto" w:fill="1F3864"/>
            <w:tcMar>
              <w:top w:w="80" w:type="dxa"/>
              <w:left w:w="120" w:type="dxa"/>
              <w:bottom w:w="80" w:type="dxa"/>
              <w:right w:w="120" w:type="dxa"/>
            </w:tcMar>
            <w:vAlign w:val="center"/>
          </w:tcPr>
          <w:p w14:paraId="7D58EF80" w14:textId="77777777" w:rsidR="00F227D4" w:rsidRPr="008059D3" w:rsidRDefault="00A409F2" w:rsidP="008059D3">
            <w:pPr>
              <w:spacing w:line="360" w:lineRule="auto"/>
            </w:pPr>
            <w:r w:rsidRPr="008059D3">
              <w:rPr>
                <w:b/>
                <w:bCs/>
                <w:color w:val="FFFFFF"/>
                <w:sz w:val="20"/>
                <w:szCs w:val="20"/>
              </w:rPr>
              <w:t>Risk Score</w:t>
            </w:r>
          </w:p>
        </w:tc>
        <w:tc>
          <w:tcPr>
            <w:tcW w:w="1961" w:type="pct"/>
            <w:shd w:val="clear" w:color="auto" w:fill="1F3864"/>
            <w:tcMar>
              <w:top w:w="80" w:type="dxa"/>
              <w:left w:w="120" w:type="dxa"/>
              <w:bottom w:w="80" w:type="dxa"/>
              <w:right w:w="120" w:type="dxa"/>
            </w:tcMar>
            <w:vAlign w:val="center"/>
          </w:tcPr>
          <w:p w14:paraId="57E90A8B" w14:textId="77777777" w:rsidR="00F227D4" w:rsidRPr="008059D3" w:rsidRDefault="00A409F2" w:rsidP="008059D3">
            <w:pPr>
              <w:spacing w:line="360" w:lineRule="auto"/>
            </w:pPr>
            <w:r w:rsidRPr="008059D3">
              <w:rPr>
                <w:b/>
                <w:bCs/>
                <w:color w:val="FFFFFF"/>
                <w:sz w:val="20"/>
                <w:szCs w:val="20"/>
              </w:rPr>
              <w:t>Mitigation Strategy (bp-Specific)</w:t>
            </w:r>
          </w:p>
        </w:tc>
      </w:tr>
      <w:tr w:rsidR="00567BB1" w:rsidRPr="008059D3" w14:paraId="35F4DE63" w14:textId="77777777" w:rsidTr="00801360">
        <w:trPr>
          <w:trHeight w:val="598"/>
        </w:trPr>
        <w:tc>
          <w:tcPr>
            <w:tcW w:w="1294" w:type="pct"/>
            <w:shd w:val="clear" w:color="auto" w:fill="FFE0E0"/>
            <w:tcMar>
              <w:top w:w="80" w:type="dxa"/>
              <w:left w:w="120" w:type="dxa"/>
              <w:bottom w:w="80" w:type="dxa"/>
              <w:right w:w="120" w:type="dxa"/>
            </w:tcMar>
            <w:vAlign w:val="center"/>
          </w:tcPr>
          <w:p w14:paraId="7FCC762B" w14:textId="77777777" w:rsidR="00F227D4" w:rsidRPr="008059D3" w:rsidRDefault="00A409F2" w:rsidP="008059D3">
            <w:pPr>
              <w:spacing w:line="360" w:lineRule="auto"/>
            </w:pPr>
            <w:r w:rsidRPr="008059D3">
              <w:rPr>
                <w:color w:val="000000"/>
                <w:sz w:val="20"/>
                <w:szCs w:val="20"/>
              </w:rPr>
              <w:t>Methane Under-Reporting via AI Sensor Bias</w:t>
            </w:r>
          </w:p>
        </w:tc>
        <w:tc>
          <w:tcPr>
            <w:tcW w:w="712" w:type="pct"/>
            <w:shd w:val="clear" w:color="auto" w:fill="FFE0E0"/>
            <w:tcMar>
              <w:top w:w="80" w:type="dxa"/>
              <w:left w:w="120" w:type="dxa"/>
              <w:bottom w:w="80" w:type="dxa"/>
              <w:right w:w="120" w:type="dxa"/>
            </w:tcMar>
            <w:vAlign w:val="center"/>
          </w:tcPr>
          <w:p w14:paraId="61DE45EE" w14:textId="77777777" w:rsidR="00F227D4" w:rsidRPr="008059D3" w:rsidRDefault="00A409F2" w:rsidP="008059D3">
            <w:pPr>
              <w:spacing w:line="360" w:lineRule="auto"/>
              <w:jc w:val="center"/>
            </w:pPr>
            <w:r w:rsidRPr="008059D3">
              <w:rPr>
                <w:color w:val="000000"/>
                <w:sz w:val="20"/>
                <w:szCs w:val="20"/>
              </w:rPr>
              <w:t>4</w:t>
            </w:r>
          </w:p>
        </w:tc>
        <w:tc>
          <w:tcPr>
            <w:tcW w:w="524" w:type="pct"/>
            <w:shd w:val="clear" w:color="auto" w:fill="FFE0E0"/>
            <w:tcMar>
              <w:top w:w="80" w:type="dxa"/>
              <w:left w:w="120" w:type="dxa"/>
              <w:bottom w:w="80" w:type="dxa"/>
              <w:right w:w="120" w:type="dxa"/>
            </w:tcMar>
            <w:vAlign w:val="center"/>
          </w:tcPr>
          <w:p w14:paraId="272DB479" w14:textId="77777777" w:rsidR="00F227D4" w:rsidRPr="008059D3" w:rsidRDefault="00A409F2" w:rsidP="008059D3">
            <w:pPr>
              <w:spacing w:line="360" w:lineRule="auto"/>
              <w:jc w:val="center"/>
            </w:pPr>
            <w:r w:rsidRPr="008059D3">
              <w:rPr>
                <w:color w:val="000000"/>
                <w:sz w:val="20"/>
                <w:szCs w:val="20"/>
              </w:rPr>
              <w:t>5</w:t>
            </w:r>
          </w:p>
        </w:tc>
        <w:tc>
          <w:tcPr>
            <w:tcW w:w="509" w:type="pct"/>
            <w:shd w:val="clear" w:color="auto" w:fill="FFB3B3"/>
            <w:tcMar>
              <w:top w:w="80" w:type="dxa"/>
              <w:left w:w="120" w:type="dxa"/>
              <w:bottom w:w="80" w:type="dxa"/>
              <w:right w:w="120" w:type="dxa"/>
            </w:tcMar>
            <w:vAlign w:val="center"/>
          </w:tcPr>
          <w:p w14:paraId="1F7146D9" w14:textId="77777777" w:rsidR="00F227D4" w:rsidRPr="008059D3" w:rsidRDefault="00A409F2" w:rsidP="008059D3">
            <w:pPr>
              <w:spacing w:line="360" w:lineRule="auto"/>
              <w:jc w:val="center"/>
            </w:pPr>
            <w:r w:rsidRPr="008059D3">
              <w:rPr>
                <w:b/>
                <w:bCs/>
                <w:color w:val="000000"/>
                <w:sz w:val="20"/>
                <w:szCs w:val="20"/>
              </w:rPr>
              <w:t>20 (HIGH)</w:t>
            </w:r>
          </w:p>
        </w:tc>
        <w:tc>
          <w:tcPr>
            <w:tcW w:w="1961" w:type="pct"/>
            <w:shd w:val="clear" w:color="auto" w:fill="FFFFFF"/>
            <w:tcMar>
              <w:top w:w="80" w:type="dxa"/>
              <w:left w:w="120" w:type="dxa"/>
              <w:bottom w:w="80" w:type="dxa"/>
              <w:right w:w="120" w:type="dxa"/>
            </w:tcMar>
            <w:vAlign w:val="center"/>
          </w:tcPr>
          <w:p w14:paraId="57B7B1D8" w14:textId="008DAD32" w:rsidR="00F227D4" w:rsidRPr="008059D3" w:rsidRDefault="00A409F2" w:rsidP="008059D3">
            <w:pPr>
              <w:spacing w:line="360" w:lineRule="auto"/>
            </w:pPr>
            <w:r w:rsidRPr="008059D3">
              <w:rPr>
                <w:color w:val="000000"/>
                <w:sz w:val="20"/>
                <w:szCs w:val="20"/>
              </w:rPr>
              <w:t>Deploy multi-sensor fusion with XAI audit trail; cross-validate AI outputs against physical inspections quarterly</w:t>
            </w:r>
            <w:r w:rsidR="00E461C8">
              <w:rPr>
                <w:color w:val="000000"/>
                <w:sz w:val="20"/>
                <w:szCs w:val="20"/>
              </w:rPr>
              <w:t>.</w:t>
            </w:r>
          </w:p>
        </w:tc>
      </w:tr>
      <w:tr w:rsidR="00567BB1" w:rsidRPr="008059D3" w14:paraId="543D7576" w14:textId="77777777" w:rsidTr="00801360">
        <w:trPr>
          <w:trHeight w:val="791"/>
        </w:trPr>
        <w:tc>
          <w:tcPr>
            <w:tcW w:w="1294" w:type="pct"/>
            <w:shd w:val="clear" w:color="auto" w:fill="D6E4F0"/>
            <w:tcMar>
              <w:top w:w="80" w:type="dxa"/>
              <w:left w:w="120" w:type="dxa"/>
              <w:bottom w:w="80" w:type="dxa"/>
              <w:right w:w="120" w:type="dxa"/>
            </w:tcMar>
            <w:vAlign w:val="center"/>
          </w:tcPr>
          <w:p w14:paraId="411B2710" w14:textId="77777777" w:rsidR="00F227D4" w:rsidRPr="008059D3" w:rsidRDefault="00A409F2" w:rsidP="008059D3">
            <w:pPr>
              <w:spacing w:line="360" w:lineRule="auto"/>
            </w:pPr>
            <w:r w:rsidRPr="008059D3">
              <w:rPr>
                <w:color w:val="000000"/>
                <w:sz w:val="20"/>
                <w:szCs w:val="20"/>
              </w:rPr>
              <w:t>BOP False Negative in Predictive Maintenance</w:t>
            </w:r>
          </w:p>
        </w:tc>
        <w:tc>
          <w:tcPr>
            <w:tcW w:w="712" w:type="pct"/>
            <w:shd w:val="clear" w:color="auto" w:fill="D6E4F0"/>
            <w:tcMar>
              <w:top w:w="80" w:type="dxa"/>
              <w:left w:w="120" w:type="dxa"/>
              <w:bottom w:w="80" w:type="dxa"/>
              <w:right w:w="120" w:type="dxa"/>
            </w:tcMar>
            <w:vAlign w:val="center"/>
          </w:tcPr>
          <w:p w14:paraId="49B6725E" w14:textId="77777777" w:rsidR="00F227D4" w:rsidRPr="008059D3" w:rsidRDefault="00A409F2" w:rsidP="008059D3">
            <w:pPr>
              <w:spacing w:line="360" w:lineRule="auto"/>
              <w:jc w:val="center"/>
            </w:pPr>
            <w:r w:rsidRPr="008059D3">
              <w:rPr>
                <w:color w:val="000000"/>
                <w:sz w:val="20"/>
                <w:szCs w:val="20"/>
              </w:rPr>
              <w:t>3</w:t>
            </w:r>
          </w:p>
        </w:tc>
        <w:tc>
          <w:tcPr>
            <w:tcW w:w="524" w:type="pct"/>
            <w:shd w:val="clear" w:color="auto" w:fill="D6E4F0"/>
            <w:tcMar>
              <w:top w:w="80" w:type="dxa"/>
              <w:left w:w="120" w:type="dxa"/>
              <w:bottom w:w="80" w:type="dxa"/>
              <w:right w:w="120" w:type="dxa"/>
            </w:tcMar>
            <w:vAlign w:val="center"/>
          </w:tcPr>
          <w:p w14:paraId="774E6D04" w14:textId="77777777" w:rsidR="00F227D4" w:rsidRPr="008059D3" w:rsidRDefault="00A409F2" w:rsidP="008059D3">
            <w:pPr>
              <w:spacing w:line="360" w:lineRule="auto"/>
              <w:jc w:val="center"/>
            </w:pPr>
            <w:r w:rsidRPr="008059D3">
              <w:rPr>
                <w:color w:val="000000"/>
                <w:sz w:val="20"/>
                <w:szCs w:val="20"/>
              </w:rPr>
              <w:t>5</w:t>
            </w:r>
          </w:p>
        </w:tc>
        <w:tc>
          <w:tcPr>
            <w:tcW w:w="509" w:type="pct"/>
            <w:shd w:val="clear" w:color="auto" w:fill="FFC878"/>
            <w:tcMar>
              <w:top w:w="80" w:type="dxa"/>
              <w:left w:w="120" w:type="dxa"/>
              <w:bottom w:w="80" w:type="dxa"/>
              <w:right w:w="120" w:type="dxa"/>
            </w:tcMar>
            <w:vAlign w:val="center"/>
          </w:tcPr>
          <w:p w14:paraId="16B92FBC" w14:textId="77777777" w:rsidR="00F227D4" w:rsidRPr="008059D3" w:rsidRDefault="00A409F2" w:rsidP="008059D3">
            <w:pPr>
              <w:spacing w:line="360" w:lineRule="auto"/>
              <w:jc w:val="center"/>
            </w:pPr>
            <w:r w:rsidRPr="008059D3">
              <w:rPr>
                <w:b/>
                <w:bCs/>
                <w:color w:val="000000"/>
                <w:sz w:val="20"/>
                <w:szCs w:val="20"/>
              </w:rPr>
              <w:t>15 (HIGH)</w:t>
            </w:r>
          </w:p>
        </w:tc>
        <w:tc>
          <w:tcPr>
            <w:tcW w:w="1961" w:type="pct"/>
            <w:shd w:val="clear" w:color="auto" w:fill="FFFFFF"/>
            <w:tcMar>
              <w:top w:w="80" w:type="dxa"/>
              <w:left w:w="120" w:type="dxa"/>
              <w:bottom w:w="80" w:type="dxa"/>
              <w:right w:w="120" w:type="dxa"/>
            </w:tcMar>
            <w:vAlign w:val="center"/>
          </w:tcPr>
          <w:p w14:paraId="59690DBF" w14:textId="77777777" w:rsidR="00F227D4" w:rsidRPr="008059D3" w:rsidRDefault="00A409F2" w:rsidP="008059D3">
            <w:pPr>
              <w:spacing w:line="360" w:lineRule="auto"/>
            </w:pPr>
            <w:r w:rsidRPr="008059D3">
              <w:rPr>
                <w:color w:val="000000"/>
                <w:sz w:val="20"/>
                <w:szCs w:val="20"/>
              </w:rPr>
              <w:t>Mandatory human-in-the-loop override for critical safety systems; BSEE-aligned BOP testing protocols applied to ML predictions</w:t>
            </w:r>
          </w:p>
        </w:tc>
      </w:tr>
      <w:tr w:rsidR="00567BB1" w:rsidRPr="008059D3" w14:paraId="4B36C041" w14:textId="77777777" w:rsidTr="00801360">
        <w:trPr>
          <w:trHeight w:val="791"/>
        </w:trPr>
        <w:tc>
          <w:tcPr>
            <w:tcW w:w="1294" w:type="pct"/>
            <w:shd w:val="clear" w:color="auto" w:fill="EBF3FB"/>
            <w:tcMar>
              <w:top w:w="80" w:type="dxa"/>
              <w:left w:w="120" w:type="dxa"/>
              <w:bottom w:w="80" w:type="dxa"/>
              <w:right w:w="120" w:type="dxa"/>
            </w:tcMar>
            <w:vAlign w:val="center"/>
          </w:tcPr>
          <w:p w14:paraId="173640FA" w14:textId="77777777" w:rsidR="00F227D4" w:rsidRPr="008059D3" w:rsidRDefault="00A409F2" w:rsidP="008059D3">
            <w:pPr>
              <w:spacing w:line="360" w:lineRule="auto"/>
            </w:pPr>
            <w:r w:rsidRPr="008059D3">
              <w:rPr>
                <w:color w:val="000000"/>
                <w:sz w:val="20"/>
                <w:szCs w:val="20"/>
              </w:rPr>
              <w:t>Algorithmic Discrimination in Workforce Decisions</w:t>
            </w:r>
          </w:p>
        </w:tc>
        <w:tc>
          <w:tcPr>
            <w:tcW w:w="712" w:type="pct"/>
            <w:shd w:val="clear" w:color="auto" w:fill="EBF3FB"/>
            <w:tcMar>
              <w:top w:w="80" w:type="dxa"/>
              <w:left w:w="120" w:type="dxa"/>
              <w:bottom w:w="80" w:type="dxa"/>
              <w:right w:w="120" w:type="dxa"/>
            </w:tcMar>
            <w:vAlign w:val="center"/>
          </w:tcPr>
          <w:p w14:paraId="17677277" w14:textId="77777777" w:rsidR="00F227D4" w:rsidRPr="008059D3" w:rsidRDefault="00A409F2" w:rsidP="008059D3">
            <w:pPr>
              <w:spacing w:line="360" w:lineRule="auto"/>
              <w:jc w:val="center"/>
            </w:pPr>
            <w:r w:rsidRPr="008059D3">
              <w:rPr>
                <w:color w:val="000000"/>
                <w:sz w:val="20"/>
                <w:szCs w:val="20"/>
              </w:rPr>
              <w:t>3</w:t>
            </w:r>
          </w:p>
        </w:tc>
        <w:tc>
          <w:tcPr>
            <w:tcW w:w="524" w:type="pct"/>
            <w:shd w:val="clear" w:color="auto" w:fill="EBF3FB"/>
            <w:tcMar>
              <w:top w:w="80" w:type="dxa"/>
              <w:left w:w="120" w:type="dxa"/>
              <w:bottom w:w="80" w:type="dxa"/>
              <w:right w:w="120" w:type="dxa"/>
            </w:tcMar>
            <w:vAlign w:val="center"/>
          </w:tcPr>
          <w:p w14:paraId="769F092F" w14:textId="77777777" w:rsidR="00F227D4" w:rsidRPr="008059D3" w:rsidRDefault="00A409F2" w:rsidP="008059D3">
            <w:pPr>
              <w:spacing w:line="360" w:lineRule="auto"/>
              <w:jc w:val="center"/>
            </w:pPr>
            <w:r w:rsidRPr="008059D3">
              <w:rPr>
                <w:color w:val="000000"/>
                <w:sz w:val="20"/>
                <w:szCs w:val="20"/>
              </w:rPr>
              <w:t>3</w:t>
            </w:r>
          </w:p>
        </w:tc>
        <w:tc>
          <w:tcPr>
            <w:tcW w:w="509" w:type="pct"/>
            <w:shd w:val="clear" w:color="auto" w:fill="FFEB9C"/>
            <w:tcMar>
              <w:top w:w="80" w:type="dxa"/>
              <w:left w:w="120" w:type="dxa"/>
              <w:bottom w:w="80" w:type="dxa"/>
              <w:right w:w="120" w:type="dxa"/>
            </w:tcMar>
            <w:vAlign w:val="center"/>
          </w:tcPr>
          <w:p w14:paraId="4E3034A1" w14:textId="77777777" w:rsidR="00F227D4" w:rsidRPr="008059D3" w:rsidRDefault="00A409F2" w:rsidP="008059D3">
            <w:pPr>
              <w:spacing w:line="360" w:lineRule="auto"/>
              <w:jc w:val="center"/>
            </w:pPr>
            <w:r w:rsidRPr="008059D3">
              <w:rPr>
                <w:b/>
                <w:bCs/>
                <w:color w:val="000000"/>
                <w:sz w:val="20"/>
                <w:szCs w:val="20"/>
              </w:rPr>
              <w:t>9 (MED)</w:t>
            </w:r>
          </w:p>
        </w:tc>
        <w:tc>
          <w:tcPr>
            <w:tcW w:w="1961" w:type="pct"/>
            <w:shd w:val="clear" w:color="auto" w:fill="FFFFFF"/>
            <w:tcMar>
              <w:top w:w="80" w:type="dxa"/>
              <w:left w:w="120" w:type="dxa"/>
              <w:bottom w:w="80" w:type="dxa"/>
              <w:right w:w="120" w:type="dxa"/>
            </w:tcMar>
            <w:vAlign w:val="center"/>
          </w:tcPr>
          <w:p w14:paraId="2A5FD556" w14:textId="0A80AF93" w:rsidR="00F227D4" w:rsidRPr="008059D3" w:rsidRDefault="00A409F2" w:rsidP="008059D3">
            <w:pPr>
              <w:spacing w:line="360" w:lineRule="auto"/>
            </w:pPr>
            <w:r w:rsidRPr="008059D3">
              <w:rPr>
                <w:color w:val="000000"/>
                <w:sz w:val="20"/>
                <w:szCs w:val="20"/>
              </w:rPr>
              <w:t>Bias audits using third-party fairness tools; UK Equality Act 2010 compliance review; diverse training datasets</w:t>
            </w:r>
            <w:r w:rsidR="00E461C8">
              <w:rPr>
                <w:color w:val="000000"/>
                <w:sz w:val="20"/>
                <w:szCs w:val="20"/>
              </w:rPr>
              <w:t>.</w:t>
            </w:r>
          </w:p>
        </w:tc>
      </w:tr>
      <w:tr w:rsidR="00567BB1" w:rsidRPr="008059D3" w14:paraId="075A04BB" w14:textId="77777777" w:rsidTr="00801360">
        <w:trPr>
          <w:trHeight w:val="791"/>
        </w:trPr>
        <w:tc>
          <w:tcPr>
            <w:tcW w:w="1294" w:type="pct"/>
            <w:shd w:val="clear" w:color="auto" w:fill="D6E4F0"/>
            <w:tcMar>
              <w:top w:w="80" w:type="dxa"/>
              <w:left w:w="120" w:type="dxa"/>
              <w:bottom w:w="80" w:type="dxa"/>
              <w:right w:w="120" w:type="dxa"/>
            </w:tcMar>
            <w:vAlign w:val="center"/>
          </w:tcPr>
          <w:p w14:paraId="35E87DF3" w14:textId="77777777" w:rsidR="00F227D4" w:rsidRPr="008059D3" w:rsidRDefault="00A409F2" w:rsidP="008059D3">
            <w:pPr>
              <w:spacing w:line="360" w:lineRule="auto"/>
            </w:pPr>
            <w:r w:rsidRPr="008059D3">
              <w:rPr>
                <w:color w:val="000000"/>
                <w:sz w:val="20"/>
                <w:szCs w:val="20"/>
              </w:rPr>
              <w:t>AI-Generated ESG Greenwashing / Data Fabrication</w:t>
            </w:r>
          </w:p>
        </w:tc>
        <w:tc>
          <w:tcPr>
            <w:tcW w:w="712" w:type="pct"/>
            <w:shd w:val="clear" w:color="auto" w:fill="D6E4F0"/>
            <w:tcMar>
              <w:top w:w="80" w:type="dxa"/>
              <w:left w:w="120" w:type="dxa"/>
              <w:bottom w:w="80" w:type="dxa"/>
              <w:right w:w="120" w:type="dxa"/>
            </w:tcMar>
            <w:vAlign w:val="center"/>
          </w:tcPr>
          <w:p w14:paraId="33349AE9" w14:textId="77777777" w:rsidR="00F227D4" w:rsidRPr="008059D3" w:rsidRDefault="00A409F2" w:rsidP="008059D3">
            <w:pPr>
              <w:spacing w:line="360" w:lineRule="auto"/>
              <w:jc w:val="center"/>
            </w:pPr>
            <w:r w:rsidRPr="008059D3">
              <w:rPr>
                <w:color w:val="000000"/>
                <w:sz w:val="20"/>
                <w:szCs w:val="20"/>
              </w:rPr>
              <w:t>4</w:t>
            </w:r>
          </w:p>
        </w:tc>
        <w:tc>
          <w:tcPr>
            <w:tcW w:w="524" w:type="pct"/>
            <w:shd w:val="clear" w:color="auto" w:fill="D6E4F0"/>
            <w:tcMar>
              <w:top w:w="80" w:type="dxa"/>
              <w:left w:w="120" w:type="dxa"/>
              <w:bottom w:w="80" w:type="dxa"/>
              <w:right w:w="120" w:type="dxa"/>
            </w:tcMar>
            <w:vAlign w:val="center"/>
          </w:tcPr>
          <w:p w14:paraId="0427A900" w14:textId="77777777" w:rsidR="00F227D4" w:rsidRPr="008059D3" w:rsidRDefault="00A409F2" w:rsidP="008059D3">
            <w:pPr>
              <w:spacing w:line="360" w:lineRule="auto"/>
              <w:jc w:val="center"/>
            </w:pPr>
            <w:r w:rsidRPr="008059D3">
              <w:rPr>
                <w:color w:val="000000"/>
                <w:sz w:val="20"/>
                <w:szCs w:val="20"/>
              </w:rPr>
              <w:t>4</w:t>
            </w:r>
          </w:p>
        </w:tc>
        <w:tc>
          <w:tcPr>
            <w:tcW w:w="509" w:type="pct"/>
            <w:shd w:val="clear" w:color="auto" w:fill="FFB3B3"/>
            <w:tcMar>
              <w:top w:w="80" w:type="dxa"/>
              <w:left w:w="120" w:type="dxa"/>
              <w:bottom w:w="80" w:type="dxa"/>
              <w:right w:w="120" w:type="dxa"/>
            </w:tcMar>
            <w:vAlign w:val="center"/>
          </w:tcPr>
          <w:p w14:paraId="008B1C00" w14:textId="77777777" w:rsidR="00F227D4" w:rsidRPr="008059D3" w:rsidRDefault="00A409F2" w:rsidP="008059D3">
            <w:pPr>
              <w:spacing w:line="360" w:lineRule="auto"/>
              <w:jc w:val="center"/>
            </w:pPr>
            <w:r w:rsidRPr="008059D3">
              <w:rPr>
                <w:b/>
                <w:bCs/>
                <w:color w:val="000000"/>
                <w:sz w:val="20"/>
                <w:szCs w:val="20"/>
              </w:rPr>
              <w:t>16 (HIGH)</w:t>
            </w:r>
          </w:p>
        </w:tc>
        <w:tc>
          <w:tcPr>
            <w:tcW w:w="1961" w:type="pct"/>
            <w:shd w:val="clear" w:color="auto" w:fill="FFFFFF"/>
            <w:tcMar>
              <w:top w:w="80" w:type="dxa"/>
              <w:left w:w="120" w:type="dxa"/>
              <w:bottom w:w="80" w:type="dxa"/>
              <w:right w:w="120" w:type="dxa"/>
            </w:tcMar>
            <w:vAlign w:val="center"/>
          </w:tcPr>
          <w:p w14:paraId="73BDEBE9" w14:textId="194AAE79" w:rsidR="00F227D4" w:rsidRPr="008059D3" w:rsidRDefault="00A409F2" w:rsidP="008059D3">
            <w:pPr>
              <w:spacing w:line="360" w:lineRule="auto"/>
            </w:pPr>
            <w:r w:rsidRPr="008059D3">
              <w:rPr>
                <w:color w:val="000000"/>
                <w:sz w:val="20"/>
                <w:szCs w:val="20"/>
              </w:rPr>
              <w:t xml:space="preserve">Implement </w:t>
            </w:r>
            <w:r w:rsidR="00E461C8">
              <w:rPr>
                <w:color w:val="000000"/>
                <w:sz w:val="20"/>
                <w:szCs w:val="20"/>
              </w:rPr>
              <w:t xml:space="preserve">an AI-assisted ESG disclosure verification layer; align with GRI standards; and </w:t>
            </w:r>
            <w:r w:rsidRPr="008059D3">
              <w:rPr>
                <w:color w:val="000000"/>
                <w:sz w:val="20"/>
                <w:szCs w:val="20"/>
              </w:rPr>
              <w:t>SEC Scope 3 disclosure readiness</w:t>
            </w:r>
            <w:r w:rsidR="00E461C8">
              <w:rPr>
                <w:color w:val="000000"/>
                <w:sz w:val="20"/>
                <w:szCs w:val="20"/>
              </w:rPr>
              <w:t>.</w:t>
            </w:r>
          </w:p>
        </w:tc>
      </w:tr>
      <w:tr w:rsidR="00567BB1" w:rsidRPr="008059D3" w14:paraId="38C000AF" w14:textId="77777777" w:rsidTr="00801360">
        <w:trPr>
          <w:trHeight w:val="598"/>
        </w:trPr>
        <w:tc>
          <w:tcPr>
            <w:tcW w:w="1294" w:type="pct"/>
            <w:shd w:val="clear" w:color="auto" w:fill="EBF3FB"/>
            <w:tcMar>
              <w:top w:w="80" w:type="dxa"/>
              <w:left w:w="120" w:type="dxa"/>
              <w:bottom w:w="80" w:type="dxa"/>
              <w:right w:w="120" w:type="dxa"/>
            </w:tcMar>
            <w:vAlign w:val="center"/>
          </w:tcPr>
          <w:p w14:paraId="0394CB0E" w14:textId="77777777" w:rsidR="00F227D4" w:rsidRPr="008059D3" w:rsidRDefault="00A409F2" w:rsidP="008059D3">
            <w:pPr>
              <w:spacing w:line="360" w:lineRule="auto"/>
            </w:pPr>
            <w:r w:rsidRPr="008059D3">
              <w:rPr>
                <w:color w:val="000000"/>
                <w:sz w:val="20"/>
                <w:szCs w:val="20"/>
              </w:rPr>
              <w:t>Cybersecurity Vulnerability in AI-Connected OT Systems</w:t>
            </w:r>
          </w:p>
        </w:tc>
        <w:tc>
          <w:tcPr>
            <w:tcW w:w="712" w:type="pct"/>
            <w:shd w:val="clear" w:color="auto" w:fill="EBF3FB"/>
            <w:tcMar>
              <w:top w:w="80" w:type="dxa"/>
              <w:left w:w="120" w:type="dxa"/>
              <w:bottom w:w="80" w:type="dxa"/>
              <w:right w:w="120" w:type="dxa"/>
            </w:tcMar>
            <w:vAlign w:val="center"/>
          </w:tcPr>
          <w:p w14:paraId="7E3E96B9" w14:textId="77777777" w:rsidR="00F227D4" w:rsidRPr="008059D3" w:rsidRDefault="00A409F2" w:rsidP="008059D3">
            <w:pPr>
              <w:spacing w:line="360" w:lineRule="auto"/>
              <w:jc w:val="center"/>
            </w:pPr>
            <w:r w:rsidRPr="008059D3">
              <w:rPr>
                <w:color w:val="000000"/>
                <w:sz w:val="20"/>
                <w:szCs w:val="20"/>
              </w:rPr>
              <w:t>3</w:t>
            </w:r>
          </w:p>
        </w:tc>
        <w:tc>
          <w:tcPr>
            <w:tcW w:w="524" w:type="pct"/>
            <w:shd w:val="clear" w:color="auto" w:fill="EBF3FB"/>
            <w:tcMar>
              <w:top w:w="80" w:type="dxa"/>
              <w:left w:w="120" w:type="dxa"/>
              <w:bottom w:w="80" w:type="dxa"/>
              <w:right w:w="120" w:type="dxa"/>
            </w:tcMar>
            <w:vAlign w:val="center"/>
          </w:tcPr>
          <w:p w14:paraId="422931B7" w14:textId="77777777" w:rsidR="00F227D4" w:rsidRPr="008059D3" w:rsidRDefault="00A409F2" w:rsidP="008059D3">
            <w:pPr>
              <w:spacing w:line="360" w:lineRule="auto"/>
              <w:jc w:val="center"/>
            </w:pPr>
            <w:r w:rsidRPr="008059D3">
              <w:rPr>
                <w:color w:val="000000"/>
                <w:sz w:val="20"/>
                <w:szCs w:val="20"/>
              </w:rPr>
              <w:t>4</w:t>
            </w:r>
          </w:p>
        </w:tc>
        <w:tc>
          <w:tcPr>
            <w:tcW w:w="509" w:type="pct"/>
            <w:shd w:val="clear" w:color="auto" w:fill="FFEB9C"/>
            <w:tcMar>
              <w:top w:w="80" w:type="dxa"/>
              <w:left w:w="120" w:type="dxa"/>
              <w:bottom w:w="80" w:type="dxa"/>
              <w:right w:w="120" w:type="dxa"/>
            </w:tcMar>
            <w:vAlign w:val="center"/>
          </w:tcPr>
          <w:p w14:paraId="416512B8" w14:textId="77777777" w:rsidR="00F227D4" w:rsidRPr="008059D3" w:rsidRDefault="00A409F2" w:rsidP="008059D3">
            <w:pPr>
              <w:spacing w:line="360" w:lineRule="auto"/>
              <w:jc w:val="center"/>
            </w:pPr>
            <w:r w:rsidRPr="008059D3">
              <w:rPr>
                <w:b/>
                <w:bCs/>
                <w:color w:val="000000"/>
                <w:sz w:val="20"/>
                <w:szCs w:val="20"/>
              </w:rPr>
              <w:t>12 (MED)</w:t>
            </w:r>
          </w:p>
        </w:tc>
        <w:tc>
          <w:tcPr>
            <w:tcW w:w="1961" w:type="pct"/>
            <w:shd w:val="clear" w:color="auto" w:fill="FFFFFF"/>
            <w:tcMar>
              <w:top w:w="80" w:type="dxa"/>
              <w:left w:w="120" w:type="dxa"/>
              <w:bottom w:w="80" w:type="dxa"/>
              <w:right w:w="120" w:type="dxa"/>
            </w:tcMar>
            <w:vAlign w:val="center"/>
          </w:tcPr>
          <w:p w14:paraId="5D8C037E" w14:textId="77777777" w:rsidR="00F227D4" w:rsidRPr="008059D3" w:rsidRDefault="00A409F2" w:rsidP="008059D3">
            <w:pPr>
              <w:spacing w:line="360" w:lineRule="auto"/>
            </w:pPr>
            <w:r w:rsidRPr="008059D3">
              <w:rPr>
                <w:color w:val="000000"/>
                <w:sz w:val="20"/>
                <w:szCs w:val="20"/>
              </w:rPr>
              <w:t>AI-integrated OT/IT network segmentation; zero-trust architecture; penetration testing every 6 months</w:t>
            </w:r>
          </w:p>
        </w:tc>
      </w:tr>
      <w:tr w:rsidR="00567BB1" w:rsidRPr="008059D3" w14:paraId="10D87E1A" w14:textId="77777777" w:rsidTr="00801360">
        <w:trPr>
          <w:trHeight w:val="576"/>
        </w:trPr>
        <w:tc>
          <w:tcPr>
            <w:tcW w:w="1294" w:type="pct"/>
            <w:shd w:val="clear" w:color="auto" w:fill="D6E4F0"/>
            <w:tcMar>
              <w:top w:w="80" w:type="dxa"/>
              <w:left w:w="120" w:type="dxa"/>
              <w:bottom w:w="80" w:type="dxa"/>
              <w:right w:w="120" w:type="dxa"/>
            </w:tcMar>
            <w:vAlign w:val="center"/>
          </w:tcPr>
          <w:p w14:paraId="3E722A94" w14:textId="77777777" w:rsidR="00F227D4" w:rsidRPr="008059D3" w:rsidRDefault="00A409F2" w:rsidP="008059D3">
            <w:pPr>
              <w:spacing w:line="360" w:lineRule="auto"/>
            </w:pPr>
            <w:r w:rsidRPr="008059D3">
              <w:rPr>
                <w:color w:val="000000"/>
                <w:sz w:val="20"/>
                <w:szCs w:val="20"/>
              </w:rPr>
              <w:t xml:space="preserve">Regulatory Non-Compliance from </w:t>
            </w:r>
            <w:r w:rsidRPr="008059D3">
              <w:rPr>
                <w:color w:val="000000"/>
                <w:sz w:val="20"/>
                <w:szCs w:val="20"/>
              </w:rPr>
              <w:lastRenderedPageBreak/>
              <w:t>Unexplainable AI Decisions</w:t>
            </w:r>
          </w:p>
        </w:tc>
        <w:tc>
          <w:tcPr>
            <w:tcW w:w="712" w:type="pct"/>
            <w:shd w:val="clear" w:color="auto" w:fill="D6E4F0"/>
            <w:tcMar>
              <w:top w:w="80" w:type="dxa"/>
              <w:left w:w="120" w:type="dxa"/>
              <w:bottom w:w="80" w:type="dxa"/>
              <w:right w:w="120" w:type="dxa"/>
            </w:tcMar>
            <w:vAlign w:val="center"/>
          </w:tcPr>
          <w:p w14:paraId="3CD857B1" w14:textId="77777777" w:rsidR="00F227D4" w:rsidRPr="008059D3" w:rsidRDefault="00A409F2" w:rsidP="008059D3">
            <w:pPr>
              <w:spacing w:line="360" w:lineRule="auto"/>
              <w:jc w:val="center"/>
            </w:pPr>
            <w:r w:rsidRPr="008059D3">
              <w:rPr>
                <w:color w:val="000000"/>
                <w:sz w:val="20"/>
                <w:szCs w:val="20"/>
              </w:rPr>
              <w:lastRenderedPageBreak/>
              <w:t>3</w:t>
            </w:r>
          </w:p>
        </w:tc>
        <w:tc>
          <w:tcPr>
            <w:tcW w:w="524" w:type="pct"/>
            <w:shd w:val="clear" w:color="auto" w:fill="D6E4F0"/>
            <w:tcMar>
              <w:top w:w="80" w:type="dxa"/>
              <w:left w:w="120" w:type="dxa"/>
              <w:bottom w:w="80" w:type="dxa"/>
              <w:right w:w="120" w:type="dxa"/>
            </w:tcMar>
            <w:vAlign w:val="center"/>
          </w:tcPr>
          <w:p w14:paraId="52A8F8AB" w14:textId="77777777" w:rsidR="00F227D4" w:rsidRPr="008059D3" w:rsidRDefault="00A409F2" w:rsidP="008059D3">
            <w:pPr>
              <w:spacing w:line="360" w:lineRule="auto"/>
              <w:jc w:val="center"/>
            </w:pPr>
            <w:r w:rsidRPr="008059D3">
              <w:rPr>
                <w:color w:val="000000"/>
                <w:sz w:val="20"/>
                <w:szCs w:val="20"/>
              </w:rPr>
              <w:t>4</w:t>
            </w:r>
          </w:p>
        </w:tc>
        <w:tc>
          <w:tcPr>
            <w:tcW w:w="509" w:type="pct"/>
            <w:shd w:val="clear" w:color="auto" w:fill="FFEB9C"/>
            <w:tcMar>
              <w:top w:w="80" w:type="dxa"/>
              <w:left w:w="120" w:type="dxa"/>
              <w:bottom w:w="80" w:type="dxa"/>
              <w:right w:w="120" w:type="dxa"/>
            </w:tcMar>
            <w:vAlign w:val="center"/>
          </w:tcPr>
          <w:p w14:paraId="37588A05" w14:textId="77777777" w:rsidR="00F227D4" w:rsidRPr="008059D3" w:rsidRDefault="00A409F2" w:rsidP="008059D3">
            <w:pPr>
              <w:spacing w:line="360" w:lineRule="auto"/>
              <w:jc w:val="center"/>
            </w:pPr>
            <w:r w:rsidRPr="008059D3">
              <w:rPr>
                <w:b/>
                <w:bCs/>
                <w:color w:val="000000"/>
                <w:sz w:val="20"/>
                <w:szCs w:val="20"/>
              </w:rPr>
              <w:t>12 (MED)</w:t>
            </w:r>
          </w:p>
        </w:tc>
        <w:tc>
          <w:tcPr>
            <w:tcW w:w="1961" w:type="pct"/>
            <w:shd w:val="clear" w:color="auto" w:fill="FFFFFF"/>
            <w:tcMar>
              <w:top w:w="80" w:type="dxa"/>
              <w:left w:w="120" w:type="dxa"/>
              <w:bottom w:w="80" w:type="dxa"/>
              <w:right w:w="120" w:type="dxa"/>
            </w:tcMar>
            <w:vAlign w:val="center"/>
          </w:tcPr>
          <w:p w14:paraId="5AB3A9BF" w14:textId="7704734F" w:rsidR="00F227D4" w:rsidRPr="008059D3" w:rsidRDefault="00A409F2" w:rsidP="008059D3">
            <w:pPr>
              <w:spacing w:line="360" w:lineRule="auto"/>
            </w:pPr>
            <w:r w:rsidRPr="008059D3">
              <w:rPr>
                <w:color w:val="000000"/>
                <w:sz w:val="20"/>
                <w:szCs w:val="20"/>
              </w:rPr>
              <w:t xml:space="preserve">Adopt NIST AI RMF 1.0 governance framework; deploy SHAP/LIME </w:t>
            </w:r>
            <w:r w:rsidRPr="008059D3">
              <w:rPr>
                <w:color w:val="000000"/>
                <w:sz w:val="20"/>
                <w:szCs w:val="20"/>
              </w:rPr>
              <w:lastRenderedPageBreak/>
              <w:t>explainability for all safety-critical AI models</w:t>
            </w:r>
            <w:r w:rsidR="00E461C8">
              <w:rPr>
                <w:color w:val="000000"/>
                <w:sz w:val="20"/>
                <w:szCs w:val="20"/>
              </w:rPr>
              <w:t>.</w:t>
            </w:r>
          </w:p>
        </w:tc>
      </w:tr>
    </w:tbl>
    <w:p w14:paraId="1BDF33CE" w14:textId="77777777" w:rsidR="00CF029B" w:rsidRPr="008059D3" w:rsidRDefault="00CF029B" w:rsidP="008059D3">
      <w:pPr>
        <w:spacing w:line="360" w:lineRule="auto"/>
        <w:jc w:val="center"/>
        <w:rPr>
          <w:color w:val="000000" w:themeColor="text1"/>
          <w:sz w:val="20"/>
          <w:szCs w:val="20"/>
        </w:rPr>
      </w:pPr>
      <w:r w:rsidRPr="008059D3">
        <w:rPr>
          <w:i/>
          <w:iCs/>
          <w:color w:val="000000" w:themeColor="text1"/>
          <w:sz w:val="18"/>
          <w:szCs w:val="18"/>
        </w:rPr>
        <w:lastRenderedPageBreak/>
        <w:t>Table 2: AI Risk Register for bp UK and US Operations (ISO 31000-aligned)</w:t>
      </w:r>
    </w:p>
    <w:p w14:paraId="7D84456B" w14:textId="77777777" w:rsidR="00F227D4" w:rsidRPr="008059D3" w:rsidRDefault="00A409F2" w:rsidP="008059D3">
      <w:pPr>
        <w:pStyle w:val="Heading3"/>
        <w:spacing w:line="360" w:lineRule="auto"/>
      </w:pPr>
      <w:bookmarkStart w:id="9" w:name="_Toc227967387"/>
      <w:r w:rsidRPr="008059D3">
        <w:t>2.2.1 Predictive Maintenance and Safety System Failures</w:t>
      </w:r>
      <w:bookmarkEnd w:id="9"/>
    </w:p>
    <w:p w14:paraId="02741740" w14:textId="65666693" w:rsidR="00DD2C5A" w:rsidRPr="00DD2C5A" w:rsidRDefault="00DD2C5A" w:rsidP="00DD2C5A">
      <w:pPr>
        <w:spacing w:line="360" w:lineRule="auto"/>
        <w:jc w:val="both"/>
        <w:rPr>
          <w:sz w:val="24"/>
          <w:szCs w:val="24"/>
        </w:rPr>
      </w:pPr>
      <w:r w:rsidRPr="00DD2C5A">
        <w:rPr>
          <w:sz w:val="24"/>
          <w:szCs w:val="24"/>
        </w:rPr>
        <w:t xml:space="preserve">Machine learning applied to predictive maintenance is a </w:t>
      </w:r>
      <w:r w:rsidR="00E461C8">
        <w:rPr>
          <w:sz w:val="24"/>
          <w:szCs w:val="24"/>
        </w:rPr>
        <w:t>high-value but high-risk</w:t>
      </w:r>
      <w:r w:rsidRPr="00DD2C5A">
        <w:rPr>
          <w:sz w:val="24"/>
          <w:szCs w:val="24"/>
        </w:rPr>
        <w:t xml:space="preserve"> AI application in the upstream oil and gas industry. The application of AI systems on historical sensor data is successfully used to predict failures of critical equipment, such as Blowout Preventers (BOPs) and risers, and subsea systems. Wang et al. (2025) show that this type of </w:t>
      </w:r>
      <w:r w:rsidR="00E461C8">
        <w:rPr>
          <w:sz w:val="24"/>
          <w:szCs w:val="24"/>
        </w:rPr>
        <w:t xml:space="preserve">system can </w:t>
      </w:r>
      <w:proofErr w:type="spellStart"/>
      <w:r w:rsidR="00E461C8">
        <w:rPr>
          <w:sz w:val="24"/>
          <w:szCs w:val="24"/>
        </w:rPr>
        <w:t>minimise</w:t>
      </w:r>
      <w:proofErr w:type="spellEnd"/>
      <w:r w:rsidR="00E461C8">
        <w:rPr>
          <w:sz w:val="24"/>
          <w:szCs w:val="24"/>
        </w:rPr>
        <w:t xml:space="preserve"> unexpected downtime by as much as 35 per cent</w:t>
      </w:r>
      <w:r w:rsidRPr="00DD2C5A">
        <w:rPr>
          <w:sz w:val="24"/>
          <w:szCs w:val="24"/>
        </w:rPr>
        <w:t>, but it also creates a serious false negative, whereby impending failures do not get identified, leading to false safe signals.</w:t>
      </w:r>
    </w:p>
    <w:p w14:paraId="3AAC9FE2" w14:textId="341C0DCE" w:rsidR="00DD2C5A" w:rsidRPr="00DD2C5A" w:rsidRDefault="00DD2C5A" w:rsidP="00DD2C5A">
      <w:pPr>
        <w:spacing w:line="360" w:lineRule="auto"/>
        <w:jc w:val="both"/>
        <w:rPr>
          <w:sz w:val="24"/>
          <w:szCs w:val="24"/>
        </w:rPr>
      </w:pPr>
      <w:r w:rsidRPr="00DD2C5A">
        <w:rPr>
          <w:sz w:val="24"/>
          <w:szCs w:val="24"/>
        </w:rPr>
        <w:t xml:space="preserve">In the case of </w:t>
      </w:r>
      <w:r w:rsidR="00E461C8">
        <w:rPr>
          <w:sz w:val="24"/>
          <w:szCs w:val="24"/>
        </w:rPr>
        <w:t>BP</w:t>
      </w:r>
      <w:r w:rsidRPr="00DD2C5A">
        <w:rPr>
          <w:sz w:val="24"/>
          <w:szCs w:val="24"/>
        </w:rPr>
        <w:t xml:space="preserve">, false negative impacts of BOP systems are dire. The Deepwater Horizon tragedy can be viewed as an example of the disastrous impact of BOP failure, its overall expenses amounting to more than USD 65 billion. Although AI has become a better surveillance tool, Hussain et al. (2024a) claim that introducing machine learning in safety-related decision-making processes creates new, unforeseen failure modes. Hussain et al. (2024b) also note that machine learning models can be </w:t>
      </w:r>
      <w:r w:rsidR="00E461C8">
        <w:rPr>
          <w:sz w:val="24"/>
          <w:szCs w:val="24"/>
        </w:rPr>
        <w:t>systematically biased when trained on datasets that are not sufficiently representative of extreme operating conditions, which is especially concerning in the context of the deepwater operations of BP</w:t>
      </w:r>
      <w:r w:rsidRPr="00DD2C5A">
        <w:rPr>
          <w:sz w:val="24"/>
          <w:szCs w:val="24"/>
        </w:rPr>
        <w:t xml:space="preserve"> in the Gulf of Mexico.</w:t>
      </w:r>
    </w:p>
    <w:p w14:paraId="0B7E6C56" w14:textId="7AD4E923" w:rsidR="00DD2C5A" w:rsidRPr="00DD2C5A" w:rsidRDefault="00DD2C5A" w:rsidP="00DD2C5A">
      <w:pPr>
        <w:spacing w:line="360" w:lineRule="auto"/>
        <w:jc w:val="both"/>
        <w:rPr>
          <w:sz w:val="24"/>
          <w:szCs w:val="24"/>
        </w:rPr>
      </w:pPr>
      <w:r w:rsidRPr="00DD2C5A">
        <w:rPr>
          <w:sz w:val="24"/>
          <w:szCs w:val="24"/>
        </w:rPr>
        <w:t xml:space="preserve">Aslam et al. (2025) point to a critical governance concern, namely the fact that the sector has been interested in the overall predictive accuracy and not the false negative rates. Even a model </w:t>
      </w:r>
      <w:r w:rsidR="00E461C8">
        <w:rPr>
          <w:sz w:val="24"/>
          <w:szCs w:val="24"/>
        </w:rPr>
        <w:t>that is highly accurate in the aggregate can have an unacceptable risk of failure in a safety-critical</w:t>
      </w:r>
      <w:r w:rsidRPr="00DD2C5A">
        <w:rPr>
          <w:sz w:val="24"/>
          <w:szCs w:val="24"/>
        </w:rPr>
        <w:t xml:space="preserve"> situation. This questions current premises in the processes of </w:t>
      </w:r>
      <w:r w:rsidR="00E461C8">
        <w:rPr>
          <w:sz w:val="24"/>
          <w:szCs w:val="24"/>
        </w:rPr>
        <w:t>BP</w:t>
      </w:r>
      <w:r w:rsidRPr="00DD2C5A">
        <w:rPr>
          <w:sz w:val="24"/>
          <w:szCs w:val="24"/>
        </w:rPr>
        <w:t xml:space="preserve"> deploying AI and highlights the importance of testing the systems in worst-case scenarios of failure. Liu et al. (2025) agree with this viewpoint by showing that hybrid models</w:t>
      </w:r>
      <w:r w:rsidR="00E461C8">
        <w:rPr>
          <w:sz w:val="24"/>
          <w:szCs w:val="24"/>
        </w:rPr>
        <w:t xml:space="preserve">, which also include </w:t>
      </w:r>
      <w:proofErr w:type="spellStart"/>
      <w:r w:rsidR="00E461C8">
        <w:rPr>
          <w:sz w:val="24"/>
          <w:szCs w:val="24"/>
        </w:rPr>
        <w:t>ensembling</w:t>
      </w:r>
      <w:proofErr w:type="spellEnd"/>
      <w:r w:rsidR="00E461C8">
        <w:rPr>
          <w:sz w:val="24"/>
          <w:szCs w:val="24"/>
        </w:rPr>
        <w:t xml:space="preserve"> and confidence intervals,</w:t>
      </w:r>
      <w:r w:rsidRPr="00DD2C5A">
        <w:rPr>
          <w:sz w:val="24"/>
          <w:szCs w:val="24"/>
        </w:rPr>
        <w:t xml:space="preserve"> are better at improving reliability and offering the quantification of uncertainty necessary to be accepted by the regulator.</w:t>
      </w:r>
    </w:p>
    <w:p w14:paraId="1CE442C2" w14:textId="787AD316" w:rsidR="00F227D4" w:rsidRPr="008059D3" w:rsidRDefault="00DD2C5A" w:rsidP="00DD2C5A">
      <w:pPr>
        <w:spacing w:line="360" w:lineRule="auto"/>
        <w:jc w:val="both"/>
        <w:rPr>
          <w:sz w:val="24"/>
          <w:szCs w:val="24"/>
        </w:rPr>
      </w:pPr>
      <w:r w:rsidRPr="00DD2C5A">
        <w:rPr>
          <w:sz w:val="24"/>
          <w:szCs w:val="24"/>
        </w:rPr>
        <w:t xml:space="preserve">The regulatory compliance also complicates the adoption of AI. The BSEE requires fixed-interval BOP testing as provided under 30 CFR 250.730. The AI systems can suggest long periods between forecasted information, causing a conflict between regulatory and technical </w:t>
      </w:r>
      <w:r w:rsidR="00E461C8">
        <w:rPr>
          <w:sz w:val="24"/>
          <w:szCs w:val="24"/>
        </w:rPr>
        <w:t>abilities</w:t>
      </w:r>
      <w:r w:rsidRPr="00DD2C5A">
        <w:rPr>
          <w:sz w:val="24"/>
          <w:szCs w:val="24"/>
        </w:rPr>
        <w:t xml:space="preserve">. According to Solanke et al. (2024), this is a systemic regulatory lag, in which the current structures do not fit probabilistic AI outputs. As a result, </w:t>
      </w:r>
      <w:r w:rsidR="00E461C8">
        <w:rPr>
          <w:sz w:val="24"/>
          <w:szCs w:val="24"/>
        </w:rPr>
        <w:t>BP</w:t>
      </w:r>
      <w:r w:rsidRPr="00DD2C5A">
        <w:rPr>
          <w:sz w:val="24"/>
          <w:szCs w:val="24"/>
        </w:rPr>
        <w:t xml:space="preserve"> will have to </w:t>
      </w:r>
      <w:r w:rsidRPr="00DD2C5A">
        <w:rPr>
          <w:sz w:val="24"/>
          <w:szCs w:val="24"/>
        </w:rPr>
        <w:lastRenderedPageBreak/>
        <w:t>sustain legacy inspection regimes and AI systems, which will restrict the attainment of efficiency gains. Ragini and Bhansali (2023) note that the lack of sector-specific AI safety standards is also a large governance gap, so regulators will probably close this by using enforcement over time before they issue formal rules, which leads to the further strengthening of proactive governance.</w:t>
      </w:r>
    </w:p>
    <w:p w14:paraId="7BE1CE69" w14:textId="77777777" w:rsidR="00F227D4" w:rsidRPr="008059D3" w:rsidRDefault="00A409F2" w:rsidP="008059D3">
      <w:pPr>
        <w:pStyle w:val="Heading3"/>
        <w:spacing w:line="360" w:lineRule="auto"/>
      </w:pPr>
      <w:bookmarkStart w:id="10" w:name="_Toc227967388"/>
      <w:r w:rsidRPr="008059D3">
        <w:t>2.2.2 Environmental Monitoring and Emissions Reporting Bias</w:t>
      </w:r>
      <w:bookmarkEnd w:id="10"/>
    </w:p>
    <w:p w14:paraId="4F1EB374" w14:textId="18FBE2D3" w:rsidR="00200D5F" w:rsidRPr="00200D5F" w:rsidRDefault="00200D5F" w:rsidP="00200D5F">
      <w:pPr>
        <w:spacing w:line="360" w:lineRule="auto"/>
        <w:jc w:val="both"/>
        <w:rPr>
          <w:sz w:val="24"/>
          <w:szCs w:val="24"/>
        </w:rPr>
      </w:pPr>
      <w:r w:rsidRPr="00200D5F">
        <w:rPr>
          <w:sz w:val="24"/>
          <w:szCs w:val="24"/>
        </w:rPr>
        <w:t xml:space="preserve">The introduction of AI into environmental health, especially the detection of methane, is a fast-developing sector of both technology and regulatory attention. LiDAR, infrared spectroscopy, and satellite-based sensing are technologies that contribute greatly to the resolution of monitoring as opposed to manual monitoring. Kleinman </w:t>
      </w:r>
      <w:r w:rsidR="00E461C8">
        <w:rPr>
          <w:sz w:val="24"/>
          <w:szCs w:val="24"/>
        </w:rPr>
        <w:t>Centre</w:t>
      </w:r>
      <w:r w:rsidRPr="00200D5F">
        <w:rPr>
          <w:sz w:val="24"/>
          <w:szCs w:val="24"/>
        </w:rPr>
        <w:t xml:space="preserve"> of Energy Policy (2024) lists such systems as the key to future environmental compliance, and the EPA Subpart </w:t>
      </w:r>
      <w:proofErr w:type="spellStart"/>
      <w:r w:rsidRPr="00200D5F">
        <w:rPr>
          <w:sz w:val="24"/>
          <w:szCs w:val="24"/>
        </w:rPr>
        <w:t>OOOOb</w:t>
      </w:r>
      <w:proofErr w:type="spellEnd"/>
      <w:r w:rsidRPr="00200D5F">
        <w:rPr>
          <w:sz w:val="24"/>
          <w:szCs w:val="24"/>
        </w:rPr>
        <w:t xml:space="preserve"> methane rule presupposes their implementation.</w:t>
      </w:r>
    </w:p>
    <w:p w14:paraId="67D73BDC" w14:textId="6F405630" w:rsidR="00200D5F" w:rsidRPr="00200D5F" w:rsidRDefault="00200D5F" w:rsidP="00200D5F">
      <w:pPr>
        <w:spacing w:line="360" w:lineRule="auto"/>
        <w:jc w:val="both"/>
        <w:rPr>
          <w:sz w:val="24"/>
          <w:szCs w:val="24"/>
        </w:rPr>
      </w:pPr>
      <w:r w:rsidRPr="00200D5F">
        <w:rPr>
          <w:sz w:val="24"/>
          <w:szCs w:val="24"/>
        </w:rPr>
        <w:t xml:space="preserve">Along with these benefits, AI-based monitoring systems can be affected by systematic bias that might cause underestimation of emissions. </w:t>
      </w:r>
      <w:proofErr w:type="spellStart"/>
      <w:r w:rsidRPr="00200D5F">
        <w:rPr>
          <w:sz w:val="24"/>
          <w:szCs w:val="24"/>
        </w:rPr>
        <w:t>Gabhane</w:t>
      </w:r>
      <w:proofErr w:type="spellEnd"/>
      <w:r w:rsidRPr="00200D5F">
        <w:rPr>
          <w:sz w:val="24"/>
          <w:szCs w:val="24"/>
        </w:rPr>
        <w:t xml:space="preserve"> and </w:t>
      </w:r>
      <w:proofErr w:type="spellStart"/>
      <w:r w:rsidRPr="00200D5F">
        <w:rPr>
          <w:sz w:val="24"/>
          <w:szCs w:val="24"/>
        </w:rPr>
        <w:t>Kanidarapu</w:t>
      </w:r>
      <w:proofErr w:type="spellEnd"/>
      <w:r w:rsidRPr="00200D5F">
        <w:rPr>
          <w:sz w:val="24"/>
          <w:szCs w:val="24"/>
        </w:rPr>
        <w:t xml:space="preserve"> (2023) illustrate that the risk to the environment is underestimated by models that are trained on incomplete or unrepresentative data. Though their research aims at terrestrial infrastructure, the mechanisms of bias </w:t>
      </w:r>
      <w:r w:rsidR="00E461C8">
        <w:rPr>
          <w:sz w:val="24"/>
          <w:szCs w:val="24"/>
        </w:rPr>
        <w:t>underlying</w:t>
      </w:r>
      <w:r w:rsidRPr="00200D5F">
        <w:rPr>
          <w:sz w:val="24"/>
          <w:szCs w:val="24"/>
        </w:rPr>
        <w:t xml:space="preserve"> are directly relevant to offshore infrastructure, where the differences in the environment are larger. </w:t>
      </w:r>
      <w:proofErr w:type="spellStart"/>
      <w:r w:rsidRPr="00200D5F">
        <w:rPr>
          <w:sz w:val="24"/>
          <w:szCs w:val="24"/>
        </w:rPr>
        <w:t>Regulatively</w:t>
      </w:r>
      <w:proofErr w:type="spellEnd"/>
      <w:r w:rsidRPr="00200D5F">
        <w:rPr>
          <w:sz w:val="24"/>
          <w:szCs w:val="24"/>
        </w:rPr>
        <w:t>, these inaccuracies would be considered as non-compliance, and the possible civil consequences of the Clean Air Act under USD 70,117 per violation per day.</w:t>
      </w:r>
    </w:p>
    <w:p w14:paraId="47205524" w14:textId="0BEEF7F8" w:rsidR="00200D5F" w:rsidRPr="00200D5F" w:rsidRDefault="00200D5F" w:rsidP="00200D5F">
      <w:pPr>
        <w:spacing w:line="360" w:lineRule="auto"/>
        <w:jc w:val="both"/>
        <w:rPr>
          <w:sz w:val="24"/>
          <w:szCs w:val="24"/>
        </w:rPr>
      </w:pPr>
      <w:r w:rsidRPr="00200D5F">
        <w:rPr>
          <w:sz w:val="24"/>
          <w:szCs w:val="24"/>
        </w:rPr>
        <w:t xml:space="preserve">Morain et al. (2025) also demonstrate that the performance of AI applications reduces in settings other than training contexts. In the case of </w:t>
      </w:r>
      <w:r w:rsidR="00E461C8">
        <w:rPr>
          <w:sz w:val="24"/>
          <w:szCs w:val="24"/>
        </w:rPr>
        <w:t>BP</w:t>
      </w:r>
      <w:r w:rsidRPr="00200D5F">
        <w:rPr>
          <w:sz w:val="24"/>
          <w:szCs w:val="24"/>
        </w:rPr>
        <w:t>, the implication of this is that North Sea models cannot be directly applied in the Gulf of Mexico without site-specific validation. This is affirmed by Park (2025)</w:t>
      </w:r>
      <w:r w:rsidR="00E461C8">
        <w:rPr>
          <w:sz w:val="24"/>
          <w:szCs w:val="24"/>
        </w:rPr>
        <w:t>,</w:t>
      </w:r>
      <w:r w:rsidRPr="00200D5F">
        <w:rPr>
          <w:sz w:val="24"/>
          <w:szCs w:val="24"/>
        </w:rPr>
        <w:t xml:space="preserve"> who states that variability of the environment and data heterogeneity are the main issues, and systematic bias audits should be conducted at the time of deployment and once a year.</w:t>
      </w:r>
    </w:p>
    <w:p w14:paraId="1AE8D97D" w14:textId="62197E09" w:rsidR="00F227D4" w:rsidRPr="008059D3" w:rsidRDefault="00200D5F" w:rsidP="00200D5F">
      <w:pPr>
        <w:spacing w:line="360" w:lineRule="auto"/>
        <w:jc w:val="both"/>
        <w:rPr>
          <w:sz w:val="24"/>
          <w:szCs w:val="24"/>
        </w:rPr>
      </w:pPr>
      <w:r w:rsidRPr="00200D5F">
        <w:rPr>
          <w:sz w:val="24"/>
          <w:szCs w:val="24"/>
        </w:rPr>
        <w:t xml:space="preserve">The threat of environmental misreporting through AI is increased by the possibility of manipulating ESG data. Alicia de Manuel et al. (2023) </w:t>
      </w:r>
      <w:proofErr w:type="spellStart"/>
      <w:r w:rsidR="00E461C8">
        <w:rPr>
          <w:sz w:val="24"/>
          <w:szCs w:val="24"/>
        </w:rPr>
        <w:t>emphasise</w:t>
      </w:r>
      <w:proofErr w:type="spellEnd"/>
      <w:r w:rsidRPr="00200D5F">
        <w:rPr>
          <w:sz w:val="24"/>
          <w:szCs w:val="24"/>
        </w:rPr>
        <w:t xml:space="preserve"> the fact that institutes with limited technical knowledge may accept biased AI results without due questioning. This threat goes further to the governance framework of </w:t>
      </w:r>
      <w:r w:rsidR="00E461C8">
        <w:rPr>
          <w:sz w:val="24"/>
          <w:szCs w:val="24"/>
        </w:rPr>
        <w:t>BP, to the extent that Board and ESG committees might be dependent on data generated by AI that is</w:t>
      </w:r>
      <w:r w:rsidRPr="00200D5F">
        <w:rPr>
          <w:sz w:val="24"/>
          <w:szCs w:val="24"/>
        </w:rPr>
        <w:t xml:space="preserve"> not audited. This issue is supported by Grigorescu et al. (2022), who show that AI risks are largely underestimated by corporate boards because of the asymmetry of technical knowledge and suggest AI literacy </w:t>
      </w:r>
      <w:proofErr w:type="spellStart"/>
      <w:r w:rsidRPr="00200D5F">
        <w:rPr>
          <w:sz w:val="24"/>
          <w:szCs w:val="24"/>
        </w:rPr>
        <w:t>programmes</w:t>
      </w:r>
      <w:proofErr w:type="spellEnd"/>
      <w:r w:rsidRPr="00200D5F">
        <w:rPr>
          <w:sz w:val="24"/>
          <w:szCs w:val="24"/>
        </w:rPr>
        <w:t xml:space="preserve"> as a minimum governance requirement.</w:t>
      </w:r>
    </w:p>
    <w:p w14:paraId="71EC5C03" w14:textId="77777777" w:rsidR="00F227D4" w:rsidRPr="008059D3" w:rsidRDefault="00A409F2" w:rsidP="008059D3">
      <w:pPr>
        <w:pStyle w:val="Heading3"/>
        <w:spacing w:line="360" w:lineRule="auto"/>
      </w:pPr>
      <w:bookmarkStart w:id="11" w:name="_Toc227967389"/>
      <w:r w:rsidRPr="008059D3">
        <w:lastRenderedPageBreak/>
        <w:t>2.2.3 Algorithmic Discrimination and Workforce Decisions</w:t>
      </w:r>
      <w:bookmarkEnd w:id="11"/>
    </w:p>
    <w:p w14:paraId="08564E9D" w14:textId="31D08154" w:rsidR="00200D5F" w:rsidRPr="00200D5F" w:rsidRDefault="00200D5F" w:rsidP="00200D5F">
      <w:pPr>
        <w:spacing w:line="360" w:lineRule="auto"/>
        <w:jc w:val="both"/>
        <w:rPr>
          <w:sz w:val="24"/>
          <w:szCs w:val="24"/>
        </w:rPr>
      </w:pPr>
      <w:r w:rsidRPr="00200D5F">
        <w:rPr>
          <w:sz w:val="24"/>
          <w:szCs w:val="24"/>
        </w:rPr>
        <w:t xml:space="preserve">The application of AI in decisions related to </w:t>
      </w:r>
      <w:r w:rsidR="00E461C8">
        <w:rPr>
          <w:sz w:val="24"/>
          <w:szCs w:val="24"/>
        </w:rPr>
        <w:t>the workforce, such as recruitment, safety rating, performance evaluation, and shift scheduling, presents the possibility of discrimination, which is not only a legal liability but also a reputational risk to BP</w:t>
      </w:r>
      <w:r w:rsidRPr="00200D5F">
        <w:rPr>
          <w:sz w:val="24"/>
          <w:szCs w:val="24"/>
        </w:rPr>
        <w:t xml:space="preserve">. Mehrabi et al. (2021) give a background survey of bias and fairness in machine learning and present eighteen different types of algorithmic bias that can occur within AI systems trained on historical data, such as representation bias, measurement bias, and aggregation bias. The three categories are all viable risks in the context of </w:t>
      </w:r>
      <w:r w:rsidR="00E461C8">
        <w:rPr>
          <w:sz w:val="24"/>
          <w:szCs w:val="24"/>
        </w:rPr>
        <w:t xml:space="preserve">BP: historical data on the </w:t>
      </w:r>
      <w:r w:rsidRPr="00200D5F">
        <w:rPr>
          <w:sz w:val="24"/>
          <w:szCs w:val="24"/>
        </w:rPr>
        <w:t xml:space="preserve">workforce could be systematically </w:t>
      </w:r>
      <w:proofErr w:type="spellStart"/>
      <w:r w:rsidRPr="00200D5F">
        <w:rPr>
          <w:sz w:val="24"/>
          <w:szCs w:val="24"/>
        </w:rPr>
        <w:t>underrepresentative</w:t>
      </w:r>
      <w:proofErr w:type="spellEnd"/>
      <w:r w:rsidRPr="00200D5F">
        <w:rPr>
          <w:sz w:val="24"/>
          <w:szCs w:val="24"/>
        </w:rPr>
        <w:t xml:space="preserve"> of some groups of people; historical data on safety incidents could result from historical patterns of reporting; and aggregate performance indicators could be concealing uneven effects on employees of various cultural or occupational backgrounds.</w:t>
      </w:r>
    </w:p>
    <w:p w14:paraId="72129381" w14:textId="57C842DE" w:rsidR="00200D5F" w:rsidRPr="00200D5F" w:rsidRDefault="00200D5F" w:rsidP="00200D5F">
      <w:pPr>
        <w:spacing w:line="360" w:lineRule="auto"/>
        <w:jc w:val="both"/>
        <w:rPr>
          <w:sz w:val="24"/>
          <w:szCs w:val="24"/>
        </w:rPr>
      </w:pPr>
      <w:r w:rsidRPr="00200D5F">
        <w:rPr>
          <w:sz w:val="24"/>
          <w:szCs w:val="24"/>
        </w:rPr>
        <w:t xml:space="preserve">Regulatory and legal Wang et al. (2024) discuss algorithmic discrimination, discovering that the most developed jurisprudence on AI-based discrimination in the US exists through Title VII of the Civil Rights Act and EEOC guidance, with the Equality Act 2010 in the UK offering similar protections that are now being applied by employment tribunals to algorithmic decision-making. Bharati (2025) contends that the existing legal requirements in both jurisdictions do not go far enough to capture all forms of discrimination caused by AI and recommends responsible innovation as a baseline governance measure, as opposed to a responsive governance measure </w:t>
      </w:r>
      <w:r w:rsidR="00E461C8">
        <w:rPr>
          <w:sz w:val="24"/>
          <w:szCs w:val="24"/>
        </w:rPr>
        <w:t>for</w:t>
      </w:r>
      <w:r w:rsidRPr="00200D5F">
        <w:rPr>
          <w:sz w:val="24"/>
          <w:szCs w:val="24"/>
        </w:rPr>
        <w:t xml:space="preserve"> enforcement. Talati (2025) also argues that the accidental nature of algorithmic bias does not lead to the mitigation of legal or ethical accountability: companies that implement AI systems without bias evaluation </w:t>
      </w:r>
      <w:proofErr w:type="spellStart"/>
      <w:r w:rsidRPr="00200D5F">
        <w:rPr>
          <w:sz w:val="24"/>
          <w:szCs w:val="24"/>
        </w:rPr>
        <w:t>can not</w:t>
      </w:r>
      <w:proofErr w:type="spellEnd"/>
      <w:r w:rsidRPr="00200D5F">
        <w:rPr>
          <w:sz w:val="24"/>
          <w:szCs w:val="24"/>
        </w:rPr>
        <w:t xml:space="preserve"> use the </w:t>
      </w:r>
      <w:proofErr w:type="spellStart"/>
      <w:r w:rsidRPr="00200D5F">
        <w:rPr>
          <w:sz w:val="24"/>
          <w:szCs w:val="24"/>
        </w:rPr>
        <w:t>defence</w:t>
      </w:r>
      <w:proofErr w:type="spellEnd"/>
      <w:r w:rsidRPr="00200D5F">
        <w:rPr>
          <w:sz w:val="24"/>
          <w:szCs w:val="24"/>
        </w:rPr>
        <w:t xml:space="preserve"> of not knowing about the expected discriminatory effects.</w:t>
      </w:r>
    </w:p>
    <w:p w14:paraId="2EDBB86B" w14:textId="661623CC" w:rsidR="00F227D4" w:rsidRPr="008059D3" w:rsidRDefault="00200D5F" w:rsidP="00200D5F">
      <w:pPr>
        <w:spacing w:line="360" w:lineRule="auto"/>
        <w:jc w:val="both"/>
        <w:rPr>
          <w:sz w:val="24"/>
          <w:szCs w:val="24"/>
        </w:rPr>
      </w:pPr>
      <w:r w:rsidRPr="00200D5F">
        <w:rPr>
          <w:sz w:val="24"/>
          <w:szCs w:val="24"/>
        </w:rPr>
        <w:t xml:space="preserve">With </w:t>
      </w:r>
      <w:r w:rsidR="00E461C8">
        <w:rPr>
          <w:sz w:val="24"/>
          <w:szCs w:val="24"/>
        </w:rPr>
        <w:t>BP in particular, the threat of algorithmic discrimination in safety scoring systems has another</w:t>
      </w:r>
      <w:r w:rsidRPr="00200D5F">
        <w:rPr>
          <w:sz w:val="24"/>
          <w:szCs w:val="24"/>
        </w:rPr>
        <w:t xml:space="preserve"> dimension. When an AI system, which has been trained on data about past safety incidents, systematically allocates risk scores to workers who are members of demographic groups based on a spurious correlation in the training data, the resulting decisions regarding deployment, assignment to shifts or even training needs may be unlawful discrimination despite the non-discriminatory intent of the system designers. As shown by Alshareef (2025) in the case of energy companies, the systems of AI-based ESG performance encoding can, unfortunately, reinvent the historical inequalities, rendering the metrics a reflection of the biases of historical reporting instead of the reality of today. The governance implication of </w:t>
      </w:r>
      <w:r w:rsidR="00E461C8">
        <w:rPr>
          <w:sz w:val="24"/>
          <w:szCs w:val="24"/>
        </w:rPr>
        <w:t>BP is that AI systems employed in safety-critical</w:t>
      </w:r>
      <w:r w:rsidRPr="00200D5F">
        <w:rPr>
          <w:sz w:val="24"/>
          <w:szCs w:val="24"/>
        </w:rPr>
        <w:t xml:space="preserve"> </w:t>
      </w:r>
      <w:r w:rsidRPr="00200D5F">
        <w:rPr>
          <w:sz w:val="24"/>
          <w:szCs w:val="24"/>
        </w:rPr>
        <w:lastRenderedPageBreak/>
        <w:t>workforce decisions should be under regular, independent bias audits and their results reported to the Board and remediation measures recorded.</w:t>
      </w:r>
    </w:p>
    <w:p w14:paraId="3E3EB252" w14:textId="77777777" w:rsidR="00F227D4" w:rsidRPr="008059D3" w:rsidRDefault="00A409F2" w:rsidP="008059D3">
      <w:pPr>
        <w:pStyle w:val="Heading3"/>
        <w:spacing w:line="360" w:lineRule="auto"/>
      </w:pPr>
      <w:bookmarkStart w:id="12" w:name="_Toc227967390"/>
      <w:r w:rsidRPr="008059D3">
        <w:t>2.2.4 AI-Driven ESG Disclosure and Greenwashing Risk</w:t>
      </w:r>
      <w:bookmarkEnd w:id="12"/>
    </w:p>
    <w:p w14:paraId="5114451B" w14:textId="1E93D0CD" w:rsidR="008B6800" w:rsidRPr="008B6800" w:rsidRDefault="008B6800" w:rsidP="008B6800">
      <w:pPr>
        <w:spacing w:line="360" w:lineRule="auto"/>
        <w:jc w:val="both"/>
        <w:rPr>
          <w:sz w:val="24"/>
          <w:szCs w:val="24"/>
        </w:rPr>
      </w:pPr>
      <w:r w:rsidRPr="008B6800">
        <w:rPr>
          <w:sz w:val="24"/>
          <w:szCs w:val="24"/>
        </w:rPr>
        <w:t xml:space="preserve">The AI/ESG disclosure is a new frontier of regulatory and reputational risk to large energy firms. The use of AI systems to aggregate, process and generate ESG performance data is getting more popular to be included in annual reports, regulatory filings and sustainability disclosures. The situation of this deployment poses a particular risk category, namely, the potential that the AI systems will produce ESG disclosures that are factually erroneous or selectively positive, or </w:t>
      </w:r>
      <w:proofErr w:type="spellStart"/>
      <w:r w:rsidR="00E461C8">
        <w:rPr>
          <w:sz w:val="24"/>
          <w:szCs w:val="24"/>
        </w:rPr>
        <w:t>organised</w:t>
      </w:r>
      <w:proofErr w:type="spellEnd"/>
      <w:r w:rsidRPr="008B6800">
        <w:rPr>
          <w:sz w:val="24"/>
          <w:szCs w:val="24"/>
        </w:rPr>
        <w:t xml:space="preserve"> in a manner that hides material negative information, often described as greenwashing.</w:t>
      </w:r>
    </w:p>
    <w:p w14:paraId="11AC032A" w14:textId="20C43A25" w:rsidR="008B6800" w:rsidRPr="008B6800" w:rsidRDefault="008B6800" w:rsidP="008B6800">
      <w:pPr>
        <w:spacing w:line="360" w:lineRule="auto"/>
        <w:jc w:val="both"/>
        <w:rPr>
          <w:sz w:val="24"/>
          <w:szCs w:val="24"/>
        </w:rPr>
      </w:pPr>
      <w:r w:rsidRPr="008B6800">
        <w:rPr>
          <w:sz w:val="24"/>
          <w:szCs w:val="24"/>
        </w:rPr>
        <w:t xml:space="preserve">Hu et al. (2025) </w:t>
      </w:r>
      <w:r w:rsidR="00E461C8">
        <w:rPr>
          <w:sz w:val="24"/>
          <w:szCs w:val="24"/>
        </w:rPr>
        <w:t>conducted an empirical study that the regulatory examination of the quality of ESG disclosures has a substantial negative impact,</w:t>
      </w:r>
      <w:r w:rsidRPr="008B6800">
        <w:rPr>
          <w:sz w:val="24"/>
          <w:szCs w:val="24"/>
        </w:rPr>
        <w:t xml:space="preserve"> but fails to pull out greenwashing in companies under the pressure of enforcement. In the case of </w:t>
      </w:r>
      <w:r w:rsidR="00E461C8">
        <w:rPr>
          <w:sz w:val="24"/>
          <w:szCs w:val="24"/>
        </w:rPr>
        <w:t>BP</w:t>
      </w:r>
      <w:r w:rsidRPr="008B6800">
        <w:rPr>
          <w:sz w:val="24"/>
          <w:szCs w:val="24"/>
        </w:rPr>
        <w:t xml:space="preserve">, this conclusion means that the scrutiny of the </w:t>
      </w:r>
      <w:proofErr w:type="spellStart"/>
      <w:r w:rsidRPr="008B6800">
        <w:rPr>
          <w:sz w:val="24"/>
          <w:szCs w:val="24"/>
        </w:rPr>
        <w:t>finalised</w:t>
      </w:r>
      <w:proofErr w:type="spellEnd"/>
      <w:r w:rsidRPr="008B6800">
        <w:rPr>
          <w:sz w:val="24"/>
          <w:szCs w:val="24"/>
        </w:rPr>
        <w:t xml:space="preserve"> climate disclosure rules by the SEC (March 2024) and the TCFD requirements in the UK will decrease but not eliminate the incentive to use AI in a manner that best </w:t>
      </w:r>
      <w:proofErr w:type="spellStart"/>
      <w:r w:rsidRPr="008B6800">
        <w:rPr>
          <w:sz w:val="24"/>
          <w:szCs w:val="24"/>
        </w:rPr>
        <w:t>maximises</w:t>
      </w:r>
      <w:proofErr w:type="spellEnd"/>
      <w:r w:rsidRPr="008B6800">
        <w:rPr>
          <w:sz w:val="24"/>
          <w:szCs w:val="24"/>
        </w:rPr>
        <w:t xml:space="preserve"> the presentation of ESG data instead of its accuracy. Lee et al. (2025) </w:t>
      </w:r>
      <w:r w:rsidR="00E461C8">
        <w:rPr>
          <w:sz w:val="24"/>
          <w:szCs w:val="24"/>
        </w:rPr>
        <w:t>suggest a responsible AI assessment framework, which combines ESG and AI governance, contending that companies should view ESG AI systems as a unique risk category that needs custom governance controls, not general AI governance policies in</w:t>
      </w:r>
      <w:r w:rsidRPr="008B6800">
        <w:rPr>
          <w:sz w:val="24"/>
          <w:szCs w:val="24"/>
        </w:rPr>
        <w:t xml:space="preserve"> a field with particular disclosure requirements.</w:t>
      </w:r>
    </w:p>
    <w:p w14:paraId="7AD80105" w14:textId="04EE6641" w:rsidR="00F227D4" w:rsidRPr="008059D3" w:rsidRDefault="008B6800" w:rsidP="008B6800">
      <w:pPr>
        <w:spacing w:line="360" w:lineRule="auto"/>
        <w:jc w:val="both"/>
        <w:rPr>
          <w:sz w:val="24"/>
          <w:szCs w:val="24"/>
        </w:rPr>
      </w:pPr>
      <w:r w:rsidRPr="008B6800">
        <w:rPr>
          <w:sz w:val="24"/>
          <w:szCs w:val="24"/>
        </w:rPr>
        <w:t xml:space="preserve">Saxena et al. (2022) discuss how Industry 4.0 technologies (AI) facilitate the measurement of Environmental, Social, and Governance, and find that even though these technologies have the potential to transform the quality of ESG data, the lack of </w:t>
      </w:r>
      <w:proofErr w:type="spellStart"/>
      <w:r w:rsidRPr="008B6800">
        <w:rPr>
          <w:sz w:val="24"/>
          <w:szCs w:val="24"/>
        </w:rPr>
        <w:t>standardised</w:t>
      </w:r>
      <w:proofErr w:type="spellEnd"/>
      <w:r w:rsidRPr="008B6800">
        <w:rPr>
          <w:sz w:val="24"/>
          <w:szCs w:val="24"/>
        </w:rPr>
        <w:t xml:space="preserve"> AI governance frameworks to govern ESG applications presents a regulatory arbitrage space, which threatens the integrity of the disclosure ecosystem. Cai and Ni (2025) also </w:t>
      </w:r>
      <w:proofErr w:type="spellStart"/>
      <w:r w:rsidR="00E461C8">
        <w:rPr>
          <w:sz w:val="24"/>
          <w:szCs w:val="24"/>
        </w:rPr>
        <w:t>recognise</w:t>
      </w:r>
      <w:proofErr w:type="spellEnd"/>
      <w:r w:rsidRPr="008B6800">
        <w:rPr>
          <w:sz w:val="24"/>
          <w:szCs w:val="24"/>
        </w:rPr>
        <w:t xml:space="preserve"> the quality of ESG disclosure as directly financially market implications that motivate not only actual improvement but also strategic manipulation on the part of bp, where the quality of AI-generated ESG data is a material financial risk that must be overseen by the Board. The article by Humphreys et al. (2024) presents the concept of AI hype as a cybersecurity and ethical risk, stating that companies that are enthusiastic about AI-driven ESG narratives might roll out systems with exaggerated capabilities, which can result in liability exposure in the case of poor performance compared to what was announced a risk that is especially acute in the context of bp due to its high-profile net-zero pledges</w:t>
      </w:r>
      <w:r>
        <w:rPr>
          <w:sz w:val="24"/>
          <w:szCs w:val="24"/>
        </w:rPr>
        <w:t xml:space="preserve">. </w:t>
      </w:r>
    </w:p>
    <w:p w14:paraId="30D1120F" w14:textId="77777777" w:rsidR="00511390" w:rsidRPr="008059D3" w:rsidRDefault="00511390" w:rsidP="008059D3">
      <w:pPr>
        <w:pStyle w:val="Heading2"/>
      </w:pPr>
      <w:bookmarkStart w:id="13" w:name="_Toc227967391"/>
      <w:r w:rsidRPr="008059D3">
        <w:lastRenderedPageBreak/>
        <w:t>2.3 Strategic Framework Integration: Porter's Diamond and OLI Analysis</w:t>
      </w:r>
      <w:bookmarkEnd w:id="13"/>
    </w:p>
    <w:p w14:paraId="666A4073" w14:textId="77777777" w:rsidR="00B94A24" w:rsidRPr="00B94A24" w:rsidRDefault="00CB1C89" w:rsidP="00B94A24">
      <w:pPr>
        <w:spacing w:line="360" w:lineRule="auto"/>
        <w:jc w:val="both"/>
        <w:rPr>
          <w:sz w:val="24"/>
          <w:szCs w:val="24"/>
        </w:rPr>
      </w:pPr>
      <w:r w:rsidRPr="008059D3">
        <w:rPr>
          <w:sz w:val="24"/>
          <w:szCs w:val="24"/>
        </w:rPr>
        <w:t xml:space="preserve">The PESTLE analysis highlights the regulatory and macro-environmental forces shaping bp’s AI governance context. </w:t>
      </w:r>
      <w:r w:rsidR="00B94A24" w:rsidRPr="00B94A24">
        <w:rPr>
          <w:sz w:val="24"/>
          <w:szCs w:val="24"/>
        </w:rPr>
        <w:t>To expand on this, the Diamond Model of Porter (Porter, 1990) and the OLI framework (Dunning, 2001) is used to illustrate the competitive positioning of bp and to draw other strategic implications that go beyond compliance.</w:t>
      </w:r>
    </w:p>
    <w:p w14:paraId="153757B8" w14:textId="77777777" w:rsidR="00B94A24" w:rsidRPr="00B94A24" w:rsidRDefault="00B94A24" w:rsidP="00B94A24">
      <w:pPr>
        <w:spacing w:line="360" w:lineRule="auto"/>
        <w:jc w:val="both"/>
        <w:rPr>
          <w:sz w:val="24"/>
          <w:szCs w:val="24"/>
        </w:rPr>
      </w:pPr>
      <w:r w:rsidRPr="00B94A24">
        <w:rPr>
          <w:sz w:val="24"/>
          <w:szCs w:val="24"/>
        </w:rPr>
        <w:t>Porters Diamond: UK Leadership in AI Governance:</w:t>
      </w:r>
    </w:p>
    <w:p w14:paraId="072CDC74" w14:textId="77777777" w:rsidR="00B94A24" w:rsidRPr="00B94A24" w:rsidRDefault="00B94A24" w:rsidP="00B94A24">
      <w:pPr>
        <w:spacing w:line="360" w:lineRule="auto"/>
        <w:jc w:val="both"/>
        <w:rPr>
          <w:sz w:val="24"/>
          <w:szCs w:val="24"/>
        </w:rPr>
      </w:pPr>
      <w:r w:rsidRPr="00B94A24">
        <w:rPr>
          <w:sz w:val="24"/>
          <w:szCs w:val="24"/>
        </w:rPr>
        <w:t>According to Porters Diamond Model, there are four determinants of national competitive advantage; factor conditions, demand conditions, related and supporting industries, and firm strategy (Porter, 1990). The UK offers structurally favorable conditions to build AI governance capabilities when applied to bp.</w:t>
      </w:r>
    </w:p>
    <w:p w14:paraId="5F1200DE" w14:textId="77777777" w:rsidR="00B94A24" w:rsidRPr="00B94A24" w:rsidRDefault="00B94A24" w:rsidP="00B94A24">
      <w:pPr>
        <w:spacing w:line="360" w:lineRule="auto"/>
        <w:jc w:val="both"/>
        <w:rPr>
          <w:sz w:val="24"/>
          <w:szCs w:val="24"/>
        </w:rPr>
      </w:pPr>
      <w:r w:rsidRPr="00B94A24">
        <w:rPr>
          <w:sz w:val="24"/>
          <w:szCs w:val="24"/>
        </w:rPr>
        <w:t xml:space="preserve">The UK boasts good AI research facilities, such as the Alan Turing Institute, Imperial College London, and Heriot-Watt University, which have expertise in AI safety, explainable AI (XAI), and energy systems. The goal-based regulatory system adopted by the UK and especially the ALARP system adopted by HSE allows experimentation and adjustments of governance practices, compared to the </w:t>
      </w:r>
      <w:proofErr w:type="gramStart"/>
      <w:r w:rsidRPr="00B94A24">
        <w:rPr>
          <w:sz w:val="24"/>
          <w:szCs w:val="24"/>
        </w:rPr>
        <w:t>more strict</w:t>
      </w:r>
      <w:proofErr w:type="gramEnd"/>
      <w:r w:rsidRPr="00B94A24">
        <w:rPr>
          <w:sz w:val="24"/>
          <w:szCs w:val="24"/>
        </w:rPr>
        <w:t xml:space="preserve"> system adopted by the US BSEE.</w:t>
      </w:r>
    </w:p>
    <w:p w14:paraId="7175A274" w14:textId="50B81D5D" w:rsidR="00CB1C89" w:rsidRPr="008059D3" w:rsidRDefault="00B94A24" w:rsidP="00B94A24">
      <w:pPr>
        <w:spacing w:line="360" w:lineRule="auto"/>
        <w:jc w:val="both"/>
        <w:rPr>
          <w:sz w:val="24"/>
          <w:szCs w:val="24"/>
        </w:rPr>
      </w:pPr>
      <w:r w:rsidRPr="00B94A24">
        <w:rPr>
          <w:sz w:val="24"/>
          <w:szCs w:val="24"/>
        </w:rPr>
        <w:t xml:space="preserve">The UK has demand conditions that promote high-quality and progressive AI governance, innovation-driven by the North Sea Transition Authority (NSTA) and HSE. Conversely, US regulatory demand has a propensity to elicit minimum compliance. Moreover, the developed AI services ecosystem of the UK offers access to </w:t>
      </w:r>
      <w:proofErr w:type="spellStart"/>
      <w:r w:rsidRPr="00B94A24">
        <w:rPr>
          <w:sz w:val="24"/>
          <w:szCs w:val="24"/>
        </w:rPr>
        <w:t>specialised</w:t>
      </w:r>
      <w:proofErr w:type="spellEnd"/>
      <w:r w:rsidRPr="00B94A24">
        <w:rPr>
          <w:sz w:val="24"/>
          <w:szCs w:val="24"/>
        </w:rPr>
        <w:t xml:space="preserve"> companies, which can save money and speed up the creation of governance, which is not the case in the US market. These aspects imply that bp ought to focus AI governance innovation in the UK and replicate the frameworks to the operations in the US.</w:t>
      </w:r>
    </w:p>
    <w:p w14:paraId="238665A6" w14:textId="77777777" w:rsidR="008F3D23" w:rsidRPr="008059D3" w:rsidRDefault="00CB1C89" w:rsidP="008059D3">
      <w:pPr>
        <w:spacing w:line="360" w:lineRule="auto"/>
        <w:jc w:val="both"/>
        <w:rPr>
          <w:b/>
          <w:bCs/>
          <w:sz w:val="24"/>
          <w:szCs w:val="24"/>
        </w:rPr>
      </w:pPr>
      <w:r w:rsidRPr="008059D3">
        <w:rPr>
          <w:b/>
          <w:bCs/>
          <w:sz w:val="24"/>
          <w:szCs w:val="24"/>
        </w:rPr>
        <w:t xml:space="preserve">OLI Framework: Rationale for </w:t>
      </w:r>
      <w:proofErr w:type="spellStart"/>
      <w:r w:rsidRPr="008059D3">
        <w:rPr>
          <w:b/>
          <w:bCs/>
          <w:sz w:val="24"/>
          <w:szCs w:val="24"/>
        </w:rPr>
        <w:t>Internalisation</w:t>
      </w:r>
      <w:proofErr w:type="spellEnd"/>
    </w:p>
    <w:p w14:paraId="5BA350A6" w14:textId="2909D344" w:rsidR="00CB1C89" w:rsidRPr="008059D3" w:rsidRDefault="00CC7412" w:rsidP="008059D3">
      <w:pPr>
        <w:spacing w:line="360" w:lineRule="auto"/>
        <w:jc w:val="both"/>
        <w:rPr>
          <w:sz w:val="24"/>
          <w:szCs w:val="24"/>
        </w:rPr>
      </w:pPr>
      <w:r w:rsidRPr="00CC7412">
        <w:rPr>
          <w:sz w:val="24"/>
          <w:szCs w:val="24"/>
        </w:rPr>
        <w:t xml:space="preserve">The reason why </w:t>
      </w:r>
      <w:r w:rsidR="00E461C8">
        <w:rPr>
          <w:sz w:val="24"/>
          <w:szCs w:val="24"/>
        </w:rPr>
        <w:t xml:space="preserve">BP should </w:t>
      </w:r>
      <w:proofErr w:type="spellStart"/>
      <w:r w:rsidR="00E461C8">
        <w:rPr>
          <w:sz w:val="24"/>
          <w:szCs w:val="24"/>
        </w:rPr>
        <w:t>internalise</w:t>
      </w:r>
      <w:proofErr w:type="spellEnd"/>
      <w:r w:rsidR="00E461C8">
        <w:rPr>
          <w:sz w:val="24"/>
          <w:szCs w:val="24"/>
        </w:rPr>
        <w:t xml:space="preserve"> AI governance can be explained using the </w:t>
      </w:r>
      <w:r w:rsidRPr="00CC7412">
        <w:rPr>
          <w:sz w:val="24"/>
          <w:szCs w:val="24"/>
        </w:rPr>
        <w:t xml:space="preserve">Dunning OLI framework (Dunning, 2001). Within the context of Ownership, the proprietary datasets of </w:t>
      </w:r>
      <w:r w:rsidR="00E461C8">
        <w:rPr>
          <w:sz w:val="24"/>
          <w:szCs w:val="24"/>
        </w:rPr>
        <w:t>BP in the North Sea and the Gulf of Mexico are a competitive asset of utmost importance, and thus,</w:t>
      </w:r>
      <w:r w:rsidRPr="00CC7412">
        <w:rPr>
          <w:sz w:val="24"/>
          <w:szCs w:val="24"/>
        </w:rPr>
        <w:t xml:space="preserve"> outsourcing is a risky decision to make since data may be exposed. Location Bp has a dual-jurisdictional operation that needs a more </w:t>
      </w:r>
      <w:proofErr w:type="spellStart"/>
      <w:r w:rsidR="00E461C8">
        <w:rPr>
          <w:sz w:val="24"/>
          <w:szCs w:val="24"/>
        </w:rPr>
        <w:t>customised</w:t>
      </w:r>
      <w:proofErr w:type="spellEnd"/>
      <w:r w:rsidRPr="00CC7412">
        <w:rPr>
          <w:sz w:val="24"/>
          <w:szCs w:val="24"/>
        </w:rPr>
        <w:t xml:space="preserve"> governance structure that can be better managed by internal teams. </w:t>
      </w:r>
      <w:proofErr w:type="spellStart"/>
      <w:r w:rsidRPr="00CC7412">
        <w:rPr>
          <w:sz w:val="24"/>
          <w:szCs w:val="24"/>
        </w:rPr>
        <w:t>Internalisation</w:t>
      </w:r>
      <w:proofErr w:type="spellEnd"/>
      <w:r w:rsidRPr="00CC7412">
        <w:rPr>
          <w:sz w:val="24"/>
          <w:szCs w:val="24"/>
        </w:rPr>
        <w:t xml:space="preserve">: With AI audit, XAI development, and compliance processes, keeping them within an </w:t>
      </w:r>
      <w:proofErr w:type="spellStart"/>
      <w:r w:rsidR="00E461C8">
        <w:rPr>
          <w:sz w:val="24"/>
          <w:szCs w:val="24"/>
        </w:rPr>
        <w:t>organisation</w:t>
      </w:r>
      <w:proofErr w:type="spellEnd"/>
      <w:r w:rsidRPr="00CC7412">
        <w:rPr>
          <w:sz w:val="24"/>
          <w:szCs w:val="24"/>
        </w:rPr>
        <w:t xml:space="preserve"> would allow scalable and efficient governance across deployments. Together, the OLI </w:t>
      </w:r>
      <w:r w:rsidRPr="00CC7412">
        <w:rPr>
          <w:sz w:val="24"/>
          <w:szCs w:val="24"/>
        </w:rPr>
        <w:lastRenderedPageBreak/>
        <w:t>framework helps in the creation of an internal AI Centre of Excellence as a means of long-term competitive advantage.</w:t>
      </w:r>
    </w:p>
    <w:p w14:paraId="240A8431" w14:textId="31154308" w:rsidR="00F227D4" w:rsidRPr="008059D3" w:rsidRDefault="00A409F2" w:rsidP="008059D3">
      <w:pPr>
        <w:pStyle w:val="Heading1"/>
        <w:spacing w:before="0" w:after="0" w:line="360" w:lineRule="auto"/>
      </w:pPr>
      <w:bookmarkStart w:id="14" w:name="_Toc227967392"/>
      <w:r w:rsidRPr="008059D3">
        <w:t>3.</w:t>
      </w:r>
      <w:r w:rsidR="00D95054" w:rsidRPr="008059D3">
        <w:t>0</w:t>
      </w:r>
      <w:r w:rsidRPr="008059D3">
        <w:t xml:space="preserve"> Implementation Plan</w:t>
      </w:r>
      <w:bookmarkEnd w:id="14"/>
    </w:p>
    <w:p w14:paraId="76F9357D" w14:textId="77777777" w:rsidR="00F227D4" w:rsidRPr="008059D3" w:rsidRDefault="00A409F2" w:rsidP="008059D3">
      <w:pPr>
        <w:pStyle w:val="Heading2"/>
      </w:pPr>
      <w:bookmarkStart w:id="15" w:name="_Toc227967393"/>
      <w:r w:rsidRPr="008059D3">
        <w:t>3.1 Guiding Principles</w:t>
      </w:r>
      <w:bookmarkEnd w:id="15"/>
    </w:p>
    <w:p w14:paraId="0C7DD853" w14:textId="28E898BF" w:rsidR="00532C60" w:rsidRPr="00532C60" w:rsidRDefault="00532C60" w:rsidP="00532C60">
      <w:pPr>
        <w:spacing w:line="360" w:lineRule="auto"/>
        <w:jc w:val="both"/>
        <w:rPr>
          <w:sz w:val="24"/>
          <w:szCs w:val="24"/>
        </w:rPr>
      </w:pPr>
      <w:r w:rsidRPr="00532C60">
        <w:rPr>
          <w:sz w:val="24"/>
          <w:szCs w:val="24"/>
        </w:rPr>
        <w:t xml:space="preserve">The implementation plan in this report is based on four guiding principles based on the analysis of risk and regulatory environment, as discussed in Section 2. To begin with, proportionality: all governance investments should be proportioned to the risk-adjusted likelihood and impact of known AI failures, and not rolled out equally across all AI uses, despite their risk profile. Second, dual-jurisdiction alignment: all governance mechanisms should be structured in a way that they meet the needs of both the UK (HSE, GDPR, NSTA) and US (BSEE, EPA, SEC) regulatory frameworks, not in a serial fashion. Third, explainability by design: explain all systems that involve safety and compliance-critical AI have XAI features built into them at design and deployment, and not added as a compliance feature post-factum. Fourth, responsible governance: the AI risk management needs to be accounted to specific individuals at </w:t>
      </w:r>
      <w:r w:rsidR="00E461C8">
        <w:rPr>
          <w:sz w:val="24"/>
          <w:szCs w:val="24"/>
        </w:rPr>
        <w:t>a senior level and with explicit reporting to the BP</w:t>
      </w:r>
      <w:r w:rsidRPr="00532C60">
        <w:rPr>
          <w:sz w:val="24"/>
          <w:szCs w:val="24"/>
        </w:rPr>
        <w:t xml:space="preserve"> Board and integrated within the corporate performance frameworks.</w:t>
      </w:r>
    </w:p>
    <w:p w14:paraId="52E0AD03" w14:textId="77777777" w:rsidR="00532C60" w:rsidRPr="00532C60" w:rsidRDefault="00532C60" w:rsidP="00532C60">
      <w:pPr>
        <w:spacing w:line="360" w:lineRule="auto"/>
        <w:jc w:val="both"/>
        <w:rPr>
          <w:sz w:val="24"/>
          <w:szCs w:val="24"/>
        </w:rPr>
      </w:pPr>
      <w:r w:rsidRPr="00532C60">
        <w:rPr>
          <w:sz w:val="24"/>
          <w:szCs w:val="24"/>
        </w:rPr>
        <w:t>These principles echo the risk governance structure of the NIST (2023) in the AI Risk Management Framework (AI RMF 1.0), which defines the four major functions of responsible AI deployment as govern, map, measure, and manage. The US EPA specifically mentions the NIST framework in its AI Compliance Plan (2024) and is becoming the new technical standard by which regulatory agencies in the US will evaluate the maturity of AI governance in regulated sectors.</w:t>
      </w:r>
    </w:p>
    <w:p w14:paraId="4C4AE9BB" w14:textId="35A563D9" w:rsidR="00F227D4" w:rsidRPr="008059D3" w:rsidRDefault="00532C60" w:rsidP="00532C60">
      <w:pPr>
        <w:spacing w:line="360" w:lineRule="auto"/>
        <w:jc w:val="both"/>
        <w:rPr>
          <w:sz w:val="24"/>
          <w:szCs w:val="24"/>
        </w:rPr>
      </w:pPr>
      <w:r w:rsidRPr="00532C60">
        <w:rPr>
          <w:sz w:val="24"/>
          <w:szCs w:val="24"/>
        </w:rPr>
        <w:t xml:space="preserve">Min et al. (2026) </w:t>
      </w:r>
      <w:r w:rsidR="00E461C8">
        <w:rPr>
          <w:sz w:val="24"/>
          <w:szCs w:val="24"/>
        </w:rPr>
        <w:t>developed</w:t>
      </w:r>
      <w:r w:rsidRPr="00532C60">
        <w:rPr>
          <w:sz w:val="24"/>
          <w:szCs w:val="24"/>
        </w:rPr>
        <w:t xml:space="preserve"> a Cross-Assessment and Verification (</w:t>
      </w:r>
      <w:proofErr w:type="spellStart"/>
      <w:r w:rsidRPr="00532C60">
        <w:rPr>
          <w:sz w:val="24"/>
          <w:szCs w:val="24"/>
        </w:rPr>
        <w:t>CAVe</w:t>
      </w:r>
      <w:proofErr w:type="spellEnd"/>
      <w:r w:rsidRPr="00532C60">
        <w:rPr>
          <w:sz w:val="24"/>
          <w:szCs w:val="24"/>
        </w:rPr>
        <w:t>) model of AI risk and compliance evaluation, and the Cross-Compliance Index (CCI) is a quantitative risk assessment of regulatory alignment in various jurisdictions.</w:t>
      </w:r>
      <w:r w:rsidR="00511390" w:rsidRPr="008059D3">
        <w:rPr>
          <w:sz w:val="24"/>
          <w:szCs w:val="24"/>
        </w:rPr>
        <w:t xml:space="preserve"> The application of a CCI-type tool to </w:t>
      </w:r>
      <w:r w:rsidR="00E461C8">
        <w:rPr>
          <w:sz w:val="24"/>
          <w:szCs w:val="24"/>
        </w:rPr>
        <w:t>BP's</w:t>
      </w:r>
      <w:r w:rsidR="00511390" w:rsidRPr="008059D3">
        <w:rPr>
          <w:sz w:val="24"/>
          <w:szCs w:val="24"/>
        </w:rPr>
        <w:t xml:space="preserve"> AI governance framework would provide the company with a structured, auditable mechanism for demonstrating dual-jurisdiction compliance, and would generate the documentary evidence base required in the event of an enforcement inquiry from either the HSE, BSEE, or EPA. Grigorescu et al. (2022) further argue that governance frameworks for AI in capital-intensive industries must be </w:t>
      </w:r>
      <w:proofErr w:type="spellStart"/>
      <w:r w:rsidR="00511390" w:rsidRPr="008059D3">
        <w:rPr>
          <w:sz w:val="24"/>
          <w:szCs w:val="24"/>
        </w:rPr>
        <w:t>institutionalised</w:t>
      </w:r>
      <w:proofErr w:type="spellEnd"/>
      <w:r w:rsidR="00511390" w:rsidRPr="008059D3">
        <w:rPr>
          <w:sz w:val="24"/>
          <w:szCs w:val="24"/>
        </w:rPr>
        <w:t xml:space="preserve"> at </w:t>
      </w:r>
      <w:r w:rsidR="00E461C8">
        <w:rPr>
          <w:sz w:val="24"/>
          <w:szCs w:val="24"/>
        </w:rPr>
        <w:t>the Board level to be effective, a finding that directly validates the proposal to establish BP’s</w:t>
      </w:r>
      <w:r w:rsidR="00511390" w:rsidRPr="008059D3">
        <w:rPr>
          <w:sz w:val="24"/>
          <w:szCs w:val="24"/>
        </w:rPr>
        <w:t xml:space="preserve"> AI Governance Board as a Board-reporting function rather than a management-level committee</w:t>
      </w:r>
      <w:r w:rsidR="00A409F2" w:rsidRPr="008059D3">
        <w:rPr>
          <w:sz w:val="24"/>
          <w:szCs w:val="24"/>
        </w:rPr>
        <w:t>.</w:t>
      </w:r>
    </w:p>
    <w:p w14:paraId="70F59075" w14:textId="77777777" w:rsidR="00F227D4" w:rsidRPr="008059D3" w:rsidRDefault="00A409F2" w:rsidP="008059D3">
      <w:pPr>
        <w:pStyle w:val="Heading2"/>
      </w:pPr>
      <w:bookmarkStart w:id="16" w:name="_Toc227967394"/>
      <w:r w:rsidRPr="008059D3">
        <w:lastRenderedPageBreak/>
        <w:t>3.2 Phased Action Plan with Costings</w:t>
      </w:r>
      <w:bookmarkEnd w:id="16"/>
    </w:p>
    <w:p w14:paraId="146C22D8" w14:textId="2635DC3F" w:rsidR="00F227D4" w:rsidRPr="008059D3" w:rsidRDefault="00511390" w:rsidP="008059D3">
      <w:pPr>
        <w:spacing w:line="360" w:lineRule="auto"/>
        <w:jc w:val="both"/>
        <w:rPr>
          <w:sz w:val="24"/>
          <w:szCs w:val="24"/>
        </w:rPr>
      </w:pPr>
      <w:r w:rsidRPr="008059D3">
        <w:rPr>
          <w:sz w:val="24"/>
          <w:szCs w:val="24"/>
        </w:rPr>
        <w:t xml:space="preserve">The implementation plan is structured across </w:t>
      </w:r>
      <w:proofErr w:type="gramStart"/>
      <w:r w:rsidR="00E461C8">
        <w:rPr>
          <w:sz w:val="24"/>
          <w:szCs w:val="24"/>
        </w:rPr>
        <w:t>three time</w:t>
      </w:r>
      <w:proofErr w:type="gramEnd"/>
      <w:r w:rsidRPr="008059D3">
        <w:rPr>
          <w:sz w:val="24"/>
          <w:szCs w:val="24"/>
        </w:rPr>
        <w:t xml:space="preserve"> horizons: short-term (0 to 6 months), medium-term (6 to 18 months), and long-term (18 to 36 months). The plan integrates a Regulatory-Aware AI Governance Layer</w:t>
      </w:r>
      <w:r w:rsidR="00E461C8">
        <w:rPr>
          <w:sz w:val="24"/>
          <w:szCs w:val="24"/>
        </w:rPr>
        <w:t xml:space="preserve">, </w:t>
      </w:r>
      <w:r w:rsidRPr="008059D3">
        <w:rPr>
          <w:sz w:val="24"/>
          <w:szCs w:val="24"/>
        </w:rPr>
        <w:t xml:space="preserve">a software middleware architecture that ingests regulatory rule sets (for example, 30 CFR §250 and EPA Subpart </w:t>
      </w:r>
      <w:proofErr w:type="spellStart"/>
      <w:r w:rsidRPr="008059D3">
        <w:rPr>
          <w:sz w:val="24"/>
          <w:szCs w:val="24"/>
        </w:rPr>
        <w:t>OOOOb</w:t>
      </w:r>
      <w:proofErr w:type="spellEnd"/>
      <w:r w:rsidRPr="008059D3">
        <w:rPr>
          <w:sz w:val="24"/>
          <w:szCs w:val="24"/>
        </w:rPr>
        <w:t xml:space="preserve"> specifications, accessed via structured XML parsing) and applies compliance constraints to AI model outputs before they reach operational systems </w:t>
      </w:r>
      <w:r w:rsidR="00CB1C89" w:rsidRPr="008059D3">
        <w:rPr>
          <w:sz w:val="24"/>
          <w:szCs w:val="24"/>
        </w:rPr>
        <w:t xml:space="preserve"> </w:t>
      </w:r>
      <w:r w:rsidRPr="008059D3">
        <w:rPr>
          <w:sz w:val="24"/>
          <w:szCs w:val="24"/>
        </w:rPr>
        <w:t xml:space="preserve"> at the medium-term phase. All cost estimates are in GBP, using a GBP/USD exchange rate of 1.25 (March 2026 average). ISO/IEC 42001 certification requires annual surveillance audits with full recertification every 36 months.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80"/>
        <w:gridCol w:w="1780"/>
        <w:gridCol w:w="1586"/>
        <w:gridCol w:w="1487"/>
        <w:gridCol w:w="1598"/>
        <w:gridCol w:w="1645"/>
      </w:tblGrid>
      <w:tr w:rsidR="00567BB1" w:rsidRPr="008059D3" w14:paraId="77BCD5EC" w14:textId="77777777" w:rsidTr="008B6800">
        <w:trPr>
          <w:trHeight w:val="446"/>
          <w:jc w:val="center"/>
        </w:trPr>
        <w:tc>
          <w:tcPr>
            <w:tcW w:w="683" w:type="pct"/>
            <w:shd w:val="clear" w:color="auto" w:fill="E8E8E8" w:themeFill="background2"/>
            <w:tcMar>
              <w:top w:w="80" w:type="dxa"/>
              <w:left w:w="120" w:type="dxa"/>
              <w:bottom w:w="80" w:type="dxa"/>
              <w:right w:w="120" w:type="dxa"/>
            </w:tcMar>
            <w:vAlign w:val="center"/>
          </w:tcPr>
          <w:p w14:paraId="13816FB2" w14:textId="77777777" w:rsidR="00F227D4" w:rsidRPr="008059D3" w:rsidRDefault="00A409F2" w:rsidP="008059D3">
            <w:pPr>
              <w:spacing w:line="360" w:lineRule="auto"/>
              <w:rPr>
                <w:color w:val="000000" w:themeColor="text1"/>
              </w:rPr>
            </w:pPr>
            <w:r w:rsidRPr="008059D3">
              <w:rPr>
                <w:b/>
                <w:bCs/>
                <w:color w:val="000000" w:themeColor="text1"/>
                <w:sz w:val="20"/>
                <w:szCs w:val="20"/>
              </w:rPr>
              <w:t>Timeframe</w:t>
            </w:r>
          </w:p>
        </w:tc>
        <w:tc>
          <w:tcPr>
            <w:tcW w:w="949" w:type="pct"/>
            <w:shd w:val="clear" w:color="auto" w:fill="E8E8E8" w:themeFill="background2"/>
            <w:tcMar>
              <w:top w:w="80" w:type="dxa"/>
              <w:left w:w="120" w:type="dxa"/>
              <w:bottom w:w="80" w:type="dxa"/>
              <w:right w:w="120" w:type="dxa"/>
            </w:tcMar>
            <w:vAlign w:val="center"/>
          </w:tcPr>
          <w:p w14:paraId="67A6AE1E" w14:textId="77777777" w:rsidR="00F227D4" w:rsidRPr="008059D3" w:rsidRDefault="00A409F2" w:rsidP="008059D3">
            <w:pPr>
              <w:spacing w:line="360" w:lineRule="auto"/>
              <w:rPr>
                <w:color w:val="000000" w:themeColor="text1"/>
              </w:rPr>
            </w:pPr>
            <w:r w:rsidRPr="008059D3">
              <w:rPr>
                <w:b/>
                <w:bCs/>
                <w:color w:val="000000" w:themeColor="text1"/>
                <w:sz w:val="20"/>
                <w:szCs w:val="20"/>
              </w:rPr>
              <w:t>Action</w:t>
            </w:r>
          </w:p>
        </w:tc>
        <w:tc>
          <w:tcPr>
            <w:tcW w:w="846" w:type="pct"/>
            <w:shd w:val="clear" w:color="auto" w:fill="E8E8E8" w:themeFill="background2"/>
            <w:tcMar>
              <w:top w:w="80" w:type="dxa"/>
              <w:left w:w="120" w:type="dxa"/>
              <w:bottom w:w="80" w:type="dxa"/>
              <w:right w:w="120" w:type="dxa"/>
            </w:tcMar>
            <w:vAlign w:val="center"/>
          </w:tcPr>
          <w:p w14:paraId="0072A66B" w14:textId="77777777" w:rsidR="00F227D4" w:rsidRPr="008059D3" w:rsidRDefault="00A409F2" w:rsidP="008059D3">
            <w:pPr>
              <w:spacing w:line="360" w:lineRule="auto"/>
              <w:rPr>
                <w:color w:val="000000" w:themeColor="text1"/>
              </w:rPr>
            </w:pPr>
            <w:r w:rsidRPr="008059D3">
              <w:rPr>
                <w:b/>
                <w:bCs/>
                <w:color w:val="000000" w:themeColor="text1"/>
                <w:sz w:val="20"/>
                <w:szCs w:val="20"/>
              </w:rPr>
              <w:t>Estimated Cost</w:t>
            </w:r>
          </w:p>
        </w:tc>
        <w:tc>
          <w:tcPr>
            <w:tcW w:w="793" w:type="pct"/>
            <w:shd w:val="clear" w:color="auto" w:fill="E8E8E8" w:themeFill="background2"/>
            <w:tcMar>
              <w:top w:w="80" w:type="dxa"/>
              <w:left w:w="120" w:type="dxa"/>
              <w:bottom w:w="80" w:type="dxa"/>
              <w:right w:w="120" w:type="dxa"/>
            </w:tcMar>
            <w:vAlign w:val="center"/>
          </w:tcPr>
          <w:p w14:paraId="49671177" w14:textId="77777777" w:rsidR="00F227D4" w:rsidRPr="008059D3" w:rsidRDefault="00A409F2" w:rsidP="008059D3">
            <w:pPr>
              <w:spacing w:line="360" w:lineRule="auto"/>
              <w:rPr>
                <w:color w:val="000000" w:themeColor="text1"/>
              </w:rPr>
            </w:pPr>
            <w:r w:rsidRPr="008059D3">
              <w:rPr>
                <w:b/>
                <w:bCs/>
                <w:color w:val="000000" w:themeColor="text1"/>
                <w:sz w:val="20"/>
                <w:szCs w:val="20"/>
              </w:rPr>
              <w:t>Responsible Role</w:t>
            </w:r>
          </w:p>
        </w:tc>
        <w:tc>
          <w:tcPr>
            <w:tcW w:w="852" w:type="pct"/>
            <w:shd w:val="clear" w:color="auto" w:fill="E8E8E8" w:themeFill="background2"/>
            <w:tcMar>
              <w:top w:w="80" w:type="dxa"/>
              <w:left w:w="120" w:type="dxa"/>
              <w:bottom w:w="80" w:type="dxa"/>
              <w:right w:w="120" w:type="dxa"/>
            </w:tcMar>
            <w:vAlign w:val="center"/>
          </w:tcPr>
          <w:p w14:paraId="1215DDB9" w14:textId="77777777" w:rsidR="00F227D4" w:rsidRPr="008059D3" w:rsidRDefault="00A409F2" w:rsidP="008059D3">
            <w:pPr>
              <w:spacing w:line="360" w:lineRule="auto"/>
              <w:rPr>
                <w:color w:val="000000" w:themeColor="text1"/>
              </w:rPr>
            </w:pPr>
            <w:r w:rsidRPr="008059D3">
              <w:rPr>
                <w:b/>
                <w:bCs/>
                <w:color w:val="000000" w:themeColor="text1"/>
                <w:sz w:val="20"/>
                <w:szCs w:val="20"/>
              </w:rPr>
              <w:t>Success Metric</w:t>
            </w:r>
          </w:p>
        </w:tc>
        <w:tc>
          <w:tcPr>
            <w:tcW w:w="876" w:type="pct"/>
            <w:shd w:val="clear" w:color="auto" w:fill="E8E8E8" w:themeFill="background2"/>
            <w:tcMar>
              <w:top w:w="80" w:type="dxa"/>
              <w:left w:w="120" w:type="dxa"/>
              <w:bottom w:w="80" w:type="dxa"/>
              <w:right w:w="120" w:type="dxa"/>
            </w:tcMar>
            <w:vAlign w:val="center"/>
          </w:tcPr>
          <w:p w14:paraId="6BE7B8D4" w14:textId="77777777" w:rsidR="00F227D4" w:rsidRPr="008059D3" w:rsidRDefault="00A409F2" w:rsidP="008059D3">
            <w:pPr>
              <w:spacing w:line="360" w:lineRule="auto"/>
              <w:rPr>
                <w:color w:val="000000" w:themeColor="text1"/>
              </w:rPr>
            </w:pPr>
            <w:r w:rsidRPr="008059D3">
              <w:rPr>
                <w:b/>
                <w:bCs/>
                <w:color w:val="000000" w:themeColor="text1"/>
                <w:sz w:val="20"/>
                <w:szCs w:val="20"/>
              </w:rPr>
              <w:t>Regulatory Alignment</w:t>
            </w:r>
          </w:p>
        </w:tc>
      </w:tr>
      <w:tr w:rsidR="00567BB1" w:rsidRPr="008059D3" w14:paraId="7DBC3578" w14:textId="77777777" w:rsidTr="008B6800">
        <w:trPr>
          <w:trHeight w:val="868"/>
          <w:jc w:val="center"/>
        </w:trPr>
        <w:tc>
          <w:tcPr>
            <w:tcW w:w="683" w:type="pct"/>
            <w:vMerge w:val="restart"/>
            <w:shd w:val="clear" w:color="auto" w:fill="D9E1F2"/>
            <w:tcMar>
              <w:top w:w="80" w:type="dxa"/>
              <w:left w:w="120" w:type="dxa"/>
              <w:bottom w:w="80" w:type="dxa"/>
              <w:right w:w="120" w:type="dxa"/>
            </w:tcMar>
            <w:vAlign w:val="center"/>
          </w:tcPr>
          <w:p w14:paraId="3002C5AF" w14:textId="77777777" w:rsidR="00F227D4" w:rsidRPr="008059D3" w:rsidRDefault="00A409F2" w:rsidP="008059D3">
            <w:pPr>
              <w:spacing w:line="360" w:lineRule="auto"/>
              <w:jc w:val="center"/>
            </w:pPr>
            <w:r w:rsidRPr="008059D3">
              <w:rPr>
                <w:b/>
                <w:bCs/>
                <w:color w:val="1F3864"/>
                <w:sz w:val="20"/>
                <w:szCs w:val="20"/>
              </w:rPr>
              <w:t>SHORT-TERM (0–6 months)</w:t>
            </w:r>
          </w:p>
        </w:tc>
        <w:tc>
          <w:tcPr>
            <w:tcW w:w="949" w:type="pct"/>
            <w:shd w:val="clear" w:color="auto" w:fill="FFFFFF"/>
            <w:tcMar>
              <w:top w:w="80" w:type="dxa"/>
              <w:left w:w="120" w:type="dxa"/>
              <w:bottom w:w="80" w:type="dxa"/>
              <w:right w:w="120" w:type="dxa"/>
            </w:tcMar>
            <w:vAlign w:val="center"/>
          </w:tcPr>
          <w:p w14:paraId="7566A888" w14:textId="2C62B18B" w:rsidR="00F227D4" w:rsidRPr="008059D3" w:rsidRDefault="00A409F2" w:rsidP="008059D3">
            <w:pPr>
              <w:spacing w:line="360" w:lineRule="auto"/>
            </w:pPr>
            <w:r w:rsidRPr="008059D3">
              <w:rPr>
                <w:color w:val="000000"/>
                <w:sz w:val="20"/>
                <w:szCs w:val="20"/>
              </w:rPr>
              <w:t xml:space="preserve">Establish </w:t>
            </w:r>
            <w:r w:rsidR="00E461C8">
              <w:rPr>
                <w:color w:val="000000"/>
                <w:sz w:val="20"/>
                <w:szCs w:val="20"/>
              </w:rPr>
              <w:t>the BP</w:t>
            </w:r>
            <w:r w:rsidRPr="008059D3">
              <w:rPr>
                <w:color w:val="000000"/>
                <w:sz w:val="20"/>
                <w:szCs w:val="20"/>
              </w:rPr>
              <w:t xml:space="preserve"> AI Governance Board with CRO, Legal, and ESG leads</w:t>
            </w:r>
          </w:p>
        </w:tc>
        <w:tc>
          <w:tcPr>
            <w:tcW w:w="846" w:type="pct"/>
            <w:shd w:val="clear" w:color="auto" w:fill="FFFFFF"/>
            <w:tcMar>
              <w:top w:w="80" w:type="dxa"/>
              <w:left w:w="120" w:type="dxa"/>
              <w:bottom w:w="80" w:type="dxa"/>
              <w:right w:w="120" w:type="dxa"/>
            </w:tcMar>
            <w:vAlign w:val="center"/>
          </w:tcPr>
          <w:p w14:paraId="7E5C6110" w14:textId="71334833" w:rsidR="00F227D4" w:rsidRPr="008059D3" w:rsidRDefault="00A409F2" w:rsidP="008059D3">
            <w:pPr>
              <w:spacing w:line="360" w:lineRule="auto"/>
            </w:pPr>
            <w:r w:rsidRPr="008059D3">
              <w:rPr>
                <w:color w:val="000000"/>
                <w:sz w:val="20"/>
                <w:szCs w:val="20"/>
              </w:rPr>
              <w:t>~</w:t>
            </w:r>
            <w:r w:rsidR="00A15498">
              <w:rPr>
                <w:color w:val="000000"/>
                <w:sz w:val="20"/>
                <w:szCs w:val="20"/>
              </w:rPr>
              <w:t xml:space="preserve">GBP </w:t>
            </w:r>
            <w:r w:rsidRPr="008059D3">
              <w:rPr>
                <w:color w:val="000000"/>
                <w:sz w:val="20"/>
                <w:szCs w:val="20"/>
              </w:rPr>
              <w:t>0.5m setup cost (internal redeployment)</w:t>
            </w:r>
          </w:p>
        </w:tc>
        <w:tc>
          <w:tcPr>
            <w:tcW w:w="793" w:type="pct"/>
            <w:shd w:val="clear" w:color="auto" w:fill="FFFFFF"/>
            <w:tcMar>
              <w:top w:w="80" w:type="dxa"/>
              <w:left w:w="120" w:type="dxa"/>
              <w:bottom w:w="80" w:type="dxa"/>
              <w:right w:w="120" w:type="dxa"/>
            </w:tcMar>
            <w:vAlign w:val="center"/>
          </w:tcPr>
          <w:p w14:paraId="3904A62A" w14:textId="77777777" w:rsidR="00F227D4" w:rsidRPr="008059D3" w:rsidRDefault="00A409F2" w:rsidP="008059D3">
            <w:pPr>
              <w:spacing w:line="360" w:lineRule="auto"/>
            </w:pPr>
            <w:r w:rsidRPr="008059D3">
              <w:rPr>
                <w:color w:val="000000"/>
                <w:sz w:val="20"/>
                <w:szCs w:val="20"/>
              </w:rPr>
              <w:t>Group CRO &amp; bp AI Governance Director</w:t>
            </w:r>
          </w:p>
        </w:tc>
        <w:tc>
          <w:tcPr>
            <w:tcW w:w="852" w:type="pct"/>
            <w:shd w:val="clear" w:color="auto" w:fill="FFFFFF"/>
            <w:tcMar>
              <w:top w:w="80" w:type="dxa"/>
              <w:left w:w="120" w:type="dxa"/>
              <w:bottom w:w="80" w:type="dxa"/>
              <w:right w:w="120" w:type="dxa"/>
            </w:tcMar>
            <w:vAlign w:val="center"/>
          </w:tcPr>
          <w:p w14:paraId="02675CC6" w14:textId="77777777" w:rsidR="00F227D4" w:rsidRPr="008059D3" w:rsidRDefault="00A409F2" w:rsidP="008059D3">
            <w:pPr>
              <w:spacing w:line="360" w:lineRule="auto"/>
            </w:pPr>
            <w:r w:rsidRPr="008059D3">
              <w:rPr>
                <w:color w:val="000000"/>
                <w:sz w:val="20"/>
                <w:szCs w:val="20"/>
              </w:rPr>
              <w:t>Board operational within 3 months; first AI risk register reviewed</w:t>
            </w:r>
          </w:p>
        </w:tc>
        <w:tc>
          <w:tcPr>
            <w:tcW w:w="876" w:type="pct"/>
            <w:shd w:val="clear" w:color="auto" w:fill="FFFFFF"/>
            <w:tcMar>
              <w:top w:w="80" w:type="dxa"/>
              <w:left w:w="120" w:type="dxa"/>
              <w:bottom w:w="80" w:type="dxa"/>
              <w:right w:w="120" w:type="dxa"/>
            </w:tcMar>
            <w:vAlign w:val="center"/>
          </w:tcPr>
          <w:p w14:paraId="525EBE4B" w14:textId="77777777" w:rsidR="00F227D4" w:rsidRPr="008059D3" w:rsidRDefault="00A409F2" w:rsidP="008059D3">
            <w:pPr>
              <w:spacing w:line="360" w:lineRule="auto"/>
            </w:pPr>
            <w:r w:rsidRPr="008059D3">
              <w:rPr>
                <w:color w:val="000000"/>
                <w:sz w:val="20"/>
                <w:szCs w:val="20"/>
              </w:rPr>
              <w:t>NIST AI RMF 1.0; UK AI Pro-Innovation White Paper</w:t>
            </w:r>
          </w:p>
        </w:tc>
      </w:tr>
      <w:tr w:rsidR="00567BB1" w:rsidRPr="008059D3" w14:paraId="46A083C1" w14:textId="77777777" w:rsidTr="008B6800">
        <w:trPr>
          <w:trHeight w:val="138"/>
          <w:jc w:val="center"/>
        </w:trPr>
        <w:tc>
          <w:tcPr>
            <w:tcW w:w="683" w:type="pct"/>
            <w:vMerge/>
          </w:tcPr>
          <w:p w14:paraId="66E3BDAA" w14:textId="77777777" w:rsidR="00F227D4" w:rsidRPr="008059D3" w:rsidRDefault="00F227D4" w:rsidP="008059D3">
            <w:pPr>
              <w:spacing w:line="360" w:lineRule="auto"/>
            </w:pPr>
          </w:p>
        </w:tc>
        <w:tc>
          <w:tcPr>
            <w:tcW w:w="949" w:type="pct"/>
            <w:shd w:val="clear" w:color="auto" w:fill="E8E8E8" w:themeFill="background2"/>
            <w:tcMar>
              <w:top w:w="80" w:type="dxa"/>
              <w:left w:w="120" w:type="dxa"/>
              <w:bottom w:w="80" w:type="dxa"/>
              <w:right w:w="120" w:type="dxa"/>
            </w:tcMar>
            <w:vAlign w:val="center"/>
          </w:tcPr>
          <w:p w14:paraId="49F01972" w14:textId="77777777" w:rsidR="00F227D4" w:rsidRPr="008059D3" w:rsidRDefault="00A409F2" w:rsidP="008059D3">
            <w:pPr>
              <w:spacing w:line="360" w:lineRule="auto"/>
            </w:pPr>
            <w:r w:rsidRPr="008059D3">
              <w:rPr>
                <w:color w:val="000000"/>
                <w:sz w:val="20"/>
                <w:szCs w:val="20"/>
              </w:rPr>
              <w:t xml:space="preserve">Deploy XAI audit tool (SHAP/LIME) across all safety-critical AI models in </w:t>
            </w:r>
            <w:proofErr w:type="spellStart"/>
            <w:r w:rsidRPr="008059D3">
              <w:rPr>
                <w:color w:val="000000"/>
                <w:sz w:val="20"/>
                <w:szCs w:val="20"/>
              </w:rPr>
              <w:t>GoM</w:t>
            </w:r>
            <w:proofErr w:type="spellEnd"/>
            <w:r w:rsidRPr="008059D3">
              <w:rPr>
                <w:color w:val="000000"/>
                <w:sz w:val="20"/>
                <w:szCs w:val="20"/>
              </w:rPr>
              <w:t xml:space="preserve"> and North Sea assets</w:t>
            </w:r>
          </w:p>
        </w:tc>
        <w:tc>
          <w:tcPr>
            <w:tcW w:w="846" w:type="pct"/>
            <w:shd w:val="clear" w:color="auto" w:fill="E8E8E8" w:themeFill="background2"/>
            <w:tcMar>
              <w:top w:w="80" w:type="dxa"/>
              <w:left w:w="120" w:type="dxa"/>
              <w:bottom w:w="80" w:type="dxa"/>
              <w:right w:w="120" w:type="dxa"/>
            </w:tcMar>
            <w:vAlign w:val="center"/>
          </w:tcPr>
          <w:p w14:paraId="1B0CF977" w14:textId="759488E3" w:rsidR="00F227D4" w:rsidRPr="008059D3" w:rsidRDefault="00A409F2" w:rsidP="008059D3">
            <w:pPr>
              <w:spacing w:line="360" w:lineRule="auto"/>
            </w:pPr>
            <w:r w:rsidRPr="008059D3">
              <w:rPr>
                <w:color w:val="000000"/>
                <w:sz w:val="20"/>
                <w:szCs w:val="20"/>
              </w:rPr>
              <w:t>~</w:t>
            </w:r>
            <w:r w:rsidR="00A15498">
              <w:rPr>
                <w:color w:val="000000"/>
                <w:sz w:val="20"/>
                <w:szCs w:val="20"/>
              </w:rPr>
              <w:t xml:space="preserve">GBP </w:t>
            </w:r>
            <w:r w:rsidRPr="008059D3">
              <w:rPr>
                <w:color w:val="000000"/>
                <w:sz w:val="20"/>
                <w:szCs w:val="20"/>
              </w:rPr>
              <w:t>2.0m (Dataiku/IBM Watson XAI licensing)</w:t>
            </w:r>
          </w:p>
        </w:tc>
        <w:tc>
          <w:tcPr>
            <w:tcW w:w="793" w:type="pct"/>
            <w:shd w:val="clear" w:color="auto" w:fill="E8E8E8" w:themeFill="background2"/>
            <w:tcMar>
              <w:top w:w="80" w:type="dxa"/>
              <w:left w:w="120" w:type="dxa"/>
              <w:bottom w:w="80" w:type="dxa"/>
              <w:right w:w="120" w:type="dxa"/>
            </w:tcMar>
            <w:vAlign w:val="center"/>
          </w:tcPr>
          <w:p w14:paraId="5BCB15E8" w14:textId="77777777" w:rsidR="00F227D4" w:rsidRPr="008059D3" w:rsidRDefault="00A409F2" w:rsidP="008059D3">
            <w:pPr>
              <w:spacing w:line="360" w:lineRule="auto"/>
            </w:pPr>
            <w:r w:rsidRPr="008059D3">
              <w:rPr>
                <w:color w:val="000000"/>
                <w:sz w:val="20"/>
                <w:szCs w:val="20"/>
              </w:rPr>
              <w:t>VP Digital &amp; AI Engineering</w:t>
            </w:r>
          </w:p>
        </w:tc>
        <w:tc>
          <w:tcPr>
            <w:tcW w:w="852" w:type="pct"/>
            <w:shd w:val="clear" w:color="auto" w:fill="E8E8E8" w:themeFill="background2"/>
            <w:tcMar>
              <w:top w:w="80" w:type="dxa"/>
              <w:left w:w="120" w:type="dxa"/>
              <w:bottom w:w="80" w:type="dxa"/>
              <w:right w:w="120" w:type="dxa"/>
            </w:tcMar>
            <w:vAlign w:val="center"/>
          </w:tcPr>
          <w:p w14:paraId="191450A8" w14:textId="77777777" w:rsidR="00F227D4" w:rsidRPr="008059D3" w:rsidRDefault="00A409F2" w:rsidP="008059D3">
            <w:pPr>
              <w:spacing w:line="360" w:lineRule="auto"/>
            </w:pPr>
            <w:r w:rsidRPr="008059D3">
              <w:rPr>
                <w:color w:val="000000"/>
                <w:sz w:val="20"/>
                <w:szCs w:val="20"/>
              </w:rPr>
              <w:t>100% of safety-critical models pass XAI audit by month 6</w:t>
            </w:r>
          </w:p>
        </w:tc>
        <w:tc>
          <w:tcPr>
            <w:tcW w:w="876" w:type="pct"/>
            <w:shd w:val="clear" w:color="auto" w:fill="E8E8E8" w:themeFill="background2"/>
            <w:tcMar>
              <w:top w:w="80" w:type="dxa"/>
              <w:left w:w="120" w:type="dxa"/>
              <w:bottom w:w="80" w:type="dxa"/>
              <w:right w:w="120" w:type="dxa"/>
            </w:tcMar>
            <w:vAlign w:val="center"/>
          </w:tcPr>
          <w:p w14:paraId="3B66FBAC" w14:textId="77777777" w:rsidR="00F227D4" w:rsidRPr="008059D3" w:rsidRDefault="00A409F2" w:rsidP="008059D3">
            <w:pPr>
              <w:spacing w:line="360" w:lineRule="auto"/>
            </w:pPr>
            <w:r w:rsidRPr="008059D3">
              <w:rPr>
                <w:color w:val="000000"/>
                <w:sz w:val="20"/>
                <w:szCs w:val="20"/>
              </w:rPr>
              <w:t>HSE AI guidance; BSEE 30 CFR §250</w:t>
            </w:r>
          </w:p>
        </w:tc>
      </w:tr>
      <w:tr w:rsidR="00567BB1" w:rsidRPr="008059D3" w14:paraId="5E56EE71" w14:textId="77777777" w:rsidTr="008B6800">
        <w:trPr>
          <w:trHeight w:val="138"/>
          <w:jc w:val="center"/>
        </w:trPr>
        <w:tc>
          <w:tcPr>
            <w:tcW w:w="683" w:type="pct"/>
            <w:vMerge/>
          </w:tcPr>
          <w:p w14:paraId="2330FEA8" w14:textId="77777777" w:rsidR="00F227D4" w:rsidRPr="008059D3" w:rsidRDefault="00F227D4" w:rsidP="008059D3">
            <w:pPr>
              <w:spacing w:line="360" w:lineRule="auto"/>
            </w:pPr>
          </w:p>
        </w:tc>
        <w:tc>
          <w:tcPr>
            <w:tcW w:w="949" w:type="pct"/>
            <w:shd w:val="clear" w:color="auto" w:fill="FFFFFF"/>
            <w:tcMar>
              <w:top w:w="80" w:type="dxa"/>
              <w:left w:w="120" w:type="dxa"/>
              <w:bottom w:w="80" w:type="dxa"/>
              <w:right w:w="120" w:type="dxa"/>
            </w:tcMar>
            <w:vAlign w:val="center"/>
          </w:tcPr>
          <w:p w14:paraId="29A62C81" w14:textId="630CEFA0" w:rsidR="00F227D4" w:rsidRPr="008059D3" w:rsidRDefault="00A409F2" w:rsidP="008059D3">
            <w:pPr>
              <w:spacing w:line="360" w:lineRule="auto"/>
            </w:pPr>
            <w:r w:rsidRPr="008059D3">
              <w:rPr>
                <w:color w:val="000000"/>
                <w:sz w:val="20"/>
                <w:szCs w:val="20"/>
              </w:rPr>
              <w:t xml:space="preserve">Commission </w:t>
            </w:r>
            <w:r w:rsidR="00E461C8">
              <w:rPr>
                <w:color w:val="000000"/>
                <w:sz w:val="20"/>
                <w:szCs w:val="20"/>
              </w:rPr>
              <w:t xml:space="preserve">an </w:t>
            </w:r>
            <w:r w:rsidRPr="008059D3">
              <w:rPr>
                <w:color w:val="000000"/>
                <w:sz w:val="20"/>
                <w:szCs w:val="20"/>
              </w:rPr>
              <w:t>independent AI bias audit for HR and environmental monitoring systems</w:t>
            </w:r>
          </w:p>
        </w:tc>
        <w:tc>
          <w:tcPr>
            <w:tcW w:w="846" w:type="pct"/>
            <w:shd w:val="clear" w:color="auto" w:fill="FFFFFF"/>
            <w:tcMar>
              <w:top w:w="80" w:type="dxa"/>
              <w:left w:w="120" w:type="dxa"/>
              <w:bottom w:w="80" w:type="dxa"/>
              <w:right w:w="120" w:type="dxa"/>
            </w:tcMar>
            <w:vAlign w:val="center"/>
          </w:tcPr>
          <w:p w14:paraId="6706108D" w14:textId="66A05C0A" w:rsidR="00F227D4" w:rsidRPr="008059D3" w:rsidRDefault="00A409F2" w:rsidP="008059D3">
            <w:pPr>
              <w:spacing w:line="360" w:lineRule="auto"/>
            </w:pPr>
            <w:r w:rsidRPr="008059D3">
              <w:rPr>
                <w:color w:val="000000"/>
                <w:sz w:val="20"/>
                <w:szCs w:val="20"/>
              </w:rPr>
              <w:t>~</w:t>
            </w:r>
            <w:r w:rsidR="00A15498">
              <w:rPr>
                <w:color w:val="000000"/>
                <w:sz w:val="20"/>
                <w:szCs w:val="20"/>
              </w:rPr>
              <w:t xml:space="preserve">GBP </w:t>
            </w:r>
            <w:r w:rsidRPr="008059D3">
              <w:rPr>
                <w:color w:val="000000"/>
                <w:sz w:val="20"/>
                <w:szCs w:val="20"/>
              </w:rPr>
              <w:t>0.8m (third-party specialist firm)</w:t>
            </w:r>
          </w:p>
        </w:tc>
        <w:tc>
          <w:tcPr>
            <w:tcW w:w="793" w:type="pct"/>
            <w:shd w:val="clear" w:color="auto" w:fill="FFFFFF"/>
            <w:tcMar>
              <w:top w:w="80" w:type="dxa"/>
              <w:left w:w="120" w:type="dxa"/>
              <w:bottom w:w="80" w:type="dxa"/>
              <w:right w:w="120" w:type="dxa"/>
            </w:tcMar>
            <w:vAlign w:val="center"/>
          </w:tcPr>
          <w:p w14:paraId="6EB5DA32" w14:textId="77777777" w:rsidR="00F227D4" w:rsidRPr="008059D3" w:rsidRDefault="00A409F2" w:rsidP="008059D3">
            <w:pPr>
              <w:spacing w:line="360" w:lineRule="auto"/>
            </w:pPr>
            <w:r w:rsidRPr="008059D3">
              <w:rPr>
                <w:color w:val="000000"/>
                <w:sz w:val="20"/>
                <w:szCs w:val="20"/>
              </w:rPr>
              <w:t>bp Chief People Officer &amp; ESG Director</w:t>
            </w:r>
          </w:p>
        </w:tc>
        <w:tc>
          <w:tcPr>
            <w:tcW w:w="852" w:type="pct"/>
            <w:shd w:val="clear" w:color="auto" w:fill="FFFFFF"/>
            <w:tcMar>
              <w:top w:w="80" w:type="dxa"/>
              <w:left w:w="120" w:type="dxa"/>
              <w:bottom w:w="80" w:type="dxa"/>
              <w:right w:w="120" w:type="dxa"/>
            </w:tcMar>
            <w:vAlign w:val="center"/>
          </w:tcPr>
          <w:p w14:paraId="51809C5C" w14:textId="7249B37A" w:rsidR="00F227D4" w:rsidRPr="008059D3" w:rsidRDefault="00A409F2" w:rsidP="008059D3">
            <w:pPr>
              <w:spacing w:line="360" w:lineRule="auto"/>
            </w:pPr>
            <w:r w:rsidRPr="008059D3">
              <w:rPr>
                <w:color w:val="000000"/>
                <w:sz w:val="20"/>
                <w:szCs w:val="20"/>
              </w:rPr>
              <w:t xml:space="preserve">Zero high-risk bias findings post-audit; report published to </w:t>
            </w:r>
            <w:r w:rsidR="00E461C8">
              <w:rPr>
                <w:color w:val="000000"/>
                <w:sz w:val="20"/>
                <w:szCs w:val="20"/>
              </w:rPr>
              <w:t xml:space="preserve">the </w:t>
            </w:r>
            <w:r w:rsidRPr="008059D3">
              <w:rPr>
                <w:color w:val="000000"/>
                <w:sz w:val="20"/>
                <w:szCs w:val="20"/>
              </w:rPr>
              <w:t>board</w:t>
            </w:r>
          </w:p>
        </w:tc>
        <w:tc>
          <w:tcPr>
            <w:tcW w:w="876" w:type="pct"/>
            <w:shd w:val="clear" w:color="auto" w:fill="FFFFFF"/>
            <w:tcMar>
              <w:top w:w="80" w:type="dxa"/>
              <w:left w:w="120" w:type="dxa"/>
              <w:bottom w:w="80" w:type="dxa"/>
              <w:right w:w="120" w:type="dxa"/>
            </w:tcMar>
            <w:vAlign w:val="center"/>
          </w:tcPr>
          <w:p w14:paraId="4DFB5A5A" w14:textId="77777777" w:rsidR="00F227D4" w:rsidRPr="008059D3" w:rsidRDefault="00A409F2" w:rsidP="008059D3">
            <w:pPr>
              <w:spacing w:line="360" w:lineRule="auto"/>
            </w:pPr>
            <w:r w:rsidRPr="008059D3">
              <w:rPr>
                <w:color w:val="000000"/>
                <w:sz w:val="20"/>
                <w:szCs w:val="20"/>
              </w:rPr>
              <w:t>UK Equality Act 2010; EPA Non-Discrimination Policy</w:t>
            </w:r>
          </w:p>
        </w:tc>
      </w:tr>
      <w:tr w:rsidR="00567BB1" w:rsidRPr="008059D3" w14:paraId="33345C2A" w14:textId="77777777" w:rsidTr="008B6800">
        <w:trPr>
          <w:trHeight w:val="138"/>
          <w:jc w:val="center"/>
        </w:trPr>
        <w:tc>
          <w:tcPr>
            <w:tcW w:w="683" w:type="pct"/>
            <w:vMerge w:val="restart"/>
            <w:shd w:val="clear" w:color="auto" w:fill="FCE4D6"/>
            <w:tcMar>
              <w:top w:w="80" w:type="dxa"/>
              <w:left w:w="120" w:type="dxa"/>
              <w:bottom w:w="80" w:type="dxa"/>
              <w:right w:w="120" w:type="dxa"/>
            </w:tcMar>
            <w:vAlign w:val="center"/>
          </w:tcPr>
          <w:p w14:paraId="4C5C774C" w14:textId="77777777" w:rsidR="00F227D4" w:rsidRPr="008059D3" w:rsidRDefault="00A409F2" w:rsidP="008059D3">
            <w:pPr>
              <w:spacing w:line="360" w:lineRule="auto"/>
              <w:jc w:val="center"/>
            </w:pPr>
            <w:r w:rsidRPr="008059D3">
              <w:rPr>
                <w:b/>
                <w:bCs/>
                <w:color w:val="C55A11"/>
                <w:sz w:val="20"/>
                <w:szCs w:val="20"/>
              </w:rPr>
              <w:t>MEDIUM-TERM (6–</w:t>
            </w:r>
            <w:r w:rsidRPr="008059D3">
              <w:rPr>
                <w:b/>
                <w:bCs/>
                <w:color w:val="C55A11"/>
                <w:sz w:val="20"/>
                <w:szCs w:val="20"/>
              </w:rPr>
              <w:lastRenderedPageBreak/>
              <w:t>18 months)</w:t>
            </w:r>
          </w:p>
        </w:tc>
        <w:tc>
          <w:tcPr>
            <w:tcW w:w="949" w:type="pct"/>
            <w:shd w:val="clear" w:color="auto" w:fill="E8E8E8" w:themeFill="background2"/>
            <w:tcMar>
              <w:top w:w="80" w:type="dxa"/>
              <w:left w:w="120" w:type="dxa"/>
              <w:bottom w:w="80" w:type="dxa"/>
              <w:right w:w="120" w:type="dxa"/>
            </w:tcMar>
            <w:vAlign w:val="center"/>
          </w:tcPr>
          <w:p w14:paraId="12597DEC" w14:textId="77777777" w:rsidR="00F227D4" w:rsidRPr="008059D3" w:rsidRDefault="00A409F2" w:rsidP="008059D3">
            <w:pPr>
              <w:spacing w:line="360" w:lineRule="auto"/>
            </w:pPr>
            <w:r w:rsidRPr="008059D3">
              <w:rPr>
                <w:color w:val="000000"/>
                <w:sz w:val="20"/>
                <w:szCs w:val="20"/>
              </w:rPr>
              <w:lastRenderedPageBreak/>
              <w:t xml:space="preserve">Implement methane AI monitoring </w:t>
            </w:r>
            <w:r w:rsidRPr="008059D3">
              <w:rPr>
                <w:color w:val="000000"/>
                <w:sz w:val="20"/>
                <w:szCs w:val="20"/>
              </w:rPr>
              <w:lastRenderedPageBreak/>
              <w:t>network across all upstream UK/US sites using multi-sensor fusion (LiDAR + spectrometry)</w:t>
            </w:r>
          </w:p>
        </w:tc>
        <w:tc>
          <w:tcPr>
            <w:tcW w:w="846" w:type="pct"/>
            <w:shd w:val="clear" w:color="auto" w:fill="E8E8E8" w:themeFill="background2"/>
            <w:tcMar>
              <w:top w:w="80" w:type="dxa"/>
              <w:left w:w="120" w:type="dxa"/>
              <w:bottom w:w="80" w:type="dxa"/>
              <w:right w:w="120" w:type="dxa"/>
            </w:tcMar>
            <w:vAlign w:val="center"/>
          </w:tcPr>
          <w:p w14:paraId="0E407C03" w14:textId="2CB8A09F" w:rsidR="00F227D4" w:rsidRPr="008059D3" w:rsidRDefault="00A409F2" w:rsidP="008059D3">
            <w:pPr>
              <w:spacing w:line="360" w:lineRule="auto"/>
            </w:pPr>
            <w:r w:rsidRPr="008059D3">
              <w:rPr>
                <w:color w:val="000000"/>
                <w:sz w:val="20"/>
                <w:szCs w:val="20"/>
              </w:rPr>
              <w:lastRenderedPageBreak/>
              <w:t>~</w:t>
            </w:r>
            <w:r w:rsidR="00A15498">
              <w:rPr>
                <w:color w:val="000000"/>
                <w:sz w:val="20"/>
                <w:szCs w:val="20"/>
              </w:rPr>
              <w:t xml:space="preserve">GBP </w:t>
            </w:r>
            <w:r w:rsidRPr="008059D3">
              <w:rPr>
                <w:color w:val="000000"/>
                <w:sz w:val="20"/>
                <w:szCs w:val="20"/>
              </w:rPr>
              <w:t xml:space="preserve">18m (Bridger </w:t>
            </w:r>
            <w:r w:rsidRPr="008059D3">
              <w:rPr>
                <w:color w:val="000000"/>
                <w:sz w:val="20"/>
                <w:szCs w:val="20"/>
              </w:rPr>
              <w:lastRenderedPageBreak/>
              <w:t>Photonics or equivalent)</w:t>
            </w:r>
          </w:p>
        </w:tc>
        <w:tc>
          <w:tcPr>
            <w:tcW w:w="793" w:type="pct"/>
            <w:shd w:val="clear" w:color="auto" w:fill="E8E8E8" w:themeFill="background2"/>
            <w:tcMar>
              <w:top w:w="80" w:type="dxa"/>
              <w:left w:w="120" w:type="dxa"/>
              <w:bottom w:w="80" w:type="dxa"/>
              <w:right w:w="120" w:type="dxa"/>
            </w:tcMar>
            <w:vAlign w:val="center"/>
          </w:tcPr>
          <w:p w14:paraId="5AE2382F" w14:textId="77777777" w:rsidR="00F227D4" w:rsidRPr="008059D3" w:rsidRDefault="00A409F2" w:rsidP="008059D3">
            <w:pPr>
              <w:spacing w:line="360" w:lineRule="auto"/>
            </w:pPr>
            <w:r w:rsidRPr="008059D3">
              <w:rPr>
                <w:color w:val="000000"/>
                <w:sz w:val="20"/>
                <w:szCs w:val="20"/>
              </w:rPr>
              <w:lastRenderedPageBreak/>
              <w:t>VP Health, Safety &amp; Environment</w:t>
            </w:r>
          </w:p>
        </w:tc>
        <w:tc>
          <w:tcPr>
            <w:tcW w:w="852" w:type="pct"/>
            <w:shd w:val="clear" w:color="auto" w:fill="E8E8E8" w:themeFill="background2"/>
            <w:tcMar>
              <w:top w:w="80" w:type="dxa"/>
              <w:left w:w="120" w:type="dxa"/>
              <w:bottom w:w="80" w:type="dxa"/>
              <w:right w:w="120" w:type="dxa"/>
            </w:tcMar>
            <w:vAlign w:val="center"/>
          </w:tcPr>
          <w:p w14:paraId="33924CA6" w14:textId="77777777" w:rsidR="00F227D4" w:rsidRPr="008059D3" w:rsidRDefault="00A409F2" w:rsidP="008059D3">
            <w:pPr>
              <w:spacing w:line="360" w:lineRule="auto"/>
            </w:pPr>
            <w:r w:rsidRPr="008059D3">
              <w:rPr>
                <w:color w:val="000000"/>
                <w:sz w:val="20"/>
                <w:szCs w:val="20"/>
              </w:rPr>
              <w:t xml:space="preserve">90% reduction in undetected methane leaks; </w:t>
            </w:r>
            <w:r w:rsidRPr="008059D3">
              <w:rPr>
                <w:color w:val="000000"/>
                <w:sz w:val="20"/>
                <w:szCs w:val="20"/>
              </w:rPr>
              <w:lastRenderedPageBreak/>
              <w:t>EPA Quad-Ob compliance certified</w:t>
            </w:r>
          </w:p>
        </w:tc>
        <w:tc>
          <w:tcPr>
            <w:tcW w:w="876" w:type="pct"/>
            <w:shd w:val="clear" w:color="auto" w:fill="E8E8E8" w:themeFill="background2"/>
            <w:tcMar>
              <w:top w:w="80" w:type="dxa"/>
              <w:left w:w="120" w:type="dxa"/>
              <w:bottom w:w="80" w:type="dxa"/>
              <w:right w:w="120" w:type="dxa"/>
            </w:tcMar>
            <w:vAlign w:val="center"/>
          </w:tcPr>
          <w:p w14:paraId="0E935386" w14:textId="77777777" w:rsidR="00F227D4" w:rsidRPr="008059D3" w:rsidRDefault="00A409F2" w:rsidP="008059D3">
            <w:pPr>
              <w:spacing w:line="360" w:lineRule="auto"/>
            </w:pPr>
            <w:r w:rsidRPr="008059D3">
              <w:rPr>
                <w:color w:val="000000"/>
                <w:sz w:val="20"/>
                <w:szCs w:val="20"/>
              </w:rPr>
              <w:lastRenderedPageBreak/>
              <w:t xml:space="preserve">EPA 40 CFR Part 60 Quad-Ob; NSTA </w:t>
            </w:r>
            <w:r w:rsidRPr="008059D3">
              <w:rPr>
                <w:color w:val="000000"/>
                <w:sz w:val="20"/>
                <w:szCs w:val="20"/>
              </w:rPr>
              <w:lastRenderedPageBreak/>
              <w:t>North Sea methane targets</w:t>
            </w:r>
          </w:p>
        </w:tc>
      </w:tr>
      <w:tr w:rsidR="00567BB1" w:rsidRPr="008059D3" w14:paraId="46F5EFFD" w14:textId="77777777" w:rsidTr="008B6800">
        <w:trPr>
          <w:trHeight w:val="1925"/>
          <w:jc w:val="center"/>
        </w:trPr>
        <w:tc>
          <w:tcPr>
            <w:tcW w:w="683" w:type="pct"/>
            <w:vMerge/>
          </w:tcPr>
          <w:p w14:paraId="791706C0" w14:textId="77777777" w:rsidR="00F227D4" w:rsidRPr="008059D3" w:rsidRDefault="00F227D4" w:rsidP="008059D3">
            <w:pPr>
              <w:spacing w:line="360" w:lineRule="auto"/>
            </w:pPr>
          </w:p>
        </w:tc>
        <w:tc>
          <w:tcPr>
            <w:tcW w:w="949" w:type="pct"/>
            <w:shd w:val="clear" w:color="auto" w:fill="FFFFFF" w:themeFill="background1"/>
            <w:tcMar>
              <w:top w:w="80" w:type="dxa"/>
              <w:left w:w="120" w:type="dxa"/>
              <w:bottom w:w="80" w:type="dxa"/>
              <w:right w:w="120" w:type="dxa"/>
            </w:tcMar>
            <w:vAlign w:val="center"/>
          </w:tcPr>
          <w:p w14:paraId="036ADB3B" w14:textId="77777777" w:rsidR="00F227D4" w:rsidRPr="008059D3" w:rsidRDefault="00A409F2" w:rsidP="008059D3">
            <w:pPr>
              <w:spacing w:line="360" w:lineRule="auto"/>
            </w:pPr>
            <w:r w:rsidRPr="008059D3">
              <w:rPr>
                <w:color w:val="000000"/>
                <w:sz w:val="20"/>
                <w:szCs w:val="20"/>
              </w:rPr>
              <w:t>Develop 'Regulatory-Aware AI Governance Layer' architecture integrating dual UK/US rule sets into AI decision trees</w:t>
            </w:r>
          </w:p>
        </w:tc>
        <w:tc>
          <w:tcPr>
            <w:tcW w:w="846" w:type="pct"/>
            <w:shd w:val="clear" w:color="auto" w:fill="FFFFFF" w:themeFill="background1"/>
            <w:tcMar>
              <w:top w:w="80" w:type="dxa"/>
              <w:left w:w="120" w:type="dxa"/>
              <w:bottom w:w="80" w:type="dxa"/>
              <w:right w:w="120" w:type="dxa"/>
            </w:tcMar>
            <w:vAlign w:val="center"/>
          </w:tcPr>
          <w:p w14:paraId="35691411" w14:textId="32435540" w:rsidR="00F227D4" w:rsidRPr="008059D3" w:rsidRDefault="00A409F2" w:rsidP="008059D3">
            <w:pPr>
              <w:spacing w:line="360" w:lineRule="auto"/>
            </w:pPr>
            <w:r w:rsidRPr="008059D3">
              <w:rPr>
                <w:color w:val="000000"/>
                <w:sz w:val="20"/>
                <w:szCs w:val="20"/>
              </w:rPr>
              <w:t>~</w:t>
            </w:r>
            <w:r w:rsidR="00A15498">
              <w:rPr>
                <w:color w:val="000000"/>
                <w:sz w:val="20"/>
                <w:szCs w:val="20"/>
              </w:rPr>
              <w:t xml:space="preserve">GBP </w:t>
            </w:r>
            <w:r w:rsidRPr="008059D3">
              <w:rPr>
                <w:color w:val="000000"/>
                <w:sz w:val="20"/>
                <w:szCs w:val="20"/>
              </w:rPr>
              <w:t>12m (software development + integration)</w:t>
            </w:r>
          </w:p>
        </w:tc>
        <w:tc>
          <w:tcPr>
            <w:tcW w:w="793" w:type="pct"/>
            <w:shd w:val="clear" w:color="auto" w:fill="FFFFFF" w:themeFill="background1"/>
            <w:tcMar>
              <w:top w:w="80" w:type="dxa"/>
              <w:left w:w="120" w:type="dxa"/>
              <w:bottom w:w="80" w:type="dxa"/>
              <w:right w:w="120" w:type="dxa"/>
            </w:tcMar>
            <w:vAlign w:val="center"/>
          </w:tcPr>
          <w:p w14:paraId="1B339B68" w14:textId="77777777" w:rsidR="00F227D4" w:rsidRPr="008059D3" w:rsidRDefault="00A409F2" w:rsidP="008059D3">
            <w:pPr>
              <w:spacing w:line="360" w:lineRule="auto"/>
            </w:pPr>
            <w:r w:rsidRPr="008059D3">
              <w:rPr>
                <w:color w:val="000000"/>
                <w:sz w:val="20"/>
                <w:szCs w:val="20"/>
              </w:rPr>
              <w:t>bp Group AI Governance &amp; Digital Engineering</w:t>
            </w:r>
          </w:p>
        </w:tc>
        <w:tc>
          <w:tcPr>
            <w:tcW w:w="852" w:type="pct"/>
            <w:shd w:val="clear" w:color="auto" w:fill="FFFFFF" w:themeFill="background1"/>
            <w:tcMar>
              <w:top w:w="80" w:type="dxa"/>
              <w:left w:w="120" w:type="dxa"/>
              <w:bottom w:w="80" w:type="dxa"/>
              <w:right w:w="120" w:type="dxa"/>
            </w:tcMar>
            <w:vAlign w:val="center"/>
          </w:tcPr>
          <w:p w14:paraId="25DDA658" w14:textId="77777777" w:rsidR="00F227D4" w:rsidRPr="008059D3" w:rsidRDefault="00A409F2" w:rsidP="008059D3">
            <w:pPr>
              <w:spacing w:line="360" w:lineRule="auto"/>
            </w:pPr>
            <w:r w:rsidRPr="008059D3">
              <w:rPr>
                <w:color w:val="000000"/>
                <w:sz w:val="20"/>
                <w:szCs w:val="20"/>
              </w:rPr>
              <w:t>Governance layer deployed on 80% of operational AI systems; BSEE certification for BOP ML models</w:t>
            </w:r>
          </w:p>
        </w:tc>
        <w:tc>
          <w:tcPr>
            <w:tcW w:w="876" w:type="pct"/>
            <w:shd w:val="clear" w:color="auto" w:fill="FFFFFF" w:themeFill="background1"/>
            <w:tcMar>
              <w:top w:w="80" w:type="dxa"/>
              <w:left w:w="120" w:type="dxa"/>
              <w:bottom w:w="80" w:type="dxa"/>
              <w:right w:w="120" w:type="dxa"/>
            </w:tcMar>
            <w:vAlign w:val="center"/>
          </w:tcPr>
          <w:p w14:paraId="43435556" w14:textId="77777777" w:rsidR="00F227D4" w:rsidRPr="008059D3" w:rsidRDefault="00A409F2" w:rsidP="008059D3">
            <w:pPr>
              <w:spacing w:line="360" w:lineRule="auto"/>
            </w:pPr>
            <w:r w:rsidRPr="008059D3">
              <w:rPr>
                <w:color w:val="000000"/>
                <w:sz w:val="20"/>
                <w:szCs w:val="20"/>
              </w:rPr>
              <w:t>BSEE BOP rules; HSE ALARP duty; UK GDPR</w:t>
            </w:r>
          </w:p>
        </w:tc>
      </w:tr>
      <w:tr w:rsidR="00567BB1" w:rsidRPr="008059D3" w14:paraId="1FE14C5F" w14:textId="77777777" w:rsidTr="008B6800">
        <w:trPr>
          <w:trHeight w:val="138"/>
          <w:jc w:val="center"/>
        </w:trPr>
        <w:tc>
          <w:tcPr>
            <w:tcW w:w="683" w:type="pct"/>
            <w:vMerge/>
          </w:tcPr>
          <w:p w14:paraId="34E5AB03" w14:textId="77777777" w:rsidR="00F227D4" w:rsidRPr="008059D3" w:rsidRDefault="00F227D4" w:rsidP="008059D3">
            <w:pPr>
              <w:spacing w:line="360" w:lineRule="auto"/>
            </w:pPr>
          </w:p>
        </w:tc>
        <w:tc>
          <w:tcPr>
            <w:tcW w:w="949" w:type="pct"/>
            <w:shd w:val="clear" w:color="auto" w:fill="E8E8E8" w:themeFill="background2"/>
            <w:tcMar>
              <w:top w:w="80" w:type="dxa"/>
              <w:left w:w="120" w:type="dxa"/>
              <w:bottom w:w="80" w:type="dxa"/>
              <w:right w:w="120" w:type="dxa"/>
            </w:tcMar>
            <w:vAlign w:val="center"/>
          </w:tcPr>
          <w:p w14:paraId="69DE53F3" w14:textId="213C681B" w:rsidR="00F227D4" w:rsidRPr="008059D3" w:rsidRDefault="00A409F2" w:rsidP="008059D3">
            <w:pPr>
              <w:spacing w:line="360" w:lineRule="auto"/>
            </w:pPr>
            <w:r w:rsidRPr="008059D3">
              <w:rPr>
                <w:color w:val="000000"/>
                <w:sz w:val="20"/>
                <w:szCs w:val="20"/>
              </w:rPr>
              <w:t xml:space="preserve">Roll out </w:t>
            </w:r>
            <w:r w:rsidR="00E461C8">
              <w:rPr>
                <w:color w:val="000000"/>
                <w:sz w:val="20"/>
                <w:szCs w:val="20"/>
              </w:rPr>
              <w:t xml:space="preserve">an </w:t>
            </w:r>
            <w:r w:rsidRPr="008059D3">
              <w:rPr>
                <w:color w:val="000000"/>
                <w:sz w:val="20"/>
                <w:szCs w:val="20"/>
              </w:rPr>
              <w:t xml:space="preserve">AI literacy training </w:t>
            </w:r>
            <w:proofErr w:type="spellStart"/>
            <w:r w:rsidRPr="008059D3">
              <w:rPr>
                <w:color w:val="000000"/>
                <w:sz w:val="20"/>
                <w:szCs w:val="20"/>
              </w:rPr>
              <w:t>programme</w:t>
            </w:r>
            <w:proofErr w:type="spellEnd"/>
            <w:r w:rsidRPr="008059D3">
              <w:rPr>
                <w:color w:val="000000"/>
                <w:sz w:val="20"/>
                <w:szCs w:val="20"/>
              </w:rPr>
              <w:t xml:space="preserve"> for 5,000+ operational, safety, and compliance staff</w:t>
            </w:r>
          </w:p>
        </w:tc>
        <w:tc>
          <w:tcPr>
            <w:tcW w:w="846" w:type="pct"/>
            <w:shd w:val="clear" w:color="auto" w:fill="E8E8E8" w:themeFill="background2"/>
            <w:tcMar>
              <w:top w:w="80" w:type="dxa"/>
              <w:left w:w="120" w:type="dxa"/>
              <w:bottom w:w="80" w:type="dxa"/>
              <w:right w:w="120" w:type="dxa"/>
            </w:tcMar>
            <w:vAlign w:val="center"/>
          </w:tcPr>
          <w:p w14:paraId="11478485" w14:textId="5D62BC1F" w:rsidR="00F227D4" w:rsidRPr="008059D3" w:rsidRDefault="00A409F2" w:rsidP="008059D3">
            <w:pPr>
              <w:spacing w:line="360" w:lineRule="auto"/>
            </w:pPr>
            <w:r w:rsidRPr="008059D3">
              <w:rPr>
                <w:color w:val="000000"/>
                <w:sz w:val="20"/>
                <w:szCs w:val="20"/>
              </w:rPr>
              <w:t>~</w:t>
            </w:r>
            <w:r w:rsidR="00A15498">
              <w:rPr>
                <w:color w:val="000000"/>
                <w:sz w:val="20"/>
                <w:szCs w:val="20"/>
              </w:rPr>
              <w:t xml:space="preserve">GBP </w:t>
            </w:r>
            <w:r w:rsidRPr="008059D3">
              <w:rPr>
                <w:color w:val="000000"/>
                <w:sz w:val="20"/>
                <w:szCs w:val="20"/>
              </w:rPr>
              <w:t>3.5m (blended learning platform + facilitation)</w:t>
            </w:r>
          </w:p>
        </w:tc>
        <w:tc>
          <w:tcPr>
            <w:tcW w:w="793" w:type="pct"/>
            <w:shd w:val="clear" w:color="auto" w:fill="E8E8E8" w:themeFill="background2"/>
            <w:tcMar>
              <w:top w:w="80" w:type="dxa"/>
              <w:left w:w="120" w:type="dxa"/>
              <w:bottom w:w="80" w:type="dxa"/>
              <w:right w:w="120" w:type="dxa"/>
            </w:tcMar>
            <w:vAlign w:val="center"/>
          </w:tcPr>
          <w:p w14:paraId="7FB3A3BA" w14:textId="3A906606" w:rsidR="00F227D4" w:rsidRPr="008059D3" w:rsidRDefault="00E461C8" w:rsidP="008059D3">
            <w:pPr>
              <w:spacing w:line="360" w:lineRule="auto"/>
            </w:pPr>
            <w:r>
              <w:rPr>
                <w:color w:val="000000"/>
                <w:sz w:val="20"/>
                <w:szCs w:val="20"/>
              </w:rPr>
              <w:t>BP</w:t>
            </w:r>
            <w:r w:rsidR="00A409F2" w:rsidRPr="008059D3">
              <w:rPr>
                <w:color w:val="000000"/>
                <w:sz w:val="20"/>
                <w:szCs w:val="20"/>
              </w:rPr>
              <w:t xml:space="preserve"> Chief Learning Officer</w:t>
            </w:r>
          </w:p>
        </w:tc>
        <w:tc>
          <w:tcPr>
            <w:tcW w:w="852" w:type="pct"/>
            <w:shd w:val="clear" w:color="auto" w:fill="E8E8E8" w:themeFill="background2"/>
            <w:tcMar>
              <w:top w:w="80" w:type="dxa"/>
              <w:left w:w="120" w:type="dxa"/>
              <w:bottom w:w="80" w:type="dxa"/>
              <w:right w:w="120" w:type="dxa"/>
            </w:tcMar>
            <w:vAlign w:val="center"/>
          </w:tcPr>
          <w:p w14:paraId="299D065D" w14:textId="77777777" w:rsidR="00F227D4" w:rsidRPr="008059D3" w:rsidRDefault="00A409F2" w:rsidP="008059D3">
            <w:pPr>
              <w:spacing w:line="360" w:lineRule="auto"/>
            </w:pPr>
            <w:r w:rsidRPr="008059D3">
              <w:rPr>
                <w:color w:val="000000"/>
                <w:sz w:val="20"/>
                <w:szCs w:val="20"/>
              </w:rPr>
              <w:t>95% completion rate; pre/post competency score improvement &gt;30%</w:t>
            </w:r>
          </w:p>
        </w:tc>
        <w:tc>
          <w:tcPr>
            <w:tcW w:w="876" w:type="pct"/>
            <w:shd w:val="clear" w:color="auto" w:fill="E8E8E8" w:themeFill="background2"/>
            <w:tcMar>
              <w:top w:w="80" w:type="dxa"/>
              <w:left w:w="120" w:type="dxa"/>
              <w:bottom w:w="80" w:type="dxa"/>
              <w:right w:w="120" w:type="dxa"/>
            </w:tcMar>
            <w:vAlign w:val="center"/>
          </w:tcPr>
          <w:p w14:paraId="0809F7ED" w14:textId="77777777" w:rsidR="00F227D4" w:rsidRPr="008059D3" w:rsidRDefault="00A409F2" w:rsidP="008059D3">
            <w:pPr>
              <w:spacing w:line="360" w:lineRule="auto"/>
            </w:pPr>
            <w:r w:rsidRPr="008059D3">
              <w:rPr>
                <w:color w:val="000000"/>
                <w:sz w:val="20"/>
                <w:szCs w:val="20"/>
              </w:rPr>
              <w:t>UK Health and Safety at Work Act 1974; OSHA AI risk training guidance</w:t>
            </w:r>
          </w:p>
        </w:tc>
      </w:tr>
      <w:tr w:rsidR="00567BB1" w:rsidRPr="008059D3" w14:paraId="07281B8C" w14:textId="77777777" w:rsidTr="008B6800">
        <w:trPr>
          <w:trHeight w:val="638"/>
          <w:jc w:val="center"/>
        </w:trPr>
        <w:tc>
          <w:tcPr>
            <w:tcW w:w="683" w:type="pct"/>
            <w:vMerge w:val="restart"/>
            <w:shd w:val="clear" w:color="auto" w:fill="E2EFDA"/>
            <w:tcMar>
              <w:top w:w="80" w:type="dxa"/>
              <w:left w:w="120" w:type="dxa"/>
              <w:bottom w:w="80" w:type="dxa"/>
              <w:right w:w="120" w:type="dxa"/>
            </w:tcMar>
            <w:vAlign w:val="center"/>
          </w:tcPr>
          <w:p w14:paraId="1AF2C110" w14:textId="77777777" w:rsidR="00F227D4" w:rsidRPr="008059D3" w:rsidRDefault="00A409F2" w:rsidP="008059D3">
            <w:pPr>
              <w:spacing w:line="360" w:lineRule="auto"/>
              <w:jc w:val="center"/>
            </w:pPr>
            <w:r w:rsidRPr="008059D3">
              <w:rPr>
                <w:b/>
                <w:bCs/>
                <w:color w:val="375623"/>
                <w:sz w:val="20"/>
                <w:szCs w:val="20"/>
              </w:rPr>
              <w:t>LONG-TERM (18–36 months)</w:t>
            </w:r>
          </w:p>
        </w:tc>
        <w:tc>
          <w:tcPr>
            <w:tcW w:w="949" w:type="pct"/>
            <w:shd w:val="clear" w:color="auto" w:fill="FFFFFF" w:themeFill="background1"/>
            <w:tcMar>
              <w:top w:w="80" w:type="dxa"/>
              <w:left w:w="120" w:type="dxa"/>
              <w:bottom w:w="80" w:type="dxa"/>
              <w:right w:w="120" w:type="dxa"/>
            </w:tcMar>
            <w:vAlign w:val="center"/>
          </w:tcPr>
          <w:p w14:paraId="6DE55289" w14:textId="2B59260E" w:rsidR="00F227D4" w:rsidRPr="008059D3" w:rsidRDefault="00A409F2" w:rsidP="008059D3">
            <w:pPr>
              <w:spacing w:line="360" w:lineRule="auto"/>
            </w:pPr>
            <w:r w:rsidRPr="008059D3">
              <w:rPr>
                <w:color w:val="000000"/>
                <w:sz w:val="20"/>
                <w:szCs w:val="20"/>
              </w:rPr>
              <w:t>Establish AI Centre of Excellence (</w:t>
            </w:r>
            <w:proofErr w:type="spellStart"/>
            <w:r w:rsidRPr="008059D3">
              <w:rPr>
                <w:color w:val="000000"/>
                <w:sz w:val="20"/>
                <w:szCs w:val="20"/>
              </w:rPr>
              <w:t>CoE</w:t>
            </w:r>
            <w:proofErr w:type="spellEnd"/>
            <w:r w:rsidRPr="008059D3">
              <w:rPr>
                <w:color w:val="000000"/>
                <w:sz w:val="20"/>
                <w:szCs w:val="20"/>
              </w:rPr>
              <w:t>) at bp's Sunbury campus</w:t>
            </w:r>
            <w:r w:rsidR="00E461C8">
              <w:rPr>
                <w:color w:val="000000"/>
                <w:sz w:val="20"/>
                <w:szCs w:val="20"/>
              </w:rPr>
              <w:t>,</w:t>
            </w:r>
            <w:r w:rsidRPr="008059D3">
              <w:rPr>
                <w:color w:val="000000"/>
                <w:sz w:val="20"/>
                <w:szCs w:val="20"/>
              </w:rPr>
              <w:t xml:space="preserve"> integrating UK university partnerships (Imperial College, Heriot-Watt)</w:t>
            </w:r>
          </w:p>
        </w:tc>
        <w:tc>
          <w:tcPr>
            <w:tcW w:w="846" w:type="pct"/>
            <w:shd w:val="clear" w:color="auto" w:fill="FFFFFF" w:themeFill="background1"/>
            <w:tcMar>
              <w:top w:w="80" w:type="dxa"/>
              <w:left w:w="120" w:type="dxa"/>
              <w:bottom w:w="80" w:type="dxa"/>
              <w:right w:w="120" w:type="dxa"/>
            </w:tcMar>
            <w:vAlign w:val="center"/>
          </w:tcPr>
          <w:p w14:paraId="119C414E" w14:textId="0899A7F4" w:rsidR="00F227D4" w:rsidRPr="008059D3" w:rsidRDefault="00A409F2" w:rsidP="008059D3">
            <w:pPr>
              <w:spacing w:line="360" w:lineRule="auto"/>
            </w:pPr>
            <w:r w:rsidRPr="008059D3">
              <w:rPr>
                <w:color w:val="000000"/>
                <w:sz w:val="20"/>
                <w:szCs w:val="20"/>
              </w:rPr>
              <w:t>~</w:t>
            </w:r>
            <w:r w:rsidR="00A15498">
              <w:rPr>
                <w:color w:val="000000"/>
                <w:sz w:val="20"/>
                <w:szCs w:val="20"/>
              </w:rPr>
              <w:t xml:space="preserve">GBP </w:t>
            </w:r>
            <w:r w:rsidRPr="008059D3">
              <w:rPr>
                <w:color w:val="000000"/>
                <w:sz w:val="20"/>
                <w:szCs w:val="20"/>
              </w:rPr>
              <w:t>25m (capital + 5-year staffing)</w:t>
            </w:r>
          </w:p>
        </w:tc>
        <w:tc>
          <w:tcPr>
            <w:tcW w:w="793" w:type="pct"/>
            <w:shd w:val="clear" w:color="auto" w:fill="FFFFFF" w:themeFill="background1"/>
            <w:tcMar>
              <w:top w:w="80" w:type="dxa"/>
              <w:left w:w="120" w:type="dxa"/>
              <w:bottom w:w="80" w:type="dxa"/>
              <w:right w:w="120" w:type="dxa"/>
            </w:tcMar>
            <w:vAlign w:val="center"/>
          </w:tcPr>
          <w:p w14:paraId="3281FC04" w14:textId="7C3CE36C" w:rsidR="00F227D4" w:rsidRPr="008059D3" w:rsidRDefault="00E461C8" w:rsidP="008059D3">
            <w:pPr>
              <w:spacing w:line="360" w:lineRule="auto"/>
            </w:pPr>
            <w:r>
              <w:rPr>
                <w:color w:val="000000"/>
                <w:sz w:val="20"/>
                <w:szCs w:val="20"/>
              </w:rPr>
              <w:t>BP</w:t>
            </w:r>
            <w:r w:rsidR="00A409F2" w:rsidRPr="008059D3">
              <w:rPr>
                <w:color w:val="000000"/>
                <w:sz w:val="20"/>
                <w:szCs w:val="20"/>
              </w:rPr>
              <w:t xml:space="preserve"> Chief Digital and Innovation Officer</w:t>
            </w:r>
          </w:p>
        </w:tc>
        <w:tc>
          <w:tcPr>
            <w:tcW w:w="852" w:type="pct"/>
            <w:shd w:val="clear" w:color="auto" w:fill="FFFFFF" w:themeFill="background1"/>
            <w:tcMar>
              <w:top w:w="80" w:type="dxa"/>
              <w:left w:w="120" w:type="dxa"/>
              <w:bottom w:w="80" w:type="dxa"/>
              <w:right w:w="120" w:type="dxa"/>
            </w:tcMar>
            <w:vAlign w:val="center"/>
          </w:tcPr>
          <w:p w14:paraId="3FAE0583" w14:textId="77777777" w:rsidR="00F227D4" w:rsidRPr="008059D3" w:rsidRDefault="00A409F2" w:rsidP="008059D3">
            <w:pPr>
              <w:spacing w:line="360" w:lineRule="auto"/>
            </w:pPr>
            <w:r w:rsidRPr="008059D3">
              <w:rPr>
                <w:color w:val="000000"/>
                <w:sz w:val="20"/>
                <w:szCs w:val="20"/>
              </w:rPr>
              <w:t xml:space="preserve">10 peer-reviewed AI safety publications; 3 novel patents filed; </w:t>
            </w:r>
            <w:proofErr w:type="spellStart"/>
            <w:r w:rsidRPr="008059D3">
              <w:rPr>
                <w:color w:val="000000"/>
                <w:sz w:val="20"/>
                <w:szCs w:val="20"/>
              </w:rPr>
              <w:t>CoE</w:t>
            </w:r>
            <w:proofErr w:type="spellEnd"/>
            <w:r w:rsidRPr="008059D3">
              <w:rPr>
                <w:color w:val="000000"/>
                <w:sz w:val="20"/>
                <w:szCs w:val="20"/>
              </w:rPr>
              <w:t xml:space="preserve"> operational by Q4 2027</w:t>
            </w:r>
          </w:p>
        </w:tc>
        <w:tc>
          <w:tcPr>
            <w:tcW w:w="876" w:type="pct"/>
            <w:shd w:val="clear" w:color="auto" w:fill="FFFFFF" w:themeFill="background1"/>
            <w:tcMar>
              <w:top w:w="80" w:type="dxa"/>
              <w:left w:w="120" w:type="dxa"/>
              <w:bottom w:w="80" w:type="dxa"/>
              <w:right w:w="120" w:type="dxa"/>
            </w:tcMar>
            <w:vAlign w:val="center"/>
          </w:tcPr>
          <w:p w14:paraId="12164730" w14:textId="77777777" w:rsidR="00F227D4" w:rsidRPr="008059D3" w:rsidRDefault="00A409F2" w:rsidP="008059D3">
            <w:pPr>
              <w:spacing w:line="360" w:lineRule="auto"/>
            </w:pPr>
            <w:r w:rsidRPr="008059D3">
              <w:rPr>
                <w:color w:val="000000"/>
                <w:sz w:val="20"/>
                <w:szCs w:val="20"/>
              </w:rPr>
              <w:t>UK AI Sector Deal; ARIA funding eligibility; NIST AI RMF research pillar</w:t>
            </w:r>
          </w:p>
        </w:tc>
      </w:tr>
      <w:tr w:rsidR="00567BB1" w:rsidRPr="008059D3" w14:paraId="56C6D034" w14:textId="77777777" w:rsidTr="008B6800">
        <w:trPr>
          <w:trHeight w:val="2096"/>
          <w:jc w:val="center"/>
        </w:trPr>
        <w:tc>
          <w:tcPr>
            <w:tcW w:w="683" w:type="pct"/>
            <w:vMerge/>
          </w:tcPr>
          <w:p w14:paraId="0494D0E6" w14:textId="77777777" w:rsidR="00F227D4" w:rsidRPr="008059D3" w:rsidRDefault="00F227D4" w:rsidP="008059D3">
            <w:pPr>
              <w:spacing w:line="360" w:lineRule="auto"/>
            </w:pPr>
          </w:p>
        </w:tc>
        <w:tc>
          <w:tcPr>
            <w:tcW w:w="949" w:type="pct"/>
            <w:shd w:val="clear" w:color="auto" w:fill="E8E8E8" w:themeFill="background2"/>
            <w:tcMar>
              <w:top w:w="80" w:type="dxa"/>
              <w:left w:w="120" w:type="dxa"/>
              <w:bottom w:w="80" w:type="dxa"/>
              <w:right w:w="120" w:type="dxa"/>
            </w:tcMar>
            <w:vAlign w:val="center"/>
          </w:tcPr>
          <w:p w14:paraId="5C1EBBA1" w14:textId="77777777" w:rsidR="00F227D4" w:rsidRPr="008059D3" w:rsidRDefault="00A409F2" w:rsidP="008059D3">
            <w:pPr>
              <w:spacing w:line="360" w:lineRule="auto"/>
            </w:pPr>
            <w:r w:rsidRPr="008059D3">
              <w:rPr>
                <w:color w:val="000000"/>
                <w:sz w:val="20"/>
                <w:szCs w:val="20"/>
              </w:rPr>
              <w:t>Achieve ISO/IEC 42001 (AI Management System) certification across all AI-enabled upstream and downstream operations</w:t>
            </w:r>
          </w:p>
        </w:tc>
        <w:tc>
          <w:tcPr>
            <w:tcW w:w="846" w:type="pct"/>
            <w:shd w:val="clear" w:color="auto" w:fill="E8E8E8" w:themeFill="background2"/>
            <w:tcMar>
              <w:top w:w="80" w:type="dxa"/>
              <w:left w:w="120" w:type="dxa"/>
              <w:bottom w:w="80" w:type="dxa"/>
              <w:right w:w="120" w:type="dxa"/>
            </w:tcMar>
            <w:vAlign w:val="center"/>
          </w:tcPr>
          <w:p w14:paraId="2210F28C" w14:textId="13EA5B80" w:rsidR="00F227D4" w:rsidRPr="008059D3" w:rsidRDefault="00A409F2" w:rsidP="008059D3">
            <w:pPr>
              <w:spacing w:line="360" w:lineRule="auto"/>
            </w:pPr>
            <w:r w:rsidRPr="008059D3">
              <w:rPr>
                <w:color w:val="000000"/>
                <w:sz w:val="20"/>
                <w:szCs w:val="20"/>
              </w:rPr>
              <w:t>~</w:t>
            </w:r>
            <w:r w:rsidR="00A15498">
              <w:rPr>
                <w:color w:val="000000"/>
                <w:sz w:val="20"/>
                <w:szCs w:val="20"/>
              </w:rPr>
              <w:t xml:space="preserve">GBP </w:t>
            </w:r>
            <w:r w:rsidRPr="008059D3">
              <w:rPr>
                <w:color w:val="000000"/>
                <w:sz w:val="20"/>
                <w:szCs w:val="20"/>
              </w:rPr>
              <w:t>6m (certification + system uplift)</w:t>
            </w:r>
          </w:p>
        </w:tc>
        <w:tc>
          <w:tcPr>
            <w:tcW w:w="793" w:type="pct"/>
            <w:shd w:val="clear" w:color="auto" w:fill="E8E8E8" w:themeFill="background2"/>
            <w:tcMar>
              <w:top w:w="80" w:type="dxa"/>
              <w:left w:w="120" w:type="dxa"/>
              <w:bottom w:w="80" w:type="dxa"/>
              <w:right w:w="120" w:type="dxa"/>
            </w:tcMar>
            <w:vAlign w:val="center"/>
          </w:tcPr>
          <w:p w14:paraId="7F359D47" w14:textId="77777777" w:rsidR="00F227D4" w:rsidRPr="008059D3" w:rsidRDefault="00A409F2" w:rsidP="008059D3">
            <w:pPr>
              <w:spacing w:line="360" w:lineRule="auto"/>
            </w:pPr>
            <w:r w:rsidRPr="008059D3">
              <w:rPr>
                <w:color w:val="000000"/>
                <w:sz w:val="20"/>
                <w:szCs w:val="20"/>
              </w:rPr>
              <w:t>bp Group AI Governance Board</w:t>
            </w:r>
          </w:p>
        </w:tc>
        <w:tc>
          <w:tcPr>
            <w:tcW w:w="852" w:type="pct"/>
            <w:shd w:val="clear" w:color="auto" w:fill="E8E8E8" w:themeFill="background2"/>
            <w:tcMar>
              <w:top w:w="80" w:type="dxa"/>
              <w:left w:w="120" w:type="dxa"/>
              <w:bottom w:w="80" w:type="dxa"/>
              <w:right w:w="120" w:type="dxa"/>
            </w:tcMar>
            <w:vAlign w:val="center"/>
          </w:tcPr>
          <w:p w14:paraId="46DFA461" w14:textId="77777777" w:rsidR="00F227D4" w:rsidRPr="008059D3" w:rsidRDefault="00A409F2" w:rsidP="008059D3">
            <w:pPr>
              <w:spacing w:line="360" w:lineRule="auto"/>
            </w:pPr>
            <w:r w:rsidRPr="008059D3">
              <w:rPr>
                <w:color w:val="000000"/>
                <w:sz w:val="20"/>
                <w:szCs w:val="20"/>
              </w:rPr>
              <w:t>Full ISO 42001 certification by 2028; annual third-party surveillance audit passed</w:t>
            </w:r>
          </w:p>
        </w:tc>
        <w:tc>
          <w:tcPr>
            <w:tcW w:w="876" w:type="pct"/>
            <w:shd w:val="clear" w:color="auto" w:fill="E8E8E8" w:themeFill="background2"/>
            <w:tcMar>
              <w:top w:w="80" w:type="dxa"/>
              <w:left w:w="120" w:type="dxa"/>
              <w:bottom w:w="80" w:type="dxa"/>
              <w:right w:w="120" w:type="dxa"/>
            </w:tcMar>
            <w:vAlign w:val="center"/>
          </w:tcPr>
          <w:p w14:paraId="0CB1F32F" w14:textId="77777777" w:rsidR="00F227D4" w:rsidRPr="008059D3" w:rsidRDefault="00A409F2" w:rsidP="008059D3">
            <w:pPr>
              <w:spacing w:line="360" w:lineRule="auto"/>
            </w:pPr>
            <w:r w:rsidRPr="008059D3">
              <w:rPr>
                <w:color w:val="000000"/>
                <w:sz w:val="20"/>
                <w:szCs w:val="20"/>
              </w:rPr>
              <w:t>ISO/IEC 42001; EU AI Act (supply chain alignment); UK pro-innovation framework</w:t>
            </w:r>
          </w:p>
        </w:tc>
      </w:tr>
      <w:tr w:rsidR="00567BB1" w:rsidRPr="008059D3" w14:paraId="1F1F13C7" w14:textId="77777777" w:rsidTr="008B6800">
        <w:trPr>
          <w:trHeight w:val="882"/>
          <w:jc w:val="center"/>
        </w:trPr>
        <w:tc>
          <w:tcPr>
            <w:tcW w:w="1632" w:type="pct"/>
            <w:gridSpan w:val="2"/>
            <w:shd w:val="clear" w:color="auto" w:fill="DAE9F7" w:themeFill="text2" w:themeFillTint="1A"/>
            <w:tcMar>
              <w:top w:w="80" w:type="dxa"/>
              <w:left w:w="120" w:type="dxa"/>
              <w:bottom w:w="80" w:type="dxa"/>
              <w:right w:w="120" w:type="dxa"/>
            </w:tcMar>
          </w:tcPr>
          <w:p w14:paraId="0697CD44" w14:textId="77777777" w:rsidR="00F227D4" w:rsidRPr="008059D3" w:rsidRDefault="00A409F2" w:rsidP="008059D3">
            <w:pPr>
              <w:spacing w:line="360" w:lineRule="auto"/>
              <w:jc w:val="right"/>
              <w:rPr>
                <w:color w:val="000000" w:themeColor="text1"/>
              </w:rPr>
            </w:pPr>
            <w:r w:rsidRPr="008059D3">
              <w:rPr>
                <w:b/>
                <w:bCs/>
                <w:color w:val="000000" w:themeColor="text1"/>
                <w:sz w:val="20"/>
                <w:szCs w:val="20"/>
              </w:rPr>
              <w:t>TOTAL ESTIMATED INVESTMENT</w:t>
            </w:r>
          </w:p>
        </w:tc>
        <w:tc>
          <w:tcPr>
            <w:tcW w:w="3368" w:type="pct"/>
            <w:gridSpan w:val="4"/>
            <w:shd w:val="clear" w:color="auto" w:fill="DAE9F7" w:themeFill="text2" w:themeFillTint="1A"/>
            <w:tcMar>
              <w:top w:w="80" w:type="dxa"/>
              <w:left w:w="120" w:type="dxa"/>
              <w:bottom w:w="80" w:type="dxa"/>
              <w:right w:w="120" w:type="dxa"/>
            </w:tcMar>
          </w:tcPr>
          <w:p w14:paraId="08AA6473" w14:textId="51A5818F" w:rsidR="00F227D4" w:rsidRPr="008059D3" w:rsidRDefault="00A409F2" w:rsidP="008059D3">
            <w:pPr>
              <w:spacing w:line="360" w:lineRule="auto"/>
              <w:rPr>
                <w:color w:val="000000" w:themeColor="text1"/>
              </w:rPr>
            </w:pPr>
            <w:r w:rsidRPr="008059D3">
              <w:rPr>
                <w:b/>
                <w:bCs/>
                <w:color w:val="000000" w:themeColor="text1"/>
                <w:sz w:val="20"/>
                <w:szCs w:val="20"/>
              </w:rPr>
              <w:t>~</w:t>
            </w:r>
            <w:r w:rsidR="00A15498">
              <w:rPr>
                <w:b/>
                <w:bCs/>
                <w:color w:val="000000" w:themeColor="text1"/>
                <w:sz w:val="20"/>
                <w:szCs w:val="20"/>
              </w:rPr>
              <w:t xml:space="preserve">GBP </w:t>
            </w:r>
            <w:r w:rsidRPr="008059D3">
              <w:rPr>
                <w:b/>
                <w:bCs/>
                <w:color w:val="000000" w:themeColor="text1"/>
                <w:sz w:val="20"/>
                <w:szCs w:val="20"/>
              </w:rPr>
              <w:t>67.8m across 36 months (&lt;0.6% of bp's 2023 EBITDA of ~</w:t>
            </w:r>
            <w:r w:rsidR="008B6800">
              <w:rPr>
                <w:b/>
                <w:bCs/>
                <w:color w:val="000000" w:themeColor="text1"/>
                <w:sz w:val="20"/>
                <w:szCs w:val="20"/>
              </w:rPr>
              <w:t xml:space="preserve">USD </w:t>
            </w:r>
            <w:r w:rsidRPr="008059D3">
              <w:rPr>
                <w:b/>
                <w:bCs/>
                <w:color w:val="000000" w:themeColor="text1"/>
                <w:sz w:val="20"/>
                <w:szCs w:val="20"/>
              </w:rPr>
              <w:t xml:space="preserve">27.7bn; substantially less than a potential </w:t>
            </w:r>
            <w:r w:rsidR="008B6800">
              <w:rPr>
                <w:b/>
                <w:bCs/>
                <w:color w:val="000000" w:themeColor="text1"/>
                <w:sz w:val="20"/>
                <w:szCs w:val="20"/>
              </w:rPr>
              <w:t xml:space="preserve">USD </w:t>
            </w:r>
            <w:r w:rsidRPr="008059D3">
              <w:rPr>
                <w:b/>
                <w:bCs/>
                <w:color w:val="000000" w:themeColor="text1"/>
                <w:sz w:val="20"/>
                <w:szCs w:val="20"/>
              </w:rPr>
              <w:t>1bn+ regulatory penalty under BSEE or EPA enforcement action)</w:t>
            </w:r>
          </w:p>
        </w:tc>
      </w:tr>
    </w:tbl>
    <w:p w14:paraId="5E07D122" w14:textId="297AFA80" w:rsidR="00CF029B" w:rsidRPr="008059D3" w:rsidRDefault="00CF029B" w:rsidP="008059D3">
      <w:pPr>
        <w:spacing w:line="360" w:lineRule="auto"/>
        <w:jc w:val="center"/>
        <w:rPr>
          <w:color w:val="000000" w:themeColor="text1"/>
          <w:sz w:val="20"/>
          <w:szCs w:val="20"/>
        </w:rPr>
      </w:pPr>
      <w:r w:rsidRPr="008059D3">
        <w:rPr>
          <w:i/>
          <w:iCs/>
          <w:color w:val="000000" w:themeColor="text1"/>
          <w:sz w:val="18"/>
          <w:szCs w:val="18"/>
        </w:rPr>
        <w:t>Table 3:</w:t>
      </w:r>
      <w:r w:rsidR="00B24810" w:rsidRPr="008059D3">
        <w:rPr>
          <w:i/>
          <w:iCs/>
          <w:color w:val="000000" w:themeColor="text1"/>
          <w:sz w:val="18"/>
          <w:szCs w:val="18"/>
        </w:rPr>
        <w:t xml:space="preserve"> B</w:t>
      </w:r>
      <w:r w:rsidR="00137979" w:rsidRPr="008059D3">
        <w:rPr>
          <w:i/>
          <w:iCs/>
          <w:color w:val="000000" w:themeColor="text1"/>
          <w:sz w:val="18"/>
          <w:szCs w:val="18"/>
        </w:rPr>
        <w:t>p</w:t>
      </w:r>
      <w:r w:rsidRPr="008059D3">
        <w:rPr>
          <w:i/>
          <w:iCs/>
          <w:color w:val="000000" w:themeColor="text1"/>
          <w:sz w:val="18"/>
          <w:szCs w:val="18"/>
        </w:rPr>
        <w:t xml:space="preserve"> AI Governance Implementation Plan – Phased Actions, Costs, and Regulatory Alignment</w:t>
      </w:r>
    </w:p>
    <w:p w14:paraId="22B6ACA8" w14:textId="595BF5CA" w:rsidR="00525813" w:rsidRPr="008059D3" w:rsidRDefault="00936C59" w:rsidP="008059D3">
      <w:pPr>
        <w:spacing w:line="360" w:lineRule="auto"/>
        <w:jc w:val="center"/>
      </w:pPr>
      <w:r w:rsidRPr="00936C59">
        <w:rPr>
          <w:noProof/>
        </w:rPr>
        <w:drawing>
          <wp:inline distT="0" distB="0" distL="0" distR="0" wp14:anchorId="37F12458" wp14:editId="1A2681F1">
            <wp:extent cx="4419600" cy="4157698"/>
            <wp:effectExtent l="0" t="0" r="0" b="0"/>
            <wp:docPr id="637330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330351" name=""/>
                    <pic:cNvPicPr/>
                  </pic:nvPicPr>
                  <pic:blipFill>
                    <a:blip r:embed="rId10"/>
                    <a:stretch>
                      <a:fillRect/>
                    </a:stretch>
                  </pic:blipFill>
                  <pic:spPr>
                    <a:xfrm>
                      <a:off x="0" y="0"/>
                      <a:ext cx="4423314" cy="4161192"/>
                    </a:xfrm>
                    <a:prstGeom prst="rect">
                      <a:avLst/>
                    </a:prstGeom>
                  </pic:spPr>
                </pic:pic>
              </a:graphicData>
            </a:graphic>
          </wp:inline>
        </w:drawing>
      </w:r>
    </w:p>
    <w:p w14:paraId="4F21612B" w14:textId="75BBDB3C" w:rsidR="00F227D4" w:rsidRPr="008059D3" w:rsidRDefault="00A409F2" w:rsidP="008059D3">
      <w:pPr>
        <w:spacing w:line="360" w:lineRule="auto"/>
        <w:jc w:val="center"/>
        <w:rPr>
          <w:color w:val="000000" w:themeColor="text1"/>
          <w:sz w:val="20"/>
          <w:szCs w:val="20"/>
        </w:rPr>
      </w:pPr>
      <w:r w:rsidRPr="008059D3">
        <w:rPr>
          <w:i/>
          <w:iCs/>
          <w:color w:val="000000" w:themeColor="text1"/>
          <w:sz w:val="18"/>
          <w:szCs w:val="18"/>
        </w:rPr>
        <w:t xml:space="preserve">Figure 2: Proposed Regulatory-Aware AI Governance Layer Architecture for </w:t>
      </w:r>
      <w:r w:rsidR="00CF029B" w:rsidRPr="008059D3">
        <w:rPr>
          <w:i/>
          <w:iCs/>
          <w:color w:val="000000" w:themeColor="text1"/>
          <w:sz w:val="18"/>
          <w:szCs w:val="18"/>
        </w:rPr>
        <w:t>bp (Self-Made)</w:t>
      </w:r>
    </w:p>
    <w:p w14:paraId="48377397" w14:textId="7A19E04B" w:rsidR="00DD49DA" w:rsidRPr="00DD49DA" w:rsidRDefault="00DD49DA" w:rsidP="00DD49DA">
      <w:pPr>
        <w:spacing w:line="360" w:lineRule="auto"/>
        <w:jc w:val="both"/>
        <w:rPr>
          <w:sz w:val="24"/>
          <w:szCs w:val="24"/>
        </w:rPr>
      </w:pPr>
      <w:r w:rsidRPr="00DD49DA">
        <w:rPr>
          <w:sz w:val="24"/>
          <w:szCs w:val="24"/>
        </w:rPr>
        <w:t xml:space="preserve">Short-term (0-6 months): An AI Governance Board, using the current Chief Risk Officer, Legal and ESG leadership of bp, will need minimum capital input and can be implemented in three months. The most urgent compliance gap in regulations, reflected by the fact that the existing AI systems are not capable of generating the decision-trail documentation </w:t>
      </w:r>
      <w:r w:rsidRPr="00DD49DA">
        <w:rPr>
          <w:sz w:val="24"/>
          <w:szCs w:val="24"/>
        </w:rPr>
        <w:lastRenderedPageBreak/>
        <w:t xml:space="preserve">mandated by the HSE and BSEE, is bridged by deploying XAI audit tools to safety-critical AI systems, estimated to cost about GBP 2.0 million to enterprise license platforms like Dataiku or IBM Watson </w:t>
      </w:r>
      <w:proofErr w:type="spellStart"/>
      <w:r w:rsidRPr="00DD49DA">
        <w:rPr>
          <w:sz w:val="24"/>
          <w:szCs w:val="24"/>
        </w:rPr>
        <w:t>OpenScale</w:t>
      </w:r>
      <w:proofErr w:type="spellEnd"/>
      <w:r w:rsidRPr="00DD49DA">
        <w:rPr>
          <w:sz w:val="24"/>
          <w:szCs w:val="24"/>
        </w:rPr>
        <w:t xml:space="preserve">. This sequencing is confirmed by </w:t>
      </w:r>
      <w:proofErr w:type="spellStart"/>
      <w:r w:rsidRPr="00DD49DA">
        <w:rPr>
          <w:sz w:val="24"/>
          <w:szCs w:val="24"/>
        </w:rPr>
        <w:t>Drozdz</w:t>
      </w:r>
      <w:proofErr w:type="spellEnd"/>
      <w:r w:rsidRPr="00DD49DA">
        <w:rPr>
          <w:sz w:val="24"/>
          <w:szCs w:val="24"/>
        </w:rPr>
        <w:t xml:space="preserve"> and </w:t>
      </w:r>
      <w:proofErr w:type="spellStart"/>
      <w:r w:rsidRPr="00DD49DA">
        <w:rPr>
          <w:sz w:val="24"/>
          <w:szCs w:val="24"/>
        </w:rPr>
        <w:t>Redzeb</w:t>
      </w:r>
      <w:proofErr w:type="spellEnd"/>
      <w:r w:rsidRPr="00DD49DA">
        <w:rPr>
          <w:sz w:val="24"/>
          <w:szCs w:val="24"/>
        </w:rPr>
        <w:t xml:space="preserve"> (2026), who state that governance infrastructure set up before, but not at the same time as large-scale AI implementations</w:t>
      </w:r>
      <w:r w:rsidR="00E461C8">
        <w:rPr>
          <w:sz w:val="24"/>
          <w:szCs w:val="24"/>
        </w:rPr>
        <w:t>, provides</w:t>
      </w:r>
      <w:r w:rsidRPr="00DD49DA">
        <w:rPr>
          <w:sz w:val="24"/>
          <w:szCs w:val="24"/>
        </w:rPr>
        <w:t xml:space="preserve"> </w:t>
      </w:r>
      <w:r w:rsidR="00E461C8">
        <w:rPr>
          <w:sz w:val="24"/>
          <w:szCs w:val="24"/>
        </w:rPr>
        <w:t>much-improved</w:t>
      </w:r>
      <w:r w:rsidRPr="00DD49DA">
        <w:rPr>
          <w:sz w:val="24"/>
          <w:szCs w:val="24"/>
        </w:rPr>
        <w:t xml:space="preserve"> compliance results in energy enterprises.</w:t>
      </w:r>
    </w:p>
    <w:p w14:paraId="125A3D6D" w14:textId="427AD026" w:rsidR="00DD49DA" w:rsidRPr="00DD49DA" w:rsidRDefault="00DD49DA" w:rsidP="00DD49DA">
      <w:pPr>
        <w:spacing w:line="360" w:lineRule="auto"/>
        <w:jc w:val="both"/>
        <w:rPr>
          <w:sz w:val="24"/>
          <w:szCs w:val="24"/>
        </w:rPr>
      </w:pPr>
      <w:r w:rsidRPr="00DD49DA">
        <w:rPr>
          <w:sz w:val="24"/>
          <w:szCs w:val="24"/>
        </w:rPr>
        <w:t xml:space="preserve">Medium-term phase (618 months): This is the greatest capital investment, which is mainly motivated by the methane AI monitoring network, which is estimated at GBP 18 million. Fusion of LiDAR with infrared spectrometry as </w:t>
      </w:r>
      <w:r w:rsidR="00E461C8">
        <w:rPr>
          <w:sz w:val="24"/>
          <w:szCs w:val="24"/>
        </w:rPr>
        <w:t>a multi-sensor</w:t>
      </w:r>
      <w:r w:rsidRPr="00DD49DA">
        <w:rPr>
          <w:sz w:val="24"/>
          <w:szCs w:val="24"/>
        </w:rPr>
        <w:t xml:space="preserve"> will provide a better detection accuracy compared to single-sensors (Azmi et al., 2024). To keep the operating </w:t>
      </w:r>
      <w:proofErr w:type="spellStart"/>
      <w:r w:rsidRPr="00DD49DA">
        <w:rPr>
          <w:sz w:val="24"/>
          <w:szCs w:val="24"/>
        </w:rPr>
        <w:t>licences</w:t>
      </w:r>
      <w:proofErr w:type="spellEnd"/>
      <w:r w:rsidRPr="00DD49DA">
        <w:rPr>
          <w:sz w:val="24"/>
          <w:szCs w:val="24"/>
        </w:rPr>
        <w:t xml:space="preserve"> of </w:t>
      </w:r>
      <w:r w:rsidR="00E461C8">
        <w:rPr>
          <w:sz w:val="24"/>
          <w:szCs w:val="24"/>
        </w:rPr>
        <w:t>BP</w:t>
      </w:r>
      <w:r w:rsidRPr="00DD49DA">
        <w:rPr>
          <w:sz w:val="24"/>
          <w:szCs w:val="24"/>
        </w:rPr>
        <w:t xml:space="preserve">, it is necessary to align its operations with the EPA Subpart </w:t>
      </w:r>
      <w:proofErr w:type="spellStart"/>
      <w:r w:rsidRPr="00DD49DA">
        <w:rPr>
          <w:sz w:val="24"/>
          <w:szCs w:val="24"/>
        </w:rPr>
        <w:t>OOOOb</w:t>
      </w:r>
      <w:proofErr w:type="spellEnd"/>
      <w:r w:rsidRPr="00DD49DA">
        <w:rPr>
          <w:sz w:val="24"/>
          <w:szCs w:val="24"/>
        </w:rPr>
        <w:t xml:space="preserve"> and NSTA methane targets. The Regulatory-Aware AI Governance Layer is estimated at GBP 12 million, and has to be closely monitored by the Group AI Governance of bp. Such architectures are a new frontier in compliance systems, which identifies this investment as anticipatory (Alvarez et al., 2025). Jorgensen and Ma (2025b) also demonstrate that companies that install compliance during the design of AI recoup costs faster than those that redesign controls.</w:t>
      </w:r>
    </w:p>
    <w:p w14:paraId="2AF342B6" w14:textId="25387CAE" w:rsidR="00DD49DA" w:rsidRPr="00DD49DA" w:rsidRDefault="00DD49DA" w:rsidP="00DD49DA">
      <w:pPr>
        <w:spacing w:line="360" w:lineRule="auto"/>
        <w:jc w:val="both"/>
        <w:rPr>
          <w:sz w:val="24"/>
          <w:szCs w:val="24"/>
        </w:rPr>
      </w:pPr>
      <w:r w:rsidRPr="00DD49DA">
        <w:rPr>
          <w:sz w:val="24"/>
          <w:szCs w:val="24"/>
        </w:rPr>
        <w:t xml:space="preserve">The AI literacy training </w:t>
      </w:r>
      <w:proofErr w:type="spellStart"/>
      <w:r w:rsidRPr="00DD49DA">
        <w:rPr>
          <w:sz w:val="24"/>
          <w:szCs w:val="24"/>
        </w:rPr>
        <w:t>programme</w:t>
      </w:r>
      <w:proofErr w:type="spellEnd"/>
      <w:r w:rsidRPr="00DD49DA">
        <w:rPr>
          <w:sz w:val="24"/>
          <w:szCs w:val="24"/>
        </w:rPr>
        <w:t xml:space="preserve"> (GBP 3.5 million) will fill a gap in critical governance: the lack of technical knowledge among employees who have to come into contact with AI outputs. Franki et al. (2023) </w:t>
      </w:r>
      <w:r w:rsidR="00E461C8">
        <w:rPr>
          <w:sz w:val="24"/>
          <w:szCs w:val="24"/>
        </w:rPr>
        <w:t>discovered</w:t>
      </w:r>
      <w:r w:rsidRPr="00DD49DA">
        <w:rPr>
          <w:sz w:val="24"/>
          <w:szCs w:val="24"/>
        </w:rPr>
        <w:t xml:space="preserve"> that governance failures are frequently due to human misunderstanding as opposed to system malfunction. Direct risk mitigation measures are</w:t>
      </w:r>
      <w:r w:rsidR="00E461C8">
        <w:rPr>
          <w:sz w:val="24"/>
          <w:szCs w:val="24"/>
        </w:rPr>
        <w:t>, therefore,</w:t>
      </w:r>
      <w:r w:rsidRPr="00DD49DA">
        <w:rPr>
          <w:sz w:val="24"/>
          <w:szCs w:val="24"/>
        </w:rPr>
        <w:t xml:space="preserve"> training 5,000 employees to interpret AI-generated outputs.</w:t>
      </w:r>
    </w:p>
    <w:p w14:paraId="5152F7DD" w14:textId="1C954E9D" w:rsidR="00DD49DA" w:rsidRPr="00DD49DA" w:rsidRDefault="00DD49DA" w:rsidP="00DD49DA">
      <w:pPr>
        <w:spacing w:line="360" w:lineRule="auto"/>
        <w:jc w:val="both"/>
        <w:rPr>
          <w:sz w:val="24"/>
          <w:szCs w:val="24"/>
        </w:rPr>
      </w:pPr>
      <w:r w:rsidRPr="00DD49DA">
        <w:rPr>
          <w:sz w:val="24"/>
          <w:szCs w:val="24"/>
        </w:rPr>
        <w:t>Long-term phase (1836 months): The suggested AI Centre of Excellence (</w:t>
      </w:r>
      <w:proofErr w:type="spellStart"/>
      <w:r w:rsidRPr="00DD49DA">
        <w:rPr>
          <w:sz w:val="24"/>
          <w:szCs w:val="24"/>
        </w:rPr>
        <w:t>CoE</w:t>
      </w:r>
      <w:proofErr w:type="spellEnd"/>
      <w:r w:rsidRPr="00DD49DA">
        <w:rPr>
          <w:sz w:val="24"/>
          <w:szCs w:val="24"/>
        </w:rPr>
        <w:t xml:space="preserve">) at the Sunbury campus of bp is a joint venture with Imperial College London and Heriot-Watt University, a strategic investment according to </w:t>
      </w:r>
      <w:r w:rsidR="00E461C8">
        <w:rPr>
          <w:sz w:val="24"/>
          <w:szCs w:val="24"/>
        </w:rPr>
        <w:t>Porter's</w:t>
      </w:r>
      <w:r w:rsidRPr="00DD49DA">
        <w:rPr>
          <w:sz w:val="24"/>
          <w:szCs w:val="24"/>
        </w:rPr>
        <w:t xml:space="preserve"> diamond and OLI. Zinoviev et al. (2026) lay stress on the importance of academic-industry partnership in the creation of AI systems that are acceptable </w:t>
      </w:r>
      <w:r w:rsidR="00E461C8">
        <w:rPr>
          <w:sz w:val="24"/>
          <w:szCs w:val="24"/>
        </w:rPr>
        <w:t>to</w:t>
      </w:r>
      <w:r w:rsidRPr="00DD49DA">
        <w:rPr>
          <w:sz w:val="24"/>
          <w:szCs w:val="24"/>
        </w:rPr>
        <w:t xml:space="preserve"> the regulator. The ISO/IEC 42001 certification (GBP 6 million) represents </w:t>
      </w:r>
      <w:r w:rsidR="00E461C8">
        <w:rPr>
          <w:sz w:val="24"/>
          <w:szCs w:val="24"/>
        </w:rPr>
        <w:t>an</w:t>
      </w:r>
      <w:r w:rsidRPr="00DD49DA">
        <w:rPr>
          <w:sz w:val="24"/>
          <w:szCs w:val="24"/>
        </w:rPr>
        <w:t xml:space="preserve"> internationally accepted measure of governance maturity, which is important to regulators, investors and insurers. Jorgensen et al. (2025) affirm that the certification systems </w:t>
      </w:r>
      <w:proofErr w:type="spellStart"/>
      <w:r w:rsidRPr="00DD49DA">
        <w:rPr>
          <w:sz w:val="24"/>
          <w:szCs w:val="24"/>
        </w:rPr>
        <w:t>minimise</w:t>
      </w:r>
      <w:proofErr w:type="spellEnd"/>
      <w:r w:rsidRPr="00DD49DA">
        <w:rPr>
          <w:sz w:val="24"/>
          <w:szCs w:val="24"/>
        </w:rPr>
        <w:t xml:space="preserve"> regulatory ambiguity </w:t>
      </w:r>
      <w:r w:rsidR="00E461C8">
        <w:rPr>
          <w:sz w:val="24"/>
          <w:szCs w:val="24"/>
        </w:rPr>
        <w:t>for</w:t>
      </w:r>
      <w:r w:rsidRPr="00DD49DA">
        <w:rPr>
          <w:sz w:val="24"/>
          <w:szCs w:val="24"/>
        </w:rPr>
        <w:t xml:space="preserve"> companies that conduct business across jurisdictions.</w:t>
      </w:r>
    </w:p>
    <w:p w14:paraId="6ACC1AA3" w14:textId="509B7CA1" w:rsidR="00F227D4" w:rsidRPr="008059D3" w:rsidRDefault="00DD49DA" w:rsidP="00DD49DA">
      <w:pPr>
        <w:spacing w:line="360" w:lineRule="auto"/>
        <w:jc w:val="both"/>
        <w:rPr>
          <w:sz w:val="24"/>
          <w:szCs w:val="24"/>
        </w:rPr>
      </w:pPr>
      <w:r w:rsidRPr="00DD49DA">
        <w:rPr>
          <w:sz w:val="24"/>
          <w:szCs w:val="24"/>
        </w:rPr>
        <w:t xml:space="preserve">This is a good financial feasibility of 0.31 </w:t>
      </w:r>
      <w:r w:rsidR="00E461C8">
        <w:rPr>
          <w:sz w:val="24"/>
          <w:szCs w:val="24"/>
        </w:rPr>
        <w:t>per cent of BP</w:t>
      </w:r>
      <w:r w:rsidRPr="00DD49DA">
        <w:rPr>
          <w:sz w:val="24"/>
          <w:szCs w:val="24"/>
        </w:rPr>
        <w:t xml:space="preserve"> 2023 EBITDA (USD 27.7 billion) with the total estimated investment of GBP 67.8 million (approximately USD 84.8 million at GBP/USD 1.25) over 36 months. According to a sensitivity analysis, EPA penalties </w:t>
      </w:r>
      <w:r w:rsidRPr="00DD49DA">
        <w:rPr>
          <w:sz w:val="24"/>
          <w:szCs w:val="24"/>
        </w:rPr>
        <w:lastRenderedPageBreak/>
        <w:t xml:space="preserve">would need to be adjusted by 50 </w:t>
      </w:r>
      <w:r w:rsidR="00E461C8">
        <w:rPr>
          <w:sz w:val="24"/>
          <w:szCs w:val="24"/>
        </w:rPr>
        <w:t>per cent</w:t>
      </w:r>
      <w:r w:rsidRPr="00DD49DA">
        <w:rPr>
          <w:sz w:val="24"/>
          <w:szCs w:val="24"/>
        </w:rPr>
        <w:t xml:space="preserve"> to shorten the payback period of implementation to about 14 months. Lee and Wang (2025) show that the lower the long-term compliance cost incurred by firms with a stronger internal AI governance. The strategic value of such an investment is further justified by </w:t>
      </w:r>
      <w:proofErr w:type="spellStart"/>
      <w:r w:rsidRPr="00DD49DA">
        <w:rPr>
          <w:sz w:val="24"/>
          <w:szCs w:val="24"/>
        </w:rPr>
        <w:t>Saveljeva</w:t>
      </w:r>
      <w:proofErr w:type="spellEnd"/>
      <w:r w:rsidRPr="00DD49DA">
        <w:rPr>
          <w:sz w:val="24"/>
          <w:szCs w:val="24"/>
        </w:rPr>
        <w:t xml:space="preserve"> et al. (2026), who </w:t>
      </w:r>
      <w:proofErr w:type="spellStart"/>
      <w:r w:rsidR="00E461C8">
        <w:rPr>
          <w:sz w:val="24"/>
          <w:szCs w:val="24"/>
        </w:rPr>
        <w:t>emphasise</w:t>
      </w:r>
      <w:proofErr w:type="spellEnd"/>
      <w:r w:rsidRPr="00DD49DA">
        <w:rPr>
          <w:sz w:val="24"/>
          <w:szCs w:val="24"/>
        </w:rPr>
        <w:t xml:space="preserve"> the need to incorporate cybersecurity into AI governance to ensure operational legitimacy in environmentally sensitive areas.</w:t>
      </w:r>
    </w:p>
    <w:p w14:paraId="72F1993D" w14:textId="17B95344" w:rsidR="00F227D4" w:rsidRPr="008059D3" w:rsidRDefault="00A409F2" w:rsidP="008059D3">
      <w:pPr>
        <w:pStyle w:val="Heading1"/>
        <w:spacing w:before="0" w:after="0" w:line="360" w:lineRule="auto"/>
      </w:pPr>
      <w:bookmarkStart w:id="17" w:name="_Toc227967395"/>
      <w:r w:rsidRPr="008059D3">
        <w:t>4.</w:t>
      </w:r>
      <w:r w:rsidR="00D95054" w:rsidRPr="008059D3">
        <w:t>0</w:t>
      </w:r>
      <w:r w:rsidRPr="008059D3">
        <w:t xml:space="preserve"> Conclusion</w:t>
      </w:r>
      <w:bookmarkEnd w:id="17"/>
    </w:p>
    <w:p w14:paraId="6EDE5362" w14:textId="639EE1CC" w:rsidR="00B97BE3" w:rsidRPr="00B97BE3" w:rsidRDefault="00B97BE3" w:rsidP="00B97BE3">
      <w:pPr>
        <w:spacing w:line="360" w:lineRule="auto"/>
        <w:jc w:val="both"/>
        <w:rPr>
          <w:sz w:val="24"/>
          <w:szCs w:val="24"/>
        </w:rPr>
      </w:pPr>
      <w:r w:rsidRPr="00B97BE3">
        <w:rPr>
          <w:sz w:val="24"/>
          <w:szCs w:val="24"/>
        </w:rPr>
        <w:t xml:space="preserve">This report will consider the strategic, regulatory and operational aspects of the deployment of AI in the upstream operations of </w:t>
      </w:r>
      <w:r w:rsidR="00E461C8">
        <w:rPr>
          <w:sz w:val="24"/>
          <w:szCs w:val="24"/>
        </w:rPr>
        <w:t>BP in the United Kingdom and the United States,</w:t>
      </w:r>
      <w:r w:rsidRPr="00B97BE3">
        <w:rPr>
          <w:sz w:val="24"/>
          <w:szCs w:val="24"/>
        </w:rPr>
        <w:t xml:space="preserve"> with particular emphasis on operational risk management and environmental compliance. The PESTLE analysis shows that the regulatory environment of AI in the energy sector is both dispersive and changing fast</w:t>
      </w:r>
      <w:r w:rsidR="00E461C8">
        <w:rPr>
          <w:sz w:val="24"/>
          <w:szCs w:val="24"/>
        </w:rPr>
        <w:t>,</w:t>
      </w:r>
      <w:r w:rsidRPr="00B97BE3">
        <w:rPr>
          <w:sz w:val="24"/>
          <w:szCs w:val="24"/>
        </w:rPr>
        <w:t xml:space="preserve"> and that the core philosophical difference between the UK goal-based, pro-innovation philosophy and the prescriptive, enforcement-based, United States one is evident. The Diamond Model by Porter indicates that the UK gives </w:t>
      </w:r>
      <w:r w:rsidR="00E461C8">
        <w:rPr>
          <w:sz w:val="24"/>
          <w:szCs w:val="24"/>
        </w:rPr>
        <w:t>BP</w:t>
      </w:r>
      <w:r w:rsidRPr="00B97BE3">
        <w:rPr>
          <w:sz w:val="24"/>
          <w:szCs w:val="24"/>
        </w:rPr>
        <w:t xml:space="preserve"> an edge in the development of AI governance innovation, and the OLI model promotes the </w:t>
      </w:r>
      <w:proofErr w:type="spellStart"/>
      <w:r w:rsidRPr="00B97BE3">
        <w:rPr>
          <w:sz w:val="24"/>
          <w:szCs w:val="24"/>
        </w:rPr>
        <w:t>internalisation</w:t>
      </w:r>
      <w:proofErr w:type="spellEnd"/>
      <w:r w:rsidRPr="00B97BE3">
        <w:rPr>
          <w:sz w:val="24"/>
          <w:szCs w:val="24"/>
        </w:rPr>
        <w:t xml:space="preserve"> of the capability instead of it being outsourced.</w:t>
      </w:r>
    </w:p>
    <w:p w14:paraId="6231D8E6" w14:textId="3B8739A9" w:rsidR="00B97BE3" w:rsidRPr="00B97BE3" w:rsidRDefault="00B97BE3" w:rsidP="00B97BE3">
      <w:pPr>
        <w:spacing w:line="360" w:lineRule="auto"/>
        <w:jc w:val="both"/>
        <w:rPr>
          <w:sz w:val="24"/>
          <w:szCs w:val="24"/>
        </w:rPr>
      </w:pPr>
      <w:r w:rsidRPr="00B97BE3">
        <w:rPr>
          <w:sz w:val="24"/>
          <w:szCs w:val="24"/>
        </w:rPr>
        <w:t xml:space="preserve">There are four categories of AI risks, namely, predictive maintenance failure, environmental monitoring bias, algorithmic discrimination, and ESG greenwashing. These are all </w:t>
      </w:r>
      <w:r w:rsidR="00E461C8">
        <w:rPr>
          <w:sz w:val="24"/>
          <w:szCs w:val="24"/>
        </w:rPr>
        <w:t>material and mostly avoidable exposures</w:t>
      </w:r>
      <w:r w:rsidRPr="00B97BE3">
        <w:rPr>
          <w:sz w:val="24"/>
          <w:szCs w:val="24"/>
        </w:rPr>
        <w:t xml:space="preserve"> to risk, and three out of six of the identified risks belong to the high-priority category and need to be addressed by the Board urgently.</w:t>
      </w:r>
    </w:p>
    <w:p w14:paraId="2D5AEAF7" w14:textId="4A07D549" w:rsidR="00B97BE3" w:rsidRPr="00B97BE3" w:rsidRDefault="00B97BE3" w:rsidP="00B97BE3">
      <w:pPr>
        <w:spacing w:line="360" w:lineRule="auto"/>
        <w:jc w:val="both"/>
        <w:rPr>
          <w:sz w:val="24"/>
          <w:szCs w:val="24"/>
        </w:rPr>
      </w:pPr>
      <w:r w:rsidRPr="00B97BE3">
        <w:rPr>
          <w:sz w:val="24"/>
          <w:szCs w:val="24"/>
        </w:rPr>
        <w:t xml:space="preserve">The main suggestion provided in the report is that </w:t>
      </w:r>
      <w:r w:rsidR="00E461C8">
        <w:rPr>
          <w:sz w:val="24"/>
          <w:szCs w:val="24"/>
        </w:rPr>
        <w:t>BP</w:t>
      </w:r>
      <w:r w:rsidRPr="00B97BE3">
        <w:rPr>
          <w:sz w:val="24"/>
          <w:szCs w:val="24"/>
        </w:rPr>
        <w:t xml:space="preserve"> must consider AI governance as a strategic risk management tool, as opposed to a compliance requirement. Three future-looking scenarios are suggested to inform Board-level planning that goes beyond the 36-month implementation horizon. In Scenario A (2027), with the introduction of an inclusive UK AI Act that incorporates executive criminal liability, greater governance mechanisms such as director-level responsibility and prompt submission of XAI audit products would be necessary. In Scenario B (2027), a federal AI Act in the US will create a </w:t>
      </w:r>
      <w:proofErr w:type="spellStart"/>
      <w:r w:rsidRPr="00B97BE3">
        <w:rPr>
          <w:sz w:val="24"/>
          <w:szCs w:val="24"/>
        </w:rPr>
        <w:t>standardised</w:t>
      </w:r>
      <w:proofErr w:type="spellEnd"/>
      <w:r w:rsidRPr="00B97BE3">
        <w:rPr>
          <w:sz w:val="24"/>
          <w:szCs w:val="24"/>
        </w:rPr>
        <w:t xml:space="preserve"> liability regime, making the dual-jurisdiction governance of bp an industry standard. In Scenario C (2027)</w:t>
      </w:r>
      <w:r w:rsidR="00E461C8">
        <w:rPr>
          <w:sz w:val="24"/>
          <w:szCs w:val="24"/>
        </w:rPr>
        <w:t>,</w:t>
      </w:r>
      <w:r w:rsidRPr="00B97BE3">
        <w:rPr>
          <w:sz w:val="24"/>
          <w:szCs w:val="24"/>
        </w:rPr>
        <w:t xml:space="preserve"> more rigorous enforcement in the absence of new laws would put a greater value on effective audit trails and ISO/IEC 42001 certification as indicators of active governance.</w:t>
      </w:r>
    </w:p>
    <w:p w14:paraId="1243B7F1" w14:textId="74236720" w:rsidR="00F227D4" w:rsidRPr="008059D3" w:rsidRDefault="00B97BE3" w:rsidP="00B97BE3">
      <w:pPr>
        <w:spacing w:line="360" w:lineRule="auto"/>
        <w:jc w:val="both"/>
        <w:rPr>
          <w:sz w:val="24"/>
          <w:szCs w:val="24"/>
        </w:rPr>
      </w:pPr>
      <w:r w:rsidRPr="00B97BE3">
        <w:rPr>
          <w:sz w:val="24"/>
          <w:szCs w:val="24"/>
        </w:rPr>
        <w:t xml:space="preserve">The disadvantages are the </w:t>
      </w:r>
      <w:r w:rsidR="00E461C8">
        <w:rPr>
          <w:sz w:val="24"/>
          <w:szCs w:val="24"/>
        </w:rPr>
        <w:t xml:space="preserve">fast-changing regulatory landscape and the </w:t>
      </w:r>
      <w:r w:rsidRPr="00B97BE3">
        <w:rPr>
          <w:sz w:val="24"/>
          <w:szCs w:val="24"/>
        </w:rPr>
        <w:t xml:space="preserve">use of industry standards to estimate costs. The report suggests that the suggested framework should </w:t>
      </w:r>
      <w:r w:rsidRPr="00B97BE3">
        <w:rPr>
          <w:sz w:val="24"/>
          <w:szCs w:val="24"/>
        </w:rPr>
        <w:lastRenderedPageBreak/>
        <w:t xml:space="preserve">be Board-endorsed, with executive oversight at </w:t>
      </w:r>
      <w:r w:rsidR="00E461C8">
        <w:rPr>
          <w:sz w:val="24"/>
          <w:szCs w:val="24"/>
        </w:rPr>
        <w:t xml:space="preserve">the </w:t>
      </w:r>
      <w:r w:rsidRPr="00B97BE3">
        <w:rPr>
          <w:sz w:val="24"/>
          <w:szCs w:val="24"/>
        </w:rPr>
        <w:t>Chief Risk Officer level, and that a full AI risk assessment be completed in less than 90 days.</w:t>
      </w:r>
    </w:p>
    <w:p w14:paraId="4AF4571E" w14:textId="77777777" w:rsidR="00F227D4" w:rsidRPr="008059D3" w:rsidRDefault="00A409F2" w:rsidP="008059D3">
      <w:pPr>
        <w:spacing w:line="360" w:lineRule="auto"/>
        <w:rPr>
          <w:sz w:val="24"/>
          <w:szCs w:val="24"/>
        </w:rPr>
      </w:pPr>
      <w:r w:rsidRPr="008059D3">
        <w:rPr>
          <w:sz w:val="24"/>
          <w:szCs w:val="24"/>
        </w:rPr>
        <w:br w:type="page"/>
      </w:r>
    </w:p>
    <w:p w14:paraId="28B3A131" w14:textId="3BBC0483" w:rsidR="00F227D4" w:rsidRPr="008059D3" w:rsidRDefault="00D95054" w:rsidP="008059D3">
      <w:pPr>
        <w:pStyle w:val="Heading1"/>
        <w:spacing w:before="0" w:after="0" w:line="360" w:lineRule="auto"/>
      </w:pPr>
      <w:bookmarkStart w:id="18" w:name="_Toc227967396"/>
      <w:r w:rsidRPr="008059D3">
        <w:lastRenderedPageBreak/>
        <w:t xml:space="preserve">5.0 </w:t>
      </w:r>
      <w:r w:rsidR="00A409F2" w:rsidRPr="008059D3">
        <w:t>Bibliography</w:t>
      </w:r>
      <w:bookmarkEnd w:id="18"/>
    </w:p>
    <w:p w14:paraId="59AB3A76" w14:textId="27EAB42D" w:rsidR="005450ED" w:rsidRPr="008059D3" w:rsidRDefault="005450ED" w:rsidP="008059D3">
      <w:pPr>
        <w:spacing w:line="360" w:lineRule="auto"/>
        <w:jc w:val="both"/>
        <w:rPr>
          <w:sz w:val="24"/>
          <w:szCs w:val="24"/>
        </w:rPr>
      </w:pPr>
      <w:r w:rsidRPr="008059D3">
        <w:rPr>
          <w:sz w:val="24"/>
          <w:szCs w:val="24"/>
        </w:rPr>
        <w:t xml:space="preserve">Alicia de Manuel, J., Delgado Rodríguez, J., Parra Jounou, I., </w:t>
      </w:r>
      <w:proofErr w:type="spellStart"/>
      <w:r w:rsidRPr="008059D3">
        <w:rPr>
          <w:sz w:val="24"/>
          <w:szCs w:val="24"/>
        </w:rPr>
        <w:t>Ausín</w:t>
      </w:r>
      <w:proofErr w:type="spellEnd"/>
      <w:r w:rsidRPr="008059D3">
        <w:rPr>
          <w:sz w:val="24"/>
          <w:szCs w:val="24"/>
        </w:rPr>
        <w:t xml:space="preserve">, T., </w:t>
      </w:r>
      <w:proofErr w:type="spellStart"/>
      <w:r w:rsidRPr="008059D3">
        <w:rPr>
          <w:sz w:val="24"/>
          <w:szCs w:val="24"/>
        </w:rPr>
        <w:t>Casacuberta</w:t>
      </w:r>
      <w:proofErr w:type="spellEnd"/>
      <w:r w:rsidRPr="008059D3">
        <w:rPr>
          <w:sz w:val="24"/>
          <w:szCs w:val="24"/>
        </w:rPr>
        <w:t xml:space="preserve">, D., Cruz, M., </w:t>
      </w:r>
      <w:proofErr w:type="spellStart"/>
      <w:r w:rsidRPr="008059D3">
        <w:rPr>
          <w:sz w:val="24"/>
          <w:szCs w:val="24"/>
        </w:rPr>
        <w:t>Guersenzvaig</w:t>
      </w:r>
      <w:proofErr w:type="spellEnd"/>
      <w:r w:rsidRPr="008059D3">
        <w:rPr>
          <w:sz w:val="24"/>
          <w:szCs w:val="24"/>
        </w:rPr>
        <w:t xml:space="preserve">, A., Moyano, C., Rodríguez-Arias, D., Rueda, J. and Puyol, A. (2023). Ethical assessments and mitigation strategies for biases in </w:t>
      </w:r>
      <w:r w:rsidR="00E461C8">
        <w:rPr>
          <w:sz w:val="24"/>
          <w:szCs w:val="24"/>
        </w:rPr>
        <w:t>AI systems</w:t>
      </w:r>
      <w:r w:rsidRPr="008059D3">
        <w:rPr>
          <w:sz w:val="24"/>
          <w:szCs w:val="24"/>
        </w:rPr>
        <w:t xml:space="preserve"> used during the COVID-19 pandemic. </w:t>
      </w:r>
      <w:r w:rsidRPr="008059D3">
        <w:rPr>
          <w:i/>
          <w:iCs/>
          <w:sz w:val="24"/>
          <w:szCs w:val="24"/>
        </w:rPr>
        <w:t>Big Data &amp; Society</w:t>
      </w:r>
      <w:r w:rsidRPr="008059D3">
        <w:rPr>
          <w:sz w:val="24"/>
          <w:szCs w:val="24"/>
        </w:rPr>
        <w:t xml:space="preserve">, 10(1). </w:t>
      </w:r>
      <w:proofErr w:type="spellStart"/>
      <w:r w:rsidRPr="008059D3">
        <w:rPr>
          <w:sz w:val="24"/>
          <w:szCs w:val="24"/>
        </w:rPr>
        <w:t>doi</w:t>
      </w:r>
      <w:proofErr w:type="spellEnd"/>
      <w:r w:rsidRPr="008059D3">
        <w:rPr>
          <w:sz w:val="24"/>
          <w:szCs w:val="24"/>
        </w:rPr>
        <w:t>: https://doi.org/10.1177/20539517231179199.</w:t>
      </w:r>
    </w:p>
    <w:p w14:paraId="18EEA353" w14:textId="353E6C5D" w:rsidR="005450ED" w:rsidRPr="008059D3" w:rsidRDefault="005450ED" w:rsidP="008059D3">
      <w:pPr>
        <w:spacing w:line="360" w:lineRule="auto"/>
        <w:jc w:val="both"/>
        <w:rPr>
          <w:sz w:val="24"/>
          <w:szCs w:val="24"/>
        </w:rPr>
      </w:pPr>
      <w:r w:rsidRPr="008059D3">
        <w:rPr>
          <w:sz w:val="24"/>
          <w:szCs w:val="24"/>
        </w:rPr>
        <w:t xml:space="preserve">Alsaigh, R., Mehmood, R. and Katib, I. (2023). AI Explainability and Governance in Smart Energy systems: a Review. </w:t>
      </w:r>
      <w:r w:rsidRPr="008059D3">
        <w:rPr>
          <w:i/>
          <w:iCs/>
          <w:sz w:val="24"/>
          <w:szCs w:val="24"/>
        </w:rPr>
        <w:t>Frontiers in Energy Research</w:t>
      </w:r>
      <w:r w:rsidRPr="008059D3">
        <w:rPr>
          <w:sz w:val="24"/>
          <w:szCs w:val="24"/>
        </w:rPr>
        <w:t xml:space="preserve">, 11. </w:t>
      </w:r>
      <w:proofErr w:type="spellStart"/>
      <w:r w:rsidRPr="008059D3">
        <w:rPr>
          <w:sz w:val="24"/>
          <w:szCs w:val="24"/>
        </w:rPr>
        <w:t>doi</w:t>
      </w:r>
      <w:proofErr w:type="spellEnd"/>
      <w:r w:rsidRPr="008059D3">
        <w:rPr>
          <w:sz w:val="24"/>
          <w:szCs w:val="24"/>
        </w:rPr>
        <w:t>: https://doi.org/10.3389/fenrg.2023.1071291.</w:t>
      </w:r>
    </w:p>
    <w:p w14:paraId="15FC748E" w14:textId="0BFC6D05" w:rsidR="005450ED" w:rsidRPr="008059D3" w:rsidRDefault="005450ED" w:rsidP="008059D3">
      <w:pPr>
        <w:spacing w:line="360" w:lineRule="auto"/>
        <w:jc w:val="both"/>
        <w:rPr>
          <w:sz w:val="24"/>
          <w:szCs w:val="24"/>
        </w:rPr>
      </w:pPr>
      <w:r w:rsidRPr="008059D3">
        <w:rPr>
          <w:sz w:val="24"/>
          <w:szCs w:val="24"/>
        </w:rPr>
        <w:t xml:space="preserve">Alshareef, M.N. (2025). Artificial Intelligence-Enhanced Environmental, Social, and Governance Disclosure Quality and Financial Performance Nexus in Saudi Listed Companies under Vision 2030. </w:t>
      </w:r>
      <w:r w:rsidRPr="008059D3">
        <w:rPr>
          <w:i/>
          <w:iCs/>
          <w:sz w:val="24"/>
          <w:szCs w:val="24"/>
        </w:rPr>
        <w:t>Sustainability</w:t>
      </w:r>
      <w:r w:rsidRPr="008059D3">
        <w:rPr>
          <w:sz w:val="24"/>
          <w:szCs w:val="24"/>
        </w:rPr>
        <w:t xml:space="preserve">, 17(16), pp.7421–7421. </w:t>
      </w:r>
      <w:proofErr w:type="spellStart"/>
      <w:r w:rsidRPr="008059D3">
        <w:rPr>
          <w:sz w:val="24"/>
          <w:szCs w:val="24"/>
        </w:rPr>
        <w:t>doi</w:t>
      </w:r>
      <w:proofErr w:type="spellEnd"/>
      <w:r w:rsidRPr="008059D3">
        <w:rPr>
          <w:sz w:val="24"/>
          <w:szCs w:val="24"/>
        </w:rPr>
        <w:t>: https://doi.org/10.3390/su17167421.</w:t>
      </w:r>
    </w:p>
    <w:p w14:paraId="1110376B" w14:textId="45821838" w:rsidR="005450ED" w:rsidRPr="008059D3" w:rsidRDefault="005450ED" w:rsidP="008059D3">
      <w:pPr>
        <w:spacing w:line="360" w:lineRule="auto"/>
        <w:jc w:val="both"/>
        <w:rPr>
          <w:sz w:val="24"/>
          <w:szCs w:val="24"/>
        </w:rPr>
      </w:pPr>
      <w:r w:rsidRPr="008059D3">
        <w:rPr>
          <w:sz w:val="24"/>
          <w:szCs w:val="24"/>
        </w:rPr>
        <w:t xml:space="preserve">Alvarez, D.I., González-Ladrón-de-Guevara, F., Espinoza, J.R., Borge-Diez, D., Galindo, S.P. and Flores-Vázquez, C. (2025). The Evolution of AI Applications in Energy System Transition: A Bibliometric Analysis. </w:t>
      </w:r>
      <w:r w:rsidRPr="008059D3">
        <w:rPr>
          <w:i/>
          <w:iCs/>
          <w:sz w:val="24"/>
          <w:szCs w:val="24"/>
        </w:rPr>
        <w:t>Energies</w:t>
      </w:r>
      <w:r w:rsidRPr="008059D3">
        <w:rPr>
          <w:sz w:val="24"/>
          <w:szCs w:val="24"/>
        </w:rPr>
        <w:t xml:space="preserve">, 18(6), pp.1523–1523. </w:t>
      </w:r>
      <w:proofErr w:type="spellStart"/>
      <w:r w:rsidRPr="008059D3">
        <w:rPr>
          <w:sz w:val="24"/>
          <w:szCs w:val="24"/>
        </w:rPr>
        <w:t>doi</w:t>
      </w:r>
      <w:proofErr w:type="spellEnd"/>
      <w:r w:rsidRPr="008059D3">
        <w:rPr>
          <w:sz w:val="24"/>
          <w:szCs w:val="24"/>
        </w:rPr>
        <w:t>: https://doi.org/10.3390/en18061523.</w:t>
      </w:r>
    </w:p>
    <w:p w14:paraId="362AB074" w14:textId="26728927" w:rsidR="005450ED" w:rsidRPr="008059D3" w:rsidRDefault="005450ED" w:rsidP="008059D3">
      <w:pPr>
        <w:spacing w:line="360" w:lineRule="auto"/>
        <w:jc w:val="both"/>
        <w:rPr>
          <w:sz w:val="24"/>
          <w:szCs w:val="24"/>
        </w:rPr>
      </w:pPr>
      <w:r w:rsidRPr="008059D3">
        <w:rPr>
          <w:sz w:val="24"/>
          <w:szCs w:val="24"/>
        </w:rPr>
        <w:t xml:space="preserve">Anderson, P. (2025). The Pestel Framework and Its Variants for </w:t>
      </w:r>
      <w:proofErr w:type="spellStart"/>
      <w:r w:rsidRPr="008059D3">
        <w:rPr>
          <w:sz w:val="24"/>
          <w:szCs w:val="24"/>
        </w:rPr>
        <w:t>Analysing</w:t>
      </w:r>
      <w:proofErr w:type="spellEnd"/>
      <w:r w:rsidRPr="008059D3">
        <w:rPr>
          <w:sz w:val="24"/>
          <w:szCs w:val="24"/>
        </w:rPr>
        <w:t xml:space="preserve"> the Strategic Environment: Evolution, Limitations and Adoption in Energy Policy Research. </w:t>
      </w:r>
      <w:r w:rsidRPr="008059D3">
        <w:rPr>
          <w:i/>
          <w:iCs/>
          <w:sz w:val="24"/>
          <w:szCs w:val="24"/>
        </w:rPr>
        <w:t>SSRN</w:t>
      </w:r>
      <w:r w:rsidRPr="008059D3">
        <w:rPr>
          <w:sz w:val="24"/>
          <w:szCs w:val="24"/>
        </w:rPr>
        <w:t xml:space="preserve">. </w:t>
      </w:r>
      <w:proofErr w:type="spellStart"/>
      <w:r w:rsidRPr="008059D3">
        <w:rPr>
          <w:sz w:val="24"/>
          <w:szCs w:val="24"/>
        </w:rPr>
        <w:t>doi</w:t>
      </w:r>
      <w:proofErr w:type="spellEnd"/>
      <w:r w:rsidRPr="008059D3">
        <w:rPr>
          <w:sz w:val="24"/>
          <w:szCs w:val="24"/>
        </w:rPr>
        <w:t>: https://doi.org/10.2139/ssrn.5266562.</w:t>
      </w:r>
    </w:p>
    <w:p w14:paraId="1EC02EE7" w14:textId="0C04758C" w:rsidR="005450ED" w:rsidRPr="008059D3" w:rsidRDefault="005450ED" w:rsidP="008059D3">
      <w:pPr>
        <w:spacing w:line="360" w:lineRule="auto"/>
        <w:jc w:val="both"/>
        <w:rPr>
          <w:sz w:val="24"/>
          <w:szCs w:val="24"/>
        </w:rPr>
      </w:pPr>
      <w:r w:rsidRPr="008059D3">
        <w:rPr>
          <w:sz w:val="24"/>
          <w:szCs w:val="24"/>
        </w:rPr>
        <w:t xml:space="preserve">Aslam, S., Aung, P.P., Rafsanjani, A.S. and Majeed, A.P.P.A. (2025). Machine Learning Applications in Energy Systems: Current Trends, Challenges, and Research Directions. </w:t>
      </w:r>
      <w:r w:rsidRPr="008059D3">
        <w:rPr>
          <w:i/>
          <w:iCs/>
          <w:sz w:val="24"/>
          <w:szCs w:val="24"/>
        </w:rPr>
        <w:t>Energy Informatics</w:t>
      </w:r>
      <w:r w:rsidRPr="008059D3">
        <w:rPr>
          <w:sz w:val="24"/>
          <w:szCs w:val="24"/>
        </w:rPr>
        <w:t xml:space="preserve">, 8(1). </w:t>
      </w:r>
      <w:proofErr w:type="spellStart"/>
      <w:r w:rsidRPr="008059D3">
        <w:rPr>
          <w:sz w:val="24"/>
          <w:szCs w:val="24"/>
        </w:rPr>
        <w:t>doi</w:t>
      </w:r>
      <w:proofErr w:type="spellEnd"/>
      <w:r w:rsidRPr="008059D3">
        <w:rPr>
          <w:sz w:val="24"/>
          <w:szCs w:val="24"/>
        </w:rPr>
        <w:t>: https://doi.org/10.1186/s42162-025-00524-6.</w:t>
      </w:r>
    </w:p>
    <w:p w14:paraId="4DD428D0" w14:textId="004B5AA1" w:rsidR="005450ED" w:rsidRPr="008059D3" w:rsidRDefault="005450ED" w:rsidP="008059D3">
      <w:pPr>
        <w:spacing w:line="360" w:lineRule="auto"/>
        <w:jc w:val="both"/>
        <w:rPr>
          <w:sz w:val="24"/>
          <w:szCs w:val="24"/>
        </w:rPr>
      </w:pPr>
      <w:r w:rsidRPr="008059D3">
        <w:rPr>
          <w:sz w:val="24"/>
          <w:szCs w:val="24"/>
        </w:rPr>
        <w:t xml:space="preserve">Azmi, R., Yusoff, M. and Mohamad (2024). A Review of Predictive Analytics Models in the Oil and Gas Industries. </w:t>
      </w:r>
      <w:r w:rsidRPr="008059D3">
        <w:rPr>
          <w:i/>
          <w:iCs/>
          <w:sz w:val="24"/>
          <w:szCs w:val="24"/>
        </w:rPr>
        <w:t>Sensors</w:t>
      </w:r>
      <w:r w:rsidRPr="008059D3">
        <w:rPr>
          <w:sz w:val="24"/>
          <w:szCs w:val="24"/>
        </w:rPr>
        <w:t xml:space="preserve">, 24(12), pp.4013–4028. </w:t>
      </w:r>
      <w:proofErr w:type="spellStart"/>
      <w:r w:rsidRPr="008059D3">
        <w:rPr>
          <w:sz w:val="24"/>
          <w:szCs w:val="24"/>
        </w:rPr>
        <w:t>doi</w:t>
      </w:r>
      <w:proofErr w:type="spellEnd"/>
      <w:r w:rsidRPr="008059D3">
        <w:rPr>
          <w:sz w:val="24"/>
          <w:szCs w:val="24"/>
        </w:rPr>
        <w:t>: https://doi.org/10.3390/s24124013.</w:t>
      </w:r>
    </w:p>
    <w:p w14:paraId="5F2E85AF" w14:textId="4018A0EF" w:rsidR="005450ED" w:rsidRPr="008059D3" w:rsidRDefault="005450ED" w:rsidP="008059D3">
      <w:pPr>
        <w:spacing w:line="360" w:lineRule="auto"/>
        <w:jc w:val="both"/>
        <w:rPr>
          <w:sz w:val="24"/>
          <w:szCs w:val="24"/>
        </w:rPr>
      </w:pPr>
      <w:r w:rsidRPr="008059D3">
        <w:rPr>
          <w:sz w:val="24"/>
          <w:szCs w:val="24"/>
        </w:rPr>
        <w:t xml:space="preserve">Bharati, R. (2025). Bias and Fairness in AI Algorithms: Legal Standards and Ethical Guidelines. </w:t>
      </w:r>
      <w:r w:rsidRPr="008059D3">
        <w:rPr>
          <w:i/>
          <w:iCs/>
          <w:sz w:val="24"/>
          <w:szCs w:val="24"/>
        </w:rPr>
        <w:t>SSRN Electronic Journal</w:t>
      </w:r>
      <w:r w:rsidRPr="008059D3">
        <w:rPr>
          <w:sz w:val="24"/>
          <w:szCs w:val="24"/>
        </w:rPr>
        <w:t xml:space="preserve">. </w:t>
      </w:r>
      <w:proofErr w:type="spellStart"/>
      <w:r w:rsidRPr="008059D3">
        <w:rPr>
          <w:sz w:val="24"/>
          <w:szCs w:val="24"/>
        </w:rPr>
        <w:t>doi</w:t>
      </w:r>
      <w:proofErr w:type="spellEnd"/>
      <w:r w:rsidRPr="008059D3">
        <w:rPr>
          <w:sz w:val="24"/>
          <w:szCs w:val="24"/>
        </w:rPr>
        <w:t>: https://doi.org/10.2139/ssrn.5378211.</w:t>
      </w:r>
    </w:p>
    <w:p w14:paraId="16CB676A" w14:textId="74DFEA0F" w:rsidR="005450ED" w:rsidRPr="008059D3" w:rsidRDefault="005450ED" w:rsidP="008059D3">
      <w:pPr>
        <w:spacing w:line="360" w:lineRule="auto"/>
        <w:jc w:val="both"/>
        <w:rPr>
          <w:sz w:val="24"/>
          <w:szCs w:val="24"/>
        </w:rPr>
      </w:pPr>
      <w:r w:rsidRPr="008059D3">
        <w:rPr>
          <w:sz w:val="24"/>
          <w:szCs w:val="24"/>
        </w:rPr>
        <w:t xml:space="preserve">Cai, S. and Ni, X. (2025). Administrative Monopoly Regulation and the Cost of Debt Financing: Evidence from China. </w:t>
      </w:r>
      <w:r w:rsidRPr="008059D3">
        <w:rPr>
          <w:i/>
          <w:iCs/>
          <w:sz w:val="24"/>
          <w:szCs w:val="24"/>
        </w:rPr>
        <w:t>Pacific-Basin Finance Journal</w:t>
      </w:r>
      <w:r w:rsidRPr="008059D3">
        <w:rPr>
          <w:sz w:val="24"/>
          <w:szCs w:val="24"/>
        </w:rPr>
        <w:t xml:space="preserve">, 92, p.102777. </w:t>
      </w:r>
      <w:proofErr w:type="spellStart"/>
      <w:r w:rsidRPr="008059D3">
        <w:rPr>
          <w:sz w:val="24"/>
          <w:szCs w:val="24"/>
        </w:rPr>
        <w:t>doi</w:t>
      </w:r>
      <w:proofErr w:type="spellEnd"/>
      <w:r w:rsidRPr="008059D3">
        <w:rPr>
          <w:sz w:val="24"/>
          <w:szCs w:val="24"/>
        </w:rPr>
        <w:t>: https://doi.org/10.1016/j.pacfin.2025.102777.</w:t>
      </w:r>
    </w:p>
    <w:p w14:paraId="144B0302" w14:textId="77777777" w:rsidR="005450ED" w:rsidRPr="008059D3" w:rsidRDefault="005450ED" w:rsidP="008059D3">
      <w:pPr>
        <w:spacing w:line="360" w:lineRule="auto"/>
        <w:jc w:val="both"/>
        <w:rPr>
          <w:sz w:val="24"/>
          <w:szCs w:val="24"/>
        </w:rPr>
      </w:pPr>
      <w:r w:rsidRPr="008059D3">
        <w:rPr>
          <w:sz w:val="24"/>
          <w:szCs w:val="24"/>
        </w:rPr>
        <w:t xml:space="preserve">Department for Science, Innovation and Technology (2024). </w:t>
      </w:r>
      <w:r w:rsidRPr="008059D3">
        <w:rPr>
          <w:i/>
          <w:iCs/>
          <w:sz w:val="24"/>
          <w:szCs w:val="24"/>
        </w:rPr>
        <w:t>A Pro-Innovation Approach to AI Regulation: Government Response</w:t>
      </w:r>
      <w:r w:rsidRPr="008059D3">
        <w:rPr>
          <w:sz w:val="24"/>
          <w:szCs w:val="24"/>
        </w:rPr>
        <w:t xml:space="preserve">. GOV.UK. Available at: </w:t>
      </w:r>
      <w:r w:rsidRPr="008059D3">
        <w:rPr>
          <w:sz w:val="24"/>
          <w:szCs w:val="24"/>
        </w:rPr>
        <w:lastRenderedPageBreak/>
        <w:t>https://www.gov.uk/government/consultations/ai-regulation-a-pro-innovation-approach-policy-proposals/outcome/a-pro-innovation-approach-to-ai-regulation-government-response.</w:t>
      </w:r>
    </w:p>
    <w:p w14:paraId="1CBF31BB" w14:textId="77777777" w:rsidR="005450ED" w:rsidRPr="008059D3" w:rsidRDefault="005450ED" w:rsidP="008059D3">
      <w:pPr>
        <w:spacing w:line="360" w:lineRule="auto"/>
        <w:jc w:val="both"/>
        <w:rPr>
          <w:sz w:val="24"/>
          <w:szCs w:val="24"/>
        </w:rPr>
      </w:pPr>
      <w:r w:rsidRPr="008059D3">
        <w:rPr>
          <w:sz w:val="24"/>
          <w:szCs w:val="24"/>
        </w:rPr>
        <w:t xml:space="preserve">DNV (2024). </w:t>
      </w:r>
      <w:r w:rsidRPr="008059D3">
        <w:rPr>
          <w:i/>
          <w:iCs/>
          <w:sz w:val="24"/>
          <w:szCs w:val="24"/>
        </w:rPr>
        <w:t>AI Spells Opportunity and Manageable Risk for the Oil and Gas Industry</w:t>
      </w:r>
      <w:r w:rsidRPr="008059D3">
        <w:rPr>
          <w:sz w:val="24"/>
          <w:szCs w:val="24"/>
        </w:rPr>
        <w:t>. DNV. Available at: https://www.dnv.com/article/ai-spells-opportunity-and-manageable-risk-for-the-oil-and-gas-industry/.</w:t>
      </w:r>
    </w:p>
    <w:p w14:paraId="6DE389C7" w14:textId="2C315CD9" w:rsidR="005450ED" w:rsidRPr="008059D3" w:rsidRDefault="005450ED" w:rsidP="008059D3">
      <w:pPr>
        <w:spacing w:line="360" w:lineRule="auto"/>
        <w:jc w:val="both"/>
        <w:rPr>
          <w:sz w:val="24"/>
          <w:szCs w:val="24"/>
        </w:rPr>
      </w:pPr>
      <w:r w:rsidRPr="008059D3">
        <w:rPr>
          <w:sz w:val="24"/>
          <w:szCs w:val="24"/>
        </w:rPr>
        <w:t xml:space="preserve">Drozdz, W. and </w:t>
      </w:r>
      <w:proofErr w:type="spellStart"/>
      <w:r w:rsidRPr="008059D3">
        <w:rPr>
          <w:sz w:val="24"/>
          <w:szCs w:val="24"/>
        </w:rPr>
        <w:t>Redzeb</w:t>
      </w:r>
      <w:proofErr w:type="spellEnd"/>
      <w:r w:rsidRPr="008059D3">
        <w:rPr>
          <w:sz w:val="24"/>
          <w:szCs w:val="24"/>
        </w:rPr>
        <w:t xml:space="preserve">, K. (2026). AI-Driven Knowledge Management in Energy Enterprises: Challenges and Perspectives. </w:t>
      </w:r>
      <w:r w:rsidRPr="008059D3">
        <w:rPr>
          <w:i/>
          <w:iCs/>
          <w:sz w:val="24"/>
          <w:szCs w:val="24"/>
        </w:rPr>
        <w:t>IFIP Advances in Information and Communication Technology</w:t>
      </w:r>
      <w:r w:rsidRPr="008059D3">
        <w:rPr>
          <w:sz w:val="24"/>
          <w:szCs w:val="24"/>
        </w:rPr>
        <w:t xml:space="preserve">, pp.300–313. </w:t>
      </w:r>
      <w:proofErr w:type="spellStart"/>
      <w:r w:rsidRPr="008059D3">
        <w:rPr>
          <w:sz w:val="24"/>
          <w:szCs w:val="24"/>
        </w:rPr>
        <w:t>doi</w:t>
      </w:r>
      <w:proofErr w:type="spellEnd"/>
      <w:r w:rsidRPr="008059D3">
        <w:rPr>
          <w:sz w:val="24"/>
          <w:szCs w:val="24"/>
        </w:rPr>
        <w:t>: https://doi.org/10.1007/978-3-032-18920-2_29.</w:t>
      </w:r>
    </w:p>
    <w:p w14:paraId="4D2995FF" w14:textId="3B71210C" w:rsidR="005450ED" w:rsidRPr="008059D3" w:rsidRDefault="005450ED" w:rsidP="008059D3">
      <w:pPr>
        <w:spacing w:line="360" w:lineRule="auto"/>
        <w:jc w:val="both"/>
        <w:rPr>
          <w:sz w:val="24"/>
          <w:szCs w:val="24"/>
        </w:rPr>
      </w:pPr>
      <w:r w:rsidRPr="008059D3">
        <w:rPr>
          <w:sz w:val="24"/>
          <w:szCs w:val="24"/>
        </w:rPr>
        <w:t xml:space="preserve">Dunning, J.H. (2001). The Eclectic (OLI) Paradigm of International Production: Past, Present and Future. </w:t>
      </w:r>
      <w:r w:rsidRPr="008059D3">
        <w:rPr>
          <w:i/>
          <w:iCs/>
          <w:sz w:val="24"/>
          <w:szCs w:val="24"/>
        </w:rPr>
        <w:t>International Journal of the Economics of Business</w:t>
      </w:r>
      <w:r w:rsidRPr="008059D3">
        <w:rPr>
          <w:sz w:val="24"/>
          <w:szCs w:val="24"/>
        </w:rPr>
        <w:t xml:space="preserve">, 8(2), pp.173–190. </w:t>
      </w:r>
      <w:proofErr w:type="spellStart"/>
      <w:r w:rsidRPr="008059D3">
        <w:rPr>
          <w:sz w:val="24"/>
          <w:szCs w:val="24"/>
        </w:rPr>
        <w:t>doi</w:t>
      </w:r>
      <w:proofErr w:type="spellEnd"/>
      <w:r w:rsidRPr="008059D3">
        <w:rPr>
          <w:sz w:val="24"/>
          <w:szCs w:val="24"/>
        </w:rPr>
        <w:t>: https://doi.org/10.1080/13571510110051441.</w:t>
      </w:r>
    </w:p>
    <w:p w14:paraId="4F6C3778" w14:textId="30A9E302" w:rsidR="005450ED" w:rsidRPr="008059D3" w:rsidRDefault="005450ED" w:rsidP="008059D3">
      <w:pPr>
        <w:spacing w:line="360" w:lineRule="auto"/>
        <w:jc w:val="both"/>
        <w:rPr>
          <w:sz w:val="24"/>
          <w:szCs w:val="24"/>
        </w:rPr>
      </w:pPr>
      <w:r w:rsidRPr="008059D3">
        <w:rPr>
          <w:sz w:val="24"/>
          <w:szCs w:val="24"/>
        </w:rPr>
        <w:t xml:space="preserve">Franki, V., Majnarić, D. and </w:t>
      </w:r>
      <w:proofErr w:type="spellStart"/>
      <w:r w:rsidRPr="008059D3">
        <w:rPr>
          <w:sz w:val="24"/>
          <w:szCs w:val="24"/>
        </w:rPr>
        <w:t>Višković</w:t>
      </w:r>
      <w:proofErr w:type="spellEnd"/>
      <w:r w:rsidRPr="008059D3">
        <w:rPr>
          <w:sz w:val="24"/>
          <w:szCs w:val="24"/>
        </w:rPr>
        <w:t xml:space="preserve">, A. (2023). A Comprehensive Review of Artificial Intelligence (AI) Companies in the Power Sector. </w:t>
      </w:r>
      <w:r w:rsidRPr="008059D3">
        <w:rPr>
          <w:i/>
          <w:iCs/>
          <w:sz w:val="24"/>
          <w:szCs w:val="24"/>
        </w:rPr>
        <w:t>Energies</w:t>
      </w:r>
      <w:r w:rsidRPr="008059D3">
        <w:rPr>
          <w:sz w:val="24"/>
          <w:szCs w:val="24"/>
        </w:rPr>
        <w:t xml:space="preserve">, 16(3), p.1077. </w:t>
      </w:r>
      <w:proofErr w:type="spellStart"/>
      <w:r w:rsidRPr="008059D3">
        <w:rPr>
          <w:sz w:val="24"/>
          <w:szCs w:val="24"/>
        </w:rPr>
        <w:t>doi</w:t>
      </w:r>
      <w:proofErr w:type="spellEnd"/>
      <w:r w:rsidRPr="008059D3">
        <w:rPr>
          <w:sz w:val="24"/>
          <w:szCs w:val="24"/>
        </w:rPr>
        <w:t>: https://doi.org/10.3390/en16031077.</w:t>
      </w:r>
    </w:p>
    <w:p w14:paraId="0598DCA6" w14:textId="516B00B0" w:rsidR="005450ED" w:rsidRPr="008059D3" w:rsidRDefault="005450ED" w:rsidP="008059D3">
      <w:pPr>
        <w:spacing w:line="360" w:lineRule="auto"/>
        <w:jc w:val="both"/>
        <w:rPr>
          <w:sz w:val="24"/>
          <w:szCs w:val="24"/>
        </w:rPr>
      </w:pPr>
      <w:r w:rsidRPr="008059D3">
        <w:rPr>
          <w:sz w:val="24"/>
          <w:szCs w:val="24"/>
        </w:rPr>
        <w:t xml:space="preserve">Gabhane, L.R. and </w:t>
      </w:r>
      <w:proofErr w:type="spellStart"/>
      <w:r w:rsidRPr="008059D3">
        <w:rPr>
          <w:sz w:val="24"/>
          <w:szCs w:val="24"/>
        </w:rPr>
        <w:t>Kanidarapu</w:t>
      </w:r>
      <w:proofErr w:type="spellEnd"/>
      <w:r w:rsidRPr="008059D3">
        <w:rPr>
          <w:sz w:val="24"/>
          <w:szCs w:val="24"/>
        </w:rPr>
        <w:t xml:space="preserve">, N. (2023). Environmental Risk Assessment Using Neural Network in Liquefied Petroleum Gas Terminal. </w:t>
      </w:r>
      <w:r w:rsidRPr="008059D3">
        <w:rPr>
          <w:i/>
          <w:iCs/>
          <w:sz w:val="24"/>
          <w:szCs w:val="24"/>
        </w:rPr>
        <w:t>Toxics</w:t>
      </w:r>
      <w:r w:rsidRPr="008059D3">
        <w:rPr>
          <w:sz w:val="24"/>
          <w:szCs w:val="24"/>
        </w:rPr>
        <w:t xml:space="preserve">, 11(4), p.348. </w:t>
      </w:r>
      <w:proofErr w:type="spellStart"/>
      <w:r w:rsidRPr="008059D3">
        <w:rPr>
          <w:sz w:val="24"/>
          <w:szCs w:val="24"/>
        </w:rPr>
        <w:t>doi</w:t>
      </w:r>
      <w:proofErr w:type="spellEnd"/>
      <w:r w:rsidRPr="008059D3">
        <w:rPr>
          <w:sz w:val="24"/>
          <w:szCs w:val="24"/>
        </w:rPr>
        <w:t>: https://doi.org/10.3390/toxics11040348.</w:t>
      </w:r>
    </w:p>
    <w:p w14:paraId="54558EEA" w14:textId="6309E4CE" w:rsidR="005450ED" w:rsidRPr="008059D3" w:rsidRDefault="005450ED" w:rsidP="008059D3">
      <w:pPr>
        <w:spacing w:line="360" w:lineRule="auto"/>
        <w:jc w:val="both"/>
        <w:rPr>
          <w:sz w:val="24"/>
          <w:szCs w:val="24"/>
        </w:rPr>
      </w:pPr>
      <w:r w:rsidRPr="008059D3">
        <w:rPr>
          <w:sz w:val="24"/>
          <w:szCs w:val="24"/>
        </w:rPr>
        <w:t xml:space="preserve">Garvey, C. (2024). Extraterritorial Reach of the EU AI Act: Implications for Global Energy Multinationals. </w:t>
      </w:r>
      <w:r w:rsidRPr="008059D3">
        <w:rPr>
          <w:i/>
          <w:iCs/>
          <w:sz w:val="24"/>
          <w:szCs w:val="24"/>
        </w:rPr>
        <w:t>European Journal of Risk Regulation</w:t>
      </w:r>
      <w:r w:rsidRPr="008059D3">
        <w:rPr>
          <w:sz w:val="24"/>
          <w:szCs w:val="24"/>
        </w:rPr>
        <w:t xml:space="preserve">, 15(2), pp.214–231. </w:t>
      </w:r>
      <w:proofErr w:type="spellStart"/>
      <w:r w:rsidRPr="008059D3">
        <w:rPr>
          <w:sz w:val="24"/>
          <w:szCs w:val="24"/>
        </w:rPr>
        <w:t>doi</w:t>
      </w:r>
      <w:proofErr w:type="spellEnd"/>
      <w:r w:rsidRPr="008059D3">
        <w:rPr>
          <w:sz w:val="24"/>
          <w:szCs w:val="24"/>
        </w:rPr>
        <w:t>: https://doi.org/10.1017/err.2024.12.</w:t>
      </w:r>
    </w:p>
    <w:p w14:paraId="71589334" w14:textId="412D3205" w:rsidR="005450ED" w:rsidRPr="008059D3" w:rsidRDefault="005450ED" w:rsidP="008059D3">
      <w:pPr>
        <w:spacing w:line="360" w:lineRule="auto"/>
        <w:jc w:val="both"/>
        <w:rPr>
          <w:sz w:val="24"/>
          <w:szCs w:val="24"/>
        </w:rPr>
      </w:pPr>
      <w:r w:rsidRPr="008059D3">
        <w:rPr>
          <w:sz w:val="24"/>
          <w:szCs w:val="24"/>
        </w:rPr>
        <w:t xml:space="preserve">Grigorescu, A., Pelinescu, E., Ion, A.E. and </w:t>
      </w:r>
      <w:proofErr w:type="spellStart"/>
      <w:r w:rsidRPr="008059D3">
        <w:rPr>
          <w:sz w:val="24"/>
          <w:szCs w:val="24"/>
        </w:rPr>
        <w:t>Lincaru</w:t>
      </w:r>
      <w:proofErr w:type="spellEnd"/>
      <w:r w:rsidRPr="008059D3">
        <w:rPr>
          <w:sz w:val="24"/>
          <w:szCs w:val="24"/>
        </w:rPr>
        <w:t xml:space="preserve">, C. (2022). A Meta-Analysis of Artificial Intelligence Adoption in the Energy Sector: Governance, Barriers and Strategic Recommendations. </w:t>
      </w:r>
      <w:r w:rsidRPr="008059D3">
        <w:rPr>
          <w:i/>
          <w:iCs/>
          <w:sz w:val="24"/>
          <w:szCs w:val="24"/>
        </w:rPr>
        <w:t>Energies</w:t>
      </w:r>
      <w:r w:rsidRPr="008059D3">
        <w:rPr>
          <w:sz w:val="24"/>
          <w:szCs w:val="24"/>
        </w:rPr>
        <w:t xml:space="preserve">, 15(3), p.1082. </w:t>
      </w:r>
      <w:proofErr w:type="spellStart"/>
      <w:r w:rsidRPr="008059D3">
        <w:rPr>
          <w:sz w:val="24"/>
          <w:szCs w:val="24"/>
        </w:rPr>
        <w:t>doi</w:t>
      </w:r>
      <w:proofErr w:type="spellEnd"/>
      <w:r w:rsidRPr="008059D3">
        <w:rPr>
          <w:sz w:val="24"/>
          <w:szCs w:val="24"/>
        </w:rPr>
        <w:t>: https://doi.org/10.3390/en15031082.</w:t>
      </w:r>
    </w:p>
    <w:p w14:paraId="6E1416D1" w14:textId="3C601D1A" w:rsidR="005450ED" w:rsidRPr="008059D3" w:rsidRDefault="005450ED" w:rsidP="008059D3">
      <w:pPr>
        <w:spacing w:line="360" w:lineRule="auto"/>
        <w:jc w:val="both"/>
        <w:rPr>
          <w:sz w:val="24"/>
          <w:szCs w:val="24"/>
        </w:rPr>
      </w:pPr>
      <w:r w:rsidRPr="008059D3">
        <w:rPr>
          <w:sz w:val="24"/>
          <w:szCs w:val="24"/>
        </w:rPr>
        <w:t xml:space="preserve">Hatoum, M.B., Nassereddine, H., Musick, S. and </w:t>
      </w:r>
      <w:proofErr w:type="spellStart"/>
      <w:r w:rsidRPr="008059D3">
        <w:rPr>
          <w:sz w:val="24"/>
          <w:szCs w:val="24"/>
        </w:rPr>
        <w:t>Eljazzar</w:t>
      </w:r>
      <w:proofErr w:type="spellEnd"/>
      <w:r w:rsidRPr="008059D3">
        <w:rPr>
          <w:sz w:val="24"/>
          <w:szCs w:val="24"/>
        </w:rPr>
        <w:t xml:space="preserve">, M.S. (2023). Investigation of PESTEL Factors Driving Change in Capital Project Organizations. </w:t>
      </w:r>
      <w:r w:rsidRPr="008059D3">
        <w:rPr>
          <w:i/>
          <w:iCs/>
          <w:sz w:val="24"/>
          <w:szCs w:val="24"/>
        </w:rPr>
        <w:t>Frontiers in Built Environment</w:t>
      </w:r>
      <w:r w:rsidRPr="008059D3">
        <w:rPr>
          <w:sz w:val="24"/>
          <w:szCs w:val="24"/>
        </w:rPr>
        <w:t xml:space="preserve">, 9(1). </w:t>
      </w:r>
      <w:proofErr w:type="spellStart"/>
      <w:r w:rsidRPr="008059D3">
        <w:rPr>
          <w:sz w:val="24"/>
          <w:szCs w:val="24"/>
        </w:rPr>
        <w:t>doi</w:t>
      </w:r>
      <w:proofErr w:type="spellEnd"/>
      <w:r w:rsidRPr="008059D3">
        <w:rPr>
          <w:sz w:val="24"/>
          <w:szCs w:val="24"/>
        </w:rPr>
        <w:t>: https://doi.org/10.3389/fbuil.2023.1207564.</w:t>
      </w:r>
    </w:p>
    <w:p w14:paraId="13BC438B" w14:textId="77777777" w:rsidR="005450ED" w:rsidRPr="008059D3" w:rsidRDefault="005450ED" w:rsidP="008059D3">
      <w:pPr>
        <w:spacing w:line="360" w:lineRule="auto"/>
        <w:jc w:val="both"/>
        <w:rPr>
          <w:sz w:val="24"/>
          <w:szCs w:val="24"/>
        </w:rPr>
      </w:pPr>
      <w:r w:rsidRPr="008059D3">
        <w:rPr>
          <w:sz w:val="24"/>
          <w:szCs w:val="24"/>
        </w:rPr>
        <w:t xml:space="preserve">Health and Safety Executive (2023). </w:t>
      </w:r>
      <w:r w:rsidRPr="008059D3">
        <w:rPr>
          <w:i/>
          <w:iCs/>
          <w:sz w:val="24"/>
          <w:szCs w:val="24"/>
        </w:rPr>
        <w:t>HSE's Regulatory Approach to Artificial Intelligence (AI)</w:t>
      </w:r>
      <w:r w:rsidRPr="008059D3">
        <w:rPr>
          <w:sz w:val="24"/>
          <w:szCs w:val="24"/>
        </w:rPr>
        <w:t>. Available at: https://www.hse.gov.uk/news/hse-ai.htm.</w:t>
      </w:r>
    </w:p>
    <w:p w14:paraId="3877E976" w14:textId="4BBE7369" w:rsidR="005450ED" w:rsidRPr="008059D3" w:rsidRDefault="005450ED" w:rsidP="008059D3">
      <w:pPr>
        <w:spacing w:line="360" w:lineRule="auto"/>
        <w:jc w:val="both"/>
        <w:rPr>
          <w:sz w:val="24"/>
          <w:szCs w:val="24"/>
        </w:rPr>
      </w:pPr>
      <w:r w:rsidRPr="008059D3">
        <w:rPr>
          <w:sz w:val="24"/>
          <w:szCs w:val="24"/>
        </w:rPr>
        <w:t xml:space="preserve">Hu, S., Chen, P. and Zhang, C. (2025). How Does Green Finance Reform Affect Corporate ESG Greenwashing Behavior? </w:t>
      </w:r>
      <w:r w:rsidRPr="008059D3">
        <w:rPr>
          <w:i/>
          <w:iCs/>
          <w:sz w:val="24"/>
          <w:szCs w:val="24"/>
        </w:rPr>
        <w:t>International Review of Financial Analysis</w:t>
      </w:r>
      <w:r w:rsidRPr="008059D3">
        <w:rPr>
          <w:sz w:val="24"/>
          <w:szCs w:val="24"/>
        </w:rPr>
        <w:t xml:space="preserve">, pp.104037–104037. </w:t>
      </w:r>
      <w:proofErr w:type="spellStart"/>
      <w:r w:rsidRPr="008059D3">
        <w:rPr>
          <w:sz w:val="24"/>
          <w:szCs w:val="24"/>
        </w:rPr>
        <w:t>doi</w:t>
      </w:r>
      <w:proofErr w:type="spellEnd"/>
      <w:r w:rsidRPr="008059D3">
        <w:rPr>
          <w:sz w:val="24"/>
          <w:szCs w:val="24"/>
        </w:rPr>
        <w:t>: https://doi.org/10.1016/j.irfa.2025.104037.</w:t>
      </w:r>
    </w:p>
    <w:p w14:paraId="6B443605" w14:textId="3A2DBE73" w:rsidR="005450ED" w:rsidRPr="008059D3" w:rsidRDefault="005450ED" w:rsidP="008059D3">
      <w:pPr>
        <w:spacing w:line="360" w:lineRule="auto"/>
        <w:jc w:val="both"/>
        <w:rPr>
          <w:sz w:val="24"/>
          <w:szCs w:val="24"/>
        </w:rPr>
      </w:pPr>
      <w:r w:rsidRPr="008059D3">
        <w:rPr>
          <w:sz w:val="24"/>
          <w:szCs w:val="24"/>
        </w:rPr>
        <w:lastRenderedPageBreak/>
        <w:t xml:space="preserve">Humphreys, D., Koay, A., Desmond, D. and Mealy, E. (2024). AI Hype as a Cyber Security Risk: The Moral Responsibility of Implementing Generative AI in Business. </w:t>
      </w:r>
      <w:r w:rsidRPr="008059D3">
        <w:rPr>
          <w:i/>
          <w:iCs/>
          <w:sz w:val="24"/>
          <w:szCs w:val="24"/>
        </w:rPr>
        <w:t>AI and Ethics</w:t>
      </w:r>
      <w:r w:rsidRPr="008059D3">
        <w:rPr>
          <w:sz w:val="24"/>
          <w:szCs w:val="24"/>
        </w:rPr>
        <w:t xml:space="preserve">, 4(1). </w:t>
      </w:r>
      <w:proofErr w:type="spellStart"/>
      <w:r w:rsidRPr="008059D3">
        <w:rPr>
          <w:sz w:val="24"/>
          <w:szCs w:val="24"/>
        </w:rPr>
        <w:t>doi</w:t>
      </w:r>
      <w:proofErr w:type="spellEnd"/>
      <w:r w:rsidRPr="008059D3">
        <w:rPr>
          <w:sz w:val="24"/>
          <w:szCs w:val="24"/>
        </w:rPr>
        <w:t>: https://doi.org/10.1007/s43681-024-00443-4.</w:t>
      </w:r>
    </w:p>
    <w:p w14:paraId="32D95C12" w14:textId="511D7A3F" w:rsidR="005450ED" w:rsidRPr="008059D3" w:rsidRDefault="005450ED" w:rsidP="008059D3">
      <w:pPr>
        <w:spacing w:line="360" w:lineRule="auto"/>
        <w:jc w:val="both"/>
        <w:rPr>
          <w:sz w:val="24"/>
          <w:szCs w:val="24"/>
        </w:rPr>
      </w:pPr>
      <w:r w:rsidRPr="008059D3">
        <w:rPr>
          <w:sz w:val="24"/>
          <w:szCs w:val="24"/>
        </w:rPr>
        <w:t xml:space="preserve">Hussain, M., Alamri, A., Zhang, T. and Jamil, I. (2024a). Application of Artificial Intelligence in the Oil and Gas Industry. </w:t>
      </w:r>
      <w:r w:rsidRPr="008059D3">
        <w:rPr>
          <w:i/>
          <w:iCs/>
          <w:sz w:val="24"/>
          <w:szCs w:val="24"/>
        </w:rPr>
        <w:t>Synthesis Lectures on Engineering, Science, and Technology</w:t>
      </w:r>
      <w:r w:rsidRPr="008059D3">
        <w:rPr>
          <w:sz w:val="24"/>
          <w:szCs w:val="24"/>
        </w:rPr>
        <w:t xml:space="preserve">, pp.341–373. </w:t>
      </w:r>
      <w:proofErr w:type="spellStart"/>
      <w:r w:rsidRPr="008059D3">
        <w:rPr>
          <w:sz w:val="24"/>
          <w:szCs w:val="24"/>
        </w:rPr>
        <w:t>doi</w:t>
      </w:r>
      <w:proofErr w:type="spellEnd"/>
      <w:r w:rsidRPr="008059D3">
        <w:rPr>
          <w:sz w:val="24"/>
          <w:szCs w:val="24"/>
        </w:rPr>
        <w:t>: https://doi.org/10.1007/978-3-031-50300-9_19.</w:t>
      </w:r>
    </w:p>
    <w:p w14:paraId="57ADFAED" w14:textId="51B55A3F" w:rsidR="005450ED" w:rsidRPr="008059D3" w:rsidRDefault="005450ED" w:rsidP="008059D3">
      <w:pPr>
        <w:spacing w:line="360" w:lineRule="auto"/>
        <w:jc w:val="both"/>
        <w:rPr>
          <w:sz w:val="24"/>
          <w:szCs w:val="24"/>
        </w:rPr>
      </w:pPr>
      <w:r w:rsidRPr="008059D3">
        <w:rPr>
          <w:sz w:val="24"/>
          <w:szCs w:val="24"/>
        </w:rPr>
        <w:t xml:space="preserve">Hussain, M., Zhang, T., Chaudhry, M., Jamil, I., Kausar, S. and Hussain, I. (2024b). Review of Prediction of Stress Corrosion Cracking in Gas Pipelines Using Machine Learning. </w:t>
      </w:r>
      <w:r w:rsidRPr="008059D3">
        <w:rPr>
          <w:i/>
          <w:iCs/>
          <w:sz w:val="24"/>
          <w:szCs w:val="24"/>
        </w:rPr>
        <w:t>Machines</w:t>
      </w:r>
      <w:r w:rsidRPr="008059D3">
        <w:rPr>
          <w:sz w:val="24"/>
          <w:szCs w:val="24"/>
        </w:rPr>
        <w:t xml:space="preserve">, 12(1), pp.42–42. </w:t>
      </w:r>
      <w:proofErr w:type="spellStart"/>
      <w:r w:rsidRPr="008059D3">
        <w:rPr>
          <w:sz w:val="24"/>
          <w:szCs w:val="24"/>
        </w:rPr>
        <w:t>doi</w:t>
      </w:r>
      <w:proofErr w:type="spellEnd"/>
      <w:r w:rsidRPr="008059D3">
        <w:rPr>
          <w:sz w:val="24"/>
          <w:szCs w:val="24"/>
        </w:rPr>
        <w:t>: https://doi.org/10.3390/machines12010042.</w:t>
      </w:r>
    </w:p>
    <w:p w14:paraId="48802E83" w14:textId="2B0A4B8A" w:rsidR="005450ED" w:rsidRPr="008059D3" w:rsidRDefault="005450ED" w:rsidP="008059D3">
      <w:pPr>
        <w:spacing w:line="360" w:lineRule="auto"/>
        <w:jc w:val="both"/>
        <w:rPr>
          <w:sz w:val="24"/>
          <w:szCs w:val="24"/>
        </w:rPr>
      </w:pPr>
      <w:r w:rsidRPr="008059D3">
        <w:rPr>
          <w:sz w:val="24"/>
          <w:szCs w:val="24"/>
        </w:rPr>
        <w:t xml:space="preserve">Jørgensen, B.N., Gunasekaran, S.S. and Ma, Z.G. (2025). Impact of EU Laws on AI Adoption in Smart Grids: A Review of Regulatory Barriers, Technological Challenges, and Stakeholder Benefits. </w:t>
      </w:r>
      <w:r w:rsidRPr="008059D3">
        <w:rPr>
          <w:i/>
          <w:iCs/>
          <w:sz w:val="24"/>
          <w:szCs w:val="24"/>
        </w:rPr>
        <w:t>Energies</w:t>
      </w:r>
      <w:r w:rsidRPr="008059D3">
        <w:rPr>
          <w:sz w:val="24"/>
          <w:szCs w:val="24"/>
        </w:rPr>
        <w:t xml:space="preserve">, 18(12), p.3002. </w:t>
      </w:r>
      <w:proofErr w:type="spellStart"/>
      <w:r w:rsidRPr="008059D3">
        <w:rPr>
          <w:sz w:val="24"/>
          <w:szCs w:val="24"/>
        </w:rPr>
        <w:t>doi</w:t>
      </w:r>
      <w:proofErr w:type="spellEnd"/>
      <w:r w:rsidRPr="008059D3">
        <w:rPr>
          <w:sz w:val="24"/>
          <w:szCs w:val="24"/>
        </w:rPr>
        <w:t>: https://doi.org/10.3390/en18123002.</w:t>
      </w:r>
    </w:p>
    <w:p w14:paraId="78853E50" w14:textId="1588312D" w:rsidR="005450ED" w:rsidRPr="008059D3" w:rsidRDefault="005450ED" w:rsidP="008059D3">
      <w:pPr>
        <w:spacing w:line="360" w:lineRule="auto"/>
        <w:jc w:val="both"/>
        <w:rPr>
          <w:sz w:val="24"/>
          <w:szCs w:val="24"/>
        </w:rPr>
      </w:pPr>
      <w:r w:rsidRPr="008059D3">
        <w:rPr>
          <w:sz w:val="24"/>
          <w:szCs w:val="24"/>
        </w:rPr>
        <w:t xml:space="preserve">Jørgensen, B.N. and Ma, Z.G. (2025b). Regulating AI in the Energy Sector: A Scoping Review of EU Laws, Challenges, and Global Perspectives. </w:t>
      </w:r>
      <w:r w:rsidRPr="008059D3">
        <w:rPr>
          <w:i/>
          <w:iCs/>
          <w:sz w:val="24"/>
          <w:szCs w:val="24"/>
        </w:rPr>
        <w:t>Energies</w:t>
      </w:r>
      <w:r w:rsidRPr="008059D3">
        <w:rPr>
          <w:sz w:val="24"/>
          <w:szCs w:val="24"/>
        </w:rPr>
        <w:t xml:space="preserve">, 18(9), pp.2359–2359. </w:t>
      </w:r>
      <w:proofErr w:type="spellStart"/>
      <w:r w:rsidRPr="008059D3">
        <w:rPr>
          <w:sz w:val="24"/>
          <w:szCs w:val="24"/>
        </w:rPr>
        <w:t>doi</w:t>
      </w:r>
      <w:proofErr w:type="spellEnd"/>
      <w:r w:rsidRPr="008059D3">
        <w:rPr>
          <w:sz w:val="24"/>
          <w:szCs w:val="24"/>
        </w:rPr>
        <w:t>: https://doi.org/10.3390/en18092359.</w:t>
      </w:r>
    </w:p>
    <w:p w14:paraId="2AB48464" w14:textId="77777777" w:rsidR="005450ED" w:rsidRPr="008059D3" w:rsidRDefault="005450ED" w:rsidP="008059D3">
      <w:pPr>
        <w:spacing w:line="360" w:lineRule="auto"/>
        <w:jc w:val="both"/>
        <w:rPr>
          <w:sz w:val="24"/>
          <w:szCs w:val="24"/>
        </w:rPr>
      </w:pPr>
      <w:r w:rsidRPr="008059D3">
        <w:rPr>
          <w:sz w:val="24"/>
          <w:szCs w:val="24"/>
        </w:rPr>
        <w:t xml:space="preserve">Kleinman Center for Energy Policy (2024). </w:t>
      </w:r>
      <w:r w:rsidRPr="008059D3">
        <w:rPr>
          <w:i/>
          <w:iCs/>
          <w:sz w:val="24"/>
          <w:szCs w:val="24"/>
        </w:rPr>
        <w:t>Remote Sensing-Based Monitoring Networks for the Next Generation of Energy and Environmental Policymaking</w:t>
      </w:r>
      <w:r w:rsidRPr="008059D3">
        <w:rPr>
          <w:sz w:val="24"/>
          <w:szCs w:val="24"/>
        </w:rPr>
        <w:t>. Available at: https://kleinmanenergy.upenn.edu/research/publications/remote-sensing-based-monitoring-networks-for-the-next-generation-of-energy-and-environmental-policymaking/.</w:t>
      </w:r>
    </w:p>
    <w:p w14:paraId="6A47B795" w14:textId="29168738" w:rsidR="005450ED" w:rsidRPr="008059D3" w:rsidRDefault="005450ED" w:rsidP="008059D3">
      <w:pPr>
        <w:spacing w:line="360" w:lineRule="auto"/>
        <w:jc w:val="both"/>
        <w:rPr>
          <w:sz w:val="24"/>
          <w:szCs w:val="24"/>
        </w:rPr>
      </w:pPr>
      <w:r w:rsidRPr="008059D3">
        <w:rPr>
          <w:sz w:val="24"/>
          <w:szCs w:val="24"/>
        </w:rPr>
        <w:t xml:space="preserve">Lee, C.-C. and Wang, E.-Z. (2025). Energy Regulation and Industrial Robot Adoption: The Role of Human Capital. </w:t>
      </w:r>
      <w:r w:rsidRPr="008059D3">
        <w:rPr>
          <w:i/>
          <w:iCs/>
          <w:sz w:val="24"/>
          <w:szCs w:val="24"/>
        </w:rPr>
        <w:t>Energy Economics</w:t>
      </w:r>
      <w:r w:rsidRPr="008059D3">
        <w:rPr>
          <w:sz w:val="24"/>
          <w:szCs w:val="24"/>
        </w:rPr>
        <w:t xml:space="preserve">, 146, p.108499. </w:t>
      </w:r>
      <w:proofErr w:type="spellStart"/>
      <w:r w:rsidRPr="008059D3">
        <w:rPr>
          <w:sz w:val="24"/>
          <w:szCs w:val="24"/>
        </w:rPr>
        <w:t>doi</w:t>
      </w:r>
      <w:proofErr w:type="spellEnd"/>
      <w:r w:rsidRPr="008059D3">
        <w:rPr>
          <w:sz w:val="24"/>
          <w:szCs w:val="24"/>
        </w:rPr>
        <w:t>: https://doi.org/10.1016/j.eneco.2025.108499.</w:t>
      </w:r>
    </w:p>
    <w:p w14:paraId="5C5AC55D" w14:textId="6D514CA9" w:rsidR="005450ED" w:rsidRPr="008059D3" w:rsidRDefault="005450ED" w:rsidP="008059D3">
      <w:pPr>
        <w:spacing w:line="360" w:lineRule="auto"/>
        <w:jc w:val="both"/>
        <w:rPr>
          <w:sz w:val="24"/>
          <w:szCs w:val="24"/>
        </w:rPr>
      </w:pPr>
      <w:r w:rsidRPr="008059D3">
        <w:rPr>
          <w:sz w:val="24"/>
          <w:szCs w:val="24"/>
        </w:rPr>
        <w:t xml:space="preserve">Lee, S.U., Perera, H., Liu, Y., Xia, B., Lu, Q., Zhu, L., Cairns, J. and Nottage, M. (2025). Integrating ESG and AI: A Comprehensive Responsible AI Assessment Framework. </w:t>
      </w:r>
      <w:r w:rsidRPr="008059D3">
        <w:rPr>
          <w:i/>
          <w:iCs/>
          <w:sz w:val="24"/>
          <w:szCs w:val="24"/>
        </w:rPr>
        <w:t>AI and Ethics</w:t>
      </w:r>
      <w:r w:rsidRPr="008059D3">
        <w:rPr>
          <w:sz w:val="24"/>
          <w:szCs w:val="24"/>
        </w:rPr>
        <w:t xml:space="preserve">. </w:t>
      </w:r>
      <w:proofErr w:type="spellStart"/>
      <w:r w:rsidRPr="008059D3">
        <w:rPr>
          <w:sz w:val="24"/>
          <w:szCs w:val="24"/>
        </w:rPr>
        <w:t>doi</w:t>
      </w:r>
      <w:proofErr w:type="spellEnd"/>
      <w:r w:rsidRPr="008059D3">
        <w:rPr>
          <w:sz w:val="24"/>
          <w:szCs w:val="24"/>
        </w:rPr>
        <w:t>: https://doi.org/10.1007/s43681-025-00741-5.</w:t>
      </w:r>
    </w:p>
    <w:p w14:paraId="215272C1" w14:textId="1B9DE96B" w:rsidR="005450ED" w:rsidRPr="008059D3" w:rsidRDefault="005450ED" w:rsidP="008059D3">
      <w:pPr>
        <w:spacing w:line="360" w:lineRule="auto"/>
        <w:jc w:val="both"/>
        <w:rPr>
          <w:sz w:val="24"/>
          <w:szCs w:val="24"/>
        </w:rPr>
      </w:pPr>
      <w:r w:rsidRPr="008059D3">
        <w:rPr>
          <w:sz w:val="24"/>
          <w:szCs w:val="24"/>
        </w:rPr>
        <w:t xml:space="preserve">Liu, H., Cai, X. and Meng, X. (2025). Fast and Accurate Prediction of Corrosion Rate of Natural Gas Pipeline Using a Hybrid Machine Learning Approach. </w:t>
      </w:r>
      <w:r w:rsidRPr="008059D3">
        <w:rPr>
          <w:i/>
          <w:iCs/>
          <w:sz w:val="24"/>
          <w:szCs w:val="24"/>
        </w:rPr>
        <w:t>Applied Sciences</w:t>
      </w:r>
      <w:r w:rsidRPr="008059D3">
        <w:rPr>
          <w:sz w:val="24"/>
          <w:szCs w:val="24"/>
        </w:rPr>
        <w:t xml:space="preserve">, 15(4), p.2023. </w:t>
      </w:r>
      <w:proofErr w:type="spellStart"/>
      <w:r w:rsidRPr="008059D3">
        <w:rPr>
          <w:sz w:val="24"/>
          <w:szCs w:val="24"/>
        </w:rPr>
        <w:t>doi</w:t>
      </w:r>
      <w:proofErr w:type="spellEnd"/>
      <w:r w:rsidRPr="008059D3">
        <w:rPr>
          <w:sz w:val="24"/>
          <w:szCs w:val="24"/>
        </w:rPr>
        <w:t>: https://doi.org/10.3390/app15042023.</w:t>
      </w:r>
    </w:p>
    <w:p w14:paraId="73091427" w14:textId="23D41745" w:rsidR="005450ED" w:rsidRPr="008059D3" w:rsidRDefault="005450ED" w:rsidP="008059D3">
      <w:pPr>
        <w:spacing w:line="360" w:lineRule="auto"/>
        <w:jc w:val="both"/>
        <w:rPr>
          <w:sz w:val="24"/>
          <w:szCs w:val="24"/>
        </w:rPr>
      </w:pPr>
      <w:r w:rsidRPr="008059D3">
        <w:rPr>
          <w:sz w:val="24"/>
          <w:szCs w:val="24"/>
        </w:rPr>
        <w:t xml:space="preserve">Machlev, R., </w:t>
      </w:r>
      <w:proofErr w:type="spellStart"/>
      <w:r w:rsidRPr="008059D3">
        <w:rPr>
          <w:sz w:val="24"/>
          <w:szCs w:val="24"/>
        </w:rPr>
        <w:t>Heistrene</w:t>
      </w:r>
      <w:proofErr w:type="spellEnd"/>
      <w:r w:rsidRPr="008059D3">
        <w:rPr>
          <w:sz w:val="24"/>
          <w:szCs w:val="24"/>
        </w:rPr>
        <w:t xml:space="preserve">, L., Perl, M., Levy, K.Y., Belikov, J., Mannor, S. and Levron, Y. (2022). Explainable Artificial Intelligence (XAI) Techniques for Energy and Power Systems: Review, Challenges and Opportunities. </w:t>
      </w:r>
      <w:r w:rsidRPr="008059D3">
        <w:rPr>
          <w:i/>
          <w:iCs/>
          <w:sz w:val="24"/>
          <w:szCs w:val="24"/>
        </w:rPr>
        <w:t>Energy and AI</w:t>
      </w:r>
      <w:r w:rsidRPr="008059D3">
        <w:rPr>
          <w:sz w:val="24"/>
          <w:szCs w:val="24"/>
        </w:rPr>
        <w:t xml:space="preserve">, 9, p.100169. </w:t>
      </w:r>
      <w:proofErr w:type="spellStart"/>
      <w:r w:rsidRPr="008059D3">
        <w:rPr>
          <w:sz w:val="24"/>
          <w:szCs w:val="24"/>
        </w:rPr>
        <w:t>doi</w:t>
      </w:r>
      <w:proofErr w:type="spellEnd"/>
      <w:r w:rsidRPr="008059D3">
        <w:rPr>
          <w:sz w:val="24"/>
          <w:szCs w:val="24"/>
        </w:rPr>
        <w:t>: https://doi.org/10.1016/j.egyai.2022.100169.</w:t>
      </w:r>
    </w:p>
    <w:p w14:paraId="3E57054B" w14:textId="54CE001E" w:rsidR="005450ED" w:rsidRPr="008059D3" w:rsidRDefault="005450ED" w:rsidP="008059D3">
      <w:pPr>
        <w:spacing w:line="360" w:lineRule="auto"/>
        <w:jc w:val="both"/>
        <w:rPr>
          <w:sz w:val="24"/>
          <w:szCs w:val="24"/>
        </w:rPr>
      </w:pPr>
      <w:r w:rsidRPr="008059D3">
        <w:rPr>
          <w:sz w:val="24"/>
          <w:szCs w:val="24"/>
        </w:rPr>
        <w:lastRenderedPageBreak/>
        <w:t xml:space="preserve">Mardanov, E., </w:t>
      </w:r>
      <w:proofErr w:type="spellStart"/>
      <w:r w:rsidRPr="008059D3">
        <w:rPr>
          <w:sz w:val="24"/>
          <w:szCs w:val="24"/>
        </w:rPr>
        <w:t>Mavlutova</w:t>
      </w:r>
      <w:proofErr w:type="spellEnd"/>
      <w:r w:rsidRPr="008059D3">
        <w:rPr>
          <w:sz w:val="24"/>
          <w:szCs w:val="24"/>
        </w:rPr>
        <w:t xml:space="preserve">, I. and Sloka, B. (2026). Financial Performance Outcomes of AI-Adoption in Oil and Gas: The Mediating Role of Operational Efficiency. </w:t>
      </w:r>
      <w:r w:rsidRPr="008059D3">
        <w:rPr>
          <w:i/>
          <w:iCs/>
          <w:sz w:val="24"/>
          <w:szCs w:val="24"/>
        </w:rPr>
        <w:t>Journal of Risk and Financial Management</w:t>
      </w:r>
      <w:r w:rsidRPr="008059D3">
        <w:rPr>
          <w:sz w:val="24"/>
          <w:szCs w:val="24"/>
        </w:rPr>
        <w:t xml:space="preserve">, 19(1), p.44. </w:t>
      </w:r>
      <w:proofErr w:type="spellStart"/>
      <w:r w:rsidRPr="008059D3">
        <w:rPr>
          <w:sz w:val="24"/>
          <w:szCs w:val="24"/>
        </w:rPr>
        <w:t>doi</w:t>
      </w:r>
      <w:proofErr w:type="spellEnd"/>
      <w:r w:rsidRPr="008059D3">
        <w:rPr>
          <w:sz w:val="24"/>
          <w:szCs w:val="24"/>
        </w:rPr>
        <w:t>: https://doi.org/10.3390/jrfm19010044.</w:t>
      </w:r>
    </w:p>
    <w:p w14:paraId="2B72E218" w14:textId="21CB3D5F" w:rsidR="005450ED" w:rsidRPr="008059D3" w:rsidRDefault="005450ED" w:rsidP="008059D3">
      <w:pPr>
        <w:spacing w:line="360" w:lineRule="auto"/>
        <w:jc w:val="both"/>
        <w:rPr>
          <w:sz w:val="24"/>
          <w:szCs w:val="24"/>
        </w:rPr>
      </w:pPr>
      <w:r w:rsidRPr="008059D3">
        <w:rPr>
          <w:sz w:val="24"/>
          <w:szCs w:val="24"/>
        </w:rPr>
        <w:t xml:space="preserve">Mehrabi, N., </w:t>
      </w:r>
      <w:proofErr w:type="spellStart"/>
      <w:r w:rsidRPr="008059D3">
        <w:rPr>
          <w:sz w:val="24"/>
          <w:szCs w:val="24"/>
        </w:rPr>
        <w:t>Morstatter</w:t>
      </w:r>
      <w:proofErr w:type="spellEnd"/>
      <w:r w:rsidRPr="008059D3">
        <w:rPr>
          <w:sz w:val="24"/>
          <w:szCs w:val="24"/>
        </w:rPr>
        <w:t xml:space="preserve">, F., Saxena, N., Lerman, K. and Galstyan, A. (2021). A Survey on Bias and Fairness in Machine Learning. </w:t>
      </w:r>
      <w:r w:rsidRPr="008059D3">
        <w:rPr>
          <w:i/>
          <w:iCs/>
          <w:sz w:val="24"/>
          <w:szCs w:val="24"/>
        </w:rPr>
        <w:t>ACM Computing Surveys</w:t>
      </w:r>
      <w:r w:rsidRPr="008059D3">
        <w:rPr>
          <w:sz w:val="24"/>
          <w:szCs w:val="24"/>
        </w:rPr>
        <w:t xml:space="preserve">, 54(6), pp.1–35. </w:t>
      </w:r>
      <w:proofErr w:type="spellStart"/>
      <w:r w:rsidRPr="008059D3">
        <w:rPr>
          <w:sz w:val="24"/>
          <w:szCs w:val="24"/>
        </w:rPr>
        <w:t>doi</w:t>
      </w:r>
      <w:proofErr w:type="spellEnd"/>
      <w:r w:rsidRPr="008059D3">
        <w:rPr>
          <w:sz w:val="24"/>
          <w:szCs w:val="24"/>
        </w:rPr>
        <w:t>: https://doi.org/10.1145/3457607.</w:t>
      </w:r>
    </w:p>
    <w:p w14:paraId="71587002" w14:textId="301EC3FD" w:rsidR="005450ED" w:rsidRPr="008059D3" w:rsidRDefault="005450ED" w:rsidP="008059D3">
      <w:pPr>
        <w:spacing w:line="360" w:lineRule="auto"/>
        <w:jc w:val="both"/>
        <w:rPr>
          <w:sz w:val="24"/>
          <w:szCs w:val="24"/>
        </w:rPr>
      </w:pPr>
      <w:r w:rsidRPr="008059D3">
        <w:rPr>
          <w:sz w:val="24"/>
          <w:szCs w:val="24"/>
        </w:rPr>
        <w:t>Min, C.-H., Lee, D.-G. and Kwak, J. (2026). Cross-Assessment and Verification for Evaluation (</w:t>
      </w:r>
      <w:proofErr w:type="spellStart"/>
      <w:r w:rsidRPr="008059D3">
        <w:rPr>
          <w:sz w:val="24"/>
          <w:szCs w:val="24"/>
        </w:rPr>
        <w:t>CAVe</w:t>
      </w:r>
      <w:proofErr w:type="spellEnd"/>
      <w:r w:rsidRPr="008059D3">
        <w:rPr>
          <w:sz w:val="24"/>
          <w:szCs w:val="24"/>
        </w:rPr>
        <w:t xml:space="preserve">) Framework for AI Risk and Compliance Assessment. </w:t>
      </w:r>
      <w:r w:rsidRPr="008059D3">
        <w:rPr>
          <w:i/>
          <w:iCs/>
          <w:sz w:val="24"/>
          <w:szCs w:val="24"/>
        </w:rPr>
        <w:t>Electronics</w:t>
      </w:r>
      <w:r w:rsidRPr="008059D3">
        <w:rPr>
          <w:sz w:val="24"/>
          <w:szCs w:val="24"/>
        </w:rPr>
        <w:t xml:space="preserve">, 15(2), p.307. </w:t>
      </w:r>
      <w:proofErr w:type="spellStart"/>
      <w:r w:rsidRPr="008059D3">
        <w:rPr>
          <w:sz w:val="24"/>
          <w:szCs w:val="24"/>
        </w:rPr>
        <w:t>doi</w:t>
      </w:r>
      <w:proofErr w:type="spellEnd"/>
      <w:r w:rsidRPr="008059D3">
        <w:rPr>
          <w:sz w:val="24"/>
          <w:szCs w:val="24"/>
        </w:rPr>
        <w:t>: https://doi.org/10.3390/electronics15020307.</w:t>
      </w:r>
    </w:p>
    <w:p w14:paraId="68CDECE4" w14:textId="4CE6AA30" w:rsidR="005450ED" w:rsidRPr="008059D3" w:rsidRDefault="005450ED" w:rsidP="008059D3">
      <w:pPr>
        <w:spacing w:line="360" w:lineRule="auto"/>
        <w:jc w:val="both"/>
        <w:rPr>
          <w:sz w:val="24"/>
          <w:szCs w:val="24"/>
        </w:rPr>
      </w:pPr>
      <w:r w:rsidRPr="008059D3">
        <w:rPr>
          <w:sz w:val="24"/>
          <w:szCs w:val="24"/>
        </w:rPr>
        <w:t xml:space="preserve">Morain, A., </w:t>
      </w:r>
      <w:proofErr w:type="spellStart"/>
      <w:r w:rsidRPr="008059D3">
        <w:rPr>
          <w:sz w:val="24"/>
          <w:szCs w:val="24"/>
        </w:rPr>
        <w:t>Nedd</w:t>
      </w:r>
      <w:proofErr w:type="spellEnd"/>
      <w:r w:rsidRPr="008059D3">
        <w:rPr>
          <w:sz w:val="24"/>
          <w:szCs w:val="24"/>
        </w:rPr>
        <w:t xml:space="preserve">, R., Poole, K., Hawkins, L., Jones, M., Washington, B. and Anandhi, A. (2025). Artificial Intelligence Application in Nonpoint Source Pollution Management: A Status Update. </w:t>
      </w:r>
      <w:r w:rsidRPr="008059D3">
        <w:rPr>
          <w:i/>
          <w:iCs/>
          <w:sz w:val="24"/>
          <w:szCs w:val="24"/>
        </w:rPr>
        <w:t>Sustainability</w:t>
      </w:r>
      <w:r w:rsidRPr="008059D3">
        <w:rPr>
          <w:sz w:val="24"/>
          <w:szCs w:val="24"/>
        </w:rPr>
        <w:t xml:space="preserve">, 17(13), p.5810. </w:t>
      </w:r>
      <w:proofErr w:type="spellStart"/>
      <w:r w:rsidRPr="008059D3">
        <w:rPr>
          <w:sz w:val="24"/>
          <w:szCs w:val="24"/>
        </w:rPr>
        <w:t>doi</w:t>
      </w:r>
      <w:proofErr w:type="spellEnd"/>
      <w:r w:rsidRPr="008059D3">
        <w:rPr>
          <w:sz w:val="24"/>
          <w:szCs w:val="24"/>
        </w:rPr>
        <w:t>: https://doi.org/10.3390/su17135810.</w:t>
      </w:r>
    </w:p>
    <w:p w14:paraId="3F05E3E2" w14:textId="76F3B41D" w:rsidR="005450ED" w:rsidRPr="008059D3" w:rsidRDefault="005450ED" w:rsidP="008059D3">
      <w:pPr>
        <w:spacing w:line="360" w:lineRule="auto"/>
        <w:jc w:val="both"/>
        <w:rPr>
          <w:sz w:val="24"/>
          <w:szCs w:val="24"/>
        </w:rPr>
      </w:pPr>
      <w:r w:rsidRPr="008059D3">
        <w:rPr>
          <w:sz w:val="24"/>
          <w:szCs w:val="24"/>
        </w:rPr>
        <w:t xml:space="preserve">NIST (2023). </w:t>
      </w:r>
      <w:r w:rsidRPr="008059D3">
        <w:rPr>
          <w:i/>
          <w:iCs/>
          <w:sz w:val="24"/>
          <w:szCs w:val="24"/>
        </w:rPr>
        <w:t>Artificial Intelligence Risk Management Framework (AI RMF 1.0)</w:t>
      </w:r>
      <w:r w:rsidRPr="008059D3">
        <w:rPr>
          <w:sz w:val="24"/>
          <w:szCs w:val="24"/>
        </w:rPr>
        <w:t xml:space="preserve">. </w:t>
      </w:r>
      <w:proofErr w:type="spellStart"/>
      <w:r w:rsidRPr="008059D3">
        <w:rPr>
          <w:sz w:val="24"/>
          <w:szCs w:val="24"/>
        </w:rPr>
        <w:t>doi</w:t>
      </w:r>
      <w:proofErr w:type="spellEnd"/>
      <w:r w:rsidRPr="008059D3">
        <w:rPr>
          <w:sz w:val="24"/>
          <w:szCs w:val="24"/>
        </w:rPr>
        <w:t>: https://doi.org/10.6028/nist.ai.100-1.</w:t>
      </w:r>
    </w:p>
    <w:p w14:paraId="60043502" w14:textId="429925E1" w:rsidR="005450ED" w:rsidRPr="008059D3" w:rsidRDefault="005450ED" w:rsidP="008059D3">
      <w:pPr>
        <w:spacing w:line="360" w:lineRule="auto"/>
        <w:jc w:val="both"/>
        <w:rPr>
          <w:sz w:val="24"/>
          <w:szCs w:val="24"/>
        </w:rPr>
      </w:pPr>
      <w:r w:rsidRPr="008059D3">
        <w:rPr>
          <w:sz w:val="24"/>
          <w:szCs w:val="24"/>
        </w:rPr>
        <w:t xml:space="preserve">Park, C. (2025). Addressing Challenges for the Effective Adoption of Artificial Intelligence in the Energy Sector. </w:t>
      </w:r>
      <w:r w:rsidRPr="008059D3">
        <w:rPr>
          <w:i/>
          <w:iCs/>
          <w:sz w:val="24"/>
          <w:szCs w:val="24"/>
        </w:rPr>
        <w:t>Sustainability</w:t>
      </w:r>
      <w:r w:rsidRPr="008059D3">
        <w:rPr>
          <w:sz w:val="24"/>
          <w:szCs w:val="24"/>
        </w:rPr>
        <w:t xml:space="preserve">, 17(13), p.5764. </w:t>
      </w:r>
      <w:proofErr w:type="spellStart"/>
      <w:r w:rsidRPr="008059D3">
        <w:rPr>
          <w:sz w:val="24"/>
          <w:szCs w:val="24"/>
        </w:rPr>
        <w:t>doi</w:t>
      </w:r>
      <w:proofErr w:type="spellEnd"/>
      <w:r w:rsidRPr="008059D3">
        <w:rPr>
          <w:sz w:val="24"/>
          <w:szCs w:val="24"/>
        </w:rPr>
        <w:t>: https://doi.org/10.3390/su17135764.</w:t>
      </w:r>
    </w:p>
    <w:p w14:paraId="1C727AC0" w14:textId="77777777" w:rsidR="005450ED" w:rsidRPr="008059D3" w:rsidRDefault="005450ED" w:rsidP="008059D3">
      <w:pPr>
        <w:spacing w:line="360" w:lineRule="auto"/>
        <w:jc w:val="both"/>
        <w:rPr>
          <w:sz w:val="24"/>
          <w:szCs w:val="24"/>
        </w:rPr>
      </w:pPr>
      <w:r w:rsidRPr="008059D3">
        <w:rPr>
          <w:sz w:val="24"/>
          <w:szCs w:val="24"/>
        </w:rPr>
        <w:t xml:space="preserve">Porter, M.E. (1990). </w:t>
      </w:r>
      <w:r w:rsidRPr="008059D3">
        <w:rPr>
          <w:i/>
          <w:iCs/>
          <w:sz w:val="24"/>
          <w:szCs w:val="24"/>
        </w:rPr>
        <w:t>The Competitive Advantage of Nations</w:t>
      </w:r>
      <w:r w:rsidRPr="008059D3">
        <w:rPr>
          <w:sz w:val="24"/>
          <w:szCs w:val="24"/>
        </w:rPr>
        <w:t>. New York: Free Press.</w:t>
      </w:r>
    </w:p>
    <w:p w14:paraId="6EDBD63D" w14:textId="73B334F7" w:rsidR="005450ED" w:rsidRPr="008059D3" w:rsidRDefault="005450ED" w:rsidP="008059D3">
      <w:pPr>
        <w:spacing w:line="360" w:lineRule="auto"/>
        <w:jc w:val="both"/>
        <w:rPr>
          <w:sz w:val="24"/>
          <w:szCs w:val="24"/>
        </w:rPr>
      </w:pPr>
      <w:r w:rsidRPr="008059D3">
        <w:rPr>
          <w:sz w:val="24"/>
          <w:szCs w:val="24"/>
        </w:rPr>
        <w:t xml:space="preserve">Ragini, J.R. and Bhansali, V. (2023). AI Governance for Critical Infrastructure: Frameworks, Challenges and Best Practices. </w:t>
      </w:r>
      <w:r w:rsidRPr="008059D3">
        <w:rPr>
          <w:i/>
          <w:iCs/>
          <w:sz w:val="24"/>
          <w:szCs w:val="24"/>
        </w:rPr>
        <w:t>IEEE Access</w:t>
      </w:r>
      <w:r w:rsidRPr="008059D3">
        <w:rPr>
          <w:sz w:val="24"/>
          <w:szCs w:val="24"/>
        </w:rPr>
        <w:t xml:space="preserve">, 11, pp.112330–112345. </w:t>
      </w:r>
      <w:proofErr w:type="spellStart"/>
      <w:r w:rsidRPr="008059D3">
        <w:rPr>
          <w:sz w:val="24"/>
          <w:szCs w:val="24"/>
        </w:rPr>
        <w:t>doi</w:t>
      </w:r>
      <w:proofErr w:type="spellEnd"/>
      <w:r w:rsidRPr="008059D3">
        <w:rPr>
          <w:sz w:val="24"/>
          <w:szCs w:val="24"/>
        </w:rPr>
        <w:t>: https://doi.org/10.1109/ACCESS.2023.3322871.</w:t>
      </w:r>
    </w:p>
    <w:p w14:paraId="02B6CEBC" w14:textId="0651028E" w:rsidR="005450ED" w:rsidRPr="008059D3" w:rsidRDefault="005450ED" w:rsidP="008059D3">
      <w:pPr>
        <w:spacing w:line="360" w:lineRule="auto"/>
        <w:jc w:val="both"/>
        <w:rPr>
          <w:sz w:val="24"/>
          <w:szCs w:val="24"/>
        </w:rPr>
      </w:pPr>
      <w:r w:rsidRPr="008059D3">
        <w:rPr>
          <w:sz w:val="24"/>
          <w:szCs w:val="24"/>
        </w:rPr>
        <w:t xml:space="preserve">Saveljeva, J., </w:t>
      </w:r>
      <w:proofErr w:type="spellStart"/>
      <w:r w:rsidRPr="008059D3">
        <w:rPr>
          <w:sz w:val="24"/>
          <w:szCs w:val="24"/>
        </w:rPr>
        <w:t>Peiseniece</w:t>
      </w:r>
      <w:proofErr w:type="spellEnd"/>
      <w:r w:rsidRPr="008059D3">
        <w:rPr>
          <w:sz w:val="24"/>
          <w:szCs w:val="24"/>
        </w:rPr>
        <w:t xml:space="preserve">, L., Volkova, T., Uvarova, I., </w:t>
      </w:r>
      <w:proofErr w:type="spellStart"/>
      <w:r w:rsidRPr="008059D3">
        <w:rPr>
          <w:sz w:val="24"/>
          <w:szCs w:val="24"/>
        </w:rPr>
        <w:t>Novicka</w:t>
      </w:r>
      <w:proofErr w:type="spellEnd"/>
      <w:r w:rsidRPr="008059D3">
        <w:rPr>
          <w:sz w:val="24"/>
          <w:szCs w:val="24"/>
        </w:rPr>
        <w:t xml:space="preserve">, J., Polis, G., </w:t>
      </w:r>
      <w:proofErr w:type="spellStart"/>
      <w:r w:rsidRPr="008059D3">
        <w:rPr>
          <w:sz w:val="24"/>
          <w:szCs w:val="24"/>
        </w:rPr>
        <w:t>Kristapsone</w:t>
      </w:r>
      <w:proofErr w:type="spellEnd"/>
      <w:r w:rsidRPr="008059D3">
        <w:rPr>
          <w:sz w:val="24"/>
          <w:szCs w:val="24"/>
        </w:rPr>
        <w:t xml:space="preserve">, S. and </w:t>
      </w:r>
      <w:proofErr w:type="spellStart"/>
      <w:r w:rsidRPr="008059D3">
        <w:rPr>
          <w:sz w:val="24"/>
          <w:szCs w:val="24"/>
        </w:rPr>
        <w:t>Vembris</w:t>
      </w:r>
      <w:proofErr w:type="spellEnd"/>
      <w:r w:rsidRPr="008059D3">
        <w:rPr>
          <w:sz w:val="24"/>
          <w:szCs w:val="24"/>
        </w:rPr>
        <w:t xml:space="preserve">, A. (2026). Integrating Cybersecurity into Sustainability: Emerging Trends and the Role of Artificial Intelligence. </w:t>
      </w:r>
      <w:r w:rsidRPr="008059D3">
        <w:rPr>
          <w:i/>
          <w:iCs/>
          <w:sz w:val="24"/>
          <w:szCs w:val="24"/>
        </w:rPr>
        <w:t>Lecture Notes in Networks and Systems</w:t>
      </w:r>
      <w:r w:rsidRPr="008059D3">
        <w:rPr>
          <w:sz w:val="24"/>
          <w:szCs w:val="24"/>
        </w:rPr>
        <w:t xml:space="preserve">, pp.313–324. </w:t>
      </w:r>
      <w:proofErr w:type="spellStart"/>
      <w:r w:rsidRPr="008059D3">
        <w:rPr>
          <w:sz w:val="24"/>
          <w:szCs w:val="24"/>
        </w:rPr>
        <w:t>doi</w:t>
      </w:r>
      <w:proofErr w:type="spellEnd"/>
      <w:r w:rsidRPr="008059D3">
        <w:rPr>
          <w:sz w:val="24"/>
          <w:szCs w:val="24"/>
        </w:rPr>
        <w:t>: https://doi.org/10.1007/978-3-032-10827-2_25.</w:t>
      </w:r>
    </w:p>
    <w:p w14:paraId="3A25BD6A" w14:textId="5E1FCE2F" w:rsidR="005450ED" w:rsidRPr="008059D3" w:rsidRDefault="005450ED" w:rsidP="008059D3">
      <w:pPr>
        <w:spacing w:line="360" w:lineRule="auto"/>
        <w:jc w:val="both"/>
        <w:rPr>
          <w:sz w:val="24"/>
          <w:szCs w:val="24"/>
        </w:rPr>
      </w:pPr>
      <w:r w:rsidRPr="008059D3">
        <w:rPr>
          <w:sz w:val="24"/>
          <w:szCs w:val="24"/>
        </w:rPr>
        <w:t xml:space="preserve">Saxena, A., Singh, R., Gehlot, A., Akram, S.V., Twala, B., Singh, A., Montero, E.C. and Priyadarshi, N. (2022). Technologies Empowered Environmental, Social, and Governance (ESG): An Industry 4.0 Landscape. </w:t>
      </w:r>
      <w:r w:rsidRPr="008059D3">
        <w:rPr>
          <w:i/>
          <w:iCs/>
          <w:sz w:val="24"/>
          <w:szCs w:val="24"/>
        </w:rPr>
        <w:t>Sustainability</w:t>
      </w:r>
      <w:r w:rsidRPr="008059D3">
        <w:rPr>
          <w:sz w:val="24"/>
          <w:szCs w:val="24"/>
        </w:rPr>
        <w:t xml:space="preserve">, 15(1), p.309. </w:t>
      </w:r>
      <w:proofErr w:type="spellStart"/>
      <w:r w:rsidRPr="008059D3">
        <w:rPr>
          <w:sz w:val="24"/>
          <w:szCs w:val="24"/>
        </w:rPr>
        <w:t>doi</w:t>
      </w:r>
      <w:proofErr w:type="spellEnd"/>
      <w:r w:rsidRPr="008059D3">
        <w:rPr>
          <w:sz w:val="24"/>
          <w:szCs w:val="24"/>
        </w:rPr>
        <w:t>: https://doi.org/10.3390/su15010309.</w:t>
      </w:r>
    </w:p>
    <w:p w14:paraId="54E07169" w14:textId="05F52E76" w:rsidR="005450ED" w:rsidRPr="008059D3" w:rsidRDefault="005450ED" w:rsidP="008059D3">
      <w:pPr>
        <w:spacing w:line="360" w:lineRule="auto"/>
        <w:jc w:val="both"/>
        <w:rPr>
          <w:sz w:val="24"/>
          <w:szCs w:val="24"/>
        </w:rPr>
      </w:pPr>
      <w:r w:rsidRPr="008059D3">
        <w:rPr>
          <w:sz w:val="24"/>
          <w:szCs w:val="24"/>
        </w:rPr>
        <w:t xml:space="preserve">Solanke, B., Onita, </w:t>
      </w:r>
      <w:proofErr w:type="spellStart"/>
      <w:r w:rsidRPr="008059D3">
        <w:rPr>
          <w:sz w:val="24"/>
          <w:szCs w:val="24"/>
        </w:rPr>
        <w:t>Ochulor</w:t>
      </w:r>
      <w:proofErr w:type="spellEnd"/>
      <w:r w:rsidRPr="008059D3">
        <w:rPr>
          <w:sz w:val="24"/>
          <w:szCs w:val="24"/>
        </w:rPr>
        <w:t xml:space="preserve">, J. and </w:t>
      </w:r>
      <w:proofErr w:type="spellStart"/>
      <w:r w:rsidRPr="008059D3">
        <w:rPr>
          <w:sz w:val="24"/>
          <w:szCs w:val="24"/>
        </w:rPr>
        <w:t>Oziegbe</w:t>
      </w:r>
      <w:proofErr w:type="spellEnd"/>
      <w:r w:rsidRPr="008059D3">
        <w:rPr>
          <w:sz w:val="24"/>
          <w:szCs w:val="24"/>
        </w:rPr>
        <w:t xml:space="preserve">, H. (2024). The Impact of Artificial Intelligence on Regulatory Compliance in the Oil and Gas Industry. </w:t>
      </w:r>
      <w:r w:rsidRPr="008059D3">
        <w:rPr>
          <w:i/>
          <w:iCs/>
          <w:sz w:val="24"/>
          <w:szCs w:val="24"/>
        </w:rPr>
        <w:t>International Journal of Science and Technology Research Archive</w:t>
      </w:r>
      <w:r w:rsidRPr="008059D3">
        <w:rPr>
          <w:sz w:val="24"/>
          <w:szCs w:val="24"/>
        </w:rPr>
        <w:t xml:space="preserve">, 7(1), pp.061–072. </w:t>
      </w:r>
      <w:proofErr w:type="spellStart"/>
      <w:r w:rsidRPr="008059D3">
        <w:rPr>
          <w:sz w:val="24"/>
          <w:szCs w:val="24"/>
        </w:rPr>
        <w:t>doi</w:t>
      </w:r>
      <w:proofErr w:type="spellEnd"/>
      <w:r w:rsidRPr="008059D3">
        <w:rPr>
          <w:sz w:val="24"/>
          <w:szCs w:val="24"/>
        </w:rPr>
        <w:t>: https://doi.org/10.53771/ijstra.2024.7.1.0058.</w:t>
      </w:r>
    </w:p>
    <w:p w14:paraId="416BBB30" w14:textId="6F5827FF" w:rsidR="005450ED" w:rsidRPr="008059D3" w:rsidRDefault="005450ED" w:rsidP="008059D3">
      <w:pPr>
        <w:spacing w:line="360" w:lineRule="auto"/>
        <w:jc w:val="both"/>
        <w:rPr>
          <w:sz w:val="24"/>
          <w:szCs w:val="24"/>
        </w:rPr>
      </w:pPr>
      <w:r w:rsidRPr="008059D3">
        <w:rPr>
          <w:sz w:val="24"/>
          <w:szCs w:val="24"/>
        </w:rPr>
        <w:lastRenderedPageBreak/>
        <w:t xml:space="preserve">Szadeczky, T. and </w:t>
      </w:r>
      <w:proofErr w:type="spellStart"/>
      <w:r w:rsidRPr="008059D3">
        <w:rPr>
          <w:sz w:val="24"/>
          <w:szCs w:val="24"/>
        </w:rPr>
        <w:t>Bederna</w:t>
      </w:r>
      <w:proofErr w:type="spellEnd"/>
      <w:r w:rsidRPr="008059D3">
        <w:rPr>
          <w:sz w:val="24"/>
          <w:szCs w:val="24"/>
        </w:rPr>
        <w:t xml:space="preserve">, Z. (2025). Risk, Regulation, and Governance: Evaluating Artificial Intelligence across Diverse Application Scenarios. </w:t>
      </w:r>
      <w:r w:rsidRPr="008059D3">
        <w:rPr>
          <w:i/>
          <w:iCs/>
          <w:sz w:val="24"/>
          <w:szCs w:val="24"/>
        </w:rPr>
        <w:t>Security Journal</w:t>
      </w:r>
      <w:r w:rsidRPr="008059D3">
        <w:rPr>
          <w:sz w:val="24"/>
          <w:szCs w:val="24"/>
        </w:rPr>
        <w:t xml:space="preserve">, 38(1). </w:t>
      </w:r>
      <w:proofErr w:type="spellStart"/>
      <w:r w:rsidRPr="008059D3">
        <w:rPr>
          <w:sz w:val="24"/>
          <w:szCs w:val="24"/>
        </w:rPr>
        <w:t>doi</w:t>
      </w:r>
      <w:proofErr w:type="spellEnd"/>
      <w:r w:rsidRPr="008059D3">
        <w:rPr>
          <w:sz w:val="24"/>
          <w:szCs w:val="24"/>
        </w:rPr>
        <w:t>: https://doi.org/10.1057/s41284-025-00495-z.</w:t>
      </w:r>
    </w:p>
    <w:p w14:paraId="5CF8E572" w14:textId="100FB039" w:rsidR="005450ED" w:rsidRPr="008059D3" w:rsidRDefault="005450ED" w:rsidP="008059D3">
      <w:pPr>
        <w:spacing w:line="360" w:lineRule="auto"/>
        <w:jc w:val="both"/>
        <w:rPr>
          <w:sz w:val="24"/>
          <w:szCs w:val="24"/>
        </w:rPr>
      </w:pPr>
      <w:r w:rsidRPr="008059D3">
        <w:rPr>
          <w:sz w:val="24"/>
          <w:szCs w:val="24"/>
        </w:rPr>
        <w:t xml:space="preserve">Talati, D. (2025). Artificial Intelligence and Unintended Bias: A Call for Responsible Innovation. </w:t>
      </w:r>
      <w:r w:rsidRPr="008059D3">
        <w:rPr>
          <w:i/>
          <w:iCs/>
          <w:sz w:val="24"/>
          <w:szCs w:val="24"/>
        </w:rPr>
        <w:t>SSRN Electronic Journal</w:t>
      </w:r>
      <w:r w:rsidRPr="008059D3">
        <w:rPr>
          <w:sz w:val="24"/>
          <w:szCs w:val="24"/>
        </w:rPr>
        <w:t xml:space="preserve">. </w:t>
      </w:r>
      <w:proofErr w:type="spellStart"/>
      <w:r w:rsidRPr="008059D3">
        <w:rPr>
          <w:sz w:val="24"/>
          <w:szCs w:val="24"/>
        </w:rPr>
        <w:t>doi</w:t>
      </w:r>
      <w:proofErr w:type="spellEnd"/>
      <w:r w:rsidRPr="008059D3">
        <w:rPr>
          <w:sz w:val="24"/>
          <w:szCs w:val="24"/>
        </w:rPr>
        <w:t>: https://doi.org/10.2139/ssrn.5201757.</w:t>
      </w:r>
    </w:p>
    <w:p w14:paraId="53872B6B" w14:textId="77777777" w:rsidR="005450ED" w:rsidRPr="008059D3" w:rsidRDefault="005450ED" w:rsidP="008059D3">
      <w:pPr>
        <w:spacing w:line="360" w:lineRule="auto"/>
        <w:jc w:val="both"/>
        <w:rPr>
          <w:sz w:val="24"/>
          <w:szCs w:val="24"/>
        </w:rPr>
      </w:pPr>
      <w:r w:rsidRPr="008059D3">
        <w:rPr>
          <w:sz w:val="24"/>
          <w:szCs w:val="24"/>
        </w:rPr>
        <w:t>US Congress (2024). Markey, Heinrich, Eshoo, Beyer Introduce Legislation to Investigate, Measure Environmental Impacts of Artificial Intelligence [S. 4321, 118th Congress]. Available at: https://www.markey.senate.gov/news/press-releases/markey-heinrich-eshoo-beyer-introduce-legislation-to-investigate-measure-environmental-impacts-of-artificial-intelligence.</w:t>
      </w:r>
    </w:p>
    <w:p w14:paraId="03997C05" w14:textId="77777777" w:rsidR="005450ED" w:rsidRPr="008059D3" w:rsidRDefault="005450ED" w:rsidP="008059D3">
      <w:pPr>
        <w:spacing w:line="360" w:lineRule="auto"/>
        <w:jc w:val="both"/>
        <w:rPr>
          <w:sz w:val="24"/>
          <w:szCs w:val="24"/>
        </w:rPr>
      </w:pPr>
      <w:r w:rsidRPr="008059D3">
        <w:rPr>
          <w:sz w:val="24"/>
          <w:szCs w:val="24"/>
        </w:rPr>
        <w:t xml:space="preserve">US Environmental Protection Agency (EPA) (2024). </w:t>
      </w:r>
      <w:r w:rsidRPr="008059D3">
        <w:rPr>
          <w:i/>
          <w:iCs/>
          <w:sz w:val="24"/>
          <w:szCs w:val="24"/>
        </w:rPr>
        <w:t>AI Compliance Plan</w:t>
      </w:r>
      <w:r w:rsidRPr="008059D3">
        <w:rPr>
          <w:sz w:val="24"/>
          <w:szCs w:val="24"/>
        </w:rPr>
        <w:t>. Available at: https://www.epa.gov/data/ai-compliance-plan.</w:t>
      </w:r>
    </w:p>
    <w:p w14:paraId="32377E9E" w14:textId="3245AC26" w:rsidR="005450ED" w:rsidRPr="008059D3" w:rsidRDefault="005450ED" w:rsidP="008059D3">
      <w:pPr>
        <w:spacing w:line="360" w:lineRule="auto"/>
        <w:jc w:val="both"/>
        <w:rPr>
          <w:sz w:val="24"/>
          <w:szCs w:val="24"/>
        </w:rPr>
      </w:pPr>
      <w:r w:rsidRPr="008059D3">
        <w:rPr>
          <w:sz w:val="24"/>
          <w:szCs w:val="24"/>
        </w:rPr>
        <w:t xml:space="preserve">Wang, M., Su, X., Song, H., Wang, Y. and Yang, X. (2025). Enhancing Predictive Maintenance Strategies for Oil and Gas Equipment through Ensemble Learning Modeling. </w:t>
      </w:r>
      <w:r w:rsidRPr="008059D3">
        <w:rPr>
          <w:i/>
          <w:iCs/>
          <w:sz w:val="24"/>
          <w:szCs w:val="24"/>
        </w:rPr>
        <w:t>Journal of Petroleum Exploration and Production Technology</w:t>
      </w:r>
      <w:r w:rsidRPr="008059D3">
        <w:rPr>
          <w:sz w:val="24"/>
          <w:szCs w:val="24"/>
        </w:rPr>
        <w:t xml:space="preserve">, 15(3). </w:t>
      </w:r>
      <w:proofErr w:type="spellStart"/>
      <w:r w:rsidRPr="008059D3">
        <w:rPr>
          <w:sz w:val="24"/>
          <w:szCs w:val="24"/>
        </w:rPr>
        <w:t>doi</w:t>
      </w:r>
      <w:proofErr w:type="spellEnd"/>
      <w:r w:rsidRPr="008059D3">
        <w:rPr>
          <w:sz w:val="24"/>
          <w:szCs w:val="24"/>
        </w:rPr>
        <w:t>: https://doi.org/10.1007/s13202-025-01931-x.</w:t>
      </w:r>
    </w:p>
    <w:p w14:paraId="16015316" w14:textId="712D11A3" w:rsidR="005450ED" w:rsidRPr="008059D3" w:rsidRDefault="005450ED" w:rsidP="008059D3">
      <w:pPr>
        <w:spacing w:line="360" w:lineRule="auto"/>
        <w:jc w:val="both"/>
        <w:rPr>
          <w:sz w:val="24"/>
          <w:szCs w:val="24"/>
        </w:rPr>
      </w:pPr>
      <w:r w:rsidRPr="008059D3">
        <w:rPr>
          <w:sz w:val="24"/>
          <w:szCs w:val="24"/>
        </w:rPr>
        <w:t xml:space="preserve">Wang, X., Wu, Y.C., Ji, X. and Fu, H. (2024). Algorithmic Discrimination: Examining Its Types and Regulatory Measures with Emphasis on US Legal Practices. </w:t>
      </w:r>
      <w:r w:rsidRPr="008059D3">
        <w:rPr>
          <w:i/>
          <w:iCs/>
          <w:sz w:val="24"/>
          <w:szCs w:val="24"/>
        </w:rPr>
        <w:t>Frontiers in Artificial Intelligence</w:t>
      </w:r>
      <w:r w:rsidRPr="008059D3">
        <w:rPr>
          <w:sz w:val="24"/>
          <w:szCs w:val="24"/>
        </w:rPr>
        <w:t xml:space="preserve">, 7(7), p.1320277. </w:t>
      </w:r>
      <w:proofErr w:type="spellStart"/>
      <w:r w:rsidRPr="008059D3">
        <w:rPr>
          <w:sz w:val="24"/>
          <w:szCs w:val="24"/>
        </w:rPr>
        <w:t>doi</w:t>
      </w:r>
      <w:proofErr w:type="spellEnd"/>
      <w:r w:rsidRPr="008059D3">
        <w:rPr>
          <w:sz w:val="24"/>
          <w:szCs w:val="24"/>
        </w:rPr>
        <w:t>: https://doi.org/10.3389/frai.2024.1320277.</w:t>
      </w:r>
    </w:p>
    <w:p w14:paraId="4BDD24BF" w14:textId="7FB43EB1" w:rsidR="005450ED" w:rsidRPr="008059D3" w:rsidRDefault="005450ED" w:rsidP="008059D3">
      <w:pPr>
        <w:spacing w:line="360" w:lineRule="auto"/>
        <w:jc w:val="both"/>
        <w:rPr>
          <w:sz w:val="24"/>
          <w:szCs w:val="24"/>
        </w:rPr>
      </w:pPr>
      <w:r w:rsidRPr="008059D3">
        <w:rPr>
          <w:sz w:val="24"/>
          <w:szCs w:val="24"/>
        </w:rPr>
        <w:t xml:space="preserve">Zaidan, E. and Ibrahim, M.I.M. (2024). AI Governance in a Complex Regulatory Landscape: Navigating Challenges and Opportunities from a Global Perspective. </w:t>
      </w:r>
      <w:r w:rsidRPr="008059D3">
        <w:rPr>
          <w:i/>
          <w:iCs/>
          <w:sz w:val="24"/>
          <w:szCs w:val="24"/>
        </w:rPr>
        <w:t>Humanities and Social Sciences Communications</w:t>
      </w:r>
      <w:r w:rsidRPr="008059D3">
        <w:rPr>
          <w:sz w:val="24"/>
          <w:szCs w:val="24"/>
        </w:rPr>
        <w:t xml:space="preserve">, 11(1). </w:t>
      </w:r>
      <w:proofErr w:type="spellStart"/>
      <w:r w:rsidRPr="008059D3">
        <w:rPr>
          <w:sz w:val="24"/>
          <w:szCs w:val="24"/>
        </w:rPr>
        <w:t>doi</w:t>
      </w:r>
      <w:proofErr w:type="spellEnd"/>
      <w:r w:rsidRPr="008059D3">
        <w:rPr>
          <w:sz w:val="24"/>
          <w:szCs w:val="24"/>
        </w:rPr>
        <w:t>: https://doi.org/10.1057/s41599-024-03920-7.</w:t>
      </w:r>
    </w:p>
    <w:p w14:paraId="30ACDE7F" w14:textId="47266E6A" w:rsidR="00F227D4" w:rsidRPr="008059D3" w:rsidRDefault="005450ED" w:rsidP="008059D3">
      <w:pPr>
        <w:spacing w:line="360" w:lineRule="auto"/>
        <w:jc w:val="both"/>
        <w:rPr>
          <w:sz w:val="24"/>
          <w:szCs w:val="24"/>
        </w:rPr>
      </w:pPr>
      <w:r w:rsidRPr="008059D3">
        <w:rPr>
          <w:sz w:val="24"/>
          <w:szCs w:val="24"/>
        </w:rPr>
        <w:t xml:space="preserve">Zinoviev, V., Koeva, D., Tsankov, P. and </w:t>
      </w:r>
      <w:proofErr w:type="spellStart"/>
      <w:r w:rsidRPr="008059D3">
        <w:rPr>
          <w:sz w:val="24"/>
          <w:szCs w:val="24"/>
        </w:rPr>
        <w:t>Kutkarska</w:t>
      </w:r>
      <w:proofErr w:type="spellEnd"/>
      <w:r w:rsidRPr="008059D3">
        <w:rPr>
          <w:sz w:val="24"/>
          <w:szCs w:val="24"/>
        </w:rPr>
        <w:t xml:space="preserve">, R. (2026). Review of Artificial Intelligence Applications in the Digital Energy and Renewable Energy Infrastructures. </w:t>
      </w:r>
      <w:r w:rsidRPr="008059D3">
        <w:rPr>
          <w:i/>
          <w:iCs/>
          <w:sz w:val="24"/>
          <w:szCs w:val="24"/>
        </w:rPr>
        <w:t>Energies</w:t>
      </w:r>
      <w:r w:rsidRPr="008059D3">
        <w:rPr>
          <w:sz w:val="24"/>
          <w:szCs w:val="24"/>
        </w:rPr>
        <w:t xml:space="preserve">, 19(5), p.1250. </w:t>
      </w:r>
      <w:proofErr w:type="spellStart"/>
      <w:r w:rsidRPr="008059D3">
        <w:rPr>
          <w:sz w:val="24"/>
          <w:szCs w:val="24"/>
        </w:rPr>
        <w:t>doi</w:t>
      </w:r>
      <w:proofErr w:type="spellEnd"/>
      <w:r w:rsidRPr="008059D3">
        <w:rPr>
          <w:sz w:val="24"/>
          <w:szCs w:val="24"/>
        </w:rPr>
        <w:t>: https://doi.org/10.3390/en19051250.</w:t>
      </w:r>
    </w:p>
    <w:sectPr w:rsidR="00F227D4" w:rsidRPr="008059D3" w:rsidSect="00C25193">
      <w:footerReference w:type="default" r:id="rId11"/>
      <w:pgSz w:w="11906" w:h="16838" w:code="9"/>
      <w:pgMar w:top="1440" w:right="1260" w:bottom="1440" w:left="126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A8C97" w14:textId="77777777" w:rsidR="003A0E53" w:rsidRDefault="003A0E53">
      <w:r>
        <w:separator/>
      </w:r>
    </w:p>
  </w:endnote>
  <w:endnote w:type="continuationSeparator" w:id="0">
    <w:p w14:paraId="39FAA161" w14:textId="77777777" w:rsidR="003A0E53" w:rsidRDefault="003A0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8662621"/>
      <w:docPartObj>
        <w:docPartGallery w:val="Page Numbers (Bottom of Page)"/>
        <w:docPartUnique/>
      </w:docPartObj>
    </w:sdtPr>
    <w:sdtEndPr>
      <w:rPr>
        <w:noProof/>
      </w:rPr>
    </w:sdtEndPr>
    <w:sdtContent>
      <w:p w14:paraId="0132A814" w14:textId="6E1C3C25" w:rsidR="00C25193" w:rsidRDefault="00C25193" w:rsidP="00C251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CEECB" w14:textId="77777777" w:rsidR="003A0E53" w:rsidRDefault="003A0E53">
      <w:r>
        <w:separator/>
      </w:r>
    </w:p>
  </w:footnote>
  <w:footnote w:type="continuationSeparator" w:id="0">
    <w:p w14:paraId="2994AB13" w14:textId="77777777" w:rsidR="003A0E53" w:rsidRDefault="003A0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C34EA"/>
    <w:multiLevelType w:val="hybridMultilevel"/>
    <w:tmpl w:val="5AB6862E"/>
    <w:lvl w:ilvl="0" w:tplc="12D00F7C">
      <w:start w:val="1"/>
      <w:numFmt w:val="bullet"/>
      <w:lvlText w:val="●"/>
      <w:lvlJc w:val="left"/>
      <w:pPr>
        <w:ind w:left="720" w:hanging="360"/>
      </w:pPr>
    </w:lvl>
    <w:lvl w:ilvl="1" w:tplc="55807762">
      <w:start w:val="1"/>
      <w:numFmt w:val="bullet"/>
      <w:lvlText w:val="○"/>
      <w:lvlJc w:val="left"/>
      <w:pPr>
        <w:ind w:left="1440" w:hanging="360"/>
      </w:pPr>
    </w:lvl>
    <w:lvl w:ilvl="2" w:tplc="89A4EB80">
      <w:start w:val="1"/>
      <w:numFmt w:val="bullet"/>
      <w:lvlText w:val="■"/>
      <w:lvlJc w:val="left"/>
      <w:pPr>
        <w:ind w:left="2160" w:hanging="360"/>
      </w:pPr>
    </w:lvl>
    <w:lvl w:ilvl="3" w:tplc="3CDC4D3C">
      <w:start w:val="1"/>
      <w:numFmt w:val="bullet"/>
      <w:lvlText w:val="●"/>
      <w:lvlJc w:val="left"/>
      <w:pPr>
        <w:ind w:left="2880" w:hanging="360"/>
      </w:pPr>
    </w:lvl>
    <w:lvl w:ilvl="4" w:tplc="75361488">
      <w:start w:val="1"/>
      <w:numFmt w:val="bullet"/>
      <w:lvlText w:val="○"/>
      <w:lvlJc w:val="left"/>
      <w:pPr>
        <w:ind w:left="3600" w:hanging="360"/>
      </w:pPr>
    </w:lvl>
    <w:lvl w:ilvl="5" w:tplc="F6B660FC">
      <w:start w:val="1"/>
      <w:numFmt w:val="bullet"/>
      <w:lvlText w:val="■"/>
      <w:lvlJc w:val="left"/>
      <w:pPr>
        <w:ind w:left="4320" w:hanging="360"/>
      </w:pPr>
    </w:lvl>
    <w:lvl w:ilvl="6" w:tplc="031EE006">
      <w:start w:val="1"/>
      <w:numFmt w:val="bullet"/>
      <w:lvlText w:val="●"/>
      <w:lvlJc w:val="left"/>
      <w:pPr>
        <w:ind w:left="5040" w:hanging="360"/>
      </w:pPr>
    </w:lvl>
    <w:lvl w:ilvl="7" w:tplc="CF1273D2">
      <w:start w:val="1"/>
      <w:numFmt w:val="bullet"/>
      <w:lvlText w:val="●"/>
      <w:lvlJc w:val="left"/>
      <w:pPr>
        <w:ind w:left="5760" w:hanging="360"/>
      </w:pPr>
    </w:lvl>
    <w:lvl w:ilvl="8" w:tplc="9FC0001E">
      <w:start w:val="1"/>
      <w:numFmt w:val="bullet"/>
      <w:lvlText w:val="●"/>
      <w:lvlJc w:val="left"/>
      <w:pPr>
        <w:ind w:left="6480" w:hanging="360"/>
      </w:pPr>
    </w:lvl>
  </w:abstractNum>
  <w:abstractNum w:abstractNumId="1" w15:restartNumberingAfterBreak="0">
    <w:nsid w:val="66AA57B1"/>
    <w:multiLevelType w:val="hybridMultilevel"/>
    <w:tmpl w:val="EA6AACC4"/>
    <w:lvl w:ilvl="0" w:tplc="5B30CF38">
      <w:start w:val="1"/>
      <w:numFmt w:val="bullet"/>
      <w:lvlText w:val="•"/>
      <w:lvlJc w:val="left"/>
      <w:pPr>
        <w:ind w:left="720" w:hanging="360"/>
      </w:pPr>
      <w:rPr>
        <w:rFonts w:ascii="Arial" w:eastAsia="Arial" w:hAnsi="Arial" w:cs="Arial"/>
      </w:rPr>
    </w:lvl>
    <w:lvl w:ilvl="1" w:tplc="10F878C4">
      <w:numFmt w:val="decimal"/>
      <w:lvlText w:val=""/>
      <w:lvlJc w:val="left"/>
    </w:lvl>
    <w:lvl w:ilvl="2" w:tplc="7666891E">
      <w:numFmt w:val="decimal"/>
      <w:lvlText w:val=""/>
      <w:lvlJc w:val="left"/>
    </w:lvl>
    <w:lvl w:ilvl="3" w:tplc="B09853A8">
      <w:numFmt w:val="decimal"/>
      <w:lvlText w:val=""/>
      <w:lvlJc w:val="left"/>
    </w:lvl>
    <w:lvl w:ilvl="4" w:tplc="EE4696A6">
      <w:numFmt w:val="decimal"/>
      <w:lvlText w:val=""/>
      <w:lvlJc w:val="left"/>
    </w:lvl>
    <w:lvl w:ilvl="5" w:tplc="FBFA7020">
      <w:numFmt w:val="decimal"/>
      <w:lvlText w:val=""/>
      <w:lvlJc w:val="left"/>
    </w:lvl>
    <w:lvl w:ilvl="6" w:tplc="1250DE7E">
      <w:numFmt w:val="decimal"/>
      <w:lvlText w:val=""/>
      <w:lvlJc w:val="left"/>
    </w:lvl>
    <w:lvl w:ilvl="7" w:tplc="27F8C520">
      <w:numFmt w:val="decimal"/>
      <w:lvlText w:val=""/>
      <w:lvlJc w:val="left"/>
    </w:lvl>
    <w:lvl w:ilvl="8" w:tplc="E2C686A4">
      <w:numFmt w:val="decimal"/>
      <w:lvlText w:val=""/>
      <w:lvlJc w:val="left"/>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7D4"/>
    <w:rsid w:val="000A45B4"/>
    <w:rsid w:val="000C4281"/>
    <w:rsid w:val="000C4DA8"/>
    <w:rsid w:val="00137979"/>
    <w:rsid w:val="001E48CF"/>
    <w:rsid w:val="00200D5F"/>
    <w:rsid w:val="00201463"/>
    <w:rsid w:val="002038EE"/>
    <w:rsid w:val="00211991"/>
    <w:rsid w:val="002226E1"/>
    <w:rsid w:val="00264FCA"/>
    <w:rsid w:val="002913B1"/>
    <w:rsid w:val="00325DC5"/>
    <w:rsid w:val="003A0E53"/>
    <w:rsid w:val="003E0448"/>
    <w:rsid w:val="004C676F"/>
    <w:rsid w:val="004D183D"/>
    <w:rsid w:val="005055FE"/>
    <w:rsid w:val="00511390"/>
    <w:rsid w:val="00525813"/>
    <w:rsid w:val="00532C60"/>
    <w:rsid w:val="005450ED"/>
    <w:rsid w:val="00567BB1"/>
    <w:rsid w:val="005A1534"/>
    <w:rsid w:val="00682C4F"/>
    <w:rsid w:val="006D1E73"/>
    <w:rsid w:val="007014D6"/>
    <w:rsid w:val="007C1ED9"/>
    <w:rsid w:val="00801360"/>
    <w:rsid w:val="008059D3"/>
    <w:rsid w:val="00807818"/>
    <w:rsid w:val="008A2820"/>
    <w:rsid w:val="008B6800"/>
    <w:rsid w:val="008E7BE5"/>
    <w:rsid w:val="008F3D23"/>
    <w:rsid w:val="00917EE9"/>
    <w:rsid w:val="00936C59"/>
    <w:rsid w:val="00987016"/>
    <w:rsid w:val="00995BC5"/>
    <w:rsid w:val="009F1533"/>
    <w:rsid w:val="00A11D42"/>
    <w:rsid w:val="00A15498"/>
    <w:rsid w:val="00A31791"/>
    <w:rsid w:val="00A364BB"/>
    <w:rsid w:val="00A409F2"/>
    <w:rsid w:val="00A83498"/>
    <w:rsid w:val="00A834F1"/>
    <w:rsid w:val="00AF216A"/>
    <w:rsid w:val="00B06D2D"/>
    <w:rsid w:val="00B24810"/>
    <w:rsid w:val="00B53995"/>
    <w:rsid w:val="00B94A24"/>
    <w:rsid w:val="00B97BE3"/>
    <w:rsid w:val="00C25193"/>
    <w:rsid w:val="00C2751E"/>
    <w:rsid w:val="00C759C1"/>
    <w:rsid w:val="00CB1C89"/>
    <w:rsid w:val="00CC7412"/>
    <w:rsid w:val="00CF029B"/>
    <w:rsid w:val="00CF4BA2"/>
    <w:rsid w:val="00D826A2"/>
    <w:rsid w:val="00D91756"/>
    <w:rsid w:val="00D95054"/>
    <w:rsid w:val="00DB487D"/>
    <w:rsid w:val="00DC791B"/>
    <w:rsid w:val="00DD2C5A"/>
    <w:rsid w:val="00DD49DA"/>
    <w:rsid w:val="00E3492B"/>
    <w:rsid w:val="00E461C8"/>
    <w:rsid w:val="00EC04C0"/>
    <w:rsid w:val="00EC174B"/>
    <w:rsid w:val="00F227D4"/>
    <w:rsid w:val="00F512C3"/>
    <w:rsid w:val="00F64F4C"/>
    <w:rsid w:val="00F7468A"/>
    <w:rsid w:val="00F75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160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29B"/>
  </w:style>
  <w:style w:type="paragraph" w:styleId="Heading1">
    <w:name w:val="heading 1"/>
    <w:autoRedefine/>
    <w:uiPriority w:val="9"/>
    <w:qFormat/>
    <w:rsid w:val="002038EE"/>
    <w:pPr>
      <w:pBdr>
        <w:bottom w:val="single" w:sz="4" w:space="1" w:color="auto"/>
      </w:pBdr>
      <w:shd w:val="clear" w:color="auto" w:fill="FFFFFF" w:themeFill="background1"/>
      <w:spacing w:before="300" w:after="150"/>
      <w:outlineLvl w:val="0"/>
    </w:pPr>
    <w:rPr>
      <w:b/>
      <w:bCs/>
      <w:color w:val="000000" w:themeColor="text1"/>
      <w:sz w:val="32"/>
      <w:szCs w:val="32"/>
    </w:rPr>
  </w:style>
  <w:style w:type="paragraph" w:styleId="Heading2">
    <w:name w:val="heading 2"/>
    <w:autoRedefine/>
    <w:uiPriority w:val="9"/>
    <w:unhideWhenUsed/>
    <w:qFormat/>
    <w:rsid w:val="008A2820"/>
    <w:pPr>
      <w:spacing w:line="360" w:lineRule="auto"/>
      <w:outlineLvl w:val="1"/>
    </w:pPr>
    <w:rPr>
      <w:b/>
      <w:bCs/>
      <w:color w:val="000000" w:themeColor="text1"/>
      <w:sz w:val="28"/>
      <w:szCs w:val="24"/>
    </w:rPr>
  </w:style>
  <w:style w:type="paragraph" w:styleId="Heading3">
    <w:name w:val="heading 3"/>
    <w:autoRedefine/>
    <w:uiPriority w:val="9"/>
    <w:unhideWhenUsed/>
    <w:qFormat/>
    <w:rsid w:val="002038EE"/>
    <w:pPr>
      <w:outlineLvl w:val="2"/>
    </w:pPr>
    <w:rPr>
      <w:b/>
      <w:i/>
      <w:color w:val="000000" w:themeColor="text1"/>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utoRedefine/>
    <w:uiPriority w:val="10"/>
    <w:qFormat/>
    <w:rsid w:val="00D95054"/>
    <w:pPr>
      <w:jc w:val="center"/>
    </w:pPr>
    <w:rPr>
      <w:b/>
      <w:sz w:val="48"/>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4C676F"/>
    <w:pPr>
      <w:tabs>
        <w:tab w:val="center" w:pos="4680"/>
        <w:tab w:val="right" w:pos="9360"/>
      </w:tabs>
    </w:pPr>
  </w:style>
  <w:style w:type="character" w:customStyle="1" w:styleId="HeaderChar">
    <w:name w:val="Header Char"/>
    <w:basedOn w:val="DefaultParagraphFont"/>
    <w:link w:val="Header"/>
    <w:uiPriority w:val="99"/>
    <w:rsid w:val="004C676F"/>
  </w:style>
  <w:style w:type="paragraph" w:styleId="Footer">
    <w:name w:val="footer"/>
    <w:basedOn w:val="Normal"/>
    <w:link w:val="FooterChar"/>
    <w:uiPriority w:val="99"/>
    <w:unhideWhenUsed/>
    <w:rsid w:val="004C676F"/>
    <w:pPr>
      <w:tabs>
        <w:tab w:val="center" w:pos="4680"/>
        <w:tab w:val="right" w:pos="9360"/>
      </w:tabs>
    </w:pPr>
  </w:style>
  <w:style w:type="character" w:customStyle="1" w:styleId="FooterChar">
    <w:name w:val="Footer Char"/>
    <w:basedOn w:val="DefaultParagraphFont"/>
    <w:link w:val="Footer"/>
    <w:uiPriority w:val="99"/>
    <w:rsid w:val="004C676F"/>
  </w:style>
  <w:style w:type="paragraph" w:styleId="NormalWeb">
    <w:name w:val="Normal (Web)"/>
    <w:basedOn w:val="Normal"/>
    <w:uiPriority w:val="99"/>
    <w:semiHidden/>
    <w:unhideWhenUsed/>
    <w:rsid w:val="008E7BE5"/>
    <w:rPr>
      <w:rFonts w:ascii="Times New Roman" w:hAnsi="Times New Roman" w:cs="Times New Roman"/>
      <w:sz w:val="24"/>
      <w:szCs w:val="24"/>
    </w:rPr>
  </w:style>
  <w:style w:type="paragraph" w:styleId="TOCHeading">
    <w:name w:val="TOC Heading"/>
    <w:basedOn w:val="Heading1"/>
    <w:next w:val="Normal"/>
    <w:uiPriority w:val="39"/>
    <w:unhideWhenUsed/>
    <w:qFormat/>
    <w:rsid w:val="00201463"/>
    <w:pPr>
      <w:keepNext/>
      <w:keepLines/>
      <w:pBdr>
        <w:bottom w:val="none" w:sz="0" w:space="0" w:color="auto"/>
      </w:pBdr>
      <w:shd w:val="clear" w:color="auto" w:fill="auto"/>
      <w:spacing w:before="240" w:after="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201463"/>
    <w:pPr>
      <w:spacing w:after="100"/>
    </w:pPr>
  </w:style>
  <w:style w:type="paragraph" w:styleId="TOC2">
    <w:name w:val="toc 2"/>
    <w:basedOn w:val="Normal"/>
    <w:next w:val="Normal"/>
    <w:autoRedefine/>
    <w:uiPriority w:val="39"/>
    <w:unhideWhenUsed/>
    <w:rsid w:val="00201463"/>
    <w:pPr>
      <w:spacing w:after="100"/>
      <w:ind w:left="220"/>
    </w:pPr>
  </w:style>
  <w:style w:type="paragraph" w:styleId="TOC3">
    <w:name w:val="toc 3"/>
    <w:basedOn w:val="Normal"/>
    <w:next w:val="Normal"/>
    <w:autoRedefine/>
    <w:uiPriority w:val="39"/>
    <w:unhideWhenUsed/>
    <w:rsid w:val="0020146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FD1EB0-D9FF-4DFF-BAC5-1C4BC0C30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8546</Words>
  <Characters>48715</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2026-04-26T18:15:00Z</dcterms:created>
  <dcterms:modified xsi:type="dcterms:W3CDTF">2026-04-26T19:54:00Z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74c72b81-911a-4469-9b66-4eaba9467aa3</vt:lpwstr>
  </property>
</Properties>
</file>