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2759BC" w14:textId="146E99D9" w:rsidR="0011284D" w:rsidRPr="0011284D" w:rsidRDefault="009A3198" w:rsidP="0011284D">
      <w:pPr>
        <w:pStyle w:val="figurecaption"/>
        <w:rPr>
          <w:b/>
          <w:sz w:val="24"/>
        </w:rPr>
      </w:pPr>
      <w:r>
        <w:rPr>
          <w:b/>
          <w:sz w:val="24"/>
        </w:rPr>
        <w:t xml:space="preserve">Handout 6 – </w:t>
      </w:r>
      <w:bookmarkStart w:id="0" w:name="_GoBack"/>
      <w:bookmarkEnd w:id="0"/>
      <w:r w:rsidR="0011284D" w:rsidRPr="0011284D">
        <w:rPr>
          <w:b/>
          <w:sz w:val="24"/>
        </w:rPr>
        <w:t xml:space="preserve">Concepts and Terms Associated </w:t>
      </w:r>
      <w:r w:rsidR="003243D4">
        <w:rPr>
          <w:b/>
          <w:sz w:val="24"/>
        </w:rPr>
        <w:t>w</w:t>
      </w:r>
      <w:r w:rsidR="0011284D" w:rsidRPr="0011284D">
        <w:rPr>
          <w:b/>
          <w:sz w:val="24"/>
        </w:rPr>
        <w:t>ith Hypothesis Testing</w:t>
      </w:r>
    </w:p>
    <w:p w14:paraId="0CAA725E" w14:textId="77777777" w:rsidR="0011284D" w:rsidRPr="0011284D" w:rsidRDefault="0011284D">
      <w:pPr>
        <w:rPr>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6088"/>
      </w:tblGrid>
      <w:tr w:rsidR="00B179E5" w14:paraId="2231233D" w14:textId="77777777" w:rsidTr="00B179E5">
        <w:tc>
          <w:tcPr>
            <w:tcW w:w="2660" w:type="dxa"/>
          </w:tcPr>
          <w:p w14:paraId="1B60F61F" w14:textId="77050FCA" w:rsidR="00B179E5" w:rsidRPr="004E4FBB" w:rsidRDefault="00B179E5" w:rsidP="004E4FBB">
            <w:pPr>
              <w:pStyle w:val="BodyText1"/>
              <w:jc w:val="center"/>
              <w:rPr>
                <w:b/>
              </w:rPr>
            </w:pPr>
            <w:r w:rsidRPr="004E4FBB">
              <w:rPr>
                <w:b/>
              </w:rPr>
              <w:t xml:space="preserve">Concept of </w:t>
            </w:r>
            <w:r w:rsidR="004E4FBB" w:rsidRPr="004E4FBB">
              <w:rPr>
                <w:b/>
              </w:rPr>
              <w:t>Key Term</w:t>
            </w:r>
          </w:p>
        </w:tc>
        <w:tc>
          <w:tcPr>
            <w:tcW w:w="6088" w:type="dxa"/>
          </w:tcPr>
          <w:p w14:paraId="71CEB636" w14:textId="0FCF7093" w:rsidR="00B179E5" w:rsidRPr="004E4FBB" w:rsidRDefault="004E4FBB" w:rsidP="004E4FBB">
            <w:pPr>
              <w:pStyle w:val="BodyText1"/>
              <w:jc w:val="center"/>
              <w:rPr>
                <w:b/>
              </w:rPr>
            </w:pPr>
            <w:r w:rsidRPr="004E4FBB">
              <w:rPr>
                <w:b/>
              </w:rPr>
              <w:t>Description</w:t>
            </w:r>
          </w:p>
        </w:tc>
      </w:tr>
      <w:tr w:rsidR="0011284D" w14:paraId="771DC8D7" w14:textId="77777777" w:rsidTr="00B179E5">
        <w:tc>
          <w:tcPr>
            <w:tcW w:w="2660" w:type="dxa"/>
          </w:tcPr>
          <w:p w14:paraId="4A04FEDE" w14:textId="77777777" w:rsidR="0011284D" w:rsidRDefault="0011284D" w:rsidP="00F77BE5">
            <w:pPr>
              <w:pStyle w:val="BodyText1"/>
            </w:pPr>
            <w:r>
              <w:t>Sampling distribution</w:t>
            </w:r>
          </w:p>
        </w:tc>
        <w:tc>
          <w:tcPr>
            <w:tcW w:w="6088" w:type="dxa"/>
          </w:tcPr>
          <w:p w14:paraId="3CB25D12" w14:textId="77777777" w:rsidR="0011284D" w:rsidRDefault="0011284D" w:rsidP="00F77BE5">
            <w:pPr>
              <w:pStyle w:val="BodyText1"/>
            </w:pPr>
            <w:r>
              <w:t xml:space="preserve">When we take multiple samples from a population it is likely that the sample statistic (i.e., mean) computed for each of the samples will vary.  The distribution of these sample statistics is called the </w:t>
            </w:r>
            <w:r>
              <w:rPr>
                <w:b/>
                <w:bCs/>
              </w:rPr>
              <w:t>sampling distribution</w:t>
            </w:r>
            <w:r>
              <w:t xml:space="preserve">.   </w:t>
            </w:r>
          </w:p>
          <w:p w14:paraId="21A94DE3" w14:textId="77777777" w:rsidR="0011284D" w:rsidRDefault="0011284D" w:rsidP="00F77BE5">
            <w:pPr>
              <w:pStyle w:val="BodyText1"/>
            </w:pPr>
            <w:r>
              <w:t>Each sample statistic is associated with its own theoretical sampling distribution, and the ones that are used often in the hospitality and tourism research include the t distribution, the F distribution, and the Chi-square distribution.  Each of these sampling distributions allows us to estimate the population value of that statistic from sample values when the sample size is 30 or more (according to central limit theorem).</w:t>
            </w:r>
          </w:p>
        </w:tc>
      </w:tr>
      <w:tr w:rsidR="0011284D" w14:paraId="1ABBC8DD" w14:textId="77777777" w:rsidTr="00B179E5">
        <w:tc>
          <w:tcPr>
            <w:tcW w:w="2660" w:type="dxa"/>
          </w:tcPr>
          <w:p w14:paraId="4CAED5F8" w14:textId="77777777" w:rsidR="0011284D" w:rsidRDefault="0011284D" w:rsidP="00F77BE5">
            <w:pPr>
              <w:pStyle w:val="BodyText1"/>
            </w:pPr>
            <w:r>
              <w:t>Sampling error</w:t>
            </w:r>
          </w:p>
        </w:tc>
        <w:tc>
          <w:tcPr>
            <w:tcW w:w="6088" w:type="dxa"/>
          </w:tcPr>
          <w:p w14:paraId="6A535A4A" w14:textId="77777777" w:rsidR="0011284D" w:rsidRDefault="0011284D" w:rsidP="00F77BE5">
            <w:pPr>
              <w:pStyle w:val="BodyText1"/>
            </w:pPr>
            <w:r>
              <w:t xml:space="preserve">When we draw a sample from a population, it is very likely that the sample statistics computed will differ from the population parameter.  The term </w:t>
            </w:r>
            <w:r>
              <w:rPr>
                <w:b/>
                <w:bCs/>
              </w:rPr>
              <w:t>sampling error</w:t>
            </w:r>
            <w:r>
              <w:t xml:space="preserve"> refers to the magnitude of this difference.</w:t>
            </w:r>
          </w:p>
        </w:tc>
      </w:tr>
      <w:tr w:rsidR="0011284D" w14:paraId="6ABB4AEE" w14:textId="77777777" w:rsidTr="00B179E5">
        <w:tc>
          <w:tcPr>
            <w:tcW w:w="2660" w:type="dxa"/>
          </w:tcPr>
          <w:p w14:paraId="3115830E" w14:textId="77777777" w:rsidR="0011284D" w:rsidRDefault="0011284D" w:rsidP="00F77BE5">
            <w:pPr>
              <w:pStyle w:val="BodyText1"/>
            </w:pPr>
            <w:r>
              <w:t>Type I error and Type II error</w:t>
            </w:r>
          </w:p>
        </w:tc>
        <w:tc>
          <w:tcPr>
            <w:tcW w:w="6088" w:type="dxa"/>
          </w:tcPr>
          <w:p w14:paraId="21516F7A" w14:textId="77777777" w:rsidR="0011284D" w:rsidRDefault="0011284D" w:rsidP="00F77BE5">
            <w:pPr>
              <w:pStyle w:val="BodyText1"/>
            </w:pPr>
            <w:r>
              <w:t xml:space="preserve">When conducting hypothesis testing, there are two possible states of nature (the null hypothesis is either true or false) and two possible decisions we can make based on the sample statistic (reject the null hypothesis or fail to reject it).  </w:t>
            </w:r>
          </w:p>
          <w:p w14:paraId="4C2E686C" w14:textId="77777777" w:rsidR="0011284D" w:rsidRDefault="0011284D" w:rsidP="00F77BE5">
            <w:pPr>
              <w:pStyle w:val="BodyText1"/>
            </w:pPr>
            <w:r>
              <w:t xml:space="preserve">When the null hypothesis is true but our decision is to reject it, we say that a </w:t>
            </w:r>
            <w:r>
              <w:rPr>
                <w:b/>
                <w:bCs/>
              </w:rPr>
              <w:t>Type I error</w:t>
            </w:r>
            <w:r>
              <w:t xml:space="preserve"> has occurred.  </w:t>
            </w:r>
          </w:p>
          <w:p w14:paraId="2B68CD8E" w14:textId="77777777" w:rsidR="0011284D" w:rsidRDefault="0011284D" w:rsidP="00F77BE5">
            <w:pPr>
              <w:pStyle w:val="BodyText1"/>
            </w:pPr>
            <w:r>
              <w:t xml:space="preserve">On the other hand, when the null hypothesis is false but we fail to reject it, then a </w:t>
            </w:r>
            <w:r>
              <w:rPr>
                <w:b/>
                <w:bCs/>
              </w:rPr>
              <w:t>Type II error</w:t>
            </w:r>
            <w:r>
              <w:t xml:space="preserve"> has occurred.  </w:t>
            </w:r>
          </w:p>
          <w:p w14:paraId="6EA27DA6" w14:textId="77777777" w:rsidR="0011284D" w:rsidRDefault="0011284D" w:rsidP="00F77BE5">
            <w:pPr>
              <w:pStyle w:val="BodyText1"/>
            </w:pPr>
            <w:r>
              <w:t>In hypothesis testing we would like to minimise the probability of making either a Type I or Type II error.  However, Type I and Type II errors have an inverse relationship. That is, as we minimise the probability of having a Type I error the probability of having a Type II error actually increases, and vice versa.</w:t>
            </w:r>
          </w:p>
        </w:tc>
      </w:tr>
      <w:tr w:rsidR="0011284D" w14:paraId="43973C52" w14:textId="77777777" w:rsidTr="00B179E5">
        <w:tc>
          <w:tcPr>
            <w:tcW w:w="2660" w:type="dxa"/>
          </w:tcPr>
          <w:p w14:paraId="2E366F98" w14:textId="77777777" w:rsidR="0011284D" w:rsidRDefault="0011284D" w:rsidP="00F77BE5">
            <w:pPr>
              <w:pStyle w:val="BodyText1"/>
            </w:pPr>
            <w:r>
              <w:t>Alpha level (</w:t>
            </w:r>
            <w:r>
              <w:sym w:font="Symbol" w:char="F061"/>
            </w:r>
            <w:r>
              <w:t>) (Also called the significance level)</w:t>
            </w:r>
          </w:p>
        </w:tc>
        <w:tc>
          <w:tcPr>
            <w:tcW w:w="6088" w:type="dxa"/>
          </w:tcPr>
          <w:p w14:paraId="7963D99B" w14:textId="77777777" w:rsidR="0011284D" w:rsidRDefault="0011284D" w:rsidP="00F77BE5">
            <w:pPr>
              <w:pStyle w:val="BodyText1"/>
            </w:pPr>
            <w:r>
              <w:t xml:space="preserve">The </w:t>
            </w:r>
            <w:r>
              <w:rPr>
                <w:b/>
                <w:bCs/>
              </w:rPr>
              <w:t>alpha level</w:t>
            </w:r>
            <w:r>
              <w:t xml:space="preserve"> is the criterion we use to decide whether to accept or reject the null hypothesis.  In other words, alpha is the probability of a Type I error when the null hypothesis is true.  </w:t>
            </w:r>
          </w:p>
          <w:p w14:paraId="06A002C7" w14:textId="77777777" w:rsidR="0011284D" w:rsidRDefault="0011284D" w:rsidP="00F77BE5">
            <w:pPr>
              <w:pStyle w:val="BodyText1"/>
            </w:pPr>
            <w:r>
              <w:t xml:space="preserve">The three common levels of alpha adopted by hospitality and tourism researchers are 0.1, 0.05, and 0.01.  An alpha level </w:t>
            </w:r>
            <w:r>
              <w:lastRenderedPageBreak/>
              <w:t xml:space="preserve">of 0.05 means that there are 5 chances in 100 that a sampling error alone could have produced a difference at least as large as the one we observed.  </w:t>
            </w:r>
          </w:p>
        </w:tc>
      </w:tr>
      <w:tr w:rsidR="0011284D" w14:paraId="059BF920" w14:textId="77777777" w:rsidTr="00B179E5">
        <w:tc>
          <w:tcPr>
            <w:tcW w:w="2660" w:type="dxa"/>
          </w:tcPr>
          <w:p w14:paraId="1BF20031" w14:textId="77777777" w:rsidR="0011284D" w:rsidRDefault="0011284D" w:rsidP="00F77BE5">
            <w:pPr>
              <w:pStyle w:val="BodyText1"/>
            </w:pPr>
            <w:r>
              <w:lastRenderedPageBreak/>
              <w:t>Test statistic (also called the calculated value)</w:t>
            </w:r>
          </w:p>
        </w:tc>
        <w:tc>
          <w:tcPr>
            <w:tcW w:w="6088" w:type="dxa"/>
          </w:tcPr>
          <w:p w14:paraId="2DFE0895" w14:textId="77777777" w:rsidR="0011284D" w:rsidRDefault="0011284D" w:rsidP="00F77BE5">
            <w:pPr>
              <w:pStyle w:val="BodyText1"/>
            </w:pPr>
            <w:r>
              <w:t xml:space="preserve">In hypothesis testing the summary of the sample data will always lead to a single numerical value. And this number is referred to as the </w:t>
            </w:r>
            <w:r>
              <w:rPr>
                <w:b/>
                <w:bCs/>
              </w:rPr>
              <w:t>test statistic</w:t>
            </w:r>
            <w:r>
              <w:t>.</w:t>
            </w:r>
          </w:p>
        </w:tc>
      </w:tr>
      <w:tr w:rsidR="0011284D" w14:paraId="2906CB61" w14:textId="77777777" w:rsidTr="00B179E5">
        <w:tc>
          <w:tcPr>
            <w:tcW w:w="2660" w:type="dxa"/>
          </w:tcPr>
          <w:p w14:paraId="4BB0EE8E" w14:textId="77777777" w:rsidR="0011284D" w:rsidRDefault="0011284D" w:rsidP="00F77BE5">
            <w:pPr>
              <w:pStyle w:val="BodyText1"/>
            </w:pPr>
            <w:r>
              <w:t>p-value</w:t>
            </w:r>
          </w:p>
        </w:tc>
        <w:tc>
          <w:tcPr>
            <w:tcW w:w="6088" w:type="dxa"/>
            <w:shd w:val="clear" w:color="auto" w:fill="auto"/>
          </w:tcPr>
          <w:p w14:paraId="5DBCA4B0" w14:textId="77777777" w:rsidR="0011284D" w:rsidRDefault="0011284D" w:rsidP="00F77BE5">
            <w:pPr>
              <w:pStyle w:val="BodyText1"/>
            </w:pPr>
            <w:r>
              <w:t xml:space="preserve">A </w:t>
            </w:r>
            <w:r>
              <w:rPr>
                <w:b/>
                <w:bCs/>
              </w:rPr>
              <w:t>p-value</w:t>
            </w:r>
            <w:r>
              <w:t xml:space="preserve"> represents the probability with which a value equal to or larger than the test statistic would occur by chance when the null hypothesis is true.</w:t>
            </w:r>
          </w:p>
        </w:tc>
      </w:tr>
      <w:tr w:rsidR="0011284D" w14:paraId="798DB1FF" w14:textId="77777777" w:rsidTr="00B179E5">
        <w:tc>
          <w:tcPr>
            <w:tcW w:w="2660" w:type="dxa"/>
          </w:tcPr>
          <w:p w14:paraId="04B5211B" w14:textId="77777777" w:rsidR="0011284D" w:rsidRDefault="0011284D" w:rsidP="00F77BE5">
            <w:pPr>
              <w:pStyle w:val="BodyText1"/>
            </w:pPr>
            <w:r>
              <w:t>One-tailed versus two-tailed tests</w:t>
            </w:r>
          </w:p>
        </w:tc>
        <w:tc>
          <w:tcPr>
            <w:tcW w:w="6088" w:type="dxa"/>
          </w:tcPr>
          <w:p w14:paraId="33C3CC9F" w14:textId="77777777" w:rsidR="0011284D" w:rsidRDefault="007D2A68" w:rsidP="007D2A68">
            <w:pPr>
              <w:pStyle w:val="BodyText1"/>
            </w:pPr>
            <w:r>
              <w:t>W</w:t>
            </w:r>
            <w:r w:rsidR="0011284D">
              <w:t xml:space="preserve">e can have a directional or nondirectional alternate hypothesis.  A directional alternate hypothesis will lead researchers to conduct a </w:t>
            </w:r>
            <w:r w:rsidR="0011284D">
              <w:rPr>
                <w:b/>
                <w:bCs/>
              </w:rPr>
              <w:t>one-tailed test</w:t>
            </w:r>
            <w:r w:rsidR="0011284D">
              <w:t xml:space="preserve">, whereas a nondirectional alternate hypothesis will lead researchers to conduct a </w:t>
            </w:r>
            <w:r w:rsidR="0011284D">
              <w:rPr>
                <w:b/>
                <w:bCs/>
              </w:rPr>
              <w:t>two-tailed test</w:t>
            </w:r>
            <w:r w:rsidR="0011284D">
              <w:t>.</w:t>
            </w:r>
          </w:p>
        </w:tc>
      </w:tr>
      <w:tr w:rsidR="0011284D" w14:paraId="13D0AD40" w14:textId="77777777" w:rsidTr="00B179E5">
        <w:tc>
          <w:tcPr>
            <w:tcW w:w="2660" w:type="dxa"/>
          </w:tcPr>
          <w:p w14:paraId="4BF2735B" w14:textId="77777777" w:rsidR="0011284D" w:rsidRDefault="0011284D" w:rsidP="00F77BE5">
            <w:pPr>
              <w:pStyle w:val="BodyText1"/>
            </w:pPr>
            <w:r>
              <w:t>Statistical significance</w:t>
            </w:r>
          </w:p>
        </w:tc>
        <w:tc>
          <w:tcPr>
            <w:tcW w:w="6088" w:type="dxa"/>
            <w:shd w:val="clear" w:color="auto" w:fill="auto"/>
          </w:tcPr>
          <w:p w14:paraId="2F403D4E" w14:textId="77777777" w:rsidR="0011284D" w:rsidRDefault="0011284D" w:rsidP="00F77BE5">
            <w:pPr>
              <w:pStyle w:val="BodyText1"/>
            </w:pPr>
            <w:r>
              <w:t xml:space="preserve">To reach the conclusion of rejecting or failing to reject the null hypothesis, researchers compare the p-value associated with the test statistic against the alpha level.  </w:t>
            </w:r>
          </w:p>
          <w:p w14:paraId="4E7CAB9B" w14:textId="77777777" w:rsidR="0011284D" w:rsidRDefault="0011284D" w:rsidP="00F77BE5">
            <w:pPr>
              <w:pStyle w:val="BodyText1"/>
            </w:pPr>
            <w:r>
              <w:t>When the p-value is equal to or smaller than the alpha level (e.g., p</w:t>
            </w:r>
            <w:r>
              <w:sym w:font="Symbol" w:char="F0A3"/>
            </w:r>
            <w:r>
              <w:t xml:space="preserve"> 0.05), the sample is viewed as being inconsistent with the null hypothesis, which leads us to reject the null hypothesis.  Therefore, we would conclude that the result of the study is statistically significant.  </w:t>
            </w:r>
          </w:p>
          <w:p w14:paraId="1FD04415" w14:textId="77777777" w:rsidR="0011284D" w:rsidRDefault="0011284D" w:rsidP="00F77BE5">
            <w:pPr>
              <w:pStyle w:val="BodyText1"/>
            </w:pPr>
            <w:r>
              <w:t>On the other hand, if the p-value is found to be larger than the alpha level (e.g., p&gt; 0.05), we would say that the sample is consistent with the null hypothesis, and that will lead us to retain the null hypothesis.  In this case, we would say that the result of the study is not statistically significant.</w:t>
            </w:r>
          </w:p>
        </w:tc>
      </w:tr>
      <w:tr w:rsidR="00B179E5" w14:paraId="52601B94" w14:textId="77777777" w:rsidTr="00B179E5">
        <w:tc>
          <w:tcPr>
            <w:tcW w:w="2660" w:type="dxa"/>
          </w:tcPr>
          <w:p w14:paraId="1B84E182" w14:textId="788F4072" w:rsidR="00B179E5" w:rsidRDefault="00B179E5" w:rsidP="00F77BE5">
            <w:pPr>
              <w:pStyle w:val="BodyText1"/>
            </w:pPr>
            <w:r>
              <w:t>Confidence interval</w:t>
            </w:r>
          </w:p>
        </w:tc>
        <w:tc>
          <w:tcPr>
            <w:tcW w:w="6088" w:type="dxa"/>
            <w:shd w:val="clear" w:color="auto" w:fill="auto"/>
          </w:tcPr>
          <w:p w14:paraId="53CBF418" w14:textId="74DFCCF4" w:rsidR="00B179E5" w:rsidRDefault="00B179E5" w:rsidP="00F77BE5">
            <w:pPr>
              <w:pStyle w:val="BodyText1"/>
            </w:pPr>
            <w:r w:rsidRPr="00B179E5">
              <w:t>The term confidence interval</w:t>
            </w:r>
            <w:r>
              <w:t xml:space="preserve"> (CI)</w:t>
            </w:r>
            <w:r w:rsidRPr="00B179E5">
              <w:t xml:space="preserve"> refers to the degree of confidence, expressed as a percentage, that the interval contains the population </w:t>
            </w:r>
            <w:r>
              <w:t>parameter</w:t>
            </w:r>
            <w:r w:rsidRPr="00B179E5">
              <w:t>.</w:t>
            </w:r>
            <w:r>
              <w:t xml:space="preserve"> </w:t>
            </w:r>
            <w:r w:rsidRPr="00B179E5">
              <w:t>A 95% CI is interpreted as 95% of the time the CI would contain the true value of the pop</w:t>
            </w:r>
            <w:r>
              <w:t>ulation</w:t>
            </w:r>
            <w:r w:rsidRPr="00B179E5">
              <w:t xml:space="preserve"> parameter</w:t>
            </w:r>
            <w:r>
              <w:t>.</w:t>
            </w:r>
          </w:p>
        </w:tc>
      </w:tr>
    </w:tbl>
    <w:p w14:paraId="47933F00" w14:textId="77777777" w:rsidR="004E7998" w:rsidRPr="0011284D" w:rsidRDefault="004E7998" w:rsidP="0011284D">
      <w:pPr>
        <w:pStyle w:val="figureno"/>
        <w:spacing w:before="200"/>
        <w:rPr>
          <w:sz w:val="24"/>
        </w:rPr>
      </w:pPr>
    </w:p>
    <w:sectPr w:rsidR="004E7998" w:rsidRPr="0011284D" w:rsidSect="00C92DB6">
      <w:footerReference w:type="default" r:id="rId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8C4A31" w14:textId="77777777" w:rsidR="002D7F0A" w:rsidRDefault="002D7F0A" w:rsidP="004E7998">
      <w:r>
        <w:separator/>
      </w:r>
    </w:p>
  </w:endnote>
  <w:endnote w:type="continuationSeparator" w:id="0">
    <w:p w14:paraId="30E293C1" w14:textId="77777777" w:rsidR="002D7F0A" w:rsidRDefault="002D7F0A" w:rsidP="004E79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333579"/>
      <w:docPartObj>
        <w:docPartGallery w:val="Page Numbers (Bottom of Page)"/>
        <w:docPartUnique/>
      </w:docPartObj>
    </w:sdtPr>
    <w:sdtEndPr>
      <w:rPr>
        <w:noProof/>
      </w:rPr>
    </w:sdtEndPr>
    <w:sdtContent>
      <w:p w14:paraId="790D2C44" w14:textId="79CC71D7" w:rsidR="00B179E5" w:rsidRDefault="00B179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BAEF1" w14:textId="77777777" w:rsidR="0011284D" w:rsidRDefault="00112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D9E129" w14:textId="77777777" w:rsidR="002D7F0A" w:rsidRDefault="002D7F0A" w:rsidP="004E7998">
      <w:r>
        <w:separator/>
      </w:r>
    </w:p>
  </w:footnote>
  <w:footnote w:type="continuationSeparator" w:id="0">
    <w:p w14:paraId="53EE339F" w14:textId="77777777" w:rsidR="002D7F0A" w:rsidRDefault="002D7F0A" w:rsidP="004E799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21AAD"/>
    <w:rsid w:val="00081B7B"/>
    <w:rsid w:val="000B471A"/>
    <w:rsid w:val="0011284D"/>
    <w:rsid w:val="00140D12"/>
    <w:rsid w:val="0021323E"/>
    <w:rsid w:val="002A7E21"/>
    <w:rsid w:val="002D7F0A"/>
    <w:rsid w:val="002E7ECD"/>
    <w:rsid w:val="003243D4"/>
    <w:rsid w:val="003804DE"/>
    <w:rsid w:val="004D4924"/>
    <w:rsid w:val="004E4FBB"/>
    <w:rsid w:val="004E7998"/>
    <w:rsid w:val="005C77CF"/>
    <w:rsid w:val="00621AAD"/>
    <w:rsid w:val="006F18E2"/>
    <w:rsid w:val="007D2A68"/>
    <w:rsid w:val="008240E1"/>
    <w:rsid w:val="00886029"/>
    <w:rsid w:val="009A3198"/>
    <w:rsid w:val="00B179E5"/>
    <w:rsid w:val="00B30AA0"/>
    <w:rsid w:val="00B77BEF"/>
    <w:rsid w:val="00C92DB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96CB6B"/>
  <w15:docId w15:val="{73C2C4BF-1FC8-4165-89C8-9A97D6C3C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PMingLiU"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iPriority="0" w:unhideWhenUsed="1"/>
    <w:lsdException w:name="caption" w:semiHidden="1" w:uiPriority="0"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iPriority="0"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284D"/>
    <w:pPr>
      <w:spacing w:after="0" w:line="240" w:lineRule="auto"/>
    </w:pPr>
    <w:rPr>
      <w:rFonts w:ascii="Times New Roman" w:hAnsi="Times New Roman" w:cs="Times New Roman"/>
      <w:sz w:val="20"/>
      <w:szCs w:val="20"/>
      <w:lang w:eastAsia="en-US"/>
    </w:rPr>
  </w:style>
  <w:style w:type="paragraph" w:styleId="Heading2">
    <w:name w:val="heading 2"/>
    <w:basedOn w:val="Normal"/>
    <w:next w:val="Normal"/>
    <w:link w:val="Heading2Char"/>
    <w:qFormat/>
    <w:rsid w:val="00081B7B"/>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081B7B"/>
    <w:pPr>
      <w:keepNext/>
      <w:spacing w:before="240" w:after="60"/>
      <w:outlineLvl w:val="2"/>
    </w:pPr>
    <w:rPr>
      <w:rFonts w:ascii="Arial" w:hAnsi="Arial" w:cs="Arial"/>
      <w:b/>
      <w:bCs/>
      <w:sz w:val="26"/>
      <w:szCs w:val="26"/>
    </w:rPr>
  </w:style>
  <w:style w:type="paragraph" w:styleId="Heading5">
    <w:name w:val="heading 5"/>
    <w:basedOn w:val="Normal"/>
    <w:next w:val="Normal"/>
    <w:link w:val="Heading5Char"/>
    <w:qFormat/>
    <w:rsid w:val="00081B7B"/>
    <w:pPr>
      <w:keepNext/>
      <w:outlineLvl w:val="4"/>
    </w:pPr>
    <w:rPr>
      <w:i/>
      <w:sz w:val="24"/>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81B7B"/>
    <w:pPr>
      <w:tabs>
        <w:tab w:val="center" w:pos="4320"/>
        <w:tab w:val="right" w:pos="8640"/>
      </w:tabs>
    </w:pPr>
    <w:rPr>
      <w:rFonts w:eastAsia="Times New Roman"/>
      <w:sz w:val="24"/>
      <w:lang w:val="en-GB"/>
    </w:rPr>
  </w:style>
  <w:style w:type="character" w:customStyle="1" w:styleId="HeaderChar">
    <w:name w:val="Header Char"/>
    <w:basedOn w:val="DefaultParagraphFont"/>
    <w:link w:val="Header"/>
    <w:rsid w:val="004E7998"/>
    <w:rPr>
      <w:rFonts w:ascii="Times New Roman" w:eastAsia="Times New Roman" w:hAnsi="Times New Roman" w:cs="Times New Roman"/>
      <w:sz w:val="24"/>
      <w:szCs w:val="20"/>
      <w:lang w:val="en-GB" w:eastAsia="en-US"/>
    </w:rPr>
  </w:style>
  <w:style w:type="paragraph" w:styleId="Footer">
    <w:name w:val="footer"/>
    <w:basedOn w:val="Normal"/>
    <w:link w:val="FooterChar"/>
    <w:uiPriority w:val="99"/>
    <w:rsid w:val="00081B7B"/>
    <w:pPr>
      <w:tabs>
        <w:tab w:val="center" w:pos="4320"/>
        <w:tab w:val="right" w:pos="8640"/>
      </w:tabs>
    </w:pPr>
    <w:rPr>
      <w:rFonts w:cs="Arial"/>
    </w:rPr>
  </w:style>
  <w:style w:type="character" w:customStyle="1" w:styleId="FooterChar">
    <w:name w:val="Footer Char"/>
    <w:basedOn w:val="DefaultParagraphFont"/>
    <w:link w:val="Footer"/>
    <w:uiPriority w:val="99"/>
    <w:rsid w:val="004E7998"/>
    <w:rPr>
      <w:rFonts w:ascii="Times New Roman" w:eastAsia="PMingLiU" w:hAnsi="Times New Roman" w:cs="Arial"/>
      <w:sz w:val="20"/>
      <w:szCs w:val="20"/>
      <w:lang w:eastAsia="en-US"/>
    </w:rPr>
  </w:style>
  <w:style w:type="paragraph" w:styleId="BodyText">
    <w:name w:val="Body Text"/>
    <w:basedOn w:val="Normal"/>
    <w:link w:val="BodyTextChar"/>
    <w:rsid w:val="00081B7B"/>
    <w:rPr>
      <w:rFonts w:cs="Arial"/>
      <w:sz w:val="24"/>
    </w:rPr>
  </w:style>
  <w:style w:type="character" w:customStyle="1" w:styleId="BodyTextChar">
    <w:name w:val="Body Text Char"/>
    <w:basedOn w:val="DefaultParagraphFont"/>
    <w:link w:val="BodyText"/>
    <w:rsid w:val="00081B7B"/>
    <w:rPr>
      <w:rFonts w:ascii="Times New Roman" w:eastAsia="PMingLiU" w:hAnsi="Times New Roman" w:cs="Arial"/>
      <w:sz w:val="24"/>
      <w:szCs w:val="20"/>
      <w:lang w:eastAsia="en-US"/>
    </w:rPr>
  </w:style>
  <w:style w:type="paragraph" w:customStyle="1" w:styleId="Author">
    <w:name w:val="Author"/>
    <w:basedOn w:val="BodyText"/>
    <w:rsid w:val="00081B7B"/>
    <w:pPr>
      <w:widowControl w:val="0"/>
      <w:spacing w:line="480" w:lineRule="auto"/>
      <w:jc w:val="center"/>
    </w:pPr>
    <w:rPr>
      <w:rFonts w:eastAsia="Times New Roman" w:cs="Times New Roman"/>
      <w:snapToGrid w:val="0"/>
      <w:lang w:val="en-GB"/>
    </w:rPr>
  </w:style>
  <w:style w:type="paragraph" w:styleId="BodyText2">
    <w:name w:val="Body Text 2"/>
    <w:basedOn w:val="Normal"/>
    <w:link w:val="BodyText2Char"/>
    <w:rsid w:val="00081B7B"/>
    <w:pPr>
      <w:jc w:val="both"/>
    </w:pPr>
    <w:rPr>
      <w:rFonts w:ascii="Arial" w:hAnsi="Arial" w:cs="Arial"/>
      <w:sz w:val="24"/>
    </w:rPr>
  </w:style>
  <w:style w:type="character" w:customStyle="1" w:styleId="BodyText2Char">
    <w:name w:val="Body Text 2 Char"/>
    <w:basedOn w:val="DefaultParagraphFont"/>
    <w:link w:val="BodyText2"/>
    <w:rsid w:val="00081B7B"/>
    <w:rPr>
      <w:rFonts w:ascii="Arial" w:eastAsia="PMingLiU" w:hAnsi="Arial" w:cs="Arial"/>
      <w:sz w:val="24"/>
      <w:szCs w:val="20"/>
      <w:lang w:eastAsia="en-US"/>
    </w:rPr>
  </w:style>
  <w:style w:type="paragraph" w:styleId="BodyText3">
    <w:name w:val="Body Text 3"/>
    <w:basedOn w:val="Normal"/>
    <w:link w:val="BodyText3Char"/>
    <w:rsid w:val="00081B7B"/>
    <w:rPr>
      <w:rFonts w:ascii="Arial" w:hAnsi="Arial" w:cs="Arial"/>
      <w:sz w:val="22"/>
    </w:rPr>
  </w:style>
  <w:style w:type="character" w:customStyle="1" w:styleId="BodyText3Char">
    <w:name w:val="Body Text 3 Char"/>
    <w:basedOn w:val="DefaultParagraphFont"/>
    <w:link w:val="BodyText3"/>
    <w:rsid w:val="00081B7B"/>
    <w:rPr>
      <w:rFonts w:ascii="Arial" w:eastAsia="PMingLiU" w:hAnsi="Arial" w:cs="Arial"/>
      <w:szCs w:val="20"/>
      <w:lang w:eastAsia="en-US"/>
    </w:rPr>
  </w:style>
  <w:style w:type="paragraph" w:styleId="Caption">
    <w:name w:val="caption"/>
    <w:basedOn w:val="Normal"/>
    <w:next w:val="Normal"/>
    <w:qFormat/>
    <w:rsid w:val="00081B7B"/>
    <w:pPr>
      <w:spacing w:before="120" w:after="120"/>
    </w:pPr>
    <w:rPr>
      <w:b/>
      <w:bCs/>
      <w:sz w:val="24"/>
      <w:lang w:val="en-GB"/>
    </w:rPr>
  </w:style>
  <w:style w:type="character" w:customStyle="1" w:styleId="Heading2Char">
    <w:name w:val="Heading 2 Char"/>
    <w:basedOn w:val="DefaultParagraphFont"/>
    <w:link w:val="Heading2"/>
    <w:rsid w:val="00081B7B"/>
    <w:rPr>
      <w:rFonts w:ascii="Arial" w:eastAsia="PMingLiU" w:hAnsi="Arial" w:cs="Arial"/>
      <w:b/>
      <w:bCs/>
      <w:i/>
      <w:iCs/>
      <w:sz w:val="28"/>
      <w:szCs w:val="28"/>
      <w:lang w:eastAsia="en-US"/>
    </w:rPr>
  </w:style>
  <w:style w:type="character" w:customStyle="1" w:styleId="Heading3Char">
    <w:name w:val="Heading 3 Char"/>
    <w:basedOn w:val="DefaultParagraphFont"/>
    <w:link w:val="Heading3"/>
    <w:rsid w:val="00081B7B"/>
    <w:rPr>
      <w:rFonts w:ascii="Arial" w:eastAsia="PMingLiU" w:hAnsi="Arial" w:cs="Arial"/>
      <w:b/>
      <w:bCs/>
      <w:sz w:val="26"/>
      <w:szCs w:val="26"/>
      <w:lang w:eastAsia="en-US"/>
    </w:rPr>
  </w:style>
  <w:style w:type="character" w:customStyle="1" w:styleId="Heading5Char">
    <w:name w:val="Heading 5 Char"/>
    <w:basedOn w:val="DefaultParagraphFont"/>
    <w:link w:val="Heading5"/>
    <w:rsid w:val="00081B7B"/>
    <w:rPr>
      <w:rFonts w:ascii="Times New Roman" w:eastAsia="PMingLiU" w:hAnsi="Times New Roman" w:cs="Times New Roman"/>
      <w:i/>
      <w:sz w:val="24"/>
      <w:szCs w:val="20"/>
      <w:u w:val="single"/>
      <w:lang w:val="en-GB" w:eastAsia="en-US"/>
    </w:rPr>
  </w:style>
  <w:style w:type="paragraph" w:styleId="Index1">
    <w:name w:val="index 1"/>
    <w:basedOn w:val="Normal"/>
    <w:next w:val="Normal"/>
    <w:autoRedefine/>
    <w:semiHidden/>
    <w:rsid w:val="00081B7B"/>
    <w:pPr>
      <w:ind w:left="200" w:hanging="200"/>
    </w:pPr>
    <w:rPr>
      <w:rFonts w:cs="Arial"/>
    </w:rPr>
  </w:style>
  <w:style w:type="paragraph" w:styleId="IndexHeading">
    <w:name w:val="index heading"/>
    <w:basedOn w:val="Normal"/>
    <w:next w:val="Index1"/>
    <w:semiHidden/>
    <w:rsid w:val="00081B7B"/>
    <w:rPr>
      <w:rFonts w:eastAsia="Times New Roman"/>
      <w:sz w:val="24"/>
      <w:lang w:val="en-GB"/>
    </w:rPr>
  </w:style>
  <w:style w:type="character" w:styleId="PageNumber">
    <w:name w:val="page number"/>
    <w:basedOn w:val="DefaultParagraphFont"/>
    <w:rsid w:val="00081B7B"/>
  </w:style>
  <w:style w:type="table" w:styleId="TableClassic1">
    <w:name w:val="Table Classic 1"/>
    <w:basedOn w:val="TableNormal"/>
    <w:rsid w:val="00081B7B"/>
    <w:pPr>
      <w:spacing w:after="0" w:line="240" w:lineRule="auto"/>
    </w:pPr>
    <w:rPr>
      <w:rFonts w:ascii="Times New Roman" w:hAnsi="Times New Roman" w:cs="Times New Roman"/>
      <w:sz w:val="20"/>
      <w:szCs w:val="20"/>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Grid">
    <w:name w:val="Table Grid"/>
    <w:basedOn w:val="TableNormal"/>
    <w:rsid w:val="00081B7B"/>
    <w:pPr>
      <w:widowControl w:val="0"/>
      <w:spacing w:after="0" w:line="240" w:lineRule="auto"/>
    </w:pPr>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semiHidden/>
    <w:rsid w:val="00081B7B"/>
    <w:pPr>
      <w:ind w:left="480" w:hanging="480"/>
    </w:pPr>
    <w:rPr>
      <w:smallCaps/>
      <w:sz w:val="24"/>
      <w:szCs w:val="24"/>
      <w:lang w:val="en-GB"/>
    </w:rPr>
  </w:style>
  <w:style w:type="paragraph" w:customStyle="1" w:styleId="BodyText1">
    <w:name w:val="Body Text1"/>
    <w:basedOn w:val="Normal"/>
    <w:rsid w:val="0011284D"/>
    <w:pPr>
      <w:tabs>
        <w:tab w:val="left" w:pos="360"/>
      </w:tabs>
      <w:spacing w:before="200"/>
    </w:pPr>
    <w:rPr>
      <w:rFonts w:ascii="Times" w:hAnsi="Times"/>
      <w:snapToGrid w:val="0"/>
      <w:sz w:val="24"/>
      <w:lang w:val="en-GB"/>
    </w:rPr>
  </w:style>
  <w:style w:type="paragraph" w:customStyle="1" w:styleId="figureno">
    <w:name w:val="figure no"/>
    <w:basedOn w:val="Normal"/>
    <w:rsid w:val="0011284D"/>
    <w:pPr>
      <w:jc w:val="center"/>
    </w:pPr>
    <w:rPr>
      <w:rFonts w:ascii="Times" w:hAnsi="Times"/>
      <w:b/>
      <w:snapToGrid w:val="0"/>
      <w:sz w:val="22"/>
      <w:lang w:val="en-GB"/>
    </w:rPr>
  </w:style>
  <w:style w:type="paragraph" w:customStyle="1" w:styleId="figurecaption">
    <w:name w:val="figure(caption)"/>
    <w:basedOn w:val="figureno"/>
    <w:rsid w:val="0011284D"/>
    <w:rPr>
      <w:b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2</Pages>
  <Words>607</Words>
  <Characters>3463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Chan</cp:lastModifiedBy>
  <cp:revision>7</cp:revision>
  <cp:lastPrinted>2012-02-23T09:49:00Z</cp:lastPrinted>
  <dcterms:created xsi:type="dcterms:W3CDTF">2014-10-23T05:55:00Z</dcterms:created>
  <dcterms:modified xsi:type="dcterms:W3CDTF">2019-02-12T06:36:00Z</dcterms:modified>
</cp:coreProperties>
</file>