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201401" w14:textId="77777777" w:rsidR="00925060" w:rsidRPr="001551C6" w:rsidRDefault="00A23B74" w:rsidP="00925060">
      <w:pPr>
        <w:rPr>
          <w:sz w:val="28"/>
          <w:szCs w:val="28"/>
        </w:rPr>
      </w:pPr>
      <w:r w:rsidRPr="001551C6">
        <w:rPr>
          <w:b/>
          <w:sz w:val="28"/>
          <w:szCs w:val="28"/>
          <w:u w:val="single"/>
        </w:rPr>
        <w:t>The emergence of political cooperation and coalition government during the First World War in Britain was the inevitable consequence of fighting “total war</w:t>
      </w:r>
      <w:r w:rsidRPr="001551C6">
        <w:rPr>
          <w:sz w:val="28"/>
          <w:szCs w:val="28"/>
        </w:rPr>
        <w:t xml:space="preserve">”. </w:t>
      </w:r>
      <w:r w:rsidRPr="001551C6">
        <w:rPr>
          <w:b/>
          <w:sz w:val="28"/>
          <w:szCs w:val="28"/>
          <w:u w:val="single"/>
        </w:rPr>
        <w:t>Discuss</w:t>
      </w:r>
    </w:p>
    <w:p w14:paraId="46AC0D6E" w14:textId="572EE45A" w:rsidR="00925060" w:rsidRDefault="00A23B74" w:rsidP="005E31A6">
      <w:r>
        <w:t xml:space="preserve">On the very day that Britain declared war on Germany, Lloyd George, then Chancellor of the Exchequer, had a conference with Representatives of Bankers and Traders in which he </w:t>
      </w:r>
      <w:r>
        <w:rPr>
          <w:rStyle w:val="EndnoteReference"/>
        </w:rPr>
        <w:endnoteReference w:id="1"/>
      </w:r>
      <w:r>
        <w:t xml:space="preserve">reassured them that the Government had acted "to enable the traders of this country to carry on business as </w:t>
      </w:r>
      <w:r w:rsidRPr="009B561B">
        <w:t>usual” (</w:t>
      </w:r>
      <w:proofErr w:type="spellStart"/>
      <w:r w:rsidR="009B561B" w:rsidRPr="009B561B">
        <w:t>Deis</w:t>
      </w:r>
      <w:proofErr w:type="spellEnd"/>
      <w:r w:rsidR="009B561B" w:rsidRPr="009B561B">
        <w:t>, 2015</w:t>
      </w:r>
      <w:r w:rsidRPr="009B561B">
        <w:t>). The</w:t>
      </w:r>
      <w:r>
        <w:t xml:space="preserve"> phrase was seized upon by newspapers, reiterated by Winston Churchill and came to represent Britain's initial approach to the war. By May 1915, the Liberal Government had been replaced by the Asquith Coalition, which gave way to the Lloyd George Coalition of December 1916. In doing</w:t>
      </w:r>
      <w:r w:rsidR="003D220F">
        <w:t xml:space="preserve"> so</w:t>
      </w:r>
      <w:r>
        <w:t>, Britain had moved from a cabinet government to a prime ministerial government dedicated to the full mobilisation of the economy. Scally wrote that the Lloyd George Coalition "was, first of all, a war government, deriving its sanction and most of the public support for its executive powers from the commitment to an all-out war effort and unconditional victory</w:t>
      </w:r>
      <w:r w:rsidRPr="005E31A6">
        <w:t>" (Scally, 2015, p</w:t>
      </w:r>
      <w:r w:rsidR="005E31A6" w:rsidRPr="005E31A6">
        <w:t xml:space="preserve">. </w:t>
      </w:r>
      <w:r w:rsidRPr="005E31A6">
        <w:t>306)</w:t>
      </w:r>
      <w:r w:rsidR="005E31A6" w:rsidRPr="005E31A6">
        <w:t xml:space="preserve">. </w:t>
      </w:r>
      <w:r w:rsidRPr="005E31A6">
        <w:t>The</w:t>
      </w:r>
      <w:r>
        <w:t xml:space="preserve"> route taken between the two forms of Government is littered with as many theories as there are undiscovered shells on the Western Front.</w:t>
      </w:r>
    </w:p>
    <w:p w14:paraId="518C0F1A" w14:textId="0B56730A" w:rsidR="00925060" w:rsidRDefault="00A23B74" w:rsidP="00925060">
      <w:r w:rsidRPr="00954D35">
        <w:t xml:space="preserve">Two concepts </w:t>
      </w:r>
      <w:proofErr w:type="gramStart"/>
      <w:r w:rsidRPr="00954D35">
        <w:t>have to</w:t>
      </w:r>
      <w:proofErr w:type="gramEnd"/>
      <w:r w:rsidRPr="00954D35">
        <w:t xml:space="preserve"> be treated with caution: inevitability</w:t>
      </w:r>
      <w:r w:rsidRPr="00A0760A">
        <w:t xml:space="preserve"> </w:t>
      </w:r>
      <w:r>
        <w:t>and total war. Historical inevitability is a dangerous term because it invites philosophers to enter the debate. However, some terms of reference they provide are useful. Stack argued that “What is implicit in such uses of the term “inevitable” is the notion that a causal sequence “made” a specific event inevitable</w:t>
      </w:r>
      <w:r w:rsidRPr="0049748C">
        <w:t>” (Stack, 1973, p.</w:t>
      </w:r>
      <w:r w:rsidR="0049748C" w:rsidRPr="0049748C">
        <w:t xml:space="preserve"> </w:t>
      </w:r>
      <w:r w:rsidRPr="0049748C">
        <w:t>8)</w:t>
      </w:r>
      <w:r w:rsidR="0049748C" w:rsidRPr="0049748C">
        <w:t>.</w:t>
      </w:r>
      <w:r w:rsidRPr="0049748C">
        <w:t xml:space="preserve"> An</w:t>
      </w:r>
      <w:r>
        <w:t xml:space="preserve"> event, therefore, "had to happen or was necessary given the known</w:t>
      </w:r>
      <w:r w:rsidR="003D220F">
        <w:t xml:space="preserve"> </w:t>
      </w:r>
      <w:r>
        <w:t xml:space="preserve">(or retrospectively knowable) sequence of events" </w:t>
      </w:r>
      <w:r w:rsidRPr="0049748C">
        <w:t>(Stack, 1973, p.</w:t>
      </w:r>
      <w:r w:rsidR="0049748C" w:rsidRPr="0049748C">
        <w:t xml:space="preserve"> </w:t>
      </w:r>
      <w:r w:rsidRPr="0049748C">
        <w:t>9)</w:t>
      </w:r>
      <w:r w:rsidR="0049748C" w:rsidRPr="0049748C">
        <w:t>.</w:t>
      </w:r>
      <w:r w:rsidR="0049748C">
        <w:t xml:space="preserve"> </w:t>
      </w:r>
      <w:r>
        <w:t xml:space="preserve">An inevitable event, it therefore follows, is one that nobody can </w:t>
      </w:r>
      <w:r w:rsidRPr="0049748C">
        <w:t>prevent (Stack, 1973, p.</w:t>
      </w:r>
      <w:r w:rsidR="0049748C" w:rsidRPr="0049748C">
        <w:t xml:space="preserve"> </w:t>
      </w:r>
      <w:r w:rsidRPr="0049748C">
        <w:t>10).</w:t>
      </w:r>
      <w:r>
        <w:t xml:space="preserve"> </w:t>
      </w:r>
    </w:p>
    <w:p w14:paraId="052C2B18" w14:textId="353594B6" w:rsidR="00925060" w:rsidRDefault="00A23B74" w:rsidP="00941497">
      <w:r w:rsidRPr="00954D35">
        <w:t>Total war is</w:t>
      </w:r>
      <w:r>
        <w:t xml:space="preserve"> a concept that has attracted a multitude of definitions. The phrase is often attributed to Von Clausewitz</w:t>
      </w:r>
      <w:r w:rsidR="003D220F">
        <w:t>, who</w:t>
      </w:r>
      <w:r>
        <w:t xml:space="preserve"> never actually used that term but instead wrote of absolute force. His statement that “The measure of this absolute force is determined by the government</w:t>
      </w:r>
      <w:r w:rsidRPr="00941497">
        <w:t xml:space="preserve">” (Clausewitz, </w:t>
      </w:r>
      <w:r w:rsidR="006C412A" w:rsidRPr="00941497">
        <w:t xml:space="preserve">2010, </w:t>
      </w:r>
      <w:r w:rsidRPr="00941497">
        <w:t>p.</w:t>
      </w:r>
      <w:r w:rsidR="00941497" w:rsidRPr="00941497">
        <w:t xml:space="preserve"> </w:t>
      </w:r>
      <w:r w:rsidRPr="00941497">
        <w:t>196)</w:t>
      </w:r>
      <w:r>
        <w:t xml:space="preserve"> implies state direction but only in a very limited sense. Total war has been in existence almost since the advent of conflict. From the destruction of Carthage in the Third Punic War to the Mutually Assured Destruction of the nuclear age, it has evolved with the capabilities of technology. Marwick wrote that "Total war is not one all-encompassing phenomenon". He illustrated the point with the example of the Vietnam War, which was total war for the Vietnamese, but not, despite their casualties, for the </w:t>
      </w:r>
      <w:r w:rsidRPr="00941497">
        <w:t>Americans (Marwick, 2006</w:t>
      </w:r>
      <w:r w:rsidR="00180818" w:rsidRPr="00941497">
        <w:t>, p. 4</w:t>
      </w:r>
      <w:r w:rsidRPr="00941497">
        <w:t>)</w:t>
      </w:r>
      <w:r w:rsidR="00180818" w:rsidRPr="00941497">
        <w:t>.</w:t>
      </w:r>
      <w:r w:rsidR="00180818">
        <w:t xml:space="preserve"> </w:t>
      </w:r>
      <w:r>
        <w:t xml:space="preserve">More relevant to the Great War is Deleuze and </w:t>
      </w:r>
      <w:proofErr w:type="spellStart"/>
      <w:r>
        <w:t>Guattari’s</w:t>
      </w:r>
      <w:proofErr w:type="spellEnd"/>
      <w:r>
        <w:t xml:space="preserve"> definition as “not only a war of annihilation but arises when annihilation takes as its centre not only the enemy army, or the enemy State but the entire population and its economy</w:t>
      </w:r>
      <w:r w:rsidRPr="005C53E3">
        <w:t xml:space="preserve">” (Deleuze </w:t>
      </w:r>
      <w:r w:rsidR="005C53E3" w:rsidRPr="005C53E3">
        <w:t>&amp;</w:t>
      </w:r>
      <w:r w:rsidRPr="005C53E3">
        <w:t xml:space="preserve"> Guattari</w:t>
      </w:r>
      <w:r w:rsidR="005C53E3" w:rsidRPr="005C53E3">
        <w:t xml:space="preserve">, </w:t>
      </w:r>
      <w:r w:rsidRPr="005C53E3">
        <w:t>1987</w:t>
      </w:r>
      <w:r w:rsidR="005C53E3" w:rsidRPr="005C53E3">
        <w:t>,</w:t>
      </w:r>
      <w:r w:rsidRPr="005C53E3">
        <w:t xml:space="preserve"> p</w:t>
      </w:r>
      <w:r w:rsidR="005C53E3" w:rsidRPr="005C53E3">
        <w:t xml:space="preserve">. </w:t>
      </w:r>
      <w:r w:rsidRPr="005C53E3">
        <w:t xml:space="preserve">421). </w:t>
      </w:r>
      <w:proofErr w:type="gramStart"/>
      <w:r w:rsidRPr="005C53E3">
        <w:t>For</w:t>
      </w:r>
      <w:r>
        <w:t xml:space="preserve"> the purpose of</w:t>
      </w:r>
      <w:proofErr w:type="gramEnd"/>
      <w:r>
        <w:t xml:space="preserve"> this discussion, total war is, therefore, one that mobilises the entire productive capacity of a state with the singular aim of securing victory over another state.</w:t>
      </w:r>
    </w:p>
    <w:p w14:paraId="0A7DF89C" w14:textId="0F40F80C" w:rsidR="00925060" w:rsidRDefault="00A23B74" w:rsidP="00925060">
      <w:r w:rsidRPr="006E6FF5">
        <w:t>To the modern observer, it</w:t>
      </w:r>
      <w:r>
        <w:t xml:space="preserve"> seems obvious tha</w:t>
      </w:r>
      <w:r w:rsidRPr="00C92DFF">
        <w:t xml:space="preserve">t </w:t>
      </w:r>
      <w:r>
        <w:t xml:space="preserve">in 1914 Britain became involved in a war of attrition and that success depended upon fielding more men and equipment on the Western Front than the Central Powers. Equally axiomatic was that to achieve this, it would be necessary to </w:t>
      </w:r>
      <w:r w:rsidRPr="00C92DFF">
        <w:t>ma</w:t>
      </w:r>
      <w:r>
        <w:t>ximise the military and industrial</w:t>
      </w:r>
      <w:r w:rsidRPr="00C92DFF">
        <w:t xml:space="preserve"> output of the economy and that the </w:t>
      </w:r>
      <w:r w:rsidR="0056539D">
        <w:t>best possible</w:t>
      </w:r>
      <w:r>
        <w:t xml:space="preserve"> means of realising that goal was</w:t>
      </w:r>
      <w:r w:rsidRPr="00C92DFF">
        <w:t xml:space="preserve"> through </w:t>
      </w:r>
      <w:r>
        <w:t xml:space="preserve">efficient </w:t>
      </w:r>
      <w:r w:rsidRPr="00C92DFF">
        <w:t>centralised direction</w:t>
      </w:r>
      <w:r>
        <w:t xml:space="preserve">. This constitutes total war. Turner acknowledged the link between the demands of the War and British political development when he wrote that “the Asquith Coalition was a </w:t>
      </w:r>
      <w:r w:rsidRPr="00F974F5">
        <w:t xml:space="preserve">serious attempt to grapple with the implications of an industrial </w:t>
      </w:r>
      <w:r w:rsidRPr="00D1672D">
        <w:t>war” (Turner,</w:t>
      </w:r>
      <w:r w:rsidR="00D1672D" w:rsidRPr="00D1672D">
        <w:t xml:space="preserve"> 1992,</w:t>
      </w:r>
      <w:r w:rsidRPr="00D1672D">
        <w:t xml:space="preserve"> p.</w:t>
      </w:r>
      <w:r w:rsidR="00D1672D" w:rsidRPr="00D1672D">
        <w:t xml:space="preserve"> </w:t>
      </w:r>
      <w:r w:rsidRPr="00D1672D">
        <w:t>56)</w:t>
      </w:r>
      <w:r w:rsidR="00941497" w:rsidRPr="00D1672D">
        <w:t>.</w:t>
      </w:r>
      <w:r w:rsidRPr="00D1672D">
        <w:t xml:space="preserve"> Ironically, General Kitchener, one of the few to realise those implications, was not a polit</w:t>
      </w:r>
      <w:r w:rsidRPr="00F974F5">
        <w:t xml:space="preserve">ician and had no solutions to </w:t>
      </w:r>
      <w:r w:rsidRPr="00DE1574">
        <w:t>his own questions. However, it might be argued that Kitchener had created a total war economy by accident without the Government's</w:t>
      </w:r>
      <w:r>
        <w:t xml:space="preserve"> realisation. By December 1914, his volunteer army, standing at over a million men, was a "competing strategy" to business as </w:t>
      </w:r>
      <w:r w:rsidRPr="00941497">
        <w:t>usual (French,</w:t>
      </w:r>
      <w:r w:rsidR="00941497" w:rsidRPr="00941497">
        <w:t xml:space="preserve"> 2014,</w:t>
      </w:r>
      <w:r w:rsidRPr="00941497">
        <w:t xml:space="preserve"> p.</w:t>
      </w:r>
      <w:r w:rsidR="00941497" w:rsidRPr="00941497">
        <w:t xml:space="preserve"> </w:t>
      </w:r>
      <w:r w:rsidRPr="00941497">
        <w:t>8)</w:t>
      </w:r>
      <w:r w:rsidR="00941497" w:rsidRPr="00941497">
        <w:t xml:space="preserve">. </w:t>
      </w:r>
      <w:r w:rsidRPr="00941497">
        <w:t>W</w:t>
      </w:r>
      <w:r>
        <w:t xml:space="preserve">ith one-third of British men either employed in war work or serving in the army by early 1915, there was a significant shortage </w:t>
      </w:r>
      <w:r w:rsidRPr="00941497">
        <w:t xml:space="preserve">of labour (French, </w:t>
      </w:r>
      <w:r w:rsidR="00941497" w:rsidRPr="00941497">
        <w:t xml:space="preserve">2014, </w:t>
      </w:r>
      <w:r w:rsidRPr="00941497">
        <w:t>p.</w:t>
      </w:r>
      <w:r w:rsidR="00941497" w:rsidRPr="00941497">
        <w:t xml:space="preserve"> </w:t>
      </w:r>
      <w:r w:rsidRPr="00941497">
        <w:t>8).</w:t>
      </w:r>
      <w:r>
        <w:t xml:space="preserve"> </w:t>
      </w:r>
    </w:p>
    <w:p w14:paraId="1DB737B0" w14:textId="4A789284" w:rsidR="00925060" w:rsidRDefault="00A23B74" w:rsidP="00925060">
      <w:r w:rsidRPr="00DE1574">
        <w:t xml:space="preserve">Whilst the requirements of total war were beginning to emerge, the governmental response was </w:t>
      </w:r>
      <w:proofErr w:type="gramStart"/>
      <w:r w:rsidRPr="00DE1574">
        <w:t>lagging behind</w:t>
      </w:r>
      <w:proofErr w:type="gramEnd"/>
      <w:r w:rsidRPr="00DE1574">
        <w:t xml:space="preserve">. </w:t>
      </w:r>
      <w:proofErr w:type="gramStart"/>
      <w:r w:rsidRPr="00DE1574">
        <w:t>Munitions</w:t>
      </w:r>
      <w:proofErr w:type="gramEnd"/>
      <w:r w:rsidRPr="00DE1574">
        <w:t xml:space="preserve"> purchase was limited to approved suppliers who were over-ambitious in their estimates and were unable to complete </w:t>
      </w:r>
      <w:r w:rsidRPr="00D1672D">
        <w:t xml:space="preserve">orders (Turner, </w:t>
      </w:r>
      <w:r w:rsidR="00D1672D" w:rsidRPr="00D1672D">
        <w:t xml:space="preserve">1992, </w:t>
      </w:r>
      <w:r w:rsidRPr="00D1672D">
        <w:t>p</w:t>
      </w:r>
      <w:r w:rsidR="00D1672D" w:rsidRPr="00D1672D">
        <w:t xml:space="preserve">. </w:t>
      </w:r>
      <w:r w:rsidRPr="00D1672D">
        <w:t>58).</w:t>
      </w:r>
      <w:r w:rsidRPr="00DE1574">
        <w:t xml:space="preserve"> Cassar</w:t>
      </w:r>
      <w:r>
        <w:t xml:space="preserve"> highlighted the role of the press in creating pressure on the Liberal Government over its inability to adapt to total war. He believed that</w:t>
      </w:r>
      <w:r w:rsidRPr="00F91883">
        <w:t xml:space="preserve"> </w:t>
      </w:r>
      <w:r>
        <w:t xml:space="preserve">in </w:t>
      </w:r>
      <w:r w:rsidR="00675FF1">
        <w:t>“</w:t>
      </w:r>
      <w:r>
        <w:t>The Times</w:t>
      </w:r>
      <w:r w:rsidR="00675FF1">
        <w:t>”</w:t>
      </w:r>
      <w:r>
        <w:t xml:space="preserve"> of </w:t>
      </w:r>
      <w:r w:rsidR="00675FF1">
        <w:t xml:space="preserve">14 </w:t>
      </w:r>
      <w:r>
        <w:t>May</w:t>
      </w:r>
      <w:r w:rsidR="00675FF1">
        <w:t xml:space="preserve"> </w:t>
      </w:r>
      <w:r>
        <w:t xml:space="preserve">1915, there was a </w:t>
      </w:r>
      <w:r>
        <w:lastRenderedPageBreak/>
        <w:t xml:space="preserve">critical article about the failure of </w:t>
      </w:r>
      <w:proofErr w:type="gramStart"/>
      <w:r>
        <w:t>the  Aubers</w:t>
      </w:r>
      <w:proofErr w:type="gramEnd"/>
      <w:r>
        <w:t xml:space="preserve"> Ridge offensive, which it said was due to a lack of shells. This article "was of considerable political significance, quite apart from its trenchant criticism of the Asquith government's conduct of the war. It contradicted Asquith's assertion at Newcastle that the supply of ammunition was equal to the army's needs and gave the impression that he was guilty of criminal deception</w:t>
      </w:r>
      <w:r w:rsidRPr="00EE53A7">
        <w:t xml:space="preserve">” (Cassar, </w:t>
      </w:r>
      <w:r w:rsidR="00EE53A7" w:rsidRPr="00EE53A7">
        <w:t xml:space="preserve">1994, </w:t>
      </w:r>
      <w:r w:rsidRPr="00EE53A7">
        <w:t>p.93)</w:t>
      </w:r>
      <w:r w:rsidR="00EE53A7" w:rsidRPr="00EE53A7">
        <w:t xml:space="preserve">. </w:t>
      </w:r>
      <w:r w:rsidRPr="00EE53A7">
        <w:t>Since</w:t>
      </w:r>
      <w:r>
        <w:t xml:space="preserve"> most of the press was in the Unionist camp, failures and shortcomings were likely to be unfavourably presented, creating unwelcome pressure on the Government. </w:t>
      </w:r>
    </w:p>
    <w:p w14:paraId="18E02B90" w14:textId="53991FC3" w:rsidR="00925060" w:rsidRDefault="00A23B74" w:rsidP="00925060">
      <w:r>
        <w:t>Fraser was convinced that a “</w:t>
      </w:r>
      <w:r w:rsidRPr="00731447">
        <w:t>realignment of political opinion was emerging over the issue of what later became known as ‘total war’ and the use of the state as its instrument”</w:t>
      </w:r>
      <w:r w:rsidR="00675FF1">
        <w:t xml:space="preserve"> </w:t>
      </w:r>
      <w:r w:rsidRPr="00D1672D">
        <w:t>(Fraser, 1982, p.</w:t>
      </w:r>
      <w:r w:rsidR="00D1672D" w:rsidRPr="00D1672D">
        <w:t xml:space="preserve"> </w:t>
      </w:r>
      <w:r w:rsidRPr="00D1672D">
        <w:t>7)</w:t>
      </w:r>
      <w:r w:rsidR="00675FF1" w:rsidRPr="00D1672D">
        <w:t>.</w:t>
      </w:r>
      <w:r w:rsidRPr="00731447">
        <w:t xml:space="preserve"> </w:t>
      </w:r>
      <w:r w:rsidR="0056539D">
        <w:t>Also</w:t>
      </w:r>
      <w:r w:rsidRPr="00731447">
        <w:t>, it was the issue of conscription that was crucial</w:t>
      </w:r>
      <w:r>
        <w:t>. In May 1915</w:t>
      </w:r>
      <w:r w:rsidRPr="00180C4B">
        <w:t>, there was a convergence of events symptomatic of the complexity of modern total war. An absence of progress i</w:t>
      </w:r>
      <w:r w:rsidRPr="008028D8">
        <w:t>n Gallipoli and France, Russian retreats, poison gas attacks, zep</w:t>
      </w:r>
      <w:r>
        <w:t>pel</w:t>
      </w:r>
      <w:r w:rsidRPr="008028D8">
        <w:t>in raids and the sinking of the Lusitania all coincided to concentrat</w:t>
      </w:r>
      <w:r>
        <w:t>e and legitimise Britain replicating</w:t>
      </w:r>
      <w:r w:rsidRPr="008028D8">
        <w:t xml:space="preserve"> the German total war ethos. “The unity of national will seemed to transcend the issue of voluntarism versus compulsion”</w:t>
      </w:r>
      <w:r>
        <w:t xml:space="preserve"> </w:t>
      </w:r>
      <w:r w:rsidRPr="00D1672D">
        <w:t>(Fraser, 1982, p.</w:t>
      </w:r>
      <w:r w:rsidR="00D1672D" w:rsidRPr="00D1672D">
        <w:t xml:space="preserve"> </w:t>
      </w:r>
      <w:r w:rsidRPr="00D1672D">
        <w:t>9)</w:t>
      </w:r>
      <w:r w:rsidR="00675FF1" w:rsidRPr="00D1672D">
        <w:t>.</w:t>
      </w:r>
      <w:r w:rsidRPr="00D1672D">
        <w:t xml:space="preserve"> Conscription in isolation would not resolve the country’s problems but instead would ease</w:t>
      </w:r>
      <w:r w:rsidRPr="008028D8">
        <w:t xml:space="preserve"> the path towards the "rationalisation and disciplining of industrial </w:t>
      </w:r>
      <w:proofErr w:type="gramStart"/>
      <w:r w:rsidRPr="00D1672D">
        <w:t>manpower”(</w:t>
      </w:r>
      <w:proofErr w:type="gramEnd"/>
      <w:r w:rsidRPr="00D1672D">
        <w:t>Fraser, 1982, p. 9)</w:t>
      </w:r>
      <w:r w:rsidR="00675FF1" w:rsidRPr="00D1672D">
        <w:t>.</w:t>
      </w:r>
    </w:p>
    <w:p w14:paraId="6AF3F7DF" w14:textId="40C1DC69" w:rsidR="00925060" w:rsidRPr="00250A1D" w:rsidRDefault="00A23B74" w:rsidP="00925060">
      <w:pPr>
        <w:rPr>
          <w:b/>
          <w:u w:val="single"/>
        </w:rPr>
      </w:pPr>
      <w:r>
        <w:t>Total war may have been instrumental in creating the Asquith coalition, but the progress towards economic compulsion was minimal.</w:t>
      </w:r>
      <w:r w:rsidRPr="00C13E2C">
        <w:t xml:space="preserve"> </w:t>
      </w:r>
      <w:r>
        <w:t>“</w:t>
      </w:r>
      <w:r w:rsidRPr="008028D8">
        <w:t>In the short term, the coalition succeeded in enabling the anti-compulsionist Liberals to stave off the demand for national organisation</w:t>
      </w:r>
      <w:r w:rsidRPr="00D1672D">
        <w:t>” (Fraser, 1982, p.23).</w:t>
      </w:r>
      <w:r w:rsidR="00675FF1">
        <w:t xml:space="preserve"> </w:t>
      </w:r>
      <w:r>
        <w:t xml:space="preserve">Was the same </w:t>
      </w:r>
      <w:r w:rsidR="001449CA">
        <w:t>drive</w:t>
      </w:r>
      <w:r>
        <w:t xml:space="preserve"> present in the birth of the Lloyd George Coalition</w:t>
      </w:r>
      <w:r w:rsidRPr="00E766BC">
        <w:t xml:space="preserve">? Fry detected a visible pathway between war and executive change. Highlighting the issues of "diplomacy, strategic policy, civil-military relations, Ireland, conscription, the regulation of economic life," he argued </w:t>
      </w:r>
      <w:proofErr w:type="gramStart"/>
      <w:r w:rsidRPr="00E766BC">
        <w:t>that  "</w:t>
      </w:r>
      <w:proofErr w:type="gramEnd"/>
      <w:r w:rsidRPr="00E766BC">
        <w:t>Debate over them ultimately produced the demand for executive reconstruction and for a renewed commitment to victory in December 1916</w:t>
      </w:r>
      <w:r w:rsidRPr="00941497">
        <w:t>”  (Fry, 1988, p.</w:t>
      </w:r>
      <w:r w:rsidR="00941497" w:rsidRPr="00941497">
        <w:t xml:space="preserve"> </w:t>
      </w:r>
      <w:r w:rsidRPr="00941497">
        <w:t>612)</w:t>
      </w:r>
      <w:r w:rsidR="00941497" w:rsidRPr="00941497">
        <w:t>.</w:t>
      </w:r>
      <w:r w:rsidRPr="00941497">
        <w:t xml:space="preserve"> “</w:t>
      </w:r>
      <w:r>
        <w:t xml:space="preserve">The Liberal War Committee", a collection of Liberal MPs who were staunch advocates of a change to the existing policies on conscription and compulsion, provided a strong pressure group within Asquith's own ranks </w:t>
      </w:r>
      <w:r w:rsidRPr="00EE53A7">
        <w:t>(Morgan</w:t>
      </w:r>
      <w:r w:rsidR="00EE53A7" w:rsidRPr="00EE53A7">
        <w:t>, 2021,</w:t>
      </w:r>
      <w:r w:rsidRPr="00EE53A7">
        <w:t xml:space="preserve"> p</w:t>
      </w:r>
      <w:r w:rsidR="00EE53A7" w:rsidRPr="00EE53A7">
        <w:t xml:space="preserve">. </w:t>
      </w:r>
      <w:r w:rsidRPr="00EE53A7">
        <w:t>10).</w:t>
      </w:r>
      <w:r>
        <w:t xml:space="preserve"> Despite concessions from Asquith, such as the Military Service Acts of 1916, a further sequence of disasters, the Somme, </w:t>
      </w:r>
      <w:proofErr w:type="gramStart"/>
      <w:r>
        <w:t>Jutland</w:t>
      </w:r>
      <w:proofErr w:type="gramEnd"/>
      <w:r>
        <w:t xml:space="preserve"> and the failure of the Salonika expedition, led to a background of </w:t>
      </w:r>
      <w:r w:rsidR="001449CA">
        <w:t>discontent</w:t>
      </w:r>
      <w:r>
        <w:t xml:space="preserve"> in the country as well as the </w:t>
      </w:r>
      <w:r w:rsidRPr="00EE53A7">
        <w:t>Government (Morgan, 2021</w:t>
      </w:r>
      <w:r w:rsidR="00EE53A7" w:rsidRPr="00EE53A7">
        <w:t>,</w:t>
      </w:r>
      <w:r w:rsidRPr="00EE53A7">
        <w:t xml:space="preserve"> p</w:t>
      </w:r>
      <w:r w:rsidR="00EE53A7" w:rsidRPr="00EE53A7">
        <w:t xml:space="preserve">. </w:t>
      </w:r>
      <w:r w:rsidRPr="00EE53A7">
        <w:t>10).</w:t>
      </w:r>
      <w:r w:rsidR="00675FF1" w:rsidRPr="00EE53A7">
        <w:t xml:space="preserve"> </w:t>
      </w:r>
      <w:r w:rsidRPr="00EE53A7">
        <w:t>Lloyd George himself wrote that “</w:t>
      </w:r>
      <w:r w:rsidRPr="00EE53A7">
        <w:rPr>
          <w:rFonts w:eastAsia="Times New Roman" w:cstheme="minorHAnsi"/>
          <w:lang w:eastAsia="en-GB"/>
        </w:rPr>
        <w:t>The ineffectiveness and irresolution of our leadership in those</w:t>
      </w:r>
      <w:r>
        <w:rPr>
          <w:rFonts w:eastAsia="Times New Roman" w:cstheme="minorHAnsi"/>
          <w:lang w:eastAsia="en-GB"/>
        </w:rPr>
        <w:t xml:space="preserve"> dark weeks bred something of this nightmare </w:t>
      </w:r>
      <w:r w:rsidRPr="00891DDB">
        <w:rPr>
          <w:rFonts w:eastAsia="Times New Roman" w:cstheme="minorHAnsi"/>
          <w:lang w:eastAsia="en-GB"/>
        </w:rPr>
        <w:t>feeling” (George</w:t>
      </w:r>
      <w:r w:rsidR="00891DDB" w:rsidRPr="00891DDB">
        <w:rPr>
          <w:rFonts w:eastAsia="Times New Roman" w:cstheme="minorHAnsi"/>
          <w:lang w:eastAsia="en-GB"/>
        </w:rPr>
        <w:t>, 1933,</w:t>
      </w:r>
      <w:r w:rsidRPr="00891DDB">
        <w:rPr>
          <w:rFonts w:eastAsia="Times New Roman" w:cstheme="minorHAnsi"/>
          <w:lang w:eastAsia="en-GB"/>
        </w:rPr>
        <w:t xml:space="preserve"> p. 973)</w:t>
      </w:r>
      <w:r w:rsidR="00675FF1" w:rsidRPr="00891DDB">
        <w:rPr>
          <w:rFonts w:eastAsia="Times New Roman" w:cstheme="minorHAnsi"/>
          <w:lang w:eastAsia="en-GB"/>
        </w:rPr>
        <w:t>.</w:t>
      </w:r>
    </w:p>
    <w:p w14:paraId="2C790792" w14:textId="052D83F5" w:rsidR="00925060" w:rsidRDefault="00A23B74" w:rsidP="00925060">
      <w:r w:rsidRPr="005D1D97">
        <w:t xml:space="preserve">However, it might be argued that it was not total war </w:t>
      </w:r>
      <w:proofErr w:type="gramStart"/>
      <w:r w:rsidRPr="005D1D97">
        <w:t>in itself that</w:t>
      </w:r>
      <w:proofErr w:type="gramEnd"/>
      <w:r w:rsidRPr="005D1D97">
        <w:t xml:space="preserve"> was responsible for the coalition in Britain but</w:t>
      </w:r>
      <w:r w:rsidRPr="003F716B">
        <w:rPr>
          <w:b/>
        </w:rPr>
        <w:t xml:space="preserve"> </w:t>
      </w:r>
      <w:r w:rsidRPr="005D1D97">
        <w:t>rather the</w:t>
      </w:r>
      <w:r w:rsidRPr="003F716B">
        <w:rPr>
          <w:b/>
        </w:rPr>
        <w:t xml:space="preserve"> </w:t>
      </w:r>
      <w:r w:rsidRPr="00326917">
        <w:t>changing strategic direction and emphasis of</w:t>
      </w:r>
      <w:r>
        <w:t xml:space="preserve"> that total war. French said that the Liberal Party</w:t>
      </w:r>
      <w:proofErr w:type="gramStart"/>
      <w:r>
        <w:t>, in particular, was</w:t>
      </w:r>
      <w:proofErr w:type="gramEnd"/>
      <w:r>
        <w:t xml:space="preserve"> wedded to the concept of fighting a detached war through economic strangulation provided by the Royal Navy and the financial support of our </w:t>
      </w:r>
      <w:r w:rsidRPr="00941497">
        <w:t>allies (French</w:t>
      </w:r>
      <w:r w:rsidR="00941497" w:rsidRPr="00941497">
        <w:t>, 2014,</w:t>
      </w:r>
      <w:r w:rsidRPr="00941497">
        <w:t xml:space="preserve"> p</w:t>
      </w:r>
      <w:r w:rsidR="00941497" w:rsidRPr="00941497">
        <w:t xml:space="preserve">. </w:t>
      </w:r>
      <w:r w:rsidRPr="00941497">
        <w:t>8)</w:t>
      </w:r>
      <w:r w:rsidR="00941497" w:rsidRPr="00941497">
        <w:t>.</w:t>
      </w:r>
      <w:r w:rsidRPr="00941497">
        <w:t xml:space="preserve"> “The</w:t>
      </w:r>
      <w:r>
        <w:t xml:space="preserve"> burden of the argument was that there was simply no point in Britain paying the blood tax of a land war if the navy and the French and Russian armies, equipped with British-made supplies, could win the war alone</w:t>
      </w:r>
      <w:r w:rsidRPr="00941497">
        <w:t>”</w:t>
      </w:r>
      <w:r w:rsidR="00675FF1" w:rsidRPr="00941497">
        <w:t xml:space="preserve"> </w:t>
      </w:r>
      <w:r w:rsidRPr="00941497">
        <w:t>(French</w:t>
      </w:r>
      <w:r w:rsidR="00941497" w:rsidRPr="00941497">
        <w:t>, 2014,</w:t>
      </w:r>
      <w:r w:rsidRPr="00941497">
        <w:t xml:space="preserve"> </w:t>
      </w:r>
      <w:r w:rsidR="00941497" w:rsidRPr="00941497">
        <w:t xml:space="preserve">p. </w:t>
      </w:r>
      <w:r w:rsidRPr="00941497">
        <w:t>8)</w:t>
      </w:r>
      <w:r w:rsidR="00675FF1" w:rsidRPr="00941497">
        <w:t>.</w:t>
      </w:r>
      <w:r w:rsidR="00675FF1">
        <w:t xml:space="preserve"> </w:t>
      </w:r>
      <w:r w:rsidRPr="00326917">
        <w:t>French contested that this form of total war allowed</w:t>
      </w:r>
      <w:r>
        <w:t xml:space="preserve"> the continuation of business as usual upon which the entire laissez-faire philosophy of the Liberal Party was based </w:t>
      </w:r>
      <w:r w:rsidRPr="00941497">
        <w:t>(French</w:t>
      </w:r>
      <w:r w:rsidR="00941497" w:rsidRPr="00941497">
        <w:t>, 2014,</w:t>
      </w:r>
      <w:r w:rsidRPr="00941497">
        <w:t xml:space="preserve"> p.</w:t>
      </w:r>
      <w:r w:rsidR="00941497" w:rsidRPr="00941497">
        <w:t xml:space="preserve"> </w:t>
      </w:r>
      <w:r w:rsidRPr="00941497">
        <w:t>8).</w:t>
      </w:r>
      <w:r w:rsidR="00675FF1" w:rsidRPr="00941497">
        <w:t xml:space="preserve"> </w:t>
      </w:r>
      <w:r w:rsidRPr="00941497">
        <w:t>Unfortunately</w:t>
      </w:r>
      <w:r>
        <w:t xml:space="preserve">, the strategy was not having the desired effect on Germany. There was understandable dissent from </w:t>
      </w:r>
      <w:proofErr w:type="gramStart"/>
      <w:r>
        <w:t>the  French</w:t>
      </w:r>
      <w:proofErr w:type="gramEnd"/>
      <w:r>
        <w:t xml:space="preserve"> and Russians, who resented the idea that they should do all the fighting. "By the Spring of 1915, it was becoming apparent that business as usual was not winning the war</w:t>
      </w:r>
      <w:r w:rsidRPr="00941497">
        <w:t>” (French</w:t>
      </w:r>
      <w:r w:rsidR="00941497" w:rsidRPr="00941497">
        <w:t>, 2014,</w:t>
      </w:r>
      <w:r w:rsidRPr="00941497">
        <w:t xml:space="preserve"> </w:t>
      </w:r>
      <w:r w:rsidR="00941497" w:rsidRPr="00941497">
        <w:t xml:space="preserve">p. </w:t>
      </w:r>
      <w:r w:rsidRPr="00941497">
        <w:t>8).</w:t>
      </w:r>
      <w:r>
        <w:t xml:space="preserve"> What emerged </w:t>
      </w:r>
      <w:proofErr w:type="gramStart"/>
      <w:r>
        <w:t>as a consequence</w:t>
      </w:r>
      <w:proofErr w:type="gramEnd"/>
      <w:r>
        <w:t xml:space="preserve"> was a </w:t>
      </w:r>
      <w:r w:rsidR="006116DD">
        <w:t>fracture</w:t>
      </w:r>
      <w:r>
        <w:t xml:space="preserve"> within the Liberal Government </w:t>
      </w:r>
      <w:r w:rsidR="006116DD">
        <w:t>fronted</w:t>
      </w:r>
      <w:r>
        <w:t xml:space="preserve"> by Lloyd George. He became convinced of the need for a large continental army to gain victory on the Western front. For this to occur, conscription and compulsion of economic activity had to follow. These concepts were supported by Unionists such as Bonar Law and Curzon but viewed with horror by most liberals. H W Massingham commented that "one Germany in Europe was </w:t>
      </w:r>
      <w:r w:rsidRPr="00941497">
        <w:t>sufficient” (Fry</w:t>
      </w:r>
      <w:r w:rsidR="00941497" w:rsidRPr="00941497">
        <w:t xml:space="preserve">, 1988, p. </w:t>
      </w:r>
      <w:r w:rsidRPr="00941497">
        <w:t xml:space="preserve"> 619)</w:t>
      </w:r>
      <w:r w:rsidR="00941497" w:rsidRPr="00941497">
        <w:t>.</w:t>
      </w:r>
      <w:r w:rsidR="00941497">
        <w:t xml:space="preserve"> </w:t>
      </w:r>
      <w:r>
        <w:t>Asquith, Cassar argues, “was cautious at waging all-out war because he wished to preserve, as much as possible, the pre-war social order and its values</w:t>
      </w:r>
      <w:r w:rsidRPr="00EE53A7">
        <w:t xml:space="preserve">” (Cassar, </w:t>
      </w:r>
      <w:r w:rsidR="00EE53A7" w:rsidRPr="00EE53A7">
        <w:t xml:space="preserve">1994, </w:t>
      </w:r>
      <w:r w:rsidRPr="00EE53A7">
        <w:t>p</w:t>
      </w:r>
      <w:r w:rsidR="00EE53A7" w:rsidRPr="00EE53A7">
        <w:t xml:space="preserve">. </w:t>
      </w:r>
      <w:r w:rsidRPr="00EE53A7">
        <w:t>235)</w:t>
      </w:r>
      <w:r w:rsidR="00EE53A7" w:rsidRPr="00EE53A7">
        <w:t>.</w:t>
      </w:r>
      <w:r>
        <w:t xml:space="preserve"> </w:t>
      </w:r>
      <w:r w:rsidRPr="006E3C64">
        <w:t>Whilst acknowledging the importance of total war, there was a fear that its implementation was a road to ruin</w:t>
      </w:r>
      <w:r>
        <w:t>.</w:t>
      </w:r>
      <w:r w:rsidRPr="006E3C64">
        <w:t xml:space="preserve"> “There was concern</w:t>
      </w:r>
      <w:r>
        <w:t xml:space="preserve"> over what was temporarily acceptable in wartime and reversible, and what might prove unpalatable but permanent in the long run" (Fry, 1988 p.609). Asquith sought to delay the process. A sensible intermediate </w:t>
      </w:r>
      <w:r w:rsidR="006116DD">
        <w:t>tool</w:t>
      </w:r>
      <w:r>
        <w:t xml:space="preserve"> was </w:t>
      </w:r>
      <w:r w:rsidR="006116DD">
        <w:t>introduced</w:t>
      </w:r>
      <w:r>
        <w:t xml:space="preserve"> before the advent of the Lloyd George Coalition in the form of the</w:t>
      </w:r>
      <w:r w:rsidRPr="00536C0C">
        <w:t xml:space="preserve"> </w:t>
      </w:r>
      <w:r>
        <w:t xml:space="preserve">War </w:t>
      </w:r>
      <w:r>
        <w:lastRenderedPageBreak/>
        <w:t>Commit</w:t>
      </w:r>
      <w:r w:rsidR="0049748C">
        <w:t>t</w:t>
      </w:r>
      <w:r>
        <w:t xml:space="preserve">ee, "By November 1916, however, it was overburdened by unresolved problems, weighed down by personal differences, and unsure whether it could guide the nation to </w:t>
      </w:r>
      <w:r w:rsidRPr="00941497">
        <w:t>victory”</w:t>
      </w:r>
      <w:r w:rsidR="00675FF1" w:rsidRPr="00941497">
        <w:t xml:space="preserve"> </w:t>
      </w:r>
      <w:r w:rsidRPr="00941497">
        <w:t>(Fry</w:t>
      </w:r>
      <w:r w:rsidR="00941497" w:rsidRPr="00941497">
        <w:t>, 1988,</w:t>
      </w:r>
      <w:r w:rsidRPr="00941497">
        <w:t xml:space="preserve"> p</w:t>
      </w:r>
      <w:r w:rsidR="00941497" w:rsidRPr="00941497">
        <w:t xml:space="preserve">. </w:t>
      </w:r>
      <w:r w:rsidRPr="00941497">
        <w:t>626)</w:t>
      </w:r>
      <w:r w:rsidR="00675FF1" w:rsidRPr="00941497">
        <w:t>.</w:t>
      </w:r>
      <w:r>
        <w:t xml:space="preserve"> </w:t>
      </w:r>
    </w:p>
    <w:p w14:paraId="3A2432B2" w14:textId="4989E736" w:rsidR="00925060" w:rsidRPr="001B7F0C" w:rsidRDefault="00A23B74" w:rsidP="00925060">
      <w:pPr>
        <w:rPr>
          <w:b/>
          <w:u w:val="single"/>
        </w:rPr>
      </w:pPr>
      <w:r>
        <w:t xml:space="preserve">The pressure imposed by the War, necessitating maximum effort from the economy to succeed, certainly placed pressure on the government. However, was this the main reason for the fall of the Liberal and Coalition Governments? Analysis is difficult because, as Cassar wrote, "The historian's task has been complicated by a paucity of records, conflicting accounts and deliberately distorted </w:t>
      </w:r>
      <w:r w:rsidRPr="00EE53A7">
        <w:t>testimony” (Cassar</w:t>
      </w:r>
      <w:r w:rsidR="00EE53A7" w:rsidRPr="00EE53A7">
        <w:t>, 1994,</w:t>
      </w:r>
      <w:r w:rsidRPr="00EE53A7">
        <w:t xml:space="preserve"> p</w:t>
      </w:r>
      <w:r w:rsidR="00EE53A7" w:rsidRPr="00EE53A7">
        <w:t xml:space="preserve">. </w:t>
      </w:r>
      <w:r w:rsidRPr="00EE53A7">
        <w:t>98)</w:t>
      </w:r>
      <w:r w:rsidR="00EE53A7" w:rsidRPr="00EE53A7">
        <w:t>.</w:t>
      </w:r>
      <w:r w:rsidR="00675FF1">
        <w:t xml:space="preserve"> </w:t>
      </w:r>
      <w:r>
        <w:t xml:space="preserve">Determining a political causality for the fall of either Government is severely handicapped by the </w:t>
      </w:r>
      <w:r w:rsidR="00BE6B06">
        <w:t>unusual</w:t>
      </w:r>
      <w:r>
        <w:t xml:space="preserve"> reluctance of the key players to reveal their real motives.</w:t>
      </w:r>
    </w:p>
    <w:p w14:paraId="19B9BB85" w14:textId="7B99CF08" w:rsidR="00925060" w:rsidRPr="00E766BC" w:rsidRDefault="00A23B74" w:rsidP="00925060">
      <w:r>
        <w:t>The establishment of the Asquith Coalition has been interpreted as the exclusive product of political manoeuver. Beaverbrook, for example, dismissed the idea that the Shell scandal was responsible for the first step towards compulsion and direction. "To put the truth boldly, it had nothing to do with the Shell scandal and was produced solely and entirely by the dissensions at the Admiralty between Mr Churchill and Lord Fisher, which culminated in Fisher's resignation</w:t>
      </w:r>
      <w:r w:rsidRPr="00151470">
        <w:t>”</w:t>
      </w:r>
      <w:r w:rsidR="00675FF1" w:rsidRPr="00151470">
        <w:t xml:space="preserve"> </w:t>
      </w:r>
      <w:r w:rsidRPr="00151470">
        <w:t xml:space="preserve">(Beaverbrook, </w:t>
      </w:r>
      <w:proofErr w:type="gramStart"/>
      <w:r w:rsidRPr="00151470">
        <w:t>1928  p.</w:t>
      </w:r>
      <w:proofErr w:type="gramEnd"/>
      <w:r w:rsidR="00151470" w:rsidRPr="00151470">
        <w:t xml:space="preserve"> </w:t>
      </w:r>
      <w:r w:rsidRPr="00151470">
        <w:t>100)</w:t>
      </w:r>
      <w:r w:rsidR="00675FF1" w:rsidRPr="00151470">
        <w:t>.</w:t>
      </w:r>
      <w:r w:rsidRPr="00151470">
        <w:t xml:space="preserve"> A</w:t>
      </w:r>
      <w:r>
        <w:t xml:space="preserve">ccording to Beaverbrook, Asquith was forced into coalition because Bonar Law had threatened a full scale and therefore hostile debate on the matter in Parliament. Pugh was not convinced by this argument. According to him, it was unlikely that a government would fall on the strength of a single adverse debate, especially in wartime and given the disproportionate number of Unionist members away on war </w:t>
      </w:r>
      <w:r w:rsidRPr="00AF7E8B">
        <w:t>duty (Pugh</w:t>
      </w:r>
      <w:r w:rsidR="00D1672D" w:rsidRPr="00AF7E8B">
        <w:t>, 1974,</w:t>
      </w:r>
      <w:r w:rsidRPr="00AF7E8B">
        <w:t xml:space="preserve"> p</w:t>
      </w:r>
      <w:r w:rsidR="00AF7E8B" w:rsidRPr="00AF7E8B">
        <w:t xml:space="preserve">. </w:t>
      </w:r>
      <w:r w:rsidRPr="00AF7E8B">
        <w:t>815).</w:t>
      </w:r>
      <w:r>
        <w:t xml:space="preserve"> Furthermore, Bonar Law is unlikely to have been the initiator of the process. Writing to Balfour, he declared that "there are only two real alternatives open to us: one is to go on as we are doing, without responsibility and with a very limited amount of </w:t>
      </w:r>
      <w:proofErr w:type="gramStart"/>
      <w:r>
        <w:t>criticism..</w:t>
      </w:r>
      <w:proofErr w:type="gramEnd"/>
      <w:r>
        <w:t xml:space="preserve"> or to face coalition. The latter proposal I am certainly against</w:t>
      </w:r>
      <w:r w:rsidRPr="00AF7E8B">
        <w:t>.” (Pugh</w:t>
      </w:r>
      <w:r w:rsidR="00AF7E8B" w:rsidRPr="00AF7E8B">
        <w:t>, 1974,</w:t>
      </w:r>
      <w:r w:rsidRPr="00AF7E8B">
        <w:t xml:space="preserve"> p</w:t>
      </w:r>
      <w:r w:rsidR="00AF7E8B" w:rsidRPr="00AF7E8B">
        <w:t xml:space="preserve">. </w:t>
      </w:r>
      <w:r w:rsidRPr="00AF7E8B">
        <w:t>823).</w:t>
      </w:r>
      <w:r>
        <w:t xml:space="preserve"> Instead, Pugh suggests that it was a deliberate strategy on Asquith's part. The motive was fear of the general election he would be obliged to call between December 1915 and January 1916 due to the 1910 </w:t>
      </w:r>
      <w:r w:rsidRPr="00AF7E8B">
        <w:t>Parliament Act</w:t>
      </w:r>
      <w:r w:rsidR="00675FF1" w:rsidRPr="00AF7E8B">
        <w:t xml:space="preserve"> </w:t>
      </w:r>
      <w:r w:rsidRPr="00AF7E8B">
        <w:t>(Pugh</w:t>
      </w:r>
      <w:r w:rsidR="00AF7E8B" w:rsidRPr="00AF7E8B">
        <w:t>, 1974,</w:t>
      </w:r>
      <w:r w:rsidRPr="00AF7E8B">
        <w:t xml:space="preserve"> p</w:t>
      </w:r>
      <w:r w:rsidR="00AF7E8B" w:rsidRPr="00AF7E8B">
        <w:t xml:space="preserve">. </w:t>
      </w:r>
      <w:r w:rsidRPr="00AF7E8B">
        <w:t>815)</w:t>
      </w:r>
      <w:r w:rsidR="00675FF1" w:rsidRPr="00AF7E8B">
        <w:t>.</w:t>
      </w:r>
      <w:r w:rsidR="00675FF1">
        <w:t xml:space="preserve"> </w:t>
      </w:r>
      <w:r>
        <w:t xml:space="preserve">Apparently, his main concern was a repeat of the 1900 Khaki election where adverse war news would drive the political agenda. The total war pressure provided by the Shell Scandal, together with the Fisher resignation, was used merely as an excuse to initiate the process </w:t>
      </w:r>
      <w:r w:rsidRPr="00AF7E8B">
        <w:t>(Pugh</w:t>
      </w:r>
      <w:r w:rsidR="00AF7E8B" w:rsidRPr="00AF7E8B">
        <w:t>, 1974,</w:t>
      </w:r>
      <w:r w:rsidRPr="00AF7E8B">
        <w:t xml:space="preserve"> p.</w:t>
      </w:r>
      <w:r w:rsidR="00AF7E8B" w:rsidRPr="00AF7E8B">
        <w:t xml:space="preserve"> </w:t>
      </w:r>
      <w:r w:rsidRPr="00AF7E8B">
        <w:t>820)</w:t>
      </w:r>
      <w:r w:rsidR="00A75A29" w:rsidRPr="00AF7E8B">
        <w:t>.</w:t>
      </w:r>
      <w:r w:rsidRPr="00AF7E8B">
        <w:t xml:space="preserve"> </w:t>
      </w:r>
      <w:r w:rsidRPr="00180C4B">
        <w:t xml:space="preserve">Evidence of </w:t>
      </w:r>
      <w:r w:rsidR="00180C4B">
        <w:t>planning</w:t>
      </w:r>
      <w:r w:rsidRPr="00AF7E8B">
        <w:t xml:space="preserve"> </w:t>
      </w:r>
      <w:r w:rsidR="00180C4B">
        <w:t>b</w:t>
      </w:r>
      <w:r w:rsidRPr="00AF7E8B">
        <w:t>y Asquith is revealed in the composition of his coalition. There were so</w:t>
      </w:r>
      <w:r>
        <w:t xml:space="preserve">me minor sacrifices such as Haldane and Churchill, but overall, Asquith had "a strategy of neutralising opposition by absorbing the moderate opposition leaders into offices peripheral to the war effort, while subject to a cabinet still dominated by the liberals" </w:t>
      </w:r>
      <w:r w:rsidRPr="00D1672D">
        <w:t>(Fraser,</w:t>
      </w:r>
      <w:r w:rsidR="00A75A29" w:rsidRPr="00D1672D">
        <w:t xml:space="preserve"> </w:t>
      </w:r>
      <w:r w:rsidRPr="00D1672D">
        <w:t>1982, p</w:t>
      </w:r>
      <w:r w:rsidR="00A75A29" w:rsidRPr="00D1672D">
        <w:t xml:space="preserve">. </w:t>
      </w:r>
      <w:r w:rsidRPr="00D1672D">
        <w:t>22-23).</w:t>
      </w:r>
    </w:p>
    <w:p w14:paraId="055BA387" w14:textId="5859352E" w:rsidR="00925060" w:rsidRPr="006F34EE" w:rsidRDefault="00A23B74" w:rsidP="00925060">
      <w:r>
        <w:t xml:space="preserve">Political aspects can also be seen as the point of origin </w:t>
      </w:r>
      <w:r w:rsidRPr="00326917">
        <w:t>of the Lloyd George Coalition. "Lloyd</w:t>
      </w:r>
      <w:r w:rsidRPr="00FA5710">
        <w:t xml:space="preserve"> George’s succession to the office of Prime minister in December 1916 was far from preordained</w:t>
      </w:r>
      <w:r w:rsidRPr="00D1672D">
        <w:t>” (Morgan</w:t>
      </w:r>
      <w:r w:rsidR="00D1672D" w:rsidRPr="00D1672D">
        <w:t>, 2021,</w:t>
      </w:r>
      <w:r w:rsidRPr="00D1672D">
        <w:t xml:space="preserve"> p</w:t>
      </w:r>
      <w:r w:rsidR="00D1672D" w:rsidRPr="00D1672D">
        <w:t xml:space="preserve">. </w:t>
      </w:r>
      <w:r w:rsidRPr="00D1672D">
        <w:t>10)</w:t>
      </w:r>
      <w:r w:rsidR="00D1672D" w:rsidRPr="00D1672D">
        <w:t>.</w:t>
      </w:r>
      <w:r w:rsidR="00D1672D">
        <w:t xml:space="preserve"> </w:t>
      </w:r>
      <w:r w:rsidRPr="00FA5710">
        <w:t>The cause was political rather than the direct effects of the War. In the end, "Asquith's intransigence made his own departure from office almost inevitable: he left a vacuum that Lloyd George alone could fill</w:t>
      </w:r>
      <w:r w:rsidRPr="00D1672D">
        <w:t>” (Morgan</w:t>
      </w:r>
      <w:r w:rsidR="00D1672D" w:rsidRPr="00D1672D">
        <w:t>, 2021,</w:t>
      </w:r>
      <w:r w:rsidRPr="00D1672D">
        <w:t xml:space="preserve"> p</w:t>
      </w:r>
      <w:r w:rsidR="00D1672D" w:rsidRPr="00D1672D">
        <w:t xml:space="preserve">. </w:t>
      </w:r>
      <w:r w:rsidRPr="00D1672D">
        <w:t>10)</w:t>
      </w:r>
      <w:r w:rsidR="00D1672D" w:rsidRPr="00D1672D">
        <w:t>.</w:t>
      </w:r>
      <w:r w:rsidR="00D1672D">
        <w:t xml:space="preserve"> </w:t>
      </w:r>
      <w:r>
        <w:t xml:space="preserve">Despite the controversies and political struggle surrounding conscription in the Spring and Summer of 1916, the Asquith Coalition may have survived had some military success been achieved on the </w:t>
      </w:r>
      <w:r w:rsidRPr="00A14551">
        <w:t>Somme (Adams</w:t>
      </w:r>
      <w:r w:rsidR="00A14551" w:rsidRPr="00A14551">
        <w:t>, 2013,</w:t>
      </w:r>
      <w:r w:rsidRPr="00A14551">
        <w:t xml:space="preserve"> p</w:t>
      </w:r>
      <w:r w:rsidR="00A14551" w:rsidRPr="00A14551">
        <w:t xml:space="preserve">. </w:t>
      </w:r>
      <w:r w:rsidRPr="00A14551">
        <w:t>271)</w:t>
      </w:r>
      <w:r w:rsidR="00A75A29" w:rsidRPr="00A14551">
        <w:t>.</w:t>
      </w:r>
      <w:r w:rsidR="00A75A29">
        <w:t xml:space="preserve"> </w:t>
      </w:r>
      <w:r>
        <w:t xml:space="preserve">Instead, there was an increased sense of frustration within Parliament and </w:t>
      </w:r>
      <w:proofErr w:type="gramStart"/>
      <w:r>
        <w:t>in particular on</w:t>
      </w:r>
      <w:proofErr w:type="gramEnd"/>
      <w:r>
        <w:t xml:space="preserve"> the part of Lloyd George. As early as January 1916, Lloyd George had expressed his doubts over Asquith's general strategy in a letter to Austen Chamberlain. "We must win even though we win in rags. The notion of keeping up our trade as if there were no war is fatal</w:t>
      </w:r>
      <w:r w:rsidRPr="00D1672D">
        <w:t>” (Fry</w:t>
      </w:r>
      <w:r w:rsidR="00D1672D" w:rsidRPr="00D1672D">
        <w:t>, 1988,</w:t>
      </w:r>
      <w:r w:rsidRPr="00D1672D">
        <w:t xml:space="preserve"> p</w:t>
      </w:r>
      <w:r w:rsidR="00D1672D" w:rsidRPr="00D1672D">
        <w:t>.</w:t>
      </w:r>
      <w:r w:rsidRPr="00D1672D">
        <w:t xml:space="preserve"> 617)</w:t>
      </w:r>
      <w:r w:rsidR="00A75A29" w:rsidRPr="00D1672D">
        <w:t>.</w:t>
      </w:r>
      <w:r>
        <w:t xml:space="preserve"> The number of committees dedicated to running the war was </w:t>
      </w:r>
      <w:r w:rsidRPr="00180C4B">
        <w:t>inversely proportional</w:t>
      </w:r>
      <w:r>
        <w:t xml:space="preserve"> to the success they achieved. At the heart of the </w:t>
      </w:r>
      <w:r w:rsidR="004D326E">
        <w:t>faltering</w:t>
      </w:r>
      <w:r>
        <w:t xml:space="preserve"> mechanism was the War Committee, which by November 1916 "was overburdened by unresolved problems, weighed down by personal differences and unsure whether it could guide the nation to victory</w:t>
      </w:r>
      <w:r w:rsidRPr="00D1672D">
        <w:t>” (Fry</w:t>
      </w:r>
      <w:r w:rsidR="00D1672D" w:rsidRPr="00D1672D">
        <w:t>, 1988, p.</w:t>
      </w:r>
      <w:r w:rsidRPr="00D1672D">
        <w:t xml:space="preserve"> 626).</w:t>
      </w:r>
      <w:r w:rsidR="00A75A29">
        <w:t xml:space="preserve"> </w:t>
      </w:r>
      <w:r>
        <w:t xml:space="preserve">The disagreement over Lloyd George's proposal to reform the War Committee led to the </w:t>
      </w:r>
      <w:proofErr w:type="gramStart"/>
      <w:r>
        <w:t>final,  complicated</w:t>
      </w:r>
      <w:proofErr w:type="gramEnd"/>
      <w:r>
        <w:t xml:space="preserve"> and conclusive showdown between himself and Asquith as Prime Minister and, in turn, to his fall from power. Asquith clearly sensed the danger of him being "dissociated" with the reduced committee although retaining a veto. He gambled that he was more irreplaceable than Lloyd George without realising that his political capital was largely exhausted. Lord Crewe concluded, "A survey of these quickly succeeding events compels the conclusion that the issue depended more upon a clash of personalities than any basic contradiction of principles</w:t>
      </w:r>
      <w:r w:rsidRPr="00EE53A7">
        <w:t>” (Asquith</w:t>
      </w:r>
      <w:r w:rsidR="00EE53A7" w:rsidRPr="00EE53A7">
        <w:t>, 1928,</w:t>
      </w:r>
      <w:r w:rsidRPr="00EE53A7">
        <w:t xml:space="preserve"> p.</w:t>
      </w:r>
      <w:r w:rsidR="00EE53A7" w:rsidRPr="00EE53A7">
        <w:t xml:space="preserve"> </w:t>
      </w:r>
      <w:r w:rsidRPr="00EE53A7">
        <w:t>135)</w:t>
      </w:r>
      <w:r w:rsidR="00A75A29" w:rsidRPr="00EE53A7">
        <w:t>.</w:t>
      </w:r>
      <w:r>
        <w:t xml:space="preserve"> </w:t>
      </w:r>
    </w:p>
    <w:p w14:paraId="279D2D17" w14:textId="41AEB03C" w:rsidR="00925060" w:rsidRPr="00167812" w:rsidRDefault="00A23B74" w:rsidP="00925060">
      <w:pPr>
        <w:rPr>
          <w:b/>
          <w:u w:val="single"/>
        </w:rPr>
      </w:pPr>
      <w:r w:rsidRPr="00A75A29">
        <w:rPr>
          <w:bCs/>
        </w:rPr>
        <w:lastRenderedPageBreak/>
        <w:t>In political terms</w:t>
      </w:r>
      <w:r>
        <w:t xml:space="preserve">, the first two years of the Great War marked the passing of the last Liberal Government and its succession by two Coalitions. </w:t>
      </w:r>
      <w:proofErr w:type="gramStart"/>
      <w:r>
        <w:t>Both of these</w:t>
      </w:r>
      <w:proofErr w:type="gramEnd"/>
      <w:r>
        <w:t xml:space="preserve"> Coalitions were imperfect in their composition. The significant appointments in the Asquith version were almost entirely Liberal, whilst within the Lloyd George incarnation, they were mostly Unionist. Coalition, of course, does not necessarily imply cooperation. In fact, they are likely to be mutually exclusive. " From the start Asquith's new coalition was plagued by intrigue and dissension</w:t>
      </w:r>
      <w:r w:rsidRPr="00D1672D">
        <w:t>” (Morgan</w:t>
      </w:r>
      <w:r w:rsidR="00D1672D" w:rsidRPr="00D1672D">
        <w:t>,</w:t>
      </w:r>
      <w:r w:rsidRPr="00D1672D">
        <w:t xml:space="preserve"> 2021</w:t>
      </w:r>
      <w:r w:rsidR="00D1672D" w:rsidRPr="00D1672D">
        <w:t>,</w:t>
      </w:r>
      <w:r w:rsidRPr="00D1672D">
        <w:t xml:space="preserve"> p</w:t>
      </w:r>
      <w:r w:rsidR="00D1672D" w:rsidRPr="00D1672D">
        <w:t xml:space="preserve">. </w:t>
      </w:r>
      <w:r w:rsidRPr="00D1672D">
        <w:t>10). Whilst some form of cooperation was restored under Asquith's Opposition; this was more due</w:t>
      </w:r>
      <w:r>
        <w:t xml:space="preserve"> to his patriotic loyalty and lack of purpose. Within the Lloyd George</w:t>
      </w:r>
      <w:r w:rsidR="00BD18F5">
        <w:t xml:space="preserve"> cabinet</w:t>
      </w:r>
      <w:r>
        <w:t xml:space="preserve">, only one voice counted, and that was the Prime Ministers. </w:t>
      </w:r>
      <w:r w:rsidRPr="00167812">
        <w:t>The total war environment within which these three governments had to operate</w:t>
      </w:r>
      <w:r>
        <w:t xml:space="preserve"> created a demand for conscription and industrial direction. An inevitable link between these forces and the advent of coalition is only visible in hindsight. </w:t>
      </w:r>
      <w:r w:rsidRPr="00167812">
        <w:t>For</w:t>
      </w:r>
      <w:r>
        <w:t xml:space="preserve"> inevitability to be proven implies that coalition is something that could not be prevented. Whilst total war created the background for division and reform, it was the realities of politics and the self-interest of politicians that decided when and in what form action was taken. It was, therefore, something that could have been prevented and consequently was not inevitable. The only total war with an inevitable result was th</w:t>
      </w:r>
      <w:r w:rsidR="00BD18F5">
        <w:t>at</w:t>
      </w:r>
      <w:r>
        <w:t xml:space="preserve"> between Lloyd George and Asquith. At some point, one of them would be displaced.</w:t>
      </w:r>
    </w:p>
    <w:p w14:paraId="0DECFA43" w14:textId="7B8E518E" w:rsidR="00925060" w:rsidRPr="00151470" w:rsidRDefault="00A23B74" w:rsidP="00925060">
      <w:pPr>
        <w:rPr>
          <w:i/>
          <w:iCs/>
          <w:color w:val="002060"/>
        </w:rPr>
      </w:pPr>
      <w:r w:rsidRPr="00151470">
        <w:rPr>
          <w:i/>
          <w:iCs/>
          <w:color w:val="002060"/>
        </w:rPr>
        <w:t>(254</w:t>
      </w:r>
      <w:r w:rsidR="00BD18F5">
        <w:rPr>
          <w:i/>
          <w:iCs/>
          <w:color w:val="002060"/>
        </w:rPr>
        <w:t>9</w:t>
      </w:r>
      <w:r w:rsidRPr="00151470">
        <w:rPr>
          <w:i/>
          <w:iCs/>
          <w:color w:val="002060"/>
        </w:rPr>
        <w:t xml:space="preserve"> words excluding title and citations)</w:t>
      </w:r>
    </w:p>
    <w:p w14:paraId="574983AD" w14:textId="77777777" w:rsidR="00925060" w:rsidRPr="00731447" w:rsidRDefault="00925060" w:rsidP="00925060"/>
    <w:p w14:paraId="574F4AA2" w14:textId="77777777" w:rsidR="00925060" w:rsidRPr="00A75A29" w:rsidRDefault="00A23B74" w:rsidP="00925060">
      <w:pPr>
        <w:rPr>
          <w:b/>
          <w:sz w:val="24"/>
          <w:szCs w:val="24"/>
          <w:u w:val="single"/>
        </w:rPr>
      </w:pPr>
      <w:r w:rsidRPr="00A75A29">
        <w:rPr>
          <w:b/>
          <w:sz w:val="24"/>
          <w:szCs w:val="24"/>
          <w:u w:val="single"/>
        </w:rPr>
        <w:t>Bibliography</w:t>
      </w:r>
    </w:p>
    <w:p w14:paraId="17EF0B03" w14:textId="09F9F5F8" w:rsidR="00925060" w:rsidRDefault="00A23B74" w:rsidP="00925060">
      <w:r w:rsidRPr="00A14551">
        <w:t>Adams</w:t>
      </w:r>
      <w:r w:rsidR="00EE53A7" w:rsidRPr="00A14551">
        <w:t>,</w:t>
      </w:r>
      <w:r w:rsidRPr="00A14551">
        <w:t xml:space="preserve"> R</w:t>
      </w:r>
      <w:r w:rsidR="00EE53A7" w:rsidRPr="00A14551">
        <w:t>.</w:t>
      </w:r>
      <w:r w:rsidRPr="00A14551">
        <w:t xml:space="preserve"> J</w:t>
      </w:r>
      <w:r w:rsidR="00EE53A7" w:rsidRPr="00A14551">
        <w:t>.</w:t>
      </w:r>
      <w:r w:rsidRPr="00A14551">
        <w:t xml:space="preserve"> Q</w:t>
      </w:r>
      <w:r w:rsidR="00EE53A7" w:rsidRPr="00A14551">
        <w:t>.</w:t>
      </w:r>
      <w:r w:rsidRPr="00A14551">
        <w:t xml:space="preserve">  </w:t>
      </w:r>
      <w:r w:rsidR="00EE53A7" w:rsidRPr="00A14551">
        <w:t>(</w:t>
      </w:r>
      <w:r w:rsidRPr="00A14551">
        <w:t>2013</w:t>
      </w:r>
      <w:r w:rsidR="00EE53A7" w:rsidRPr="00A14551">
        <w:t xml:space="preserve">). </w:t>
      </w:r>
      <w:r w:rsidRPr="00A14551">
        <w:rPr>
          <w:i/>
          <w:iCs/>
        </w:rPr>
        <w:t>Bonar Law</w:t>
      </w:r>
      <w:r w:rsidR="00EE53A7" w:rsidRPr="00A14551">
        <w:t>.</w:t>
      </w:r>
      <w:r w:rsidRPr="00A14551">
        <w:t xml:space="preserve"> Thistle Publishing</w:t>
      </w:r>
      <w:r w:rsidR="00A14551" w:rsidRPr="00A14551">
        <w:t>, London.</w:t>
      </w:r>
    </w:p>
    <w:p w14:paraId="0D831E28" w14:textId="77777777" w:rsidR="00A75A29" w:rsidRPr="00CD70AF" w:rsidRDefault="00A23B74" w:rsidP="00A75A29">
      <w:r>
        <w:t xml:space="preserve">Asquith, H. H. (1928). </w:t>
      </w:r>
      <w:r w:rsidRPr="00420500">
        <w:rPr>
          <w:i/>
          <w:iCs/>
        </w:rPr>
        <w:t xml:space="preserve">Memories And </w:t>
      </w:r>
      <w:r>
        <w:rPr>
          <w:i/>
          <w:iCs/>
        </w:rPr>
        <w:t>r</w:t>
      </w:r>
      <w:r w:rsidRPr="00420500">
        <w:rPr>
          <w:i/>
          <w:iCs/>
        </w:rPr>
        <w:t>eflections</w:t>
      </w:r>
      <w:r>
        <w:t xml:space="preserve">, </w:t>
      </w:r>
      <w:r w:rsidRPr="00CD70AF">
        <w:rPr>
          <w:i/>
          <w:iCs/>
        </w:rPr>
        <w:t>1852-1927</w:t>
      </w:r>
      <w:r>
        <w:rPr>
          <w:i/>
          <w:iCs/>
        </w:rPr>
        <w:t>,</w:t>
      </w:r>
      <w:r w:rsidRPr="00CD70AF">
        <w:rPr>
          <w:i/>
          <w:iCs/>
        </w:rPr>
        <w:t xml:space="preserve"> </w:t>
      </w:r>
      <w:r>
        <w:rPr>
          <w:i/>
          <w:iCs/>
        </w:rPr>
        <w:t>v</w:t>
      </w:r>
      <w:r w:rsidRPr="00CD70AF">
        <w:rPr>
          <w:i/>
          <w:iCs/>
        </w:rPr>
        <w:t>ol</w:t>
      </w:r>
      <w:r>
        <w:rPr>
          <w:i/>
          <w:iCs/>
        </w:rPr>
        <w:t xml:space="preserve">ume </w:t>
      </w:r>
      <w:r w:rsidRPr="00CD70AF">
        <w:rPr>
          <w:i/>
          <w:iCs/>
        </w:rPr>
        <w:t>2</w:t>
      </w:r>
      <w:r>
        <w:rPr>
          <w:i/>
          <w:iCs/>
        </w:rPr>
        <w:t>.</w:t>
      </w:r>
      <w:r>
        <w:t xml:space="preserve"> Cassel &amp; Company.</w:t>
      </w:r>
    </w:p>
    <w:p w14:paraId="5D1140B5" w14:textId="3243F54D" w:rsidR="00925060" w:rsidRPr="00A14551" w:rsidRDefault="00A23B74" w:rsidP="00151470">
      <w:pPr>
        <w:ind w:left="720" w:hanging="720"/>
      </w:pPr>
      <w:r w:rsidRPr="00A14551">
        <w:t>Beaverbrook</w:t>
      </w:r>
      <w:r w:rsidR="00A14551" w:rsidRPr="00A14551">
        <w:t>, Rt</w:t>
      </w:r>
      <w:r w:rsidR="00151470">
        <w:t>.</w:t>
      </w:r>
      <w:r w:rsidR="00A14551" w:rsidRPr="00A14551">
        <w:t xml:space="preserve"> Hon</w:t>
      </w:r>
      <w:r w:rsidR="00151470">
        <w:t>.</w:t>
      </w:r>
      <w:r w:rsidR="00A14551" w:rsidRPr="00A14551">
        <w:t xml:space="preserve"> Lord.</w:t>
      </w:r>
      <w:r w:rsidRPr="00A14551">
        <w:t xml:space="preserve"> (1928)</w:t>
      </w:r>
      <w:r w:rsidR="00A14551" w:rsidRPr="00A14551">
        <w:t>.</w:t>
      </w:r>
      <w:r w:rsidRPr="00A14551">
        <w:t xml:space="preserve"> </w:t>
      </w:r>
      <w:r w:rsidRPr="00A14551">
        <w:rPr>
          <w:i/>
          <w:iCs/>
        </w:rPr>
        <w:t xml:space="preserve">Politicians and the </w:t>
      </w:r>
      <w:r w:rsidR="00A14551" w:rsidRPr="00A14551">
        <w:rPr>
          <w:i/>
          <w:iCs/>
        </w:rPr>
        <w:t>w</w:t>
      </w:r>
      <w:r w:rsidRPr="00A14551">
        <w:rPr>
          <w:i/>
          <w:iCs/>
        </w:rPr>
        <w:t>ar</w:t>
      </w:r>
      <w:r w:rsidR="00A14551" w:rsidRPr="00A14551">
        <w:rPr>
          <w:i/>
          <w:iCs/>
        </w:rPr>
        <w:t xml:space="preserve"> 1914- 1916</w:t>
      </w:r>
      <w:r w:rsidR="00A14551" w:rsidRPr="00A14551">
        <w:t>.</w:t>
      </w:r>
      <w:r w:rsidR="00735D1E">
        <w:t xml:space="preserve"> Doubleday, Doran</w:t>
      </w:r>
      <w:r w:rsidR="00151470">
        <w:t xml:space="preserve"> &amp; Company Inc, Garden City, New York.</w:t>
      </w:r>
    </w:p>
    <w:p w14:paraId="15AF827E" w14:textId="2DA8AA78" w:rsidR="00A26BCF" w:rsidRDefault="00A23B74" w:rsidP="00543C78">
      <w:pPr>
        <w:spacing w:after="0" w:line="240" w:lineRule="auto"/>
      </w:pPr>
      <w:r>
        <w:t xml:space="preserve">Cassar, G. </w:t>
      </w:r>
      <w:proofErr w:type="gramStart"/>
      <w:r>
        <w:t>H .</w:t>
      </w:r>
      <w:proofErr w:type="gramEnd"/>
      <w:r>
        <w:t xml:space="preserve"> (1994). </w:t>
      </w:r>
      <w:r w:rsidRPr="00420500">
        <w:rPr>
          <w:i/>
          <w:iCs/>
        </w:rPr>
        <w:t xml:space="preserve">Asquith as </w:t>
      </w:r>
      <w:r>
        <w:rPr>
          <w:i/>
          <w:iCs/>
        </w:rPr>
        <w:t>w</w:t>
      </w:r>
      <w:r w:rsidRPr="00420500">
        <w:rPr>
          <w:i/>
          <w:iCs/>
        </w:rPr>
        <w:t xml:space="preserve">ar </w:t>
      </w:r>
      <w:r>
        <w:rPr>
          <w:i/>
          <w:iCs/>
        </w:rPr>
        <w:t>l</w:t>
      </w:r>
      <w:r w:rsidRPr="00420500">
        <w:rPr>
          <w:i/>
          <w:iCs/>
        </w:rPr>
        <w:t>eader</w:t>
      </w:r>
      <w:r>
        <w:rPr>
          <w:i/>
          <w:iCs/>
        </w:rPr>
        <w:t xml:space="preserve">. </w:t>
      </w:r>
      <w:r w:rsidRPr="00420500">
        <w:t>(1</w:t>
      </w:r>
      <w:r w:rsidRPr="00420500">
        <w:rPr>
          <w:vertAlign w:val="superscript"/>
        </w:rPr>
        <w:t>st</w:t>
      </w:r>
      <w:r w:rsidRPr="00420500">
        <w:t xml:space="preserve"> ed.).</w:t>
      </w:r>
      <w:r>
        <w:t xml:space="preserve"> Bloomsbury Publishing.</w:t>
      </w:r>
    </w:p>
    <w:p w14:paraId="3AA08440" w14:textId="77777777" w:rsidR="00543C78" w:rsidRDefault="00543C78" w:rsidP="00543C78">
      <w:pPr>
        <w:spacing w:after="0" w:line="240" w:lineRule="auto"/>
      </w:pPr>
    </w:p>
    <w:p w14:paraId="05068FF4" w14:textId="669035DC" w:rsidR="0074364B" w:rsidRDefault="00A23B74" w:rsidP="00543C78">
      <w:pPr>
        <w:spacing w:after="0" w:line="240" w:lineRule="auto"/>
        <w:ind w:left="720" w:hanging="720"/>
        <w:rPr>
          <w:rStyle w:val="Hyperlink"/>
          <w:rFonts w:eastAsia="Times New Roman" w:cstheme="minorHAnsi"/>
          <w:lang w:eastAsia="en-GB"/>
        </w:rPr>
      </w:pPr>
      <w:r w:rsidRPr="0074364B">
        <w:rPr>
          <w:rFonts w:eastAsia="Times New Roman" w:cstheme="minorHAnsi"/>
          <w:lang w:eastAsia="en-GB"/>
        </w:rPr>
        <w:t>Clausewitz, C.</w:t>
      </w:r>
      <w:r w:rsidR="006C412A">
        <w:rPr>
          <w:rFonts w:eastAsia="Times New Roman" w:cstheme="minorHAnsi"/>
          <w:lang w:eastAsia="en-GB"/>
        </w:rPr>
        <w:t xml:space="preserve"> von.  </w:t>
      </w:r>
      <w:r w:rsidRPr="0074364B">
        <w:rPr>
          <w:rFonts w:eastAsia="Times New Roman" w:cstheme="minorHAnsi"/>
          <w:lang w:eastAsia="en-GB"/>
        </w:rPr>
        <w:t xml:space="preserve">(2010). </w:t>
      </w:r>
      <w:r w:rsidRPr="0074364B">
        <w:rPr>
          <w:rFonts w:eastAsia="Times New Roman" w:cstheme="minorHAnsi"/>
          <w:i/>
          <w:iCs/>
          <w:lang w:eastAsia="en-GB"/>
        </w:rPr>
        <w:t>On War - Volume 1</w:t>
      </w:r>
      <w:r w:rsidRPr="0074364B">
        <w:rPr>
          <w:rFonts w:eastAsia="Times New Roman" w:cstheme="minorHAnsi"/>
          <w:lang w:eastAsia="en-GB"/>
        </w:rPr>
        <w:t xml:space="preserve">. Pub One Info. </w:t>
      </w:r>
      <w:hyperlink r:id="rId6" w:history="1">
        <w:r w:rsidRPr="00846208">
          <w:rPr>
            <w:rStyle w:val="Hyperlink"/>
            <w:rFonts w:eastAsia="Times New Roman" w:cstheme="minorHAnsi"/>
            <w:lang w:val="it-IT" w:eastAsia="en-GB"/>
          </w:rPr>
          <w:t>https://www.perlego.com/book/1281536/on-war-volume-1-pdf</w:t>
        </w:r>
      </w:hyperlink>
    </w:p>
    <w:p w14:paraId="456F2EDC" w14:textId="77777777" w:rsidR="009B561B" w:rsidRDefault="009B561B" w:rsidP="00543C78">
      <w:pPr>
        <w:spacing w:after="0" w:line="240" w:lineRule="auto"/>
        <w:ind w:left="720" w:hanging="720"/>
        <w:rPr>
          <w:rStyle w:val="Hyperlink"/>
          <w:rFonts w:eastAsia="Times New Roman" w:cstheme="minorHAnsi"/>
          <w:lang w:eastAsia="en-GB"/>
        </w:rPr>
      </w:pPr>
    </w:p>
    <w:p w14:paraId="1C5140C2" w14:textId="77777777" w:rsidR="009B561B" w:rsidRPr="009B561B" w:rsidRDefault="009B561B" w:rsidP="009B561B">
      <w:pPr>
        <w:ind w:left="720" w:hanging="720"/>
        <w:rPr>
          <w:rFonts w:cstheme="minorHAnsi"/>
          <w:color w:val="000000"/>
          <w:shd w:val="clear" w:color="auto" w:fill="FFFFFF"/>
        </w:rPr>
      </w:pPr>
      <w:proofErr w:type="spellStart"/>
      <w:r w:rsidRPr="009B561B">
        <w:rPr>
          <w:rFonts w:cstheme="minorHAnsi"/>
        </w:rPr>
        <w:t>Deis</w:t>
      </w:r>
      <w:proofErr w:type="spellEnd"/>
      <w:r w:rsidRPr="009B561B">
        <w:rPr>
          <w:rFonts w:cstheme="minorHAnsi"/>
          <w:color w:val="000000"/>
          <w:shd w:val="clear" w:color="auto" w:fill="FFFFFF"/>
        </w:rPr>
        <w:t>, R.  (2015). </w:t>
      </w:r>
      <w:r w:rsidRPr="009B561B">
        <w:rPr>
          <w:rFonts w:cstheme="minorHAnsi"/>
          <w:i/>
          <w:iCs/>
          <w:color w:val="000000"/>
          <w:shd w:val="clear" w:color="auto" w:fill="FFFFFF"/>
        </w:rPr>
        <w:t>“Business as usual”</w:t>
      </w:r>
      <w:r w:rsidRPr="009B561B">
        <w:rPr>
          <w:rFonts w:cstheme="minorHAnsi"/>
          <w:color w:val="000000"/>
          <w:shd w:val="clear" w:color="auto" w:fill="FFFFFF"/>
        </w:rPr>
        <w:t xml:space="preserve">. Thisdayinquotes.com. Available at: </w:t>
      </w:r>
      <w:hyperlink r:id="rId7" w:history="1">
        <w:r w:rsidRPr="003C410E">
          <w:rPr>
            <w:rStyle w:val="Hyperlink"/>
            <w:rFonts w:cstheme="minorHAnsi"/>
            <w:shd w:val="clear" w:color="auto" w:fill="FFFFFF"/>
          </w:rPr>
          <w:t>http://www.thisdayinquotes.com/2009/11/for-churchill-business-as-usual-was.html?m=1</w:t>
        </w:r>
      </w:hyperlink>
      <w:r w:rsidRPr="009B561B">
        <w:rPr>
          <w:rFonts w:cstheme="minorHAnsi"/>
          <w:color w:val="000000"/>
          <w:shd w:val="clear" w:color="auto" w:fill="FFFFFF"/>
        </w:rPr>
        <w:t>&gt;</w:t>
      </w:r>
      <w:r>
        <w:rPr>
          <w:rFonts w:cstheme="minorHAnsi"/>
          <w:color w:val="000000"/>
          <w:shd w:val="clear" w:color="auto" w:fill="FFFFFF"/>
        </w:rPr>
        <w:t xml:space="preserve"> (</w:t>
      </w:r>
      <w:r w:rsidRPr="009B561B">
        <w:rPr>
          <w:rFonts w:cstheme="minorHAnsi"/>
          <w:color w:val="000000"/>
          <w:shd w:val="clear" w:color="auto" w:fill="FFFFFF"/>
        </w:rPr>
        <w:t xml:space="preserve">Accessed </w:t>
      </w:r>
      <w:r>
        <w:rPr>
          <w:rFonts w:cstheme="minorHAnsi"/>
          <w:color w:val="000000"/>
          <w:shd w:val="clear" w:color="auto" w:fill="FFFFFF"/>
        </w:rPr>
        <w:t>23</w:t>
      </w:r>
      <w:r w:rsidRPr="009B561B">
        <w:rPr>
          <w:rFonts w:cstheme="minorHAnsi"/>
          <w:color w:val="000000"/>
          <w:shd w:val="clear" w:color="auto" w:fill="FFFFFF"/>
        </w:rPr>
        <w:t xml:space="preserve"> </w:t>
      </w:r>
      <w:r>
        <w:rPr>
          <w:rFonts w:cstheme="minorHAnsi"/>
          <w:color w:val="000000"/>
          <w:shd w:val="clear" w:color="auto" w:fill="FFFFFF"/>
        </w:rPr>
        <w:t>January</w:t>
      </w:r>
      <w:r w:rsidRPr="009B561B">
        <w:rPr>
          <w:rFonts w:cstheme="minorHAnsi"/>
          <w:color w:val="000000"/>
          <w:shd w:val="clear" w:color="auto" w:fill="FFFFFF"/>
        </w:rPr>
        <w:t xml:space="preserve"> 2022</w:t>
      </w:r>
      <w:r>
        <w:rPr>
          <w:rFonts w:cstheme="minorHAnsi"/>
          <w:color w:val="000000"/>
          <w:shd w:val="clear" w:color="auto" w:fill="FFFFFF"/>
        </w:rPr>
        <w:t>)</w:t>
      </w:r>
      <w:r w:rsidRPr="009B561B">
        <w:rPr>
          <w:rFonts w:cstheme="minorHAnsi"/>
          <w:color w:val="000000"/>
          <w:shd w:val="clear" w:color="auto" w:fill="FFFFFF"/>
        </w:rPr>
        <w:t>.</w:t>
      </w:r>
    </w:p>
    <w:p w14:paraId="6DA7C329" w14:textId="3AFE701B" w:rsidR="00543C78" w:rsidRDefault="00A23B74" w:rsidP="00543C78">
      <w:pPr>
        <w:shd w:val="clear" w:color="auto" w:fill="FFFFFF"/>
        <w:spacing w:after="0" w:line="240" w:lineRule="auto"/>
        <w:ind w:left="720" w:hanging="720"/>
        <w:rPr>
          <w:rFonts w:eastAsia="Times New Roman" w:cstheme="minorHAnsi"/>
          <w:lang w:eastAsia="en-GB"/>
        </w:rPr>
      </w:pPr>
      <w:r w:rsidRPr="00846208">
        <w:rPr>
          <w:lang w:val="it-IT"/>
        </w:rPr>
        <w:t xml:space="preserve">Deleuze, G  &amp; Guattari, F. (1987). </w:t>
      </w:r>
      <w:r w:rsidRPr="00543C78">
        <w:rPr>
          <w:i/>
          <w:iCs/>
        </w:rPr>
        <w:t xml:space="preserve">A thousand </w:t>
      </w:r>
      <w:r w:rsidRPr="00543C78">
        <w:rPr>
          <w:rFonts w:cstheme="minorHAnsi"/>
          <w:i/>
          <w:iCs/>
        </w:rPr>
        <w:t>plateaus,</w:t>
      </w:r>
      <w:r w:rsidR="00151470" w:rsidRPr="00543C78">
        <w:rPr>
          <w:rFonts w:cstheme="minorHAnsi"/>
          <w:i/>
          <w:iCs/>
        </w:rPr>
        <w:t xml:space="preserve"> </w:t>
      </w:r>
      <w:proofErr w:type="gramStart"/>
      <w:r w:rsidR="00151470" w:rsidRPr="00543C78">
        <w:rPr>
          <w:rFonts w:cstheme="minorHAnsi"/>
          <w:i/>
          <w:iCs/>
        </w:rPr>
        <w:t>capitalism</w:t>
      </w:r>
      <w:proofErr w:type="gramEnd"/>
      <w:r w:rsidR="00151470" w:rsidRPr="00543C78">
        <w:rPr>
          <w:rFonts w:cstheme="minorHAnsi"/>
          <w:i/>
          <w:iCs/>
        </w:rPr>
        <w:t xml:space="preserve"> and sch</w:t>
      </w:r>
      <w:r w:rsidRPr="00543C78">
        <w:rPr>
          <w:rFonts w:cstheme="minorHAnsi"/>
          <w:i/>
          <w:iCs/>
        </w:rPr>
        <w:t>izophrenia</w:t>
      </w:r>
      <w:r w:rsidRPr="00543C78">
        <w:rPr>
          <w:rFonts w:cstheme="minorHAnsi"/>
          <w:shd w:val="clear" w:color="auto" w:fill="FFFFFF"/>
        </w:rPr>
        <w:t xml:space="preserve">. </w:t>
      </w:r>
      <w:r w:rsidRPr="00543C78">
        <w:rPr>
          <w:rFonts w:eastAsia="Times New Roman" w:cstheme="minorHAnsi"/>
          <w:lang w:eastAsia="en-GB"/>
        </w:rPr>
        <w:t>University of Minnesota Press, Minneapolis, London.</w:t>
      </w:r>
    </w:p>
    <w:p w14:paraId="4E1F8204" w14:textId="77777777" w:rsidR="00543C78" w:rsidRDefault="00543C78" w:rsidP="00543C78">
      <w:pPr>
        <w:shd w:val="clear" w:color="auto" w:fill="FFFFFF"/>
        <w:spacing w:after="0" w:line="240" w:lineRule="auto"/>
        <w:ind w:left="720" w:hanging="720"/>
        <w:rPr>
          <w:rFonts w:eastAsia="Times New Roman" w:cstheme="minorHAnsi"/>
          <w:lang w:eastAsia="en-GB"/>
        </w:rPr>
      </w:pPr>
    </w:p>
    <w:p w14:paraId="7F61390F" w14:textId="5C66C531" w:rsidR="00180818" w:rsidRDefault="00A23B74" w:rsidP="00543C78">
      <w:pPr>
        <w:shd w:val="clear" w:color="auto" w:fill="FFFFFF"/>
        <w:spacing w:after="0" w:line="240" w:lineRule="auto"/>
        <w:ind w:left="720" w:hanging="720"/>
        <w:rPr>
          <w:rFonts w:eastAsia="Times New Roman" w:cstheme="minorHAnsi"/>
          <w:lang w:eastAsia="en-GB"/>
        </w:rPr>
      </w:pPr>
      <w:r>
        <w:rPr>
          <w:rFonts w:eastAsia="Times New Roman" w:cstheme="minorHAnsi"/>
          <w:lang w:eastAsia="en-GB"/>
        </w:rPr>
        <w:t>Marwick, A.  (2006). Problems &amp; consequences of organising society for Total War. In</w:t>
      </w:r>
      <w:r w:rsidRPr="00180818">
        <w:rPr>
          <w:rFonts w:eastAsia="Times New Roman" w:cstheme="minorHAnsi"/>
          <w:lang w:eastAsia="en-GB"/>
        </w:rPr>
        <w:t xml:space="preserve"> </w:t>
      </w:r>
      <w:r w:rsidRPr="00180818">
        <w:rPr>
          <w:rFonts w:eastAsia="Times New Roman" w:cstheme="minorHAnsi"/>
          <w:i/>
          <w:iCs/>
          <w:lang w:eastAsia="en-GB"/>
        </w:rPr>
        <w:t>Mobilisation for Total War</w:t>
      </w:r>
      <w:r w:rsidRPr="00180818">
        <w:rPr>
          <w:rFonts w:eastAsia="Times New Roman" w:cstheme="minorHAnsi"/>
          <w:lang w:eastAsia="en-GB"/>
        </w:rPr>
        <w:t xml:space="preserve">. Wilfrid Laurier University Press. </w:t>
      </w:r>
    </w:p>
    <w:p w14:paraId="661BA8DE" w14:textId="77777777" w:rsidR="00180818" w:rsidRPr="00180818" w:rsidRDefault="00180818" w:rsidP="00180818">
      <w:pPr>
        <w:spacing w:after="0" w:line="240" w:lineRule="auto"/>
        <w:rPr>
          <w:rFonts w:eastAsia="Times New Roman" w:cstheme="minorHAnsi"/>
          <w:lang w:eastAsia="en-GB"/>
        </w:rPr>
      </w:pPr>
    </w:p>
    <w:p w14:paraId="65C9DD57" w14:textId="100D325E" w:rsidR="00A75A29" w:rsidRDefault="00A23B74" w:rsidP="00A75A29">
      <w:pPr>
        <w:spacing w:after="0" w:line="240" w:lineRule="auto"/>
        <w:ind w:left="720" w:hanging="720"/>
        <w:rPr>
          <w:rStyle w:val="Hyperlink"/>
          <w:rFonts w:eastAsia="Times New Roman" w:cstheme="minorHAnsi"/>
          <w:lang w:eastAsia="en-GB"/>
        </w:rPr>
      </w:pPr>
      <w:r w:rsidRPr="00AB60B0">
        <w:rPr>
          <w:rFonts w:eastAsia="Times New Roman" w:cstheme="minorHAnsi"/>
          <w:lang w:eastAsia="en-GB"/>
        </w:rPr>
        <w:t xml:space="preserve">Fraser, P. (1982). British </w:t>
      </w:r>
      <w:r w:rsidR="00BA32AA">
        <w:rPr>
          <w:rFonts w:eastAsia="Times New Roman" w:cstheme="minorHAnsi"/>
          <w:lang w:eastAsia="en-GB"/>
        </w:rPr>
        <w:t>w</w:t>
      </w:r>
      <w:r w:rsidRPr="00AB60B0">
        <w:rPr>
          <w:rFonts w:eastAsia="Times New Roman" w:cstheme="minorHAnsi"/>
          <w:lang w:eastAsia="en-GB"/>
        </w:rPr>
        <w:t xml:space="preserve">ar </w:t>
      </w:r>
      <w:r w:rsidR="00BA32AA">
        <w:rPr>
          <w:rFonts w:eastAsia="Times New Roman" w:cstheme="minorHAnsi"/>
          <w:lang w:eastAsia="en-GB"/>
        </w:rPr>
        <w:t>p</w:t>
      </w:r>
      <w:r w:rsidRPr="00AB60B0">
        <w:rPr>
          <w:rFonts w:eastAsia="Times New Roman" w:cstheme="minorHAnsi"/>
          <w:lang w:eastAsia="en-GB"/>
        </w:rPr>
        <w:t xml:space="preserve">olicy and the </w:t>
      </w:r>
      <w:r w:rsidR="00BA32AA">
        <w:rPr>
          <w:rFonts w:eastAsia="Times New Roman" w:cstheme="minorHAnsi"/>
          <w:lang w:eastAsia="en-GB"/>
        </w:rPr>
        <w:t>c</w:t>
      </w:r>
      <w:r w:rsidRPr="00AB60B0">
        <w:rPr>
          <w:rFonts w:eastAsia="Times New Roman" w:cstheme="minorHAnsi"/>
          <w:lang w:eastAsia="en-GB"/>
        </w:rPr>
        <w:t xml:space="preserve">risis of </w:t>
      </w:r>
      <w:r w:rsidR="00BA32AA">
        <w:rPr>
          <w:rFonts w:eastAsia="Times New Roman" w:cstheme="minorHAnsi"/>
          <w:lang w:eastAsia="en-GB"/>
        </w:rPr>
        <w:t>l</w:t>
      </w:r>
      <w:r w:rsidRPr="00AB60B0">
        <w:rPr>
          <w:rFonts w:eastAsia="Times New Roman" w:cstheme="minorHAnsi"/>
          <w:lang w:eastAsia="en-GB"/>
        </w:rPr>
        <w:t xml:space="preserve">iberalism in May 1915. </w:t>
      </w:r>
      <w:r w:rsidRPr="00AB60B0">
        <w:rPr>
          <w:rFonts w:eastAsia="Times New Roman" w:cstheme="minorHAnsi"/>
          <w:i/>
          <w:iCs/>
          <w:lang w:eastAsia="en-GB"/>
        </w:rPr>
        <w:t>The Journal of Modern History</w:t>
      </w:r>
      <w:r w:rsidRPr="00AB60B0">
        <w:rPr>
          <w:rFonts w:eastAsia="Times New Roman" w:cstheme="minorHAnsi"/>
          <w:lang w:eastAsia="en-GB"/>
        </w:rPr>
        <w:t xml:space="preserve">, </w:t>
      </w:r>
      <w:r w:rsidRPr="00AB60B0">
        <w:rPr>
          <w:rFonts w:eastAsia="Times New Roman" w:cstheme="minorHAnsi"/>
          <w:i/>
          <w:iCs/>
          <w:lang w:eastAsia="en-GB"/>
        </w:rPr>
        <w:t>54</w:t>
      </w:r>
      <w:r w:rsidRPr="00AB60B0">
        <w:rPr>
          <w:rFonts w:eastAsia="Times New Roman" w:cstheme="minorHAnsi"/>
          <w:lang w:eastAsia="en-GB"/>
        </w:rPr>
        <w:t>(1), 1–26.</w:t>
      </w:r>
      <w:hyperlink r:id="rId8" w:history="1">
        <w:r w:rsidRPr="00AB60B0">
          <w:rPr>
            <w:rStyle w:val="Hyperlink"/>
            <w:rFonts w:eastAsia="Times New Roman" w:cstheme="minorHAnsi"/>
            <w:lang w:eastAsia="en-GB"/>
          </w:rPr>
          <w:t xml:space="preserve"> http://www.jstor.org/stable/1906048</w:t>
        </w:r>
      </w:hyperlink>
    </w:p>
    <w:p w14:paraId="02DD2173" w14:textId="77777777" w:rsidR="00A26BCF" w:rsidRDefault="00A26BCF" w:rsidP="00A75A29">
      <w:pPr>
        <w:spacing w:after="0" w:line="240" w:lineRule="auto"/>
        <w:ind w:left="720" w:hanging="720"/>
        <w:rPr>
          <w:rFonts w:eastAsia="Times New Roman" w:cstheme="minorHAnsi"/>
          <w:lang w:eastAsia="en-GB"/>
        </w:rPr>
      </w:pPr>
    </w:p>
    <w:p w14:paraId="7917EDAE" w14:textId="77777777" w:rsidR="006C412A" w:rsidRDefault="00A23B74" w:rsidP="006C412A">
      <w:pPr>
        <w:ind w:left="720" w:hanging="720"/>
        <w:rPr>
          <w:rFonts w:eastAsia="Times New Roman" w:cstheme="minorHAnsi"/>
          <w:lang w:eastAsia="en-GB"/>
        </w:rPr>
      </w:pPr>
      <w:r w:rsidRPr="006C412A">
        <w:t xml:space="preserve">French, D. (2014). The rise and fall of "business as usual". In </w:t>
      </w:r>
      <w:r w:rsidRPr="009B7174">
        <w:rPr>
          <w:rFonts w:cstheme="minorHAnsi"/>
          <w:i/>
          <w:iCs/>
        </w:rPr>
        <w:t xml:space="preserve">War and the </w:t>
      </w:r>
      <w:r>
        <w:rPr>
          <w:rFonts w:cstheme="minorHAnsi"/>
          <w:i/>
          <w:iCs/>
        </w:rPr>
        <w:t>s</w:t>
      </w:r>
      <w:r w:rsidRPr="009B7174">
        <w:rPr>
          <w:rFonts w:cstheme="minorHAnsi"/>
          <w:i/>
          <w:iCs/>
        </w:rPr>
        <w:t xml:space="preserve">tate </w:t>
      </w:r>
      <w:r w:rsidRPr="009B7174">
        <w:rPr>
          <w:rFonts w:eastAsia="Times New Roman" w:cstheme="minorHAnsi"/>
          <w:i/>
          <w:iCs/>
          <w:lang w:eastAsia="en-GB"/>
        </w:rPr>
        <w:t xml:space="preserve">(RLE </w:t>
      </w:r>
      <w:r>
        <w:rPr>
          <w:rFonts w:eastAsia="Times New Roman" w:cstheme="minorHAnsi"/>
          <w:i/>
          <w:iCs/>
          <w:lang w:eastAsia="en-GB"/>
        </w:rPr>
        <w:t>t</w:t>
      </w:r>
      <w:r w:rsidRPr="009B7174">
        <w:rPr>
          <w:rFonts w:eastAsia="Times New Roman" w:cstheme="minorHAnsi"/>
          <w:i/>
          <w:iCs/>
          <w:lang w:eastAsia="en-GB"/>
        </w:rPr>
        <w:t xml:space="preserve">he First World War) </w:t>
      </w:r>
      <w:r>
        <w:rPr>
          <w:rFonts w:cstheme="minorHAnsi"/>
          <w:i/>
          <w:iCs/>
        </w:rPr>
        <w:t>t</w:t>
      </w:r>
      <w:r w:rsidRPr="009B7174">
        <w:rPr>
          <w:rFonts w:cstheme="minorHAnsi"/>
          <w:i/>
          <w:iCs/>
        </w:rPr>
        <w:t xml:space="preserve">he </w:t>
      </w:r>
      <w:r>
        <w:rPr>
          <w:rFonts w:cstheme="minorHAnsi"/>
          <w:i/>
          <w:iCs/>
        </w:rPr>
        <w:t>t</w:t>
      </w:r>
      <w:r w:rsidRPr="009B7174">
        <w:rPr>
          <w:rFonts w:cstheme="minorHAnsi"/>
          <w:i/>
          <w:iCs/>
        </w:rPr>
        <w:t>ransformation of British Government, 1914-19</w:t>
      </w:r>
      <w:r w:rsidRPr="009B7174">
        <w:rPr>
          <w:rFonts w:cstheme="minorHAnsi"/>
        </w:rPr>
        <w:t xml:space="preserve"> </w:t>
      </w:r>
      <w:proofErr w:type="gramStart"/>
      <w:r w:rsidRPr="009B7174">
        <w:rPr>
          <w:rFonts w:eastAsia="Times New Roman" w:cstheme="minorHAnsi"/>
          <w:lang w:eastAsia="en-GB"/>
        </w:rPr>
        <w:t>(</w:t>
      </w:r>
      <w:r w:rsidRPr="009B7174">
        <w:rPr>
          <w:rFonts w:eastAsia="Times New Roman" w:cstheme="minorHAnsi"/>
          <w:i/>
          <w:iCs/>
          <w:lang w:eastAsia="en-GB"/>
        </w:rPr>
        <w:t xml:space="preserve"> </w:t>
      </w:r>
      <w:r w:rsidRPr="009B7174">
        <w:rPr>
          <w:rFonts w:eastAsia="Times New Roman" w:cstheme="minorHAnsi"/>
          <w:lang w:eastAsia="en-GB"/>
        </w:rPr>
        <w:t>(</w:t>
      </w:r>
      <w:proofErr w:type="gramEnd"/>
      <w:r w:rsidRPr="009B7174">
        <w:rPr>
          <w:rFonts w:eastAsia="Times New Roman" w:cstheme="minorHAnsi"/>
          <w:lang w:eastAsia="en-GB"/>
        </w:rPr>
        <w:t xml:space="preserve">1st ed.). Taylor and Francis. </w:t>
      </w:r>
    </w:p>
    <w:p w14:paraId="7927502C" w14:textId="3863E451" w:rsidR="00A26BCF" w:rsidRDefault="00A23B74" w:rsidP="00A26BCF">
      <w:pPr>
        <w:spacing w:after="0" w:line="240" w:lineRule="auto"/>
        <w:ind w:left="720" w:hanging="720"/>
        <w:rPr>
          <w:rFonts w:eastAsia="Times New Roman" w:cstheme="minorHAnsi"/>
          <w:lang w:eastAsia="en-GB"/>
        </w:rPr>
      </w:pPr>
      <w:r w:rsidRPr="00AB60B0">
        <w:rPr>
          <w:rFonts w:eastAsia="Times New Roman" w:cstheme="minorHAnsi"/>
          <w:lang w:eastAsia="en-GB"/>
        </w:rPr>
        <w:t xml:space="preserve">Fry, M. (1988). Political </w:t>
      </w:r>
      <w:r w:rsidR="00BA32AA">
        <w:rPr>
          <w:rFonts w:eastAsia="Times New Roman" w:cstheme="minorHAnsi"/>
          <w:lang w:eastAsia="en-GB"/>
        </w:rPr>
        <w:t>c</w:t>
      </w:r>
      <w:r w:rsidRPr="00AB60B0">
        <w:rPr>
          <w:rFonts w:eastAsia="Times New Roman" w:cstheme="minorHAnsi"/>
          <w:lang w:eastAsia="en-GB"/>
        </w:rPr>
        <w:t xml:space="preserve">hange in Britain, August 1914 to December 1916: Lloyd George </w:t>
      </w:r>
      <w:r w:rsidR="00BA32AA">
        <w:rPr>
          <w:rFonts w:eastAsia="Times New Roman" w:cstheme="minorHAnsi"/>
          <w:lang w:eastAsia="en-GB"/>
        </w:rPr>
        <w:t>r</w:t>
      </w:r>
      <w:r w:rsidRPr="00AB60B0">
        <w:rPr>
          <w:rFonts w:eastAsia="Times New Roman" w:cstheme="minorHAnsi"/>
          <w:lang w:eastAsia="en-GB"/>
        </w:rPr>
        <w:t xml:space="preserve">eplaces Asquith: The </w:t>
      </w:r>
      <w:r w:rsidR="00BA32AA">
        <w:rPr>
          <w:rFonts w:eastAsia="Times New Roman" w:cstheme="minorHAnsi"/>
          <w:lang w:eastAsia="en-GB"/>
        </w:rPr>
        <w:t>i</w:t>
      </w:r>
      <w:r w:rsidRPr="00AB60B0">
        <w:rPr>
          <w:rFonts w:eastAsia="Times New Roman" w:cstheme="minorHAnsi"/>
          <w:lang w:eastAsia="en-GB"/>
        </w:rPr>
        <w:t xml:space="preserve">ssues </w:t>
      </w:r>
      <w:r w:rsidR="00BA32AA">
        <w:rPr>
          <w:rFonts w:eastAsia="Times New Roman" w:cstheme="minorHAnsi"/>
          <w:lang w:eastAsia="en-GB"/>
        </w:rPr>
        <w:t>u</w:t>
      </w:r>
      <w:r w:rsidRPr="00AB60B0">
        <w:rPr>
          <w:rFonts w:eastAsia="Times New Roman" w:cstheme="minorHAnsi"/>
          <w:lang w:eastAsia="en-GB"/>
        </w:rPr>
        <w:t xml:space="preserve">nderlying the </w:t>
      </w:r>
      <w:r w:rsidR="00BA32AA">
        <w:rPr>
          <w:rFonts w:eastAsia="Times New Roman" w:cstheme="minorHAnsi"/>
          <w:lang w:eastAsia="en-GB"/>
        </w:rPr>
        <w:t>d</w:t>
      </w:r>
      <w:r w:rsidRPr="00AB60B0">
        <w:rPr>
          <w:rFonts w:eastAsia="Times New Roman" w:cstheme="minorHAnsi"/>
          <w:lang w:eastAsia="en-GB"/>
        </w:rPr>
        <w:t xml:space="preserve">rama. </w:t>
      </w:r>
      <w:r w:rsidRPr="00AB60B0">
        <w:rPr>
          <w:rFonts w:eastAsia="Times New Roman" w:cstheme="minorHAnsi"/>
          <w:i/>
          <w:iCs/>
          <w:lang w:eastAsia="en-GB"/>
        </w:rPr>
        <w:t>The Historical Journal</w:t>
      </w:r>
      <w:r w:rsidRPr="00AB60B0">
        <w:rPr>
          <w:rFonts w:eastAsia="Times New Roman" w:cstheme="minorHAnsi"/>
          <w:lang w:eastAsia="en-GB"/>
        </w:rPr>
        <w:t xml:space="preserve">, </w:t>
      </w:r>
      <w:r w:rsidRPr="00AB60B0">
        <w:rPr>
          <w:rFonts w:eastAsia="Times New Roman" w:cstheme="minorHAnsi"/>
          <w:i/>
          <w:iCs/>
          <w:lang w:eastAsia="en-GB"/>
        </w:rPr>
        <w:t>31</w:t>
      </w:r>
      <w:r w:rsidRPr="00AB60B0">
        <w:rPr>
          <w:rFonts w:eastAsia="Times New Roman" w:cstheme="minorHAnsi"/>
          <w:lang w:eastAsia="en-GB"/>
        </w:rPr>
        <w:t xml:space="preserve">(3), 609–627. </w:t>
      </w:r>
      <w:hyperlink r:id="rId9" w:history="1">
        <w:r w:rsidRPr="00AB60B0">
          <w:rPr>
            <w:rStyle w:val="Hyperlink"/>
            <w:rFonts w:eastAsia="Times New Roman" w:cstheme="minorHAnsi"/>
            <w:lang w:eastAsia="en-GB"/>
          </w:rPr>
          <w:t>http://www.jstor.org/stable/2639759</w:t>
        </w:r>
      </w:hyperlink>
    </w:p>
    <w:p w14:paraId="1DA29B9F" w14:textId="77777777" w:rsidR="00A26BCF" w:rsidRPr="00846208" w:rsidRDefault="00A23B74" w:rsidP="00A26BCF">
      <w:pPr>
        <w:spacing w:before="100" w:beforeAutospacing="1" w:after="100" w:afterAutospacing="1" w:line="240" w:lineRule="auto"/>
        <w:rPr>
          <w:rFonts w:eastAsia="Times New Roman" w:cstheme="minorHAnsi"/>
          <w:color w:val="000000"/>
          <w:lang w:val="de-DE" w:eastAsia="en-GB"/>
        </w:rPr>
      </w:pPr>
      <w:r w:rsidRPr="00891DDB">
        <w:rPr>
          <w:rFonts w:eastAsia="Times New Roman" w:cstheme="minorHAnsi"/>
          <w:color w:val="000000"/>
          <w:lang w:eastAsia="en-GB"/>
        </w:rPr>
        <w:t xml:space="preserve">George, D. L. (1933). </w:t>
      </w:r>
      <w:r w:rsidRPr="00891DDB">
        <w:rPr>
          <w:rFonts w:eastAsia="Times New Roman" w:cstheme="minorHAnsi"/>
          <w:i/>
          <w:iCs/>
          <w:color w:val="000000"/>
          <w:lang w:eastAsia="en-GB"/>
        </w:rPr>
        <w:t>War memoirs of David Lloyd George Vol II.</w:t>
      </w:r>
      <w:r w:rsidRPr="00891DDB">
        <w:rPr>
          <w:rFonts w:cstheme="minorHAnsi"/>
          <w:color w:val="43423D"/>
          <w:shd w:val="clear" w:color="auto" w:fill="FFFFFF"/>
        </w:rPr>
        <w:t xml:space="preserve"> </w:t>
      </w:r>
      <w:r w:rsidRPr="00846208">
        <w:rPr>
          <w:rFonts w:cstheme="minorHAnsi"/>
          <w:color w:val="43423D"/>
          <w:shd w:val="clear" w:color="auto" w:fill="FFFFFF"/>
          <w:lang w:val="de-DE"/>
        </w:rPr>
        <w:t>Ivor Nicholson &amp; Watson.</w:t>
      </w:r>
    </w:p>
    <w:p w14:paraId="732C4ED4" w14:textId="4BBA0105" w:rsidR="0054569B" w:rsidRDefault="00A23B74" w:rsidP="00891DDB">
      <w:pPr>
        <w:spacing w:after="0" w:line="240" w:lineRule="auto"/>
        <w:ind w:left="720" w:hanging="720"/>
        <w:rPr>
          <w:rFonts w:eastAsia="Times New Roman" w:cstheme="minorHAnsi"/>
          <w:lang w:eastAsia="en-GB"/>
        </w:rPr>
      </w:pPr>
      <w:r w:rsidRPr="00846208">
        <w:rPr>
          <w:rFonts w:eastAsia="Times New Roman" w:cstheme="minorHAnsi"/>
          <w:lang w:val="de-DE" w:eastAsia="en-GB"/>
        </w:rPr>
        <w:lastRenderedPageBreak/>
        <w:t xml:space="preserve">Morgan, K. (2021). </w:t>
      </w:r>
      <w:r w:rsidRPr="0054569B">
        <w:rPr>
          <w:rFonts w:eastAsia="Times New Roman" w:cstheme="minorHAnsi"/>
          <w:i/>
          <w:iCs/>
          <w:lang w:eastAsia="en-GB"/>
        </w:rPr>
        <w:t xml:space="preserve">The </w:t>
      </w:r>
      <w:r w:rsidR="00BA32AA">
        <w:rPr>
          <w:rFonts w:eastAsia="Times New Roman" w:cstheme="minorHAnsi"/>
          <w:i/>
          <w:iCs/>
          <w:lang w:eastAsia="en-GB"/>
        </w:rPr>
        <w:t>a</w:t>
      </w:r>
      <w:r w:rsidRPr="0054569B">
        <w:rPr>
          <w:rFonts w:eastAsia="Times New Roman" w:cstheme="minorHAnsi"/>
          <w:i/>
          <w:iCs/>
          <w:lang w:eastAsia="en-GB"/>
        </w:rPr>
        <w:t>ge of Lloyd George</w:t>
      </w:r>
      <w:r w:rsidRPr="0054569B">
        <w:rPr>
          <w:rFonts w:eastAsia="Times New Roman" w:cstheme="minorHAnsi"/>
          <w:lang w:eastAsia="en-GB"/>
        </w:rPr>
        <w:t xml:space="preserve"> (1st ed.). Taylor and Francis.</w:t>
      </w:r>
      <w:r>
        <w:rPr>
          <w:rFonts w:eastAsia="Times New Roman" w:cstheme="minorHAnsi"/>
          <w:lang w:eastAsia="en-GB"/>
        </w:rPr>
        <w:t xml:space="preserve"> </w:t>
      </w:r>
      <w:hyperlink r:id="rId10" w:history="1">
        <w:r w:rsidRPr="0054569B">
          <w:rPr>
            <w:rStyle w:val="Hyperlink"/>
            <w:rFonts w:eastAsia="Times New Roman" w:cstheme="minorHAnsi"/>
            <w:lang w:eastAsia="en-GB"/>
          </w:rPr>
          <w:t>https://www.perlego.com/book/2567910/the-age-of-lloyd-george-pdf</w:t>
        </w:r>
      </w:hyperlink>
    </w:p>
    <w:p w14:paraId="18C19495" w14:textId="77777777" w:rsidR="0054569B" w:rsidRPr="0054569B" w:rsidRDefault="0054569B" w:rsidP="0054569B">
      <w:pPr>
        <w:spacing w:after="0" w:line="240" w:lineRule="auto"/>
        <w:rPr>
          <w:rFonts w:eastAsia="Times New Roman" w:cstheme="minorHAnsi"/>
          <w:lang w:eastAsia="en-GB"/>
        </w:rPr>
      </w:pPr>
    </w:p>
    <w:p w14:paraId="0951C2AF" w14:textId="14CFFB40" w:rsidR="005E31A6" w:rsidRDefault="00A23B74" w:rsidP="005E31A6">
      <w:pPr>
        <w:ind w:left="720" w:hanging="720"/>
        <w:rPr>
          <w:rStyle w:val="Hyperlink"/>
        </w:rPr>
      </w:pPr>
      <w:r w:rsidRPr="00715CD8">
        <w:t xml:space="preserve">Pugh, M. (1974). Asquith, Bonar Law and the </w:t>
      </w:r>
      <w:r w:rsidR="00BA32AA">
        <w:t>fi</w:t>
      </w:r>
      <w:r w:rsidRPr="00715CD8">
        <w:t xml:space="preserve">rst </w:t>
      </w:r>
      <w:r w:rsidR="00BA32AA">
        <w:t>c</w:t>
      </w:r>
      <w:r w:rsidRPr="00715CD8">
        <w:t>oalition. </w:t>
      </w:r>
      <w:r w:rsidRPr="00715CD8">
        <w:rPr>
          <w:i/>
          <w:iCs/>
        </w:rPr>
        <w:t>The Historical Journal, 17(4</w:t>
      </w:r>
      <w:r w:rsidRPr="00715CD8">
        <w:t xml:space="preserve">), 813-836. </w:t>
      </w:r>
      <w:hyperlink r:id="rId11" w:history="1">
        <w:r w:rsidRPr="00707A80">
          <w:rPr>
            <w:rStyle w:val="Hyperlink"/>
          </w:rPr>
          <w:t>https://doi:10.1017/S0018246X00007925</w:t>
        </w:r>
      </w:hyperlink>
    </w:p>
    <w:p w14:paraId="500EDA90" w14:textId="39CC01F5" w:rsidR="000B01C8" w:rsidRPr="005E31A6" w:rsidRDefault="00A23B74" w:rsidP="005E31A6">
      <w:pPr>
        <w:ind w:left="720" w:hanging="720"/>
        <w:rPr>
          <w:rFonts w:eastAsia="Times New Roman" w:cstheme="minorHAnsi"/>
          <w:color w:val="0A0A0C"/>
          <w:lang w:eastAsia="en-GB"/>
        </w:rPr>
      </w:pPr>
      <w:r w:rsidRPr="005E31A6">
        <w:rPr>
          <w:rFonts w:cstheme="minorHAnsi"/>
        </w:rPr>
        <w:t>Scally</w:t>
      </w:r>
      <w:r w:rsidR="005E31A6" w:rsidRPr="005E31A6">
        <w:rPr>
          <w:rFonts w:cstheme="minorHAnsi"/>
        </w:rPr>
        <w:t>, R</w:t>
      </w:r>
      <w:r w:rsidR="009B561B">
        <w:rPr>
          <w:rFonts w:cstheme="minorHAnsi"/>
        </w:rPr>
        <w:t>.</w:t>
      </w:r>
      <w:r w:rsidR="005E31A6" w:rsidRPr="005E31A6">
        <w:rPr>
          <w:rFonts w:cstheme="minorHAnsi"/>
        </w:rPr>
        <w:t xml:space="preserve"> J. </w:t>
      </w:r>
      <w:r w:rsidRPr="005E31A6">
        <w:rPr>
          <w:rFonts w:cstheme="minorHAnsi"/>
        </w:rPr>
        <w:t xml:space="preserve"> (2015)</w:t>
      </w:r>
      <w:r w:rsidR="005E31A6" w:rsidRPr="005E31A6">
        <w:rPr>
          <w:rFonts w:cstheme="minorHAnsi"/>
        </w:rPr>
        <w:t>.</w:t>
      </w:r>
      <w:r w:rsidRPr="005E31A6">
        <w:rPr>
          <w:rFonts w:cstheme="minorHAnsi"/>
        </w:rPr>
        <w:t xml:space="preserve"> </w:t>
      </w:r>
      <w:r w:rsidRPr="005E31A6">
        <w:rPr>
          <w:rFonts w:cstheme="minorHAnsi"/>
          <w:i/>
          <w:iCs/>
        </w:rPr>
        <w:t xml:space="preserve">The </w:t>
      </w:r>
      <w:r w:rsidR="005E31A6">
        <w:rPr>
          <w:rFonts w:cstheme="minorHAnsi"/>
          <w:i/>
          <w:iCs/>
        </w:rPr>
        <w:t>o</w:t>
      </w:r>
      <w:r w:rsidRPr="005E31A6">
        <w:rPr>
          <w:rFonts w:cstheme="minorHAnsi"/>
          <w:i/>
          <w:iCs/>
        </w:rPr>
        <w:t xml:space="preserve">rigins of the Lloyd George </w:t>
      </w:r>
      <w:r w:rsidR="005E31A6">
        <w:rPr>
          <w:rFonts w:cstheme="minorHAnsi"/>
          <w:i/>
          <w:iCs/>
        </w:rPr>
        <w:t>c</w:t>
      </w:r>
      <w:r w:rsidRPr="005E31A6">
        <w:rPr>
          <w:rFonts w:cstheme="minorHAnsi"/>
          <w:i/>
          <w:iCs/>
        </w:rPr>
        <w:t>oalition</w:t>
      </w:r>
      <w:r w:rsidR="005E31A6">
        <w:rPr>
          <w:rFonts w:cstheme="minorHAnsi"/>
          <w:i/>
          <w:iCs/>
        </w:rPr>
        <w:t>.</w:t>
      </w:r>
      <w:r w:rsidRPr="005E31A6">
        <w:rPr>
          <w:rFonts w:cstheme="minorHAnsi"/>
          <w:i/>
          <w:iCs/>
        </w:rPr>
        <w:t xml:space="preserve"> </w:t>
      </w:r>
      <w:r w:rsidRPr="005E31A6">
        <w:rPr>
          <w:rFonts w:eastAsia="Times New Roman" w:cstheme="minorHAnsi"/>
          <w:i/>
          <w:iCs/>
          <w:color w:val="0A0A0C"/>
          <w:lang w:eastAsia="en-GB"/>
        </w:rPr>
        <w:t xml:space="preserve">The </w:t>
      </w:r>
      <w:r w:rsidR="005E31A6">
        <w:rPr>
          <w:rFonts w:eastAsia="Times New Roman" w:cstheme="minorHAnsi"/>
          <w:i/>
          <w:iCs/>
          <w:color w:val="0A0A0C"/>
          <w:lang w:eastAsia="en-GB"/>
        </w:rPr>
        <w:t>p</w:t>
      </w:r>
      <w:r w:rsidRPr="005E31A6">
        <w:rPr>
          <w:rFonts w:eastAsia="Times New Roman" w:cstheme="minorHAnsi"/>
          <w:i/>
          <w:iCs/>
          <w:color w:val="0A0A0C"/>
          <w:lang w:eastAsia="en-GB"/>
        </w:rPr>
        <w:t xml:space="preserve">olitics of </w:t>
      </w:r>
      <w:r w:rsidR="005E31A6">
        <w:rPr>
          <w:rFonts w:eastAsia="Times New Roman" w:cstheme="minorHAnsi"/>
          <w:i/>
          <w:iCs/>
          <w:color w:val="0A0A0C"/>
          <w:lang w:eastAsia="en-GB"/>
        </w:rPr>
        <w:t>s</w:t>
      </w:r>
      <w:r w:rsidRPr="005E31A6">
        <w:rPr>
          <w:rFonts w:eastAsia="Times New Roman" w:cstheme="minorHAnsi"/>
          <w:i/>
          <w:iCs/>
          <w:color w:val="0A0A0C"/>
          <w:lang w:eastAsia="en-GB"/>
        </w:rPr>
        <w:t xml:space="preserve">ocial </w:t>
      </w:r>
      <w:r w:rsidR="005E31A6">
        <w:rPr>
          <w:rFonts w:eastAsia="Times New Roman" w:cstheme="minorHAnsi"/>
          <w:i/>
          <w:iCs/>
          <w:color w:val="0A0A0C"/>
          <w:lang w:eastAsia="en-GB"/>
        </w:rPr>
        <w:t>i</w:t>
      </w:r>
      <w:r w:rsidRPr="005E31A6">
        <w:rPr>
          <w:rFonts w:eastAsia="Times New Roman" w:cstheme="minorHAnsi"/>
          <w:i/>
          <w:iCs/>
          <w:color w:val="0A0A0C"/>
          <w:lang w:eastAsia="en-GB"/>
        </w:rPr>
        <w:t>mperialism, 1900-1918</w:t>
      </w:r>
      <w:r w:rsidR="005E31A6">
        <w:rPr>
          <w:rFonts w:eastAsia="Times New Roman" w:cstheme="minorHAnsi"/>
          <w:i/>
          <w:iCs/>
          <w:color w:val="0A0A0C"/>
          <w:lang w:eastAsia="en-GB"/>
        </w:rPr>
        <w:t>.</w:t>
      </w:r>
      <w:r w:rsidR="005E31A6" w:rsidRPr="005E31A6">
        <w:t xml:space="preserve"> </w:t>
      </w:r>
      <w:r w:rsidR="005E31A6">
        <w:t xml:space="preserve">Princetown Legacy Library. </w:t>
      </w:r>
      <w:hyperlink r:id="rId12" w:history="1">
        <w:r w:rsidR="005E31A6" w:rsidRPr="001F4D5D">
          <w:rPr>
            <w:rStyle w:val="Hyperlink"/>
            <w:rFonts w:eastAsia="Times New Roman" w:cstheme="minorHAnsi"/>
            <w:lang w:eastAsia="en-GB"/>
          </w:rPr>
          <w:t>https://doi.org/10.1515/9781400870981</w:t>
        </w:r>
      </w:hyperlink>
    </w:p>
    <w:p w14:paraId="043BDBA6" w14:textId="77022BF4" w:rsidR="0049748C" w:rsidRDefault="00A23B74" w:rsidP="0049748C">
      <w:pPr>
        <w:spacing w:after="0" w:line="240" w:lineRule="auto"/>
        <w:ind w:left="720" w:hanging="720"/>
        <w:rPr>
          <w:rFonts w:eastAsia="Times New Roman" w:cstheme="minorHAnsi"/>
          <w:lang w:eastAsia="en-GB"/>
        </w:rPr>
      </w:pPr>
      <w:r w:rsidRPr="0049748C">
        <w:rPr>
          <w:rFonts w:eastAsia="Times New Roman" w:cstheme="minorHAnsi"/>
          <w:lang w:eastAsia="en-GB"/>
        </w:rPr>
        <w:t>Stack, G. J. (1973). A</w:t>
      </w:r>
      <w:r>
        <w:rPr>
          <w:rFonts w:eastAsia="Times New Roman" w:cstheme="minorHAnsi"/>
          <w:lang w:eastAsia="en-GB"/>
        </w:rPr>
        <w:t>re historical events inevitable</w:t>
      </w:r>
      <w:r w:rsidRPr="0049748C">
        <w:rPr>
          <w:rFonts w:eastAsia="Times New Roman" w:cstheme="minorHAnsi"/>
          <w:lang w:eastAsia="en-GB"/>
        </w:rPr>
        <w:t xml:space="preserve">? </w:t>
      </w:r>
      <w:r w:rsidRPr="0049748C">
        <w:rPr>
          <w:rFonts w:eastAsia="Times New Roman" w:cstheme="minorHAnsi"/>
          <w:i/>
          <w:iCs/>
          <w:lang w:eastAsia="en-GB"/>
        </w:rPr>
        <w:t>Journal of Thought</w:t>
      </w:r>
      <w:r w:rsidRPr="0049748C">
        <w:rPr>
          <w:rFonts w:eastAsia="Times New Roman" w:cstheme="minorHAnsi"/>
          <w:lang w:eastAsia="en-GB"/>
        </w:rPr>
        <w:t xml:space="preserve">, </w:t>
      </w:r>
      <w:r w:rsidRPr="0049748C">
        <w:rPr>
          <w:rFonts w:eastAsia="Times New Roman" w:cstheme="minorHAnsi"/>
          <w:i/>
          <w:iCs/>
          <w:lang w:eastAsia="en-GB"/>
        </w:rPr>
        <w:t>8</w:t>
      </w:r>
      <w:r w:rsidRPr="0049748C">
        <w:rPr>
          <w:rFonts w:eastAsia="Times New Roman" w:cstheme="minorHAnsi"/>
          <w:lang w:eastAsia="en-GB"/>
        </w:rPr>
        <w:t xml:space="preserve">(1), 8–18. </w:t>
      </w:r>
      <w:hyperlink r:id="rId13" w:history="1">
        <w:r w:rsidRPr="0049748C">
          <w:rPr>
            <w:rStyle w:val="Hyperlink"/>
            <w:rFonts w:eastAsia="Times New Roman" w:cstheme="minorHAnsi"/>
            <w:lang w:eastAsia="en-GB"/>
          </w:rPr>
          <w:t>http://www.jstor.org/stable/42588333</w:t>
        </w:r>
      </w:hyperlink>
    </w:p>
    <w:p w14:paraId="5FA73748" w14:textId="77777777" w:rsidR="0049748C" w:rsidRPr="0049748C" w:rsidRDefault="0049748C" w:rsidP="0049748C">
      <w:pPr>
        <w:spacing w:after="0" w:line="240" w:lineRule="auto"/>
        <w:rPr>
          <w:rFonts w:eastAsia="Times New Roman" w:cstheme="minorHAnsi"/>
          <w:lang w:eastAsia="en-GB"/>
        </w:rPr>
      </w:pPr>
    </w:p>
    <w:p w14:paraId="6773008A" w14:textId="78DF89BD" w:rsidR="00A26BCF" w:rsidRDefault="00A23B74" w:rsidP="009B561B">
      <w:pPr>
        <w:ind w:left="720" w:hanging="720"/>
        <w:rPr>
          <w:rStyle w:val="Hyperlink"/>
          <w:rFonts w:eastAsia="Times New Roman" w:cstheme="minorHAnsi"/>
          <w:lang w:eastAsia="en-GB"/>
        </w:rPr>
      </w:pPr>
      <w:r w:rsidRPr="001C5590">
        <w:rPr>
          <w:rFonts w:eastAsia="Times New Roman" w:cstheme="minorHAnsi"/>
          <w:lang w:eastAsia="en-GB"/>
        </w:rPr>
        <w:t>T</w:t>
      </w:r>
      <w:r>
        <w:rPr>
          <w:rFonts w:eastAsia="Times New Roman" w:cstheme="minorHAnsi"/>
          <w:lang w:eastAsia="en-GB"/>
        </w:rPr>
        <w:t>urner</w:t>
      </w:r>
      <w:r w:rsidRPr="001C5590">
        <w:rPr>
          <w:rFonts w:eastAsia="Times New Roman" w:cstheme="minorHAnsi"/>
          <w:lang w:eastAsia="en-GB"/>
        </w:rPr>
        <w:t>, J. (1992). T</w:t>
      </w:r>
      <w:r>
        <w:rPr>
          <w:rFonts w:eastAsia="Times New Roman" w:cstheme="minorHAnsi"/>
          <w:lang w:eastAsia="en-GB"/>
        </w:rPr>
        <w:t xml:space="preserve">he Asquith </w:t>
      </w:r>
      <w:r w:rsidR="00BA32AA">
        <w:rPr>
          <w:rFonts w:eastAsia="Times New Roman" w:cstheme="minorHAnsi"/>
          <w:lang w:eastAsia="en-GB"/>
        </w:rPr>
        <w:t>c</w:t>
      </w:r>
      <w:r>
        <w:rPr>
          <w:rFonts w:eastAsia="Times New Roman" w:cstheme="minorHAnsi"/>
          <w:lang w:eastAsia="en-GB"/>
        </w:rPr>
        <w:t>oalition</w:t>
      </w:r>
      <w:r w:rsidRPr="001C5590">
        <w:rPr>
          <w:rFonts w:eastAsia="Times New Roman" w:cstheme="minorHAnsi"/>
          <w:lang w:eastAsia="en-GB"/>
        </w:rPr>
        <w:t xml:space="preserve">: April 1915 to April 1916. In </w:t>
      </w:r>
      <w:r w:rsidRPr="001C5590">
        <w:rPr>
          <w:rFonts w:eastAsia="Times New Roman" w:cstheme="minorHAnsi"/>
          <w:i/>
          <w:iCs/>
          <w:lang w:eastAsia="en-GB"/>
        </w:rPr>
        <w:t xml:space="preserve">British </w:t>
      </w:r>
      <w:r w:rsidR="00BA32AA">
        <w:rPr>
          <w:rFonts w:eastAsia="Times New Roman" w:cstheme="minorHAnsi"/>
          <w:i/>
          <w:iCs/>
          <w:lang w:eastAsia="en-GB"/>
        </w:rPr>
        <w:t>p</w:t>
      </w:r>
      <w:r w:rsidRPr="001C5590">
        <w:rPr>
          <w:rFonts w:eastAsia="Times New Roman" w:cstheme="minorHAnsi"/>
          <w:i/>
          <w:iCs/>
          <w:lang w:eastAsia="en-GB"/>
        </w:rPr>
        <w:t xml:space="preserve">olitics and the Great War: </w:t>
      </w:r>
      <w:r w:rsidR="00BA32AA">
        <w:rPr>
          <w:rFonts w:eastAsia="Times New Roman" w:cstheme="minorHAnsi"/>
          <w:i/>
          <w:iCs/>
          <w:lang w:eastAsia="en-GB"/>
        </w:rPr>
        <w:t>c</w:t>
      </w:r>
      <w:r w:rsidRPr="001C5590">
        <w:rPr>
          <w:rFonts w:eastAsia="Times New Roman" w:cstheme="minorHAnsi"/>
          <w:i/>
          <w:iCs/>
          <w:lang w:eastAsia="en-GB"/>
        </w:rPr>
        <w:t xml:space="preserve">oalition and </w:t>
      </w:r>
      <w:r w:rsidR="00BA32AA">
        <w:rPr>
          <w:rFonts w:eastAsia="Times New Roman" w:cstheme="minorHAnsi"/>
          <w:i/>
          <w:iCs/>
          <w:lang w:eastAsia="en-GB"/>
        </w:rPr>
        <w:t>c</w:t>
      </w:r>
      <w:r w:rsidRPr="001C5590">
        <w:rPr>
          <w:rFonts w:eastAsia="Times New Roman" w:cstheme="minorHAnsi"/>
          <w:i/>
          <w:iCs/>
          <w:lang w:eastAsia="en-GB"/>
        </w:rPr>
        <w:t>onflict 1915-1918</w:t>
      </w:r>
      <w:r w:rsidRPr="001C5590">
        <w:rPr>
          <w:rFonts w:eastAsia="Times New Roman" w:cstheme="minorHAnsi"/>
          <w:lang w:eastAsia="en-GB"/>
        </w:rPr>
        <w:t xml:space="preserve"> (pp. 55–111). Yale University Press. </w:t>
      </w:r>
      <w:hyperlink r:id="rId14" w:history="1">
        <w:r w:rsidRPr="001C5590">
          <w:rPr>
            <w:rStyle w:val="Hyperlink"/>
            <w:rFonts w:eastAsia="Times New Roman" w:cstheme="minorHAnsi"/>
            <w:lang w:eastAsia="en-GB"/>
          </w:rPr>
          <w:t>https://doi.org/10.2307/j.ctt211qvzc.7</w:t>
        </w:r>
      </w:hyperlink>
    </w:p>
    <w:p w14:paraId="32B40C66" w14:textId="77777777" w:rsidR="009B561B" w:rsidRPr="00BA32AA" w:rsidRDefault="009B561B" w:rsidP="009B561B">
      <w:pPr>
        <w:ind w:left="720" w:hanging="720"/>
        <w:rPr>
          <w:rStyle w:val="Hyperlink"/>
          <w:rFonts w:eastAsia="Times New Roman" w:cstheme="minorHAnsi"/>
          <w:i/>
          <w:iCs/>
          <w:color w:val="auto"/>
          <w:u w:val="none"/>
          <w:lang w:eastAsia="en-GB"/>
        </w:rPr>
      </w:pPr>
    </w:p>
    <w:sectPr w:rsidR="009B561B" w:rsidRPr="00BA32AA" w:rsidSect="00B8712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2D8B1" w14:textId="77777777" w:rsidR="006B300E" w:rsidRDefault="006B300E" w:rsidP="00925060">
      <w:pPr>
        <w:spacing w:after="0" w:line="240" w:lineRule="auto"/>
      </w:pPr>
      <w:r>
        <w:separator/>
      </w:r>
    </w:p>
  </w:endnote>
  <w:endnote w:type="continuationSeparator" w:id="0">
    <w:p w14:paraId="361C5AAA" w14:textId="77777777" w:rsidR="006B300E" w:rsidRDefault="006B300E" w:rsidP="00925060">
      <w:pPr>
        <w:spacing w:after="0" w:line="240" w:lineRule="auto"/>
      </w:pPr>
      <w:r>
        <w:continuationSeparator/>
      </w:r>
    </w:p>
  </w:endnote>
  <w:endnote w:id="1">
    <w:p w14:paraId="695DAE65" w14:textId="77777777" w:rsidR="00925060" w:rsidRDefault="00925060" w:rsidP="00925060">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02CDE" w14:textId="77777777" w:rsidR="006B300E" w:rsidRDefault="006B300E">
      <w:pPr>
        <w:spacing w:after="0" w:line="240" w:lineRule="auto"/>
      </w:pPr>
      <w:r>
        <w:separator/>
      </w:r>
    </w:p>
  </w:footnote>
  <w:footnote w:type="continuationSeparator" w:id="0">
    <w:p w14:paraId="3A61CA43" w14:textId="77777777" w:rsidR="006B300E" w:rsidRDefault="006B30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060"/>
    <w:rsid w:val="00042C11"/>
    <w:rsid w:val="0009646B"/>
    <w:rsid w:val="000A022D"/>
    <w:rsid w:val="000B01C8"/>
    <w:rsid w:val="001449CA"/>
    <w:rsid w:val="00151470"/>
    <w:rsid w:val="001551C6"/>
    <w:rsid w:val="00167812"/>
    <w:rsid w:val="00180818"/>
    <w:rsid w:val="00180C4B"/>
    <w:rsid w:val="001B7F0C"/>
    <w:rsid w:val="001C5590"/>
    <w:rsid w:val="001F4D5D"/>
    <w:rsid w:val="00250A1D"/>
    <w:rsid w:val="002C2197"/>
    <w:rsid w:val="002F4252"/>
    <w:rsid w:val="00326917"/>
    <w:rsid w:val="003D220F"/>
    <w:rsid w:val="003F716B"/>
    <w:rsid w:val="00420500"/>
    <w:rsid w:val="0049748C"/>
    <w:rsid w:val="004D326E"/>
    <w:rsid w:val="00517857"/>
    <w:rsid w:val="00536C0C"/>
    <w:rsid w:val="00543C78"/>
    <w:rsid w:val="0054569B"/>
    <w:rsid w:val="0056539D"/>
    <w:rsid w:val="005C53E3"/>
    <w:rsid w:val="005D1D97"/>
    <w:rsid w:val="005E31A6"/>
    <w:rsid w:val="006116DD"/>
    <w:rsid w:val="00675FF1"/>
    <w:rsid w:val="00697571"/>
    <w:rsid w:val="006B300E"/>
    <w:rsid w:val="006C412A"/>
    <w:rsid w:val="006E3C64"/>
    <w:rsid w:val="006E6FF5"/>
    <w:rsid w:val="006F34EE"/>
    <w:rsid w:val="00707A80"/>
    <w:rsid w:val="00715CD8"/>
    <w:rsid w:val="00731447"/>
    <w:rsid w:val="00735D1E"/>
    <w:rsid w:val="0074364B"/>
    <w:rsid w:val="008028D8"/>
    <w:rsid w:val="00846208"/>
    <w:rsid w:val="00891DDB"/>
    <w:rsid w:val="0090486F"/>
    <w:rsid w:val="00925060"/>
    <w:rsid w:val="00941497"/>
    <w:rsid w:val="00954D35"/>
    <w:rsid w:val="009B561B"/>
    <w:rsid w:val="009B7174"/>
    <w:rsid w:val="00A0760A"/>
    <w:rsid w:val="00A12632"/>
    <w:rsid w:val="00A14551"/>
    <w:rsid w:val="00A23B74"/>
    <w:rsid w:val="00A26BCF"/>
    <w:rsid w:val="00A36620"/>
    <w:rsid w:val="00A47D6F"/>
    <w:rsid w:val="00A75A29"/>
    <w:rsid w:val="00AB60B0"/>
    <w:rsid w:val="00AF7E8B"/>
    <w:rsid w:val="00BA32AA"/>
    <w:rsid w:val="00BD18F5"/>
    <w:rsid w:val="00BE6B06"/>
    <w:rsid w:val="00C13E2C"/>
    <w:rsid w:val="00C92DFF"/>
    <w:rsid w:val="00CD70AF"/>
    <w:rsid w:val="00D1672D"/>
    <w:rsid w:val="00DE1574"/>
    <w:rsid w:val="00E766BC"/>
    <w:rsid w:val="00EE53A7"/>
    <w:rsid w:val="00F71E3F"/>
    <w:rsid w:val="00F91883"/>
    <w:rsid w:val="00F974F5"/>
    <w:rsid w:val="00F9790B"/>
    <w:rsid w:val="00FA571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148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25060"/>
  </w:style>
  <w:style w:type="paragraph" w:styleId="Heading2">
    <w:name w:val="heading 2"/>
    <w:basedOn w:val="Normal"/>
    <w:next w:val="Normal"/>
    <w:link w:val="Heading2Char"/>
    <w:uiPriority w:val="9"/>
    <w:semiHidden/>
    <w:unhideWhenUsed/>
    <w:qFormat/>
    <w:rsid w:val="000B01C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92506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25060"/>
    <w:rPr>
      <w:sz w:val="20"/>
      <w:szCs w:val="20"/>
    </w:rPr>
  </w:style>
  <w:style w:type="character" w:styleId="EndnoteReference">
    <w:name w:val="endnote reference"/>
    <w:basedOn w:val="DefaultParagraphFont"/>
    <w:uiPriority w:val="99"/>
    <w:semiHidden/>
    <w:unhideWhenUsed/>
    <w:rsid w:val="00925060"/>
    <w:rPr>
      <w:vertAlign w:val="superscript"/>
    </w:rPr>
  </w:style>
  <w:style w:type="character" w:styleId="Hyperlink">
    <w:name w:val="Hyperlink"/>
    <w:basedOn w:val="DefaultParagraphFont"/>
    <w:uiPriority w:val="99"/>
    <w:unhideWhenUsed/>
    <w:rsid w:val="00A75A29"/>
    <w:rPr>
      <w:color w:val="0000FF" w:themeColor="hyperlink"/>
      <w:u w:val="single"/>
    </w:rPr>
  </w:style>
  <w:style w:type="character" w:customStyle="1" w:styleId="UnresolvedMention1">
    <w:name w:val="Unresolved Mention1"/>
    <w:basedOn w:val="DefaultParagraphFont"/>
    <w:uiPriority w:val="99"/>
    <w:semiHidden/>
    <w:unhideWhenUsed/>
    <w:rsid w:val="0074364B"/>
    <w:rPr>
      <w:color w:val="605E5C"/>
      <w:shd w:val="clear" w:color="auto" w:fill="E1DFDD"/>
    </w:rPr>
  </w:style>
  <w:style w:type="character" w:customStyle="1" w:styleId="Heading2Char">
    <w:name w:val="Heading 2 Char"/>
    <w:basedOn w:val="DefaultParagraphFont"/>
    <w:link w:val="Heading2"/>
    <w:uiPriority w:val="9"/>
    <w:semiHidden/>
    <w:rsid w:val="000B01C8"/>
    <w:rPr>
      <w:rFonts w:asciiTheme="majorHAnsi" w:eastAsiaTheme="majorEastAsia" w:hAnsiTheme="majorHAnsi" w:cstheme="majorBidi"/>
      <w:color w:val="365F91" w:themeColor="accent1" w:themeShade="BF"/>
      <w:sz w:val="26"/>
      <w:szCs w:val="26"/>
    </w:rPr>
  </w:style>
  <w:style w:type="character" w:styleId="UnresolvedMention">
    <w:name w:val="Unresolved Mention"/>
    <w:basedOn w:val="DefaultParagraphFont"/>
    <w:uiPriority w:val="99"/>
    <w:rsid w:val="009B561B"/>
    <w:rPr>
      <w:color w:val="605E5C"/>
      <w:shd w:val="clear" w:color="auto" w:fill="E1DFDD"/>
    </w:rPr>
  </w:style>
  <w:style w:type="paragraph" w:styleId="Header">
    <w:name w:val="header"/>
    <w:basedOn w:val="Normal"/>
    <w:link w:val="HeaderChar"/>
    <w:uiPriority w:val="99"/>
    <w:unhideWhenUsed/>
    <w:rsid w:val="009048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86F"/>
  </w:style>
  <w:style w:type="paragraph" w:styleId="Footer">
    <w:name w:val="footer"/>
    <w:basedOn w:val="Normal"/>
    <w:link w:val="FooterChar"/>
    <w:uiPriority w:val="99"/>
    <w:unhideWhenUsed/>
    <w:rsid w:val="009048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8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3" Type="http://schemas.openxmlformats.org/officeDocument/2006/relationships/webSettings" Target="webSettings.xml"/><Relationship Id="rId7" Type="http://schemas.openxmlformats.org/officeDocument/2006/relationships/hyperlink" Target="about:blank" TargetMode="External"/><Relationship Id="rId12" Type="http://schemas.openxmlformats.org/officeDocument/2006/relationships/hyperlink" Target="about:blank"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about:blank" TargetMode="External"/><Relationship Id="rId11" Type="http://schemas.openxmlformats.org/officeDocument/2006/relationships/hyperlink" Target="about:blank"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about:blank" TargetMode="External"/><Relationship Id="rId4" Type="http://schemas.openxmlformats.org/officeDocument/2006/relationships/footnotes" Target="footnote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2908</Words>
  <Characters>16577</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2022-02-06T11:38:00Z</dcterms:created>
  <dcterms:modified xsi:type="dcterms:W3CDTF">2022-02-06T11:38:00Z</dcterms:modified>
</cp:coreProperties>
</file>