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5CC9" w:rsidRPr="000C5CC9" w:rsidRDefault="000C5CC9" w:rsidP="000C5CC9">
      <w:pPr>
        <w:spacing w:before="100" w:beforeAutospacing="1" w:after="100" w:afterAutospacing="1"/>
        <w:rPr>
          <w:rFonts w:ascii="Times New Roman" w:eastAsia="Times New Roman" w:hAnsi="Times New Roman" w:cs="Times New Roman"/>
        </w:rPr>
      </w:pPr>
      <w:r w:rsidRPr="000C5CC9">
        <w:rPr>
          <w:rFonts w:ascii="MyriadPro" w:eastAsia="Times New Roman" w:hAnsi="MyriadPro" w:cs="Times New Roman"/>
          <w:b/>
          <w:bCs/>
          <w:i/>
          <w:iCs/>
          <w:color w:val="0F117C"/>
          <w:sz w:val="22"/>
          <w:szCs w:val="22"/>
        </w:rPr>
        <w:t xml:space="preserve">Cost allocation techniques </w:t>
      </w:r>
    </w:p>
    <w:p w:rsidR="000C5CC9" w:rsidRPr="000C5CC9" w:rsidRDefault="000C5CC9" w:rsidP="000C5CC9">
      <w:pPr>
        <w:spacing w:before="100" w:beforeAutospacing="1" w:after="100" w:afterAutospacing="1"/>
        <w:rPr>
          <w:rFonts w:ascii="Times New Roman" w:eastAsia="Times New Roman" w:hAnsi="Times New Roman" w:cs="Times New Roman"/>
        </w:rPr>
      </w:pPr>
      <w:r w:rsidRPr="000C5CC9">
        <w:rPr>
          <w:rFonts w:ascii="MinionPro" w:eastAsia="Times New Roman" w:hAnsi="MinionPro" w:cs="Times New Roman"/>
          <w:sz w:val="22"/>
          <w:szCs w:val="22"/>
        </w:rPr>
        <w:t>Although costing allocation techniques are systems of fame for its costing role, such a role is only a point of its principle functions . It a</w:t>
      </w:r>
      <w:r>
        <w:rPr>
          <w:rFonts w:ascii="MinionPro" w:eastAsia="Times New Roman" w:hAnsi="MinionPro" w:cs="Times New Roman"/>
          <w:sz w:val="22"/>
          <w:szCs w:val="22"/>
        </w:rPr>
        <w:t>ff</w:t>
      </w:r>
      <w:r w:rsidRPr="000C5CC9">
        <w:rPr>
          <w:rFonts w:ascii="MinionPro" w:eastAsia="Times New Roman" w:hAnsi="MinionPro" w:cs="Times New Roman"/>
          <w:sz w:val="22"/>
          <w:szCs w:val="22"/>
        </w:rPr>
        <w:t xml:space="preserve">ects implementing and running the operations smoothly and reaching goals successfully through enhancing critical decisions like designing/compromising the restaurant menu, determining the product mix, and pricing menu items in a way that simultaneously lead to operation success and satisfying customers’ needs (Kang et al., </w:t>
      </w:r>
      <w:r w:rsidRPr="000C5CC9">
        <w:rPr>
          <w:rFonts w:ascii="MinionPro" w:eastAsia="Times New Roman" w:hAnsi="MinionPro" w:cs="Times New Roman"/>
          <w:color w:val="00007F"/>
          <w:sz w:val="22"/>
          <w:szCs w:val="22"/>
        </w:rPr>
        <w:t>2010</w:t>
      </w:r>
      <w:r w:rsidRPr="000C5CC9">
        <w:rPr>
          <w:rFonts w:ascii="MinionPro" w:eastAsia="Times New Roman" w:hAnsi="MinionPro" w:cs="Times New Roman"/>
          <w:sz w:val="22"/>
          <w:szCs w:val="22"/>
        </w:rPr>
        <w:t xml:space="preserve">). </w:t>
      </w:r>
    </w:p>
    <w:p w:rsidR="000C5CC9" w:rsidRPr="000C5CC9" w:rsidRDefault="000C5CC9" w:rsidP="000C5CC9">
      <w:pPr>
        <w:spacing w:before="100" w:beforeAutospacing="1" w:after="100" w:afterAutospacing="1"/>
        <w:rPr>
          <w:rFonts w:ascii="Times New Roman" w:eastAsia="Times New Roman" w:hAnsi="Times New Roman" w:cs="Times New Roman"/>
        </w:rPr>
      </w:pPr>
      <w:r w:rsidRPr="000C5CC9">
        <w:rPr>
          <w:rFonts w:ascii="MinionPro" w:eastAsia="Times New Roman" w:hAnsi="MinionPro" w:cs="Times New Roman"/>
          <w:sz w:val="22"/>
          <w:szCs w:val="22"/>
        </w:rPr>
        <w:t xml:space="preserve">For this purpose, costing approaches have been utilized within foodservice organizations including; traditional costing methods, ABC, and TDABC. </w:t>
      </w:r>
    </w:p>
    <w:p w:rsidR="000C5CC9" w:rsidRPr="000C5CC9" w:rsidRDefault="000C5CC9" w:rsidP="000C5CC9">
      <w:pPr>
        <w:spacing w:before="100" w:beforeAutospacing="1" w:after="100" w:afterAutospacing="1"/>
        <w:rPr>
          <w:rFonts w:ascii="Times New Roman" w:eastAsia="Times New Roman" w:hAnsi="Times New Roman" w:cs="Times New Roman"/>
        </w:rPr>
      </w:pPr>
      <w:r w:rsidRPr="000C5CC9">
        <w:rPr>
          <w:rFonts w:ascii="MyriadPro" w:eastAsia="Times New Roman" w:hAnsi="MyriadPro" w:cs="Times New Roman"/>
          <w:b/>
          <w:bCs/>
          <w:i/>
          <w:iCs/>
          <w:color w:val="0F117C"/>
          <w:sz w:val="22"/>
          <w:szCs w:val="22"/>
        </w:rPr>
        <w:t xml:space="preserve">Traditional costing methods </w:t>
      </w:r>
    </w:p>
    <w:p w:rsidR="000C5CC9" w:rsidRPr="000C5CC9" w:rsidRDefault="000C5CC9" w:rsidP="000C5CC9">
      <w:pPr>
        <w:spacing w:before="100" w:beforeAutospacing="1" w:after="100" w:afterAutospacing="1"/>
        <w:rPr>
          <w:rFonts w:ascii="Times New Roman" w:eastAsia="Times New Roman" w:hAnsi="Times New Roman" w:cs="Times New Roman"/>
        </w:rPr>
      </w:pPr>
      <w:r w:rsidRPr="000C5CC9">
        <w:rPr>
          <w:rFonts w:ascii="MinionPro" w:eastAsia="Times New Roman" w:hAnsi="MinionPro" w:cs="Times New Roman"/>
          <w:sz w:val="22"/>
          <w:szCs w:val="22"/>
        </w:rPr>
        <w:t>Numerous costing methods have been used in the restaurant business to anal</w:t>
      </w:r>
      <w:r w:rsidR="0040086C">
        <w:rPr>
          <w:rFonts w:ascii="MinionPro" w:eastAsia="Times New Roman" w:hAnsi="MinionPro" w:cs="Times New Roman"/>
          <w:sz w:val="22"/>
          <w:szCs w:val="22"/>
        </w:rPr>
        <w:t>is</w:t>
      </w:r>
      <w:r w:rsidRPr="000C5CC9">
        <w:rPr>
          <w:rFonts w:ascii="MinionPro" w:eastAsia="Times New Roman" w:hAnsi="MinionPro" w:cs="Times New Roman"/>
          <w:sz w:val="22"/>
          <w:szCs w:val="22"/>
        </w:rPr>
        <w:t xml:space="preserve">e menu prices. Several qualitative and quantitative costing approaches are discussed in Hospitality Management Accounting . These qualitative methods are based on both “trial-and-error” and “market positioning perspectives,” while quantitative methods are categorized as pro t and loss oriented (Barnard, </w:t>
      </w:r>
      <w:r w:rsidRPr="000C5CC9">
        <w:rPr>
          <w:rFonts w:ascii="MinionPro" w:eastAsia="Times New Roman" w:hAnsi="MinionPro" w:cs="Times New Roman"/>
          <w:color w:val="00007F"/>
          <w:sz w:val="22"/>
          <w:szCs w:val="22"/>
        </w:rPr>
        <w:t>2009</w:t>
      </w:r>
      <w:r w:rsidRPr="000C5CC9">
        <w:rPr>
          <w:rFonts w:ascii="MinionPro" w:eastAsia="Times New Roman" w:hAnsi="MinionPro" w:cs="Times New Roman"/>
          <w:sz w:val="22"/>
          <w:szCs w:val="22"/>
        </w:rPr>
        <w:t xml:space="preserve">). Regarding the qualitative approach, the intuitive method that depends on the customer’s interactions with the </w:t>
      </w:r>
      <w:r>
        <w:rPr>
          <w:rFonts w:ascii="MinionPro" w:eastAsia="Times New Roman" w:hAnsi="MinionPro" w:cs="Times New Roman"/>
          <w:sz w:val="22"/>
          <w:szCs w:val="22"/>
        </w:rPr>
        <w:t>off</w:t>
      </w:r>
      <w:r w:rsidRPr="000C5CC9">
        <w:rPr>
          <w:rFonts w:ascii="MinionPro" w:eastAsia="Times New Roman" w:hAnsi="MinionPro" w:cs="Times New Roman"/>
          <w:sz w:val="22"/>
          <w:szCs w:val="22"/>
        </w:rPr>
        <w:t xml:space="preserve">ered items is closely related to the trial-and-error perspective. While the rule-of-thumb method in which the common industry average of items prices is accredited, is often combined with market positioning perspective. On the other side, the quantitative approach includes many methods (e.g., Gross Mark-up method, Ratio method, Factor method, and Menu engineering method) that depend on percentages of food cost, the volume of sales, and contribution margin in determining the pro t of each item. Based on the contribution margin percentage, </w:t>
      </w:r>
      <w:proofErr w:type="spellStart"/>
      <w:r w:rsidRPr="000C5CC9">
        <w:rPr>
          <w:rFonts w:ascii="MinionPro" w:eastAsia="Times New Roman" w:hAnsi="MinionPro" w:cs="Times New Roman"/>
          <w:sz w:val="22"/>
          <w:szCs w:val="22"/>
        </w:rPr>
        <w:t>Kasavana</w:t>
      </w:r>
      <w:proofErr w:type="spellEnd"/>
      <w:r w:rsidRPr="000C5CC9">
        <w:rPr>
          <w:rFonts w:ascii="MinionPro" w:eastAsia="Times New Roman" w:hAnsi="MinionPro" w:cs="Times New Roman"/>
          <w:sz w:val="22"/>
          <w:szCs w:val="22"/>
        </w:rPr>
        <w:t xml:space="preserve"> and Smith (</w:t>
      </w:r>
      <w:r w:rsidRPr="000C5CC9">
        <w:rPr>
          <w:rFonts w:ascii="MinionPro" w:eastAsia="Times New Roman" w:hAnsi="MinionPro" w:cs="Times New Roman"/>
          <w:color w:val="00007F"/>
          <w:sz w:val="22"/>
          <w:szCs w:val="22"/>
        </w:rPr>
        <w:t>1982</w:t>
      </w:r>
      <w:r w:rsidRPr="000C5CC9">
        <w:rPr>
          <w:rFonts w:ascii="MinionPro" w:eastAsia="Times New Roman" w:hAnsi="MinionPro" w:cs="Times New Roman"/>
          <w:sz w:val="22"/>
          <w:szCs w:val="22"/>
        </w:rPr>
        <w:t xml:space="preserve">) divided menu items into four groups. </w:t>
      </w:r>
    </w:p>
    <w:p w:rsidR="000C5CC9" w:rsidRPr="000C5CC9" w:rsidRDefault="000C5CC9" w:rsidP="000C5CC9">
      <w:pPr>
        <w:spacing w:before="100" w:beforeAutospacing="1" w:after="100" w:afterAutospacing="1"/>
        <w:rPr>
          <w:rFonts w:ascii="Times New Roman" w:eastAsia="Times New Roman" w:hAnsi="Times New Roman" w:cs="Times New Roman"/>
        </w:rPr>
      </w:pPr>
      <w:r w:rsidRPr="000C5CC9">
        <w:rPr>
          <w:rFonts w:ascii="MinionPro" w:eastAsia="Times New Roman" w:hAnsi="MinionPro" w:cs="Times New Roman"/>
          <w:sz w:val="22"/>
          <w:szCs w:val="22"/>
        </w:rPr>
        <w:t>Although these approaches suggested that restaurants’ managers can specify the pro table items. But, in reality, item prices are not accurately analy</w:t>
      </w:r>
      <w:r>
        <w:rPr>
          <w:rFonts w:ascii="MinionPro" w:eastAsia="Times New Roman" w:hAnsi="MinionPro" w:cs="Times New Roman"/>
          <w:sz w:val="22"/>
          <w:szCs w:val="22"/>
        </w:rPr>
        <w:t>s</w:t>
      </w:r>
      <w:r w:rsidRPr="000C5CC9">
        <w:rPr>
          <w:rFonts w:ascii="MinionPro" w:eastAsia="Times New Roman" w:hAnsi="MinionPro" w:cs="Times New Roman"/>
          <w:sz w:val="22"/>
          <w:szCs w:val="22"/>
        </w:rPr>
        <w:t>ed whether a qualitative or a quantitative approach is adopted (</w:t>
      </w:r>
      <w:proofErr w:type="spellStart"/>
      <w:r w:rsidRPr="000C5CC9">
        <w:rPr>
          <w:rFonts w:ascii="MinionPro" w:eastAsia="Times New Roman" w:hAnsi="MinionPro" w:cs="Times New Roman"/>
          <w:sz w:val="22"/>
          <w:szCs w:val="22"/>
        </w:rPr>
        <w:t>Raab</w:t>
      </w:r>
      <w:proofErr w:type="spellEnd"/>
      <w:r w:rsidRPr="000C5CC9">
        <w:rPr>
          <w:rFonts w:ascii="MinionPro" w:eastAsia="Times New Roman" w:hAnsi="MinionPro" w:cs="Times New Roman"/>
          <w:sz w:val="22"/>
          <w:szCs w:val="22"/>
        </w:rPr>
        <w:t xml:space="preserve"> &amp; Mayer, </w:t>
      </w:r>
      <w:r w:rsidRPr="000C5CC9">
        <w:rPr>
          <w:rFonts w:ascii="MinionPro" w:eastAsia="Times New Roman" w:hAnsi="MinionPro" w:cs="Times New Roman"/>
          <w:color w:val="00007F"/>
          <w:sz w:val="22"/>
          <w:szCs w:val="22"/>
        </w:rPr>
        <w:t>2003</w:t>
      </w:r>
      <w:r w:rsidRPr="000C5CC9">
        <w:rPr>
          <w:rFonts w:ascii="MinionPro" w:eastAsia="Times New Roman" w:hAnsi="MinionPro" w:cs="Times New Roman"/>
          <w:sz w:val="22"/>
          <w:szCs w:val="22"/>
        </w:rPr>
        <w:t xml:space="preserve">). According to </w:t>
      </w:r>
      <w:proofErr w:type="spellStart"/>
      <w:r w:rsidRPr="000C5CC9">
        <w:rPr>
          <w:rFonts w:ascii="MinionPro" w:eastAsia="Times New Roman" w:hAnsi="MinionPro" w:cs="Times New Roman"/>
          <w:sz w:val="22"/>
          <w:szCs w:val="22"/>
        </w:rPr>
        <w:t>Defranco</w:t>
      </w:r>
      <w:proofErr w:type="spellEnd"/>
      <w:r w:rsidRPr="000C5CC9">
        <w:rPr>
          <w:rFonts w:ascii="MinionPro" w:eastAsia="Times New Roman" w:hAnsi="MinionPro" w:cs="Times New Roman"/>
          <w:sz w:val="22"/>
          <w:szCs w:val="22"/>
        </w:rPr>
        <w:t xml:space="preserve"> and Noriega (</w:t>
      </w:r>
      <w:r w:rsidRPr="000C5CC9">
        <w:rPr>
          <w:rFonts w:ascii="MinionPro" w:eastAsia="Times New Roman" w:hAnsi="MinionPro" w:cs="Times New Roman"/>
          <w:color w:val="00007F"/>
          <w:sz w:val="22"/>
          <w:szCs w:val="22"/>
        </w:rPr>
        <w:t>2000</w:t>
      </w:r>
      <w:r w:rsidRPr="000C5CC9">
        <w:rPr>
          <w:rFonts w:ascii="MinionPro" w:eastAsia="Times New Roman" w:hAnsi="MinionPro" w:cs="Times New Roman"/>
          <w:sz w:val="22"/>
          <w:szCs w:val="22"/>
        </w:rPr>
        <w:t>), the signi</w:t>
      </w:r>
      <w:r>
        <w:rPr>
          <w:rFonts w:ascii="MinionPro" w:eastAsia="Times New Roman" w:hAnsi="MinionPro" w:cs="Times New Roman"/>
          <w:sz w:val="22"/>
          <w:szCs w:val="22"/>
        </w:rPr>
        <w:t>fi</w:t>
      </w:r>
      <w:r w:rsidRPr="000C5CC9">
        <w:rPr>
          <w:rFonts w:ascii="MinionPro" w:eastAsia="Times New Roman" w:hAnsi="MinionPro" w:cs="Times New Roman"/>
          <w:sz w:val="22"/>
          <w:szCs w:val="22"/>
        </w:rPr>
        <w:t>cant operating expenses (indirect resources, e.g., labo</w:t>
      </w:r>
      <w:r>
        <w:rPr>
          <w:rFonts w:ascii="MinionPro" w:eastAsia="Times New Roman" w:hAnsi="MinionPro" w:cs="Times New Roman"/>
          <w:sz w:val="22"/>
          <w:szCs w:val="22"/>
        </w:rPr>
        <w:t>u</w:t>
      </w:r>
      <w:r w:rsidRPr="000C5CC9">
        <w:rPr>
          <w:rFonts w:ascii="MinionPro" w:eastAsia="Times New Roman" w:hAnsi="MinionPro" w:cs="Times New Roman"/>
          <w:sz w:val="22"/>
          <w:szCs w:val="22"/>
        </w:rPr>
        <w:t xml:space="preserve">r and </w:t>
      </w:r>
      <w:r>
        <w:rPr>
          <w:rFonts w:ascii="MinionPro" w:eastAsia="Times New Roman" w:hAnsi="MinionPro" w:cs="Times New Roman"/>
          <w:sz w:val="22"/>
          <w:szCs w:val="22"/>
        </w:rPr>
        <w:t>fi</w:t>
      </w:r>
      <w:r w:rsidRPr="000C5CC9">
        <w:rPr>
          <w:rFonts w:ascii="MinionPro" w:eastAsia="Times New Roman" w:hAnsi="MinionPro" w:cs="Times New Roman"/>
          <w:sz w:val="22"/>
          <w:szCs w:val="22"/>
        </w:rPr>
        <w:t xml:space="preserve">xed costs) are ignored when menu prices are established using these approaches. </w:t>
      </w:r>
    </w:p>
    <w:p w:rsidR="000C5CC9" w:rsidRPr="000C5CC9" w:rsidRDefault="000C5CC9" w:rsidP="000C5CC9">
      <w:pPr>
        <w:spacing w:before="100" w:beforeAutospacing="1" w:after="100" w:afterAutospacing="1"/>
        <w:rPr>
          <w:rFonts w:ascii="Times New Roman" w:eastAsia="Times New Roman" w:hAnsi="Times New Roman" w:cs="Times New Roman"/>
        </w:rPr>
      </w:pPr>
      <w:r w:rsidRPr="000C5CC9">
        <w:rPr>
          <w:rFonts w:ascii="MyriadPro" w:eastAsia="Times New Roman" w:hAnsi="MyriadPro" w:cs="Times New Roman"/>
          <w:b/>
          <w:bCs/>
          <w:i/>
          <w:iCs/>
          <w:color w:val="0F117C"/>
          <w:sz w:val="22"/>
          <w:szCs w:val="22"/>
        </w:rPr>
        <w:t xml:space="preserve">Activity-based Costing (ABC) </w:t>
      </w:r>
    </w:p>
    <w:p w:rsidR="000C5CC9" w:rsidRPr="000C5CC9" w:rsidRDefault="000C5CC9" w:rsidP="000C5CC9">
      <w:pPr>
        <w:spacing w:before="100" w:beforeAutospacing="1" w:after="100" w:afterAutospacing="1"/>
        <w:rPr>
          <w:rFonts w:ascii="Times New Roman" w:eastAsia="Times New Roman" w:hAnsi="Times New Roman" w:cs="Times New Roman"/>
        </w:rPr>
      </w:pPr>
      <w:r w:rsidRPr="000C5CC9">
        <w:rPr>
          <w:rFonts w:ascii="MinionPro" w:eastAsia="Times New Roman" w:hAnsi="MinionPro" w:cs="Times New Roman"/>
          <w:sz w:val="22"/>
          <w:szCs w:val="22"/>
        </w:rPr>
        <w:t>To address the shortcomings of conventional costing techniques, Kaplan and Cooper (</w:t>
      </w:r>
      <w:r w:rsidRPr="000C5CC9">
        <w:rPr>
          <w:rFonts w:ascii="MinionPro" w:eastAsia="Times New Roman" w:hAnsi="MinionPro" w:cs="Times New Roman"/>
          <w:color w:val="00007F"/>
          <w:sz w:val="22"/>
          <w:szCs w:val="22"/>
        </w:rPr>
        <w:t>1999</w:t>
      </w:r>
      <w:r w:rsidRPr="000C5CC9">
        <w:rPr>
          <w:rFonts w:ascii="MinionPro" w:eastAsia="Times New Roman" w:hAnsi="MinionPro" w:cs="Times New Roman"/>
          <w:sz w:val="22"/>
          <w:szCs w:val="22"/>
        </w:rPr>
        <w:t>) advocated that the domain of traditional costing methods could be sign</w:t>
      </w:r>
      <w:r w:rsidR="00DD70F7">
        <w:rPr>
          <w:rFonts w:ascii="MinionPro" w:eastAsia="Times New Roman" w:hAnsi="MinionPro" w:cs="Times New Roman"/>
          <w:sz w:val="22"/>
          <w:szCs w:val="22"/>
        </w:rPr>
        <w:t>ifi</w:t>
      </w:r>
      <w:r w:rsidRPr="000C5CC9">
        <w:rPr>
          <w:rFonts w:ascii="MinionPro" w:eastAsia="Times New Roman" w:hAnsi="MinionPro" w:cs="Times New Roman"/>
          <w:sz w:val="22"/>
          <w:szCs w:val="22"/>
        </w:rPr>
        <w:t xml:space="preserve">cantly enhanced by using activity-based costing (ABC). ABC has many advantages over conventional volume-based costing systems, and is recommended to be used in fast-service restaurants by </w:t>
      </w:r>
      <w:proofErr w:type="spellStart"/>
      <w:r w:rsidRPr="000C5CC9">
        <w:rPr>
          <w:rFonts w:ascii="MinionPro" w:eastAsia="Times New Roman" w:hAnsi="MinionPro" w:cs="Times New Roman"/>
          <w:sz w:val="22"/>
          <w:szCs w:val="22"/>
        </w:rPr>
        <w:t>Raab</w:t>
      </w:r>
      <w:proofErr w:type="spellEnd"/>
      <w:r w:rsidRPr="000C5CC9">
        <w:rPr>
          <w:rFonts w:ascii="MinionPro" w:eastAsia="Times New Roman" w:hAnsi="MinionPro" w:cs="Times New Roman"/>
          <w:sz w:val="22"/>
          <w:szCs w:val="22"/>
        </w:rPr>
        <w:t xml:space="preserve"> et al. (</w:t>
      </w:r>
      <w:r w:rsidRPr="000C5CC9">
        <w:rPr>
          <w:rFonts w:ascii="MinionPro" w:eastAsia="Times New Roman" w:hAnsi="MinionPro" w:cs="Times New Roman"/>
          <w:color w:val="00007F"/>
          <w:sz w:val="22"/>
          <w:szCs w:val="22"/>
        </w:rPr>
        <w:t>2007</w:t>
      </w:r>
      <w:r w:rsidRPr="000C5CC9">
        <w:rPr>
          <w:rFonts w:ascii="MinionPro" w:eastAsia="Times New Roman" w:hAnsi="MinionPro" w:cs="Times New Roman"/>
          <w:sz w:val="22"/>
          <w:szCs w:val="22"/>
        </w:rPr>
        <w:t>). The principal assumption of ABC is that activities drive costs of any business by consuming its capitals and assets. It rather depends on con</w:t>
      </w:r>
      <w:r>
        <w:rPr>
          <w:rFonts w:ascii="MinionPro" w:eastAsia="Times New Roman" w:hAnsi="MinionPro" w:cs="Times New Roman"/>
          <w:sz w:val="22"/>
          <w:szCs w:val="22"/>
        </w:rPr>
        <w:t>fi</w:t>
      </w:r>
      <w:r w:rsidRPr="000C5CC9">
        <w:rPr>
          <w:rFonts w:ascii="MinionPro" w:eastAsia="Times New Roman" w:hAnsi="MinionPro" w:cs="Times New Roman"/>
          <w:sz w:val="22"/>
          <w:szCs w:val="22"/>
        </w:rPr>
        <w:t xml:space="preserve">guring the relationship between </w:t>
      </w:r>
      <w:r>
        <w:rPr>
          <w:rFonts w:ascii="MinionPro" w:eastAsia="Times New Roman" w:hAnsi="MinionPro" w:cs="Times New Roman"/>
          <w:sz w:val="22"/>
          <w:szCs w:val="22"/>
        </w:rPr>
        <w:t>fi</w:t>
      </w:r>
      <w:r w:rsidRPr="000C5CC9">
        <w:rPr>
          <w:rFonts w:ascii="MinionPro" w:eastAsia="Times New Roman" w:hAnsi="MinionPro" w:cs="Times New Roman"/>
          <w:sz w:val="22"/>
          <w:szCs w:val="22"/>
        </w:rPr>
        <w:t>xed costs and the operation that induces it. ABC has shown signi</w:t>
      </w:r>
      <w:r>
        <w:rPr>
          <w:rFonts w:ascii="MinionPro" w:eastAsia="Times New Roman" w:hAnsi="MinionPro" w:cs="Times New Roman"/>
          <w:sz w:val="22"/>
          <w:szCs w:val="22"/>
        </w:rPr>
        <w:t>fi</w:t>
      </w:r>
      <w:r w:rsidRPr="000C5CC9">
        <w:rPr>
          <w:rFonts w:ascii="MinionPro" w:eastAsia="Times New Roman" w:hAnsi="MinionPro" w:cs="Times New Roman"/>
          <w:sz w:val="22"/>
          <w:szCs w:val="22"/>
        </w:rPr>
        <w:t>cant development and a great contribution to cost management, particularly in pro</w:t>
      </w:r>
      <w:r>
        <w:rPr>
          <w:rFonts w:ascii="MinionPro" w:eastAsia="Times New Roman" w:hAnsi="MinionPro" w:cs="Times New Roman"/>
          <w:sz w:val="22"/>
          <w:szCs w:val="22"/>
        </w:rPr>
        <w:t>fi</w:t>
      </w:r>
      <w:r w:rsidRPr="000C5CC9">
        <w:rPr>
          <w:rFonts w:ascii="MinionPro" w:eastAsia="Times New Roman" w:hAnsi="MinionPro" w:cs="Times New Roman"/>
          <w:sz w:val="22"/>
          <w:szCs w:val="22"/>
        </w:rPr>
        <w:t xml:space="preserve">tability analysis. </w:t>
      </w:r>
      <w:proofErr w:type="spellStart"/>
      <w:r w:rsidRPr="000C5CC9">
        <w:rPr>
          <w:rFonts w:ascii="MinionPro" w:eastAsia="Times New Roman" w:hAnsi="MinionPro" w:cs="Times New Roman"/>
          <w:sz w:val="22"/>
          <w:szCs w:val="22"/>
        </w:rPr>
        <w:t>Raab</w:t>
      </w:r>
      <w:proofErr w:type="spellEnd"/>
      <w:r w:rsidRPr="000C5CC9">
        <w:rPr>
          <w:rFonts w:ascii="MinionPro" w:eastAsia="Times New Roman" w:hAnsi="MinionPro" w:cs="Times New Roman"/>
          <w:sz w:val="22"/>
          <w:szCs w:val="22"/>
        </w:rPr>
        <w:t xml:space="preserve"> et al. (</w:t>
      </w:r>
      <w:r w:rsidRPr="000C5CC9">
        <w:rPr>
          <w:rFonts w:ascii="MinionPro" w:eastAsia="Times New Roman" w:hAnsi="MinionPro" w:cs="Times New Roman"/>
          <w:color w:val="00007F"/>
          <w:sz w:val="22"/>
          <w:szCs w:val="22"/>
        </w:rPr>
        <w:t>2007</w:t>
      </w:r>
      <w:r w:rsidRPr="000C5CC9">
        <w:rPr>
          <w:rFonts w:ascii="MinionPro" w:eastAsia="Times New Roman" w:hAnsi="MinionPro" w:cs="Times New Roman"/>
          <w:sz w:val="22"/>
          <w:szCs w:val="22"/>
        </w:rPr>
        <w:t>) advocated that the use of ABC in full-service restaurants established a speci</w:t>
      </w:r>
      <w:r>
        <w:rPr>
          <w:rFonts w:ascii="MinionPro" w:eastAsia="Times New Roman" w:hAnsi="MinionPro" w:cs="Times New Roman"/>
          <w:sz w:val="22"/>
          <w:szCs w:val="22"/>
        </w:rPr>
        <w:t>fi</w:t>
      </w:r>
      <w:r w:rsidRPr="000C5CC9">
        <w:rPr>
          <w:rFonts w:ascii="MinionPro" w:eastAsia="Times New Roman" w:hAnsi="MinionPro" w:cs="Times New Roman"/>
          <w:sz w:val="22"/>
          <w:szCs w:val="22"/>
        </w:rPr>
        <w:t>c overhead cost value for the menu item. Using ABC, managers could identify the business ‘ value-added activities (VAT) and non-value- added activities (NVAT), and the costs associated with those activities, in addition to de</w:t>
      </w:r>
      <w:r>
        <w:rPr>
          <w:rFonts w:ascii="MinionPro" w:eastAsia="Times New Roman" w:hAnsi="MinionPro" w:cs="Times New Roman"/>
          <w:sz w:val="22"/>
          <w:szCs w:val="22"/>
        </w:rPr>
        <w:t>fi</w:t>
      </w:r>
      <w:r w:rsidRPr="000C5CC9">
        <w:rPr>
          <w:rFonts w:ascii="MinionPro" w:eastAsia="Times New Roman" w:hAnsi="MinionPro" w:cs="Times New Roman"/>
          <w:sz w:val="22"/>
          <w:szCs w:val="22"/>
        </w:rPr>
        <w:t xml:space="preserve">ning the drivers of activity costs (Carol , </w:t>
      </w:r>
      <w:r w:rsidRPr="000C5CC9">
        <w:rPr>
          <w:rFonts w:ascii="MinionPro" w:eastAsia="Times New Roman" w:hAnsi="MinionPro" w:cs="Times New Roman"/>
          <w:color w:val="00007F"/>
          <w:sz w:val="22"/>
          <w:szCs w:val="22"/>
        </w:rPr>
        <w:t>1996</w:t>
      </w:r>
      <w:r w:rsidRPr="000C5CC9">
        <w:rPr>
          <w:rFonts w:ascii="MinionPro" w:eastAsia="Times New Roman" w:hAnsi="MinionPro" w:cs="Times New Roman"/>
          <w:sz w:val="22"/>
          <w:szCs w:val="22"/>
        </w:rPr>
        <w:t xml:space="preserve">). In the same line, many academics claimed that adopting ABC helps in enhancing decision- making processes, improving procedures, better forecasting of unused capacity costs (Lot &amp; </w:t>
      </w:r>
      <w:proofErr w:type="spellStart"/>
      <w:r w:rsidRPr="000C5CC9">
        <w:rPr>
          <w:rFonts w:ascii="MinionPro" w:eastAsia="Times New Roman" w:hAnsi="MinionPro" w:cs="Times New Roman"/>
          <w:sz w:val="22"/>
          <w:szCs w:val="22"/>
        </w:rPr>
        <w:t>Mansourabad</w:t>
      </w:r>
      <w:proofErr w:type="spellEnd"/>
      <w:r w:rsidRPr="000C5CC9">
        <w:rPr>
          <w:rFonts w:ascii="MinionPro" w:eastAsia="Times New Roman" w:hAnsi="MinionPro" w:cs="Times New Roman"/>
          <w:sz w:val="22"/>
          <w:szCs w:val="22"/>
        </w:rPr>
        <w:t xml:space="preserve">, </w:t>
      </w:r>
      <w:r w:rsidRPr="000C5CC9">
        <w:rPr>
          <w:rFonts w:ascii="MinionPro" w:eastAsia="Times New Roman" w:hAnsi="MinionPro" w:cs="Times New Roman"/>
          <w:color w:val="00007F"/>
          <w:sz w:val="22"/>
          <w:szCs w:val="22"/>
        </w:rPr>
        <w:t>2012</w:t>
      </w:r>
      <w:r w:rsidRPr="000C5CC9">
        <w:rPr>
          <w:rFonts w:ascii="MinionPro" w:eastAsia="Times New Roman" w:hAnsi="MinionPro" w:cs="Times New Roman"/>
          <w:sz w:val="22"/>
          <w:szCs w:val="22"/>
        </w:rPr>
        <w:t xml:space="preserve">) and improving information planning (Mansur et al., </w:t>
      </w:r>
      <w:r w:rsidRPr="000C5CC9">
        <w:rPr>
          <w:rFonts w:ascii="MinionPro" w:eastAsia="Times New Roman" w:hAnsi="MinionPro" w:cs="Times New Roman"/>
          <w:color w:val="00007F"/>
          <w:sz w:val="22"/>
          <w:szCs w:val="22"/>
        </w:rPr>
        <w:t>2012</w:t>
      </w:r>
      <w:r w:rsidRPr="000C5CC9">
        <w:rPr>
          <w:rFonts w:ascii="MinionPro" w:eastAsia="Times New Roman" w:hAnsi="MinionPro" w:cs="Times New Roman"/>
          <w:sz w:val="22"/>
          <w:szCs w:val="22"/>
        </w:rPr>
        <w:t>). However, ABC building is associated with many drawbacks that kept its implementation in service institutions being small compared to the traditional costing methods (</w:t>
      </w:r>
      <w:proofErr w:type="spellStart"/>
      <w:r w:rsidRPr="000C5CC9">
        <w:rPr>
          <w:rFonts w:ascii="MinionPro" w:eastAsia="Times New Roman" w:hAnsi="MinionPro" w:cs="Times New Roman"/>
          <w:sz w:val="22"/>
          <w:szCs w:val="22"/>
        </w:rPr>
        <w:t>Askarany</w:t>
      </w:r>
      <w:proofErr w:type="spellEnd"/>
      <w:r w:rsidRPr="000C5CC9">
        <w:rPr>
          <w:rFonts w:ascii="MinionPro" w:eastAsia="Times New Roman" w:hAnsi="MinionPro" w:cs="Times New Roman"/>
          <w:sz w:val="22"/>
          <w:szCs w:val="22"/>
        </w:rPr>
        <w:t xml:space="preserve"> et al., </w:t>
      </w:r>
      <w:r w:rsidRPr="000C5CC9">
        <w:rPr>
          <w:rFonts w:ascii="MinionPro" w:eastAsia="Times New Roman" w:hAnsi="MinionPro" w:cs="Times New Roman"/>
          <w:color w:val="00007F"/>
          <w:sz w:val="22"/>
          <w:szCs w:val="22"/>
        </w:rPr>
        <w:t>2007</w:t>
      </w:r>
      <w:r w:rsidRPr="000C5CC9">
        <w:rPr>
          <w:rFonts w:ascii="MinionPro" w:eastAsia="Times New Roman" w:hAnsi="MinionPro" w:cs="Times New Roman"/>
          <w:sz w:val="22"/>
          <w:szCs w:val="22"/>
        </w:rPr>
        <w:t xml:space="preserve">). Numerous researchers and </w:t>
      </w:r>
      <w:r w:rsidRPr="000C5CC9">
        <w:rPr>
          <w:rFonts w:ascii="MinionPro" w:eastAsia="Times New Roman" w:hAnsi="MinionPro" w:cs="Times New Roman"/>
          <w:sz w:val="22"/>
          <w:szCs w:val="22"/>
        </w:rPr>
        <w:lastRenderedPageBreak/>
        <w:t xml:space="preserve">management accountants advocated that ABC technique is expensive to conduct, time-consuming and challenging to change either during the implementation or revising process (Drury, </w:t>
      </w:r>
      <w:r w:rsidRPr="000C5CC9">
        <w:rPr>
          <w:rFonts w:ascii="MinionPro" w:eastAsia="Times New Roman" w:hAnsi="MinionPro" w:cs="Times New Roman"/>
          <w:color w:val="00007F"/>
          <w:sz w:val="22"/>
          <w:szCs w:val="22"/>
        </w:rPr>
        <w:t>2000</w:t>
      </w:r>
      <w:r w:rsidRPr="000C5CC9">
        <w:rPr>
          <w:rFonts w:ascii="MinionPro" w:eastAsia="Times New Roman" w:hAnsi="MinionPro" w:cs="Times New Roman"/>
          <w:sz w:val="22"/>
          <w:szCs w:val="22"/>
        </w:rPr>
        <w:t xml:space="preserve">; Kaplan &amp; Anderson, </w:t>
      </w:r>
      <w:r w:rsidRPr="000C5CC9">
        <w:rPr>
          <w:rFonts w:ascii="MinionPro" w:eastAsia="Times New Roman" w:hAnsi="MinionPro" w:cs="Times New Roman"/>
          <w:color w:val="00007F"/>
          <w:sz w:val="22"/>
          <w:szCs w:val="22"/>
        </w:rPr>
        <w:t>2004</w:t>
      </w:r>
      <w:r w:rsidRPr="000C5CC9">
        <w:rPr>
          <w:rFonts w:ascii="MinionPro" w:eastAsia="Times New Roman" w:hAnsi="MinionPro" w:cs="Times New Roman"/>
          <w:sz w:val="22"/>
          <w:szCs w:val="22"/>
        </w:rPr>
        <w:t xml:space="preserve">; Kaplan &amp; Porter, </w:t>
      </w:r>
      <w:r w:rsidRPr="000C5CC9">
        <w:rPr>
          <w:rFonts w:ascii="MinionPro" w:eastAsia="Times New Roman" w:hAnsi="MinionPro" w:cs="Times New Roman"/>
          <w:color w:val="00007F"/>
          <w:sz w:val="22"/>
          <w:szCs w:val="22"/>
        </w:rPr>
        <w:t>2011</w:t>
      </w:r>
      <w:r w:rsidRPr="000C5CC9">
        <w:rPr>
          <w:rFonts w:ascii="MinionPro" w:eastAsia="Times New Roman" w:hAnsi="MinionPro" w:cs="Times New Roman"/>
          <w:sz w:val="22"/>
          <w:szCs w:val="22"/>
        </w:rPr>
        <w:t xml:space="preserve">; </w:t>
      </w:r>
      <w:proofErr w:type="spellStart"/>
      <w:r w:rsidRPr="000C5CC9">
        <w:rPr>
          <w:rFonts w:ascii="MinionPro" w:eastAsia="Times New Roman" w:hAnsi="MinionPro" w:cs="Times New Roman"/>
          <w:sz w:val="22"/>
          <w:szCs w:val="22"/>
        </w:rPr>
        <w:t>Pavlatos</w:t>
      </w:r>
      <w:proofErr w:type="spellEnd"/>
      <w:r w:rsidRPr="000C5CC9">
        <w:rPr>
          <w:rFonts w:ascii="MinionPro" w:eastAsia="Times New Roman" w:hAnsi="MinionPro" w:cs="Times New Roman"/>
          <w:sz w:val="22"/>
          <w:szCs w:val="22"/>
        </w:rPr>
        <w:t xml:space="preserve"> &amp; </w:t>
      </w:r>
      <w:proofErr w:type="spellStart"/>
      <w:r w:rsidRPr="000C5CC9">
        <w:rPr>
          <w:rFonts w:ascii="MinionPro" w:eastAsia="Times New Roman" w:hAnsi="MinionPro" w:cs="Times New Roman"/>
          <w:sz w:val="22"/>
          <w:szCs w:val="22"/>
        </w:rPr>
        <w:t>Paggios</w:t>
      </w:r>
      <w:proofErr w:type="spellEnd"/>
      <w:r w:rsidRPr="000C5CC9">
        <w:rPr>
          <w:rFonts w:ascii="MinionPro" w:eastAsia="Times New Roman" w:hAnsi="MinionPro" w:cs="Times New Roman"/>
          <w:sz w:val="22"/>
          <w:szCs w:val="22"/>
        </w:rPr>
        <w:t xml:space="preserve">, </w:t>
      </w:r>
      <w:r w:rsidRPr="000C5CC9">
        <w:rPr>
          <w:rFonts w:ascii="MinionPro" w:eastAsia="Times New Roman" w:hAnsi="MinionPro" w:cs="Times New Roman"/>
          <w:color w:val="00007F"/>
          <w:sz w:val="22"/>
          <w:szCs w:val="22"/>
        </w:rPr>
        <w:t>2009</w:t>
      </w:r>
      <w:r w:rsidRPr="000C5CC9">
        <w:rPr>
          <w:rFonts w:ascii="MinionPro" w:eastAsia="Times New Roman" w:hAnsi="MinionPro" w:cs="Times New Roman"/>
          <w:sz w:val="22"/>
          <w:szCs w:val="22"/>
        </w:rPr>
        <w:t xml:space="preserve">; </w:t>
      </w:r>
      <w:proofErr w:type="spellStart"/>
      <w:r w:rsidRPr="000C5CC9">
        <w:rPr>
          <w:rFonts w:ascii="MinionPro" w:eastAsia="Times New Roman" w:hAnsi="MinionPro" w:cs="Times New Roman"/>
          <w:sz w:val="22"/>
          <w:szCs w:val="22"/>
        </w:rPr>
        <w:t>Tse</w:t>
      </w:r>
      <w:proofErr w:type="spellEnd"/>
      <w:r w:rsidRPr="000C5CC9">
        <w:rPr>
          <w:rFonts w:ascii="MinionPro" w:eastAsia="Times New Roman" w:hAnsi="MinionPro" w:cs="Times New Roman"/>
          <w:sz w:val="22"/>
          <w:szCs w:val="22"/>
        </w:rPr>
        <w:t xml:space="preserve"> &amp; Gong, </w:t>
      </w:r>
      <w:r w:rsidRPr="000C5CC9">
        <w:rPr>
          <w:rFonts w:ascii="MinionPro" w:eastAsia="Times New Roman" w:hAnsi="MinionPro" w:cs="Times New Roman"/>
          <w:color w:val="00007F"/>
          <w:sz w:val="22"/>
          <w:szCs w:val="22"/>
        </w:rPr>
        <w:t>2009</w:t>
      </w:r>
      <w:r w:rsidRPr="000C5CC9">
        <w:rPr>
          <w:rFonts w:ascii="MinionPro" w:eastAsia="Times New Roman" w:hAnsi="MinionPro" w:cs="Times New Roman"/>
          <w:sz w:val="22"/>
          <w:szCs w:val="22"/>
        </w:rPr>
        <w:t xml:space="preserve">), especially as it requires extra e ort and complete coordination across the organization; meaning that managers and accountants have to take their time out of their daily activities to assist in the ABC procedures. Also, ABC only incorporates operating costs into revenue </w:t>
      </w:r>
      <w:r>
        <w:rPr>
          <w:rFonts w:ascii="MinionPro" w:eastAsia="Times New Roman" w:hAnsi="MinionPro" w:cs="Times New Roman"/>
          <w:sz w:val="22"/>
          <w:szCs w:val="22"/>
        </w:rPr>
        <w:t>fi</w:t>
      </w:r>
      <w:r w:rsidRPr="000C5CC9">
        <w:rPr>
          <w:rFonts w:ascii="MinionPro" w:eastAsia="Times New Roman" w:hAnsi="MinionPro" w:cs="Times New Roman"/>
          <w:sz w:val="22"/>
          <w:szCs w:val="22"/>
        </w:rPr>
        <w:t>gures. It ignores the value of wasted use of services that should be allocated to di</w:t>
      </w:r>
      <w:r>
        <w:rPr>
          <w:rFonts w:ascii="MinionPro" w:eastAsia="Times New Roman" w:hAnsi="MinionPro" w:cs="Times New Roman"/>
          <w:sz w:val="22"/>
          <w:szCs w:val="22"/>
        </w:rPr>
        <w:t>ff</w:t>
      </w:r>
      <w:r w:rsidRPr="000C5CC9">
        <w:rPr>
          <w:rFonts w:ascii="MinionPro" w:eastAsia="Times New Roman" w:hAnsi="MinionPro" w:cs="Times New Roman"/>
          <w:sz w:val="22"/>
          <w:szCs w:val="22"/>
        </w:rPr>
        <w:t>erent cost items (</w:t>
      </w:r>
      <w:proofErr w:type="spellStart"/>
      <w:r w:rsidRPr="000C5CC9">
        <w:rPr>
          <w:rFonts w:ascii="MinionPro" w:eastAsia="Times New Roman" w:hAnsi="MinionPro" w:cs="Times New Roman"/>
          <w:sz w:val="22"/>
          <w:szCs w:val="22"/>
        </w:rPr>
        <w:t>Dalci</w:t>
      </w:r>
      <w:proofErr w:type="spellEnd"/>
      <w:r w:rsidRPr="000C5CC9">
        <w:rPr>
          <w:rFonts w:ascii="MinionPro" w:eastAsia="Times New Roman" w:hAnsi="MinionPro" w:cs="Times New Roman"/>
          <w:sz w:val="22"/>
          <w:szCs w:val="22"/>
        </w:rPr>
        <w:t xml:space="preserve"> et al., </w:t>
      </w:r>
      <w:r w:rsidRPr="000C5CC9">
        <w:rPr>
          <w:rFonts w:ascii="MinionPro" w:eastAsia="Times New Roman" w:hAnsi="MinionPro" w:cs="Times New Roman"/>
          <w:color w:val="00007F"/>
          <w:sz w:val="22"/>
          <w:szCs w:val="22"/>
        </w:rPr>
        <w:t>2010</w:t>
      </w:r>
      <w:r w:rsidRPr="000C5CC9">
        <w:rPr>
          <w:rFonts w:ascii="MinionPro" w:eastAsia="Times New Roman" w:hAnsi="MinionPro" w:cs="Times New Roman"/>
          <w:sz w:val="22"/>
          <w:szCs w:val="22"/>
        </w:rPr>
        <w:t>). In addition to overstating overhead costs for the purposes of decision-making . Thus, the information gained from implementing activity-based costing is not suitable to ensure the decisions of maintaining or enhancing long-term pro</w:t>
      </w:r>
      <w:r>
        <w:rPr>
          <w:rFonts w:ascii="MinionPro" w:eastAsia="Times New Roman" w:hAnsi="MinionPro" w:cs="Times New Roman"/>
          <w:sz w:val="22"/>
          <w:szCs w:val="22"/>
        </w:rPr>
        <w:t>fi</w:t>
      </w:r>
      <w:r w:rsidRPr="000C5CC9">
        <w:rPr>
          <w:rFonts w:ascii="MinionPro" w:eastAsia="Times New Roman" w:hAnsi="MinionPro" w:cs="Times New Roman"/>
          <w:sz w:val="22"/>
          <w:szCs w:val="22"/>
        </w:rPr>
        <w:t xml:space="preserve">tability (Chen et al., </w:t>
      </w:r>
      <w:r w:rsidRPr="000C5CC9">
        <w:rPr>
          <w:rFonts w:ascii="MinionPro" w:eastAsia="Times New Roman" w:hAnsi="MinionPro" w:cs="Times New Roman"/>
          <w:color w:val="00007F"/>
          <w:sz w:val="22"/>
          <w:szCs w:val="22"/>
        </w:rPr>
        <w:t>2013</w:t>
      </w:r>
      <w:r w:rsidRPr="000C5CC9">
        <w:rPr>
          <w:rFonts w:ascii="MinionPro" w:eastAsia="Times New Roman" w:hAnsi="MinionPro" w:cs="Times New Roman"/>
          <w:sz w:val="22"/>
          <w:szCs w:val="22"/>
        </w:rPr>
        <w:t xml:space="preserve">). </w:t>
      </w:r>
    </w:p>
    <w:p w:rsidR="000C5CC9" w:rsidRPr="000C5CC9" w:rsidRDefault="000C5CC9" w:rsidP="000C5CC9">
      <w:pPr>
        <w:spacing w:before="100" w:beforeAutospacing="1" w:after="100" w:afterAutospacing="1"/>
        <w:rPr>
          <w:rFonts w:ascii="Times New Roman" w:eastAsia="Times New Roman" w:hAnsi="Times New Roman" w:cs="Times New Roman"/>
        </w:rPr>
      </w:pPr>
      <w:r w:rsidRPr="000C5CC9">
        <w:rPr>
          <w:rFonts w:ascii="MyriadPro" w:eastAsia="Times New Roman" w:hAnsi="MyriadPro" w:cs="Times New Roman"/>
          <w:b/>
          <w:bCs/>
          <w:i/>
          <w:iCs/>
          <w:color w:val="0F117C"/>
          <w:sz w:val="22"/>
          <w:szCs w:val="22"/>
        </w:rPr>
        <w:t xml:space="preserve">Time-Driven Activity-based Costing (TDABC) </w:t>
      </w:r>
    </w:p>
    <w:p w:rsidR="000C5CC9" w:rsidRDefault="000C5CC9" w:rsidP="000C5CC9">
      <w:pPr>
        <w:spacing w:before="100" w:beforeAutospacing="1" w:after="100" w:afterAutospacing="1"/>
        <w:rPr>
          <w:rFonts w:ascii="MinionPro" w:eastAsia="Times New Roman" w:hAnsi="MinionPro" w:cs="Times New Roman"/>
          <w:sz w:val="22"/>
          <w:szCs w:val="22"/>
        </w:rPr>
      </w:pPr>
      <w:r w:rsidRPr="000C5CC9">
        <w:rPr>
          <w:rFonts w:ascii="MinionPro" w:eastAsia="Times New Roman" w:hAnsi="MinionPro" w:cs="Times New Roman"/>
          <w:sz w:val="22"/>
          <w:szCs w:val="22"/>
        </w:rPr>
        <w:t>TDABC is an emerging alternative costing technique that addresses all the limitations of the traditional ABC. Under traditional ABC, each activity consumes the same resources, while the key idea of TDABC is based on measuring the time consumed to accomplish each activity, then the key basis of TDABC simply gives more e c</w:t>
      </w:r>
      <w:r w:rsidR="00BE5A8B">
        <w:rPr>
          <w:rFonts w:ascii="MinionPro" w:eastAsia="Times New Roman" w:hAnsi="MinionPro" w:cs="Times New Roman"/>
          <w:sz w:val="22"/>
          <w:szCs w:val="22"/>
        </w:rPr>
        <w:t>l</w:t>
      </w:r>
      <w:r w:rsidRPr="000C5CC9">
        <w:rPr>
          <w:rFonts w:ascii="MinionPro" w:eastAsia="Times New Roman" w:hAnsi="MinionPro" w:cs="Times New Roman"/>
          <w:sz w:val="22"/>
          <w:szCs w:val="22"/>
        </w:rPr>
        <w:t xml:space="preserve">ient estimate than the traditional ABC method (Kaplan &amp; Anderson, </w:t>
      </w:r>
      <w:r w:rsidRPr="000C5CC9">
        <w:rPr>
          <w:rFonts w:ascii="MinionPro" w:eastAsia="Times New Roman" w:hAnsi="MinionPro" w:cs="Times New Roman"/>
          <w:color w:val="00007F"/>
          <w:sz w:val="22"/>
          <w:szCs w:val="22"/>
        </w:rPr>
        <w:t>2013</w:t>
      </w:r>
      <w:r w:rsidRPr="000C5CC9">
        <w:rPr>
          <w:rFonts w:ascii="MinionPro" w:eastAsia="Times New Roman" w:hAnsi="MinionPro" w:cs="Times New Roman"/>
          <w:sz w:val="22"/>
          <w:szCs w:val="22"/>
        </w:rPr>
        <w:t xml:space="preserve">, </w:t>
      </w:r>
      <w:r w:rsidRPr="000C5CC9">
        <w:rPr>
          <w:rFonts w:ascii="MinionPro" w:eastAsia="Times New Roman" w:hAnsi="MinionPro" w:cs="Times New Roman"/>
          <w:color w:val="00007F"/>
          <w:sz w:val="22"/>
          <w:szCs w:val="22"/>
        </w:rPr>
        <w:t>2004</w:t>
      </w:r>
      <w:r w:rsidRPr="000C5CC9">
        <w:rPr>
          <w:rFonts w:ascii="MinionPro" w:eastAsia="Times New Roman" w:hAnsi="MinionPro" w:cs="Times New Roman"/>
          <w:sz w:val="22"/>
          <w:szCs w:val="22"/>
        </w:rPr>
        <w:t xml:space="preserve">; Kaplan &amp; Porter, </w:t>
      </w:r>
      <w:r w:rsidRPr="000C5CC9">
        <w:rPr>
          <w:rFonts w:ascii="MinionPro" w:eastAsia="Times New Roman" w:hAnsi="MinionPro" w:cs="Times New Roman"/>
          <w:color w:val="00007F"/>
          <w:sz w:val="22"/>
          <w:szCs w:val="22"/>
        </w:rPr>
        <w:t>2011</w:t>
      </w:r>
      <w:r w:rsidRPr="000C5CC9">
        <w:rPr>
          <w:rFonts w:ascii="MinionPro" w:eastAsia="Times New Roman" w:hAnsi="MinionPro" w:cs="Times New Roman"/>
          <w:sz w:val="22"/>
          <w:szCs w:val="22"/>
        </w:rPr>
        <w:t xml:space="preserve">) – see </w:t>
      </w:r>
      <w:r w:rsidRPr="000C5CC9">
        <w:rPr>
          <w:rFonts w:ascii="MinionPro" w:eastAsia="Times New Roman" w:hAnsi="MinionPro" w:cs="Times New Roman"/>
          <w:color w:val="00007F"/>
          <w:sz w:val="22"/>
          <w:szCs w:val="22"/>
        </w:rPr>
        <w:t>Table 1</w:t>
      </w:r>
      <w:r w:rsidRPr="000C5CC9">
        <w:rPr>
          <w:rFonts w:ascii="MinionPro" w:eastAsia="Times New Roman" w:hAnsi="MinionPro" w:cs="Times New Roman"/>
          <w:sz w:val="22"/>
          <w:szCs w:val="22"/>
        </w:rPr>
        <w:t xml:space="preserve">. However, TDABC has been little investigated in academic studies (Gervais et al., </w:t>
      </w:r>
      <w:r w:rsidRPr="000C5CC9">
        <w:rPr>
          <w:rFonts w:ascii="MinionPro" w:eastAsia="Times New Roman" w:hAnsi="MinionPro" w:cs="Times New Roman"/>
          <w:color w:val="00007F"/>
          <w:sz w:val="22"/>
          <w:szCs w:val="22"/>
        </w:rPr>
        <w:t>2010</w:t>
      </w:r>
      <w:r w:rsidRPr="000C5CC9">
        <w:rPr>
          <w:rFonts w:ascii="MinionPro" w:eastAsia="Times New Roman" w:hAnsi="MinionPro" w:cs="Times New Roman"/>
          <w:sz w:val="22"/>
          <w:szCs w:val="22"/>
        </w:rPr>
        <w:t>). More speci</w:t>
      </w:r>
      <w:r w:rsidR="0040086C">
        <w:rPr>
          <w:rFonts w:ascii="MinionPro" w:eastAsia="Times New Roman" w:hAnsi="MinionPro" w:cs="Times New Roman"/>
          <w:sz w:val="22"/>
          <w:szCs w:val="22"/>
        </w:rPr>
        <w:t>fi</w:t>
      </w:r>
      <w:r w:rsidRPr="000C5CC9">
        <w:rPr>
          <w:rFonts w:ascii="MinionPro" w:eastAsia="Times New Roman" w:hAnsi="MinionPro" w:cs="Times New Roman"/>
          <w:sz w:val="22"/>
          <w:szCs w:val="22"/>
        </w:rPr>
        <w:t>cally, although most of these studies are conducted in service businesses and showed more reliable cost analysis, there a signi</w:t>
      </w:r>
      <w:r>
        <w:rPr>
          <w:rFonts w:ascii="MinionPro" w:eastAsia="Times New Roman" w:hAnsi="MinionPro" w:cs="Times New Roman"/>
          <w:sz w:val="22"/>
          <w:szCs w:val="22"/>
        </w:rPr>
        <w:t>fi</w:t>
      </w:r>
      <w:r w:rsidRPr="000C5CC9">
        <w:rPr>
          <w:rFonts w:ascii="MinionPro" w:eastAsia="Times New Roman" w:hAnsi="MinionPro" w:cs="Times New Roman"/>
          <w:sz w:val="22"/>
          <w:szCs w:val="22"/>
        </w:rPr>
        <w:t xml:space="preserve">cant lack in applying TDABC in restaurants . </w:t>
      </w:r>
    </w:p>
    <w:p w:rsidR="000D32F4" w:rsidRPr="00DD70F7" w:rsidRDefault="00BE5A8B"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sz w:val="22"/>
          <w:szCs w:val="22"/>
          <w:u w:val="single"/>
        </w:rPr>
        <w:t xml:space="preserve">      </w:t>
      </w:r>
      <w:r w:rsidR="00DD70F7" w:rsidRPr="00DD70F7">
        <w:rPr>
          <w:rFonts w:ascii="MinionPro" w:eastAsia="Times New Roman" w:hAnsi="MinionPro" w:cs="Times New Roman"/>
          <w:sz w:val="22"/>
          <w:szCs w:val="22"/>
          <w:u w:val="single"/>
        </w:rPr>
        <w:t>Table1. A simple distinction between TDABC, ABC, and traditional methods of costing</w:t>
      </w:r>
      <w:r w:rsidR="00DD70F7">
        <w:rPr>
          <w:rFonts w:ascii="MinionPro" w:eastAsia="Times New Roman" w:hAnsi="MinionPro" w:cs="Times New Roman"/>
          <w:sz w:val="22"/>
          <w:szCs w:val="22"/>
        </w:rPr>
        <w:t>.</w:t>
      </w:r>
    </w:p>
    <w:tbl>
      <w:tblPr>
        <w:tblStyle w:val="TableGrid"/>
        <w:tblW w:w="9368" w:type="dxa"/>
        <w:tblLook w:val="04A0" w:firstRow="1" w:lastRow="0" w:firstColumn="1" w:lastColumn="0" w:noHBand="0" w:noVBand="1"/>
      </w:tblPr>
      <w:tblGrid>
        <w:gridCol w:w="2342"/>
        <w:gridCol w:w="2342"/>
        <w:gridCol w:w="2342"/>
        <w:gridCol w:w="2342"/>
      </w:tblGrid>
      <w:tr w:rsidR="0040086C" w:rsidTr="0040086C">
        <w:trPr>
          <w:trHeight w:val="275"/>
        </w:trPr>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p>
        </w:tc>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 xml:space="preserve">      TDABC</w:t>
            </w:r>
          </w:p>
        </w:tc>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 xml:space="preserve">             ABC</w:t>
            </w:r>
          </w:p>
        </w:tc>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Traditional costing</w:t>
            </w:r>
          </w:p>
        </w:tc>
      </w:tr>
      <w:tr w:rsidR="0040086C" w:rsidTr="0040086C">
        <w:trPr>
          <w:trHeight w:val="275"/>
        </w:trPr>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Concept</w:t>
            </w:r>
          </w:p>
        </w:tc>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An integration with value stream methodology.</w:t>
            </w:r>
          </w:p>
        </w:tc>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Assigning costs to activities, then to cost objects.</w:t>
            </w:r>
          </w:p>
        </w:tc>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Costs are allocated on the basis of the volume.</w:t>
            </w:r>
          </w:p>
        </w:tc>
      </w:tr>
      <w:tr w:rsidR="0040086C" w:rsidTr="0040086C">
        <w:trPr>
          <w:trHeight w:val="275"/>
        </w:trPr>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Cost pools</w:t>
            </w:r>
          </w:p>
        </w:tc>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Less accounting transactions.</w:t>
            </w:r>
          </w:p>
        </w:tc>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Intensive financial measures.</w:t>
            </w:r>
          </w:p>
        </w:tc>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A limited number of cost pools.</w:t>
            </w:r>
          </w:p>
        </w:tc>
      </w:tr>
      <w:tr w:rsidR="0040086C" w:rsidTr="0040086C">
        <w:trPr>
          <w:trHeight w:val="275"/>
        </w:trPr>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Cost drivers</w:t>
            </w:r>
          </w:p>
        </w:tc>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Accurate computation of product unit costs.</w:t>
            </w:r>
          </w:p>
        </w:tc>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Multiple cost drivers.</w:t>
            </w:r>
          </w:p>
        </w:tc>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Few cost</w:t>
            </w:r>
            <w:r w:rsidR="001A69B8">
              <w:rPr>
                <w:rFonts w:ascii="MinionPro" w:eastAsia="Times New Roman" w:hAnsi="MinionPro" w:cs="Times New Roman"/>
                <w:b/>
                <w:sz w:val="22"/>
                <w:szCs w:val="22"/>
              </w:rPr>
              <w:t xml:space="preserve"> drivers.</w:t>
            </w:r>
          </w:p>
        </w:tc>
      </w:tr>
      <w:tr w:rsidR="0040086C" w:rsidTr="0040086C">
        <w:trPr>
          <w:trHeight w:val="275"/>
        </w:trPr>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Focus</w:t>
            </w:r>
          </w:p>
        </w:tc>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Managing value resources.</w:t>
            </w:r>
          </w:p>
        </w:tc>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Managing the cost impact of cross-functional activities.</w:t>
            </w:r>
          </w:p>
        </w:tc>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Managing departmental costs.</w:t>
            </w:r>
          </w:p>
        </w:tc>
      </w:tr>
      <w:tr w:rsidR="0040086C" w:rsidTr="0040086C">
        <w:trPr>
          <w:trHeight w:val="265"/>
        </w:trPr>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Decision making</w:t>
            </w:r>
          </w:p>
        </w:tc>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Relating to value product and process level.</w:t>
            </w:r>
          </w:p>
        </w:tc>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Relating to the product level.</w:t>
            </w:r>
          </w:p>
        </w:tc>
        <w:tc>
          <w:tcPr>
            <w:tcW w:w="2342" w:type="dxa"/>
          </w:tcPr>
          <w:p w:rsidR="0040086C" w:rsidRDefault="0040086C"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sz w:val="22"/>
                <w:szCs w:val="22"/>
              </w:rPr>
              <w:t>Relating to cost level.</w:t>
            </w:r>
          </w:p>
        </w:tc>
      </w:tr>
    </w:tbl>
    <w:p w:rsidR="00DD70F7" w:rsidRPr="00DD70F7" w:rsidRDefault="001A69B8" w:rsidP="000C5CC9">
      <w:pPr>
        <w:spacing w:before="100" w:beforeAutospacing="1" w:after="100" w:afterAutospacing="1"/>
        <w:rPr>
          <w:rFonts w:ascii="MinionPro" w:eastAsia="Times New Roman" w:hAnsi="MinionPro" w:cs="Times New Roman"/>
          <w:b/>
          <w:sz w:val="22"/>
          <w:szCs w:val="22"/>
        </w:rPr>
      </w:pPr>
      <w:r>
        <w:rPr>
          <w:rFonts w:ascii="MinionPro" w:eastAsia="Times New Roman" w:hAnsi="MinionPro" w:cs="Times New Roman"/>
          <w:b/>
          <w:noProof/>
          <w:sz w:val="22"/>
          <w:szCs w:val="22"/>
        </w:rPr>
        <mc:AlternateContent>
          <mc:Choice Requires="wps">
            <w:drawing>
              <wp:anchor distT="0" distB="0" distL="114300" distR="114300" simplePos="0" relativeHeight="251659264" behindDoc="0" locked="0" layoutInCell="1" allowOverlap="1">
                <wp:simplePos x="0" y="0"/>
                <wp:positionH relativeFrom="column">
                  <wp:posOffset>2483893</wp:posOffset>
                </wp:positionH>
                <wp:positionV relativeFrom="paragraph">
                  <wp:posOffset>168284</wp:posOffset>
                </wp:positionV>
                <wp:extent cx="613400" cy="293427"/>
                <wp:effectExtent l="0" t="0" r="9525" b="11430"/>
                <wp:wrapNone/>
                <wp:docPr id="2" name="Rectangle 2"/>
                <wp:cNvGraphicFramePr/>
                <a:graphic xmlns:a="http://schemas.openxmlformats.org/drawingml/2006/main">
                  <a:graphicData uri="http://schemas.microsoft.com/office/word/2010/wordprocessingShape">
                    <wps:wsp>
                      <wps:cNvSpPr/>
                      <wps:spPr>
                        <a:xfrm>
                          <a:off x="0" y="0"/>
                          <a:ext cx="613400" cy="29342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A69B8" w:rsidRPr="001A69B8" w:rsidRDefault="001A69B8" w:rsidP="001A69B8">
                            <w:pPr>
                              <w:rPr>
                                <w:lang w:val="en-CA"/>
                              </w:rPr>
                            </w:pPr>
                            <w:r>
                              <w:rPr>
                                <w:lang w:val="en-CA"/>
                              </w:rPr>
                              <w:t>Inputs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195.6pt;margin-top:13.25pt;width:48.3pt;height:2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" fillcolor="#4472c4 [3204]" strokecolor="#1f3763 [1604]" strokeweight="1pt">
                <v:textbox>
                  <w:txbxContent>
                    <w:p w:rsidR="001A69B8" w:rsidRPr="001A69B8" w:rsidRDefault="001A69B8" w:rsidP="001A69B8">
                      <w:pPr>
                        <w:rPr>
                          <w:lang w:val="en-CA"/>
                        </w:rPr>
                      </w:pPr>
                      <w:r>
                        <w:rPr>
                          <w:lang w:val="en-CA"/>
                        </w:rPr>
                        <w:t>Inputs</w:t>
                      </w:r>
                    </w:p>
                  </w:txbxContent>
                </v:textbox>
              </v:rect>
            </w:pict>
          </mc:Fallback>
        </mc:AlternateContent>
      </w:r>
      <w:r>
        <w:rPr>
          <w:rFonts w:ascii="MinionPro" w:eastAsia="Times New Roman" w:hAnsi="MinionPro" w:cs="Times New Roman"/>
          <w:b/>
          <w:sz w:val="22"/>
          <w:szCs w:val="22"/>
        </w:rPr>
        <w:t xml:space="preserve">                                                          </w:t>
      </w:r>
    </w:p>
    <w:p w:rsidR="00DD70F7" w:rsidRDefault="001A69B8" w:rsidP="000C5CC9">
      <w:pPr>
        <w:spacing w:before="100" w:beforeAutospacing="1" w:after="100" w:afterAutospacing="1"/>
        <w:rPr>
          <w:rFonts w:ascii="MinionPro" w:eastAsia="Times New Roman" w:hAnsi="MinionPro" w:cs="Times New Roman"/>
          <w:sz w:val="22"/>
          <w:szCs w:val="22"/>
        </w:rPr>
      </w:pPr>
      <w:r>
        <w:rPr>
          <w:rFonts w:ascii="MinionPro" w:eastAsia="Times New Roman" w:hAnsi="MinionPro" w:cs="Times New Roman"/>
          <w:noProof/>
          <w:sz w:val="22"/>
          <w:szCs w:val="22"/>
        </w:rPr>
        <mc:AlternateContent>
          <mc:Choice Requires="wps">
            <w:drawing>
              <wp:anchor distT="0" distB="0" distL="114300" distR="114300" simplePos="0" relativeHeight="251660288" behindDoc="0" locked="0" layoutInCell="1" allowOverlap="1">
                <wp:simplePos x="0" y="0"/>
                <wp:positionH relativeFrom="column">
                  <wp:posOffset>1958274</wp:posOffset>
                </wp:positionH>
                <wp:positionV relativeFrom="paragraph">
                  <wp:posOffset>303530</wp:posOffset>
                </wp:positionV>
                <wp:extent cx="1705970" cy="511791"/>
                <wp:effectExtent l="0" t="0" r="8890" b="9525"/>
                <wp:wrapNone/>
                <wp:docPr id="3" name="Rectangle 3"/>
                <wp:cNvGraphicFramePr/>
                <a:graphic xmlns:a="http://schemas.openxmlformats.org/drawingml/2006/main">
                  <a:graphicData uri="http://schemas.microsoft.com/office/word/2010/wordprocessingShape">
                    <wps:wsp>
                      <wps:cNvSpPr/>
                      <wps:spPr>
                        <a:xfrm>
                          <a:off x="0" y="0"/>
                          <a:ext cx="1705970" cy="51179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A69B8" w:rsidRDefault="001A69B8" w:rsidP="001A69B8">
                            <w:pPr>
                              <w:jc w:val="center"/>
                              <w:rPr>
                                <w:lang w:val="en-CA"/>
                              </w:rPr>
                            </w:pPr>
                            <w:r>
                              <w:rPr>
                                <w:lang w:val="en-CA"/>
                              </w:rPr>
                              <w:t>Restaurant’s</w:t>
                            </w:r>
                            <w:r w:rsidR="00D4707A">
                              <w:rPr>
                                <w:lang w:val="en-CA"/>
                              </w:rPr>
                              <w:t xml:space="preserve"> </w:t>
                            </w:r>
                            <w:r>
                              <w:rPr>
                                <w:lang w:val="en-CA"/>
                              </w:rPr>
                              <w:t>resources</w:t>
                            </w:r>
                          </w:p>
                          <w:p w:rsidR="001A69B8" w:rsidRPr="001A69B8" w:rsidRDefault="00D4707A" w:rsidP="001A69B8">
                            <w:pPr>
                              <w:jc w:val="center"/>
                              <w:rPr>
                                <w:lang w:val="en-CA"/>
                              </w:rPr>
                            </w:pPr>
                            <w:r>
                              <w:rPr>
                                <w:lang w:val="en-CA"/>
                              </w:rPr>
                              <w:t>expenses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7" style="position:absolute;margin-left:154.2pt;margin-top:23.9pt;width:134.35pt;height:4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" fillcolor="#4472c4 [3204]" strokecolor="#1f3763 [1604]" strokeweight="1pt">
                <v:textbox>
                  <w:txbxContent>
                    <w:p w:rsidR="001A69B8" w:rsidRDefault="001A69B8" w:rsidP="001A69B8">
                      <w:pPr>
                        <w:jc w:val="center"/>
                        <w:rPr>
                          <w:lang w:val="en-CA"/>
                        </w:rPr>
                      </w:pPr>
                      <w:r>
                        <w:rPr>
                          <w:lang w:val="en-CA"/>
                        </w:rPr>
                        <w:t>Restaurant’s</w:t>
                      </w:r>
                      <w:r w:rsidR="00D4707A">
                        <w:rPr>
                          <w:lang w:val="en-CA"/>
                        </w:rPr>
                        <w:t xml:space="preserve"> </w:t>
                      </w:r>
                      <w:r>
                        <w:rPr>
                          <w:lang w:val="en-CA"/>
                        </w:rPr>
                        <w:t>resources</w:t>
                      </w:r>
                    </w:p>
                    <w:p w:rsidR="001A69B8" w:rsidRPr="001A69B8" w:rsidRDefault="00D4707A" w:rsidP="001A69B8">
                      <w:pPr>
                        <w:jc w:val="center"/>
                        <w:rPr>
                          <w:lang w:val="en-CA"/>
                        </w:rPr>
                      </w:pPr>
                      <w:r>
                        <w:rPr>
                          <w:lang w:val="en-CA"/>
                        </w:rPr>
                        <w:t>expenses</w:t>
                      </w:r>
                    </w:p>
                  </w:txbxContent>
                </v:textbox>
              </v:rect>
            </w:pict>
          </mc:Fallback>
        </mc:AlternateContent>
      </w:r>
      <w:r w:rsidR="00D4707A">
        <w:rPr>
          <w:rFonts w:ascii="MinionPro" w:eastAsia="Times New Roman" w:hAnsi="MinionPro" w:cs="Times New Roman"/>
          <w:sz w:val="22"/>
          <w:szCs w:val="22"/>
        </w:rPr>
        <w:t>Observation</w:t>
      </w:r>
      <w:r w:rsidR="00DD70F7">
        <w:rPr>
          <w:rFonts w:ascii="MinionPro" w:eastAsia="Times New Roman" w:hAnsi="MinionPro" w:cs="Times New Roman"/>
          <w:sz w:val="22"/>
          <w:szCs w:val="22"/>
        </w:rPr>
        <w:t xml:space="preserve">          </w:t>
      </w:r>
    </w:p>
    <w:p w:rsidR="001A69B8" w:rsidRDefault="00D4707A" w:rsidP="000C5CC9">
      <w:pPr>
        <w:spacing w:before="100" w:beforeAutospacing="1" w:after="100" w:afterAutospacing="1"/>
        <w:rPr>
          <w:rFonts w:ascii="MinionPro" w:eastAsia="Times New Roman" w:hAnsi="MinionPro" w:cs="Times New Roman"/>
          <w:sz w:val="22"/>
          <w:szCs w:val="22"/>
        </w:rPr>
      </w:pPr>
      <w:bookmarkStart w:id="0" w:name="_GoBack"/>
      <w:bookmarkEnd w:id="0"/>
      <w:r>
        <w:rPr>
          <w:rFonts w:ascii="MinionPro" w:eastAsia="Times New Roman" w:hAnsi="MinionPro" w:cs="Times New Roman"/>
          <w:sz w:val="22"/>
          <w:szCs w:val="22"/>
        </w:rPr>
        <w:t>Bookkeeping</w:t>
      </w:r>
    </w:p>
    <w:p w:rsidR="001A69B8" w:rsidRDefault="00D4707A" w:rsidP="000C5CC9">
      <w:pPr>
        <w:spacing w:before="100" w:beforeAutospacing="1" w:after="100" w:afterAutospacing="1"/>
        <w:rPr>
          <w:rFonts w:ascii="MinionPro" w:eastAsia="Times New Roman" w:hAnsi="MinionPro" w:cs="Times New Roman"/>
          <w:sz w:val="22"/>
          <w:szCs w:val="22"/>
        </w:rPr>
      </w:pPr>
      <w:r>
        <w:rPr>
          <w:rFonts w:ascii="MinionPro" w:eastAsia="Times New Roman" w:hAnsi="MinionPro" w:cs="Times New Roman"/>
          <w:noProof/>
          <w:sz w:val="22"/>
          <w:szCs w:val="22"/>
        </w:rPr>
        <mc:AlternateContent>
          <mc:Choice Requires="wps">
            <w:drawing>
              <wp:anchor distT="0" distB="0" distL="114300" distR="114300" simplePos="0" relativeHeight="251664384" behindDoc="0" locked="0" layoutInCell="1" allowOverlap="1">
                <wp:simplePos x="0" y="0"/>
                <wp:positionH relativeFrom="column">
                  <wp:posOffset>327546</wp:posOffset>
                </wp:positionH>
                <wp:positionV relativeFrom="paragraph">
                  <wp:posOffset>30120</wp:posOffset>
                </wp:positionV>
                <wp:extent cx="45719" cy="852985"/>
                <wp:effectExtent l="12700" t="0" r="31115" b="23495"/>
                <wp:wrapNone/>
                <wp:docPr id="7" name="Down Arrow 7"/>
                <wp:cNvGraphicFramePr/>
                <a:graphic xmlns:a="http://schemas.openxmlformats.org/drawingml/2006/main">
                  <a:graphicData uri="http://schemas.microsoft.com/office/word/2010/wordprocessingShape">
                    <wps:wsp>
                      <wps:cNvSpPr/>
                      <wps:spPr>
                        <a:xfrm>
                          <a:off x="0" y="0"/>
                          <a:ext cx="45719" cy="85298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648A18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7" o:spid="_x0000_s1026" type="#_x0000_t67" style="position:absolute;margin-left:25.8pt;margin-top:2.35pt;width:3.6pt;height:67.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" adj="21021" fillcolor="#4472c4 [3204]" strokecolor="#1f3763 [1604]" strokeweight="1pt"/>
            </w:pict>
          </mc:Fallback>
        </mc:AlternateContent>
      </w:r>
      <w:r w:rsidR="001A69B8">
        <w:rPr>
          <w:rFonts w:ascii="MinionPro" w:eastAsia="Times New Roman" w:hAnsi="MinionPro" w:cs="Times New Roman"/>
          <w:noProof/>
          <w:sz w:val="22"/>
          <w:szCs w:val="22"/>
        </w:rPr>
        <mc:AlternateContent>
          <mc:Choice Requires="wps">
            <w:drawing>
              <wp:anchor distT="0" distB="0" distL="114300" distR="114300" simplePos="0" relativeHeight="251661312" behindDoc="0" locked="0" layoutInCell="1" allowOverlap="1">
                <wp:simplePos x="0" y="0"/>
                <wp:positionH relativeFrom="column">
                  <wp:posOffset>1958454</wp:posOffset>
                </wp:positionH>
                <wp:positionV relativeFrom="paragraph">
                  <wp:posOffset>330371</wp:posOffset>
                </wp:positionV>
                <wp:extent cx="1705468" cy="464023"/>
                <wp:effectExtent l="0" t="0" r="9525" b="19050"/>
                <wp:wrapNone/>
                <wp:docPr id="4" name="Rectangle 4"/>
                <wp:cNvGraphicFramePr/>
                <a:graphic xmlns:a="http://schemas.openxmlformats.org/drawingml/2006/main">
                  <a:graphicData uri="http://schemas.microsoft.com/office/word/2010/wordprocessingShape">
                    <wps:wsp>
                      <wps:cNvSpPr/>
                      <wps:spPr>
                        <a:xfrm>
                          <a:off x="0" y="0"/>
                          <a:ext cx="1705468" cy="46402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4707A" w:rsidRPr="00D4707A" w:rsidRDefault="00D4707A" w:rsidP="00D4707A">
                            <w:pPr>
                              <w:jc w:val="center"/>
                              <w:rPr>
                                <w:lang w:val="en-CA"/>
                              </w:rPr>
                            </w:pPr>
                            <w:r>
                              <w:rPr>
                                <w:lang w:val="en-CA"/>
                              </w:rPr>
                              <w:t>Restaurant’s operations and activities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8" style="position:absolute;margin-left:154.2pt;margin-top:26pt;width:134.3pt;height:3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" fillcolor="#4472c4 [3204]" strokecolor="#1f3763 [1604]" strokeweight="1pt">
                <v:textbox>
                  <w:txbxContent>
                    <w:p w:rsidR="00D4707A" w:rsidRPr="00D4707A" w:rsidRDefault="00D4707A" w:rsidP="00D4707A">
                      <w:pPr>
                        <w:jc w:val="center"/>
                        <w:rPr>
                          <w:lang w:val="en-CA"/>
                        </w:rPr>
                      </w:pPr>
                      <w:r>
                        <w:rPr>
                          <w:lang w:val="en-CA"/>
                        </w:rPr>
                        <w:t>Restaurant’s operations and activities</w:t>
                      </w:r>
                    </w:p>
                  </w:txbxContent>
                </v:textbox>
              </v:rect>
            </w:pict>
          </mc:Fallback>
        </mc:AlternateContent>
      </w:r>
    </w:p>
    <w:p w:rsidR="001A69B8" w:rsidRDefault="00D4707A" w:rsidP="000C5CC9">
      <w:pPr>
        <w:spacing w:before="100" w:beforeAutospacing="1" w:after="100" w:afterAutospacing="1"/>
        <w:rPr>
          <w:rFonts w:ascii="MinionPro" w:eastAsia="Times New Roman" w:hAnsi="MinionPro" w:cs="Times New Roman"/>
          <w:sz w:val="22"/>
          <w:szCs w:val="22"/>
        </w:rPr>
      </w:pPr>
      <w:r>
        <w:rPr>
          <w:rFonts w:ascii="MinionPro" w:eastAsia="Times New Roman" w:hAnsi="MinionPro" w:cs="Times New Roman"/>
          <w:noProof/>
          <w:sz w:val="22"/>
          <w:szCs w:val="22"/>
        </w:rPr>
        <mc:AlternateContent>
          <mc:Choice Requires="wps">
            <w:drawing>
              <wp:anchor distT="0" distB="0" distL="114300" distR="114300" simplePos="0" relativeHeight="251663360" behindDoc="0" locked="0" layoutInCell="1" allowOverlap="1">
                <wp:simplePos x="0" y="0"/>
                <wp:positionH relativeFrom="column">
                  <wp:posOffset>-1453486</wp:posOffset>
                </wp:positionH>
                <wp:positionV relativeFrom="paragraph">
                  <wp:posOffset>650023</wp:posOffset>
                </wp:positionV>
                <wp:extent cx="8508858" cy="45719"/>
                <wp:effectExtent l="0" t="0" r="0" b="5715"/>
                <wp:wrapNone/>
                <wp:docPr id="6" name="Minus 6"/>
                <wp:cNvGraphicFramePr/>
                <a:graphic xmlns:a="http://schemas.openxmlformats.org/drawingml/2006/main">
                  <a:graphicData uri="http://schemas.microsoft.com/office/word/2010/wordprocessingShape">
                    <wps:wsp>
                      <wps:cNvSpPr/>
                      <wps:spPr>
                        <a:xfrm>
                          <a:off x="0" y="0"/>
                          <a:ext cx="8508858" cy="45719"/>
                        </a:xfrm>
                        <a:prstGeom prst="mathMin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986BAA" id="Minus 6" o:spid="_x0000_s1026" style="position:absolute;margin-left:-114.45pt;margin-top:51.2pt;width:670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508858,4571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" path="m1127849,17483r6253160,l7381009,28236r-6253160,l1127849,17483xe" fillcolor="#4472c4 [3204]" strokecolor="#1f3763 [1604]" strokeweight="1pt">
                <v:stroke joinstyle="miter"/>
                <v:path arrowok="t" o:connecttype="custom" o:connectlocs="1127849,17483;7381009,17483;7381009,28236;1127849,28236;1127849,17483" o:connectangles="0,0,0,0,0"/>
              </v:shape>
            </w:pict>
          </mc:Fallback>
        </mc:AlternateContent>
      </w:r>
      <w:r w:rsidR="001A69B8">
        <w:rPr>
          <w:rFonts w:ascii="MinionPro" w:eastAsia="Times New Roman" w:hAnsi="MinionPro" w:cs="Times New Roman"/>
          <w:noProof/>
          <w:sz w:val="22"/>
          <w:szCs w:val="22"/>
        </w:rPr>
        <mc:AlternateContent>
          <mc:Choice Requires="wps">
            <w:drawing>
              <wp:anchor distT="0" distB="0" distL="114300" distR="114300" simplePos="0" relativeHeight="251662336" behindDoc="0" locked="0" layoutInCell="1" allowOverlap="1">
                <wp:simplePos x="0" y="0"/>
                <wp:positionH relativeFrom="column">
                  <wp:posOffset>2033270</wp:posOffset>
                </wp:positionH>
                <wp:positionV relativeFrom="paragraph">
                  <wp:posOffset>909358</wp:posOffset>
                </wp:positionV>
                <wp:extent cx="1569492" cy="457200"/>
                <wp:effectExtent l="0" t="0" r="18415" b="12700"/>
                <wp:wrapNone/>
                <wp:docPr id="5" name="Rectangle 5"/>
                <wp:cNvGraphicFramePr/>
                <a:graphic xmlns:a="http://schemas.openxmlformats.org/drawingml/2006/main">
                  <a:graphicData uri="http://schemas.microsoft.com/office/word/2010/wordprocessingShape">
                    <wps:wsp>
                      <wps:cNvSpPr/>
                      <wps:spPr>
                        <a:xfrm>
                          <a:off x="0" y="0"/>
                          <a:ext cx="1569492"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4707A" w:rsidRPr="00D4707A" w:rsidRDefault="00D4707A" w:rsidP="00D4707A">
                            <w:pPr>
                              <w:jc w:val="center"/>
                              <w:rPr>
                                <w:lang w:val="en-CA"/>
                              </w:rPr>
                            </w:pPr>
                            <w:r>
                              <w:rPr>
                                <w:lang w:val="en-CA"/>
                              </w:rPr>
                              <w:t>The cost of processes and work activities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9" style="position:absolute;margin-left:160.1pt;margin-top:71.6pt;width:123.6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" fillcolor="#4472c4 [3204]" strokecolor="#1f3763 [1604]" strokeweight="1pt">
                <v:textbox>
                  <w:txbxContent>
                    <w:p w:rsidR="00D4707A" w:rsidRPr="00D4707A" w:rsidRDefault="00D4707A" w:rsidP="00D4707A">
                      <w:pPr>
                        <w:jc w:val="center"/>
                        <w:rPr>
                          <w:lang w:val="en-CA"/>
                        </w:rPr>
                      </w:pPr>
                      <w:r>
                        <w:rPr>
                          <w:lang w:val="en-CA"/>
                        </w:rPr>
                        <w:t>The cost of processes and work activities</w:t>
                      </w:r>
                    </w:p>
                  </w:txbxContent>
                </v:textbox>
              </v:rect>
            </w:pict>
          </mc:Fallback>
        </mc:AlternateContent>
      </w:r>
    </w:p>
    <w:p w:rsidR="009A23F4" w:rsidRDefault="009A23F4" w:rsidP="009A23F4">
      <w:pPr>
        <w:pStyle w:val="NormalWeb"/>
      </w:pPr>
      <w:r>
        <w:rPr>
          <w:rFonts w:ascii="MinionPro" w:hAnsi="MinionPro"/>
          <w:sz w:val="22"/>
          <w:szCs w:val="22"/>
        </w:rPr>
        <w:lastRenderedPageBreak/>
        <w:t>In his study about the practicability of TDABC on restaurants’ pro</w:t>
      </w:r>
      <w:r w:rsidR="00BE5A8B">
        <w:rPr>
          <w:rFonts w:ascii="MinionPro" w:hAnsi="MinionPro"/>
          <w:sz w:val="22"/>
          <w:szCs w:val="22"/>
        </w:rPr>
        <w:t>fi</w:t>
      </w:r>
      <w:r>
        <w:rPr>
          <w:rFonts w:ascii="MinionPro" w:hAnsi="MinionPro"/>
          <w:sz w:val="22"/>
          <w:szCs w:val="22"/>
        </w:rPr>
        <w:t xml:space="preserve">tability, </w:t>
      </w:r>
      <w:proofErr w:type="spellStart"/>
      <w:r>
        <w:rPr>
          <w:rFonts w:ascii="MinionPro" w:hAnsi="MinionPro"/>
          <w:sz w:val="22"/>
          <w:szCs w:val="22"/>
        </w:rPr>
        <w:t>Terungwa</w:t>
      </w:r>
      <w:proofErr w:type="spellEnd"/>
      <w:r>
        <w:rPr>
          <w:rFonts w:ascii="MinionPro" w:hAnsi="MinionPro"/>
          <w:sz w:val="22"/>
          <w:szCs w:val="22"/>
        </w:rPr>
        <w:t xml:space="preserve"> (</w:t>
      </w:r>
      <w:r>
        <w:rPr>
          <w:rFonts w:ascii="MinionPro" w:hAnsi="MinionPro"/>
          <w:color w:val="00007F"/>
          <w:sz w:val="22"/>
          <w:szCs w:val="22"/>
        </w:rPr>
        <w:t>2012</w:t>
      </w:r>
      <w:r>
        <w:rPr>
          <w:rFonts w:ascii="MinionPro" w:hAnsi="MinionPro"/>
          <w:sz w:val="22"/>
          <w:szCs w:val="22"/>
        </w:rPr>
        <w:t xml:space="preserve">) concluded that TDABC is an emerging management framework for good tactical business decisions. </w:t>
      </w:r>
    </w:p>
    <w:p w:rsidR="009A23F4" w:rsidRDefault="009A23F4" w:rsidP="009A23F4">
      <w:pPr>
        <w:pStyle w:val="NormalWeb"/>
      </w:pPr>
      <w:r>
        <w:rPr>
          <w:rFonts w:ascii="MinionPro" w:hAnsi="MinionPro"/>
          <w:sz w:val="22"/>
          <w:szCs w:val="22"/>
        </w:rPr>
        <w:t xml:space="preserve">TDABC uses the practical capacity measurable time to calculate the expenses of the committed resources in order to assign them to the cost items (Rude, </w:t>
      </w:r>
      <w:r>
        <w:rPr>
          <w:rFonts w:ascii="MinionPro" w:hAnsi="MinionPro"/>
          <w:color w:val="00007F"/>
          <w:sz w:val="22"/>
          <w:szCs w:val="22"/>
        </w:rPr>
        <w:t>2019</w:t>
      </w:r>
      <w:r>
        <w:rPr>
          <w:rFonts w:ascii="MinionPro" w:hAnsi="MinionPro"/>
          <w:sz w:val="22"/>
          <w:szCs w:val="22"/>
        </w:rPr>
        <w:t>). Kaplan and Anderson (</w:t>
      </w:r>
      <w:r>
        <w:rPr>
          <w:rFonts w:ascii="MinionPro" w:hAnsi="MinionPro"/>
          <w:color w:val="00007F"/>
          <w:sz w:val="22"/>
          <w:szCs w:val="22"/>
        </w:rPr>
        <w:t>2004</w:t>
      </w:r>
      <w:r>
        <w:rPr>
          <w:rFonts w:ascii="MinionPro" w:hAnsi="MinionPro"/>
          <w:sz w:val="22"/>
          <w:szCs w:val="22"/>
        </w:rPr>
        <w:t>) determined 80 −85% as the amount of practical capacity with the remaining being allocated to rest, meetings, and training sessions (</w:t>
      </w:r>
      <w:proofErr w:type="spellStart"/>
      <w:r>
        <w:rPr>
          <w:rFonts w:ascii="MinionPro" w:hAnsi="MinionPro"/>
          <w:sz w:val="22"/>
          <w:szCs w:val="22"/>
        </w:rPr>
        <w:t>Everaert</w:t>
      </w:r>
      <w:proofErr w:type="spellEnd"/>
      <w:r>
        <w:rPr>
          <w:rFonts w:ascii="MinionPro" w:hAnsi="MinionPro"/>
          <w:sz w:val="22"/>
          <w:szCs w:val="22"/>
        </w:rPr>
        <w:t xml:space="preserve"> et al., </w:t>
      </w:r>
      <w:r>
        <w:rPr>
          <w:rFonts w:ascii="MinionPro" w:hAnsi="MinionPro"/>
          <w:color w:val="00007F"/>
          <w:sz w:val="22"/>
          <w:szCs w:val="22"/>
        </w:rPr>
        <w:t>2012</w:t>
      </w:r>
      <w:r>
        <w:rPr>
          <w:rFonts w:ascii="MinionPro" w:hAnsi="MinionPro"/>
          <w:sz w:val="22"/>
          <w:szCs w:val="22"/>
        </w:rPr>
        <w:t xml:space="preserve">; Kaplan &amp; Anderson, </w:t>
      </w:r>
      <w:r>
        <w:rPr>
          <w:rFonts w:ascii="MinionPro" w:hAnsi="MinionPro"/>
          <w:color w:val="00007F"/>
          <w:sz w:val="22"/>
          <w:szCs w:val="22"/>
        </w:rPr>
        <w:t>2004</w:t>
      </w:r>
      <w:r>
        <w:rPr>
          <w:rFonts w:ascii="MinionPro" w:hAnsi="MinionPro"/>
          <w:sz w:val="22"/>
          <w:szCs w:val="22"/>
        </w:rPr>
        <w:t>). On this basis, it simply distinguishes both the “used capacity” and the “unused capacity”. Accordingly, activities can be de ned as either VAT or NVAT after anal</w:t>
      </w:r>
      <w:r w:rsidR="001A69B8">
        <w:rPr>
          <w:rFonts w:ascii="MinionPro" w:hAnsi="MinionPro"/>
          <w:sz w:val="22"/>
          <w:szCs w:val="22"/>
        </w:rPr>
        <w:t>ysi</w:t>
      </w:r>
      <w:r>
        <w:rPr>
          <w:rFonts w:ascii="MinionPro" w:hAnsi="MinionPro"/>
          <w:sz w:val="22"/>
          <w:szCs w:val="22"/>
        </w:rPr>
        <w:t>ng them through Value Stream Mapping (VSM) (</w:t>
      </w:r>
      <w:proofErr w:type="spellStart"/>
      <w:r>
        <w:rPr>
          <w:rFonts w:ascii="MinionPro" w:hAnsi="MinionPro"/>
          <w:sz w:val="22"/>
          <w:szCs w:val="22"/>
        </w:rPr>
        <w:t>Raab</w:t>
      </w:r>
      <w:proofErr w:type="spellEnd"/>
      <w:r>
        <w:rPr>
          <w:rFonts w:ascii="MinionPro" w:hAnsi="MinionPro"/>
          <w:sz w:val="22"/>
          <w:szCs w:val="22"/>
        </w:rPr>
        <w:t xml:space="preserve"> et al., </w:t>
      </w:r>
      <w:r>
        <w:rPr>
          <w:rFonts w:ascii="MinionPro" w:hAnsi="MinionPro"/>
          <w:color w:val="00007F"/>
          <w:sz w:val="22"/>
          <w:szCs w:val="22"/>
        </w:rPr>
        <w:t>2005</w:t>
      </w:r>
      <w:r>
        <w:rPr>
          <w:rFonts w:ascii="MinionPro" w:hAnsi="MinionPro"/>
          <w:sz w:val="22"/>
          <w:szCs w:val="22"/>
        </w:rPr>
        <w:t xml:space="preserve">; Seth &amp; Gupta, </w:t>
      </w:r>
      <w:r>
        <w:rPr>
          <w:rFonts w:ascii="MinionPro" w:hAnsi="MinionPro"/>
          <w:color w:val="00007F"/>
          <w:sz w:val="22"/>
          <w:szCs w:val="22"/>
        </w:rPr>
        <w:t>2005</w:t>
      </w:r>
      <w:r>
        <w:rPr>
          <w:rFonts w:ascii="MinionPro" w:hAnsi="MinionPro"/>
          <w:sz w:val="22"/>
          <w:szCs w:val="22"/>
        </w:rPr>
        <w:t xml:space="preserve">) VSM is de ned as an important; operations improvement methodology capturing both “VAT” and “NVAT” activities that are performed to deliver the product to customers, and which absorbs the same assets and resources along the mainstream of the process . </w:t>
      </w:r>
      <w:proofErr w:type="spellStart"/>
      <w:r>
        <w:rPr>
          <w:rFonts w:ascii="MinionPro" w:hAnsi="MinionPro"/>
          <w:sz w:val="22"/>
          <w:szCs w:val="22"/>
        </w:rPr>
        <w:t>Raab</w:t>
      </w:r>
      <w:proofErr w:type="spellEnd"/>
      <w:r>
        <w:rPr>
          <w:rFonts w:ascii="MinionPro" w:hAnsi="MinionPro"/>
          <w:sz w:val="22"/>
          <w:szCs w:val="22"/>
        </w:rPr>
        <w:t xml:space="preserve"> et al. (</w:t>
      </w:r>
      <w:r>
        <w:rPr>
          <w:rFonts w:ascii="MinionPro" w:hAnsi="MinionPro"/>
          <w:color w:val="00007F"/>
          <w:sz w:val="22"/>
          <w:szCs w:val="22"/>
        </w:rPr>
        <w:t>2005</w:t>
      </w:r>
      <w:r>
        <w:rPr>
          <w:rFonts w:ascii="MinionPro" w:hAnsi="MinionPro"/>
          <w:sz w:val="22"/>
          <w:szCs w:val="22"/>
        </w:rPr>
        <w:t xml:space="preserve">) claimed that in the restaurant industry, practices that contribute to generating the product or provide service to the customer are referred to as “VA” activities, while other activities can be categorized as “NVAT.” </w:t>
      </w:r>
    </w:p>
    <w:p w:rsidR="009A23F4" w:rsidRDefault="009A23F4" w:rsidP="009A23F4">
      <w:pPr>
        <w:pStyle w:val="NormalWeb"/>
      </w:pPr>
      <w:r>
        <w:rPr>
          <w:rFonts w:ascii="MinionPro" w:hAnsi="MinionPro"/>
          <w:sz w:val="22"/>
          <w:szCs w:val="22"/>
        </w:rPr>
        <w:t>TDABC requires less accounting transactions than the common method for allocating ABCs. According to Kaplan and Anderson (</w:t>
      </w:r>
      <w:r>
        <w:rPr>
          <w:rFonts w:ascii="MinionPro" w:hAnsi="MinionPro"/>
          <w:color w:val="00007F"/>
          <w:sz w:val="22"/>
          <w:szCs w:val="22"/>
        </w:rPr>
        <w:t>2007</w:t>
      </w:r>
      <w:r>
        <w:rPr>
          <w:rFonts w:ascii="MinionPro" w:hAnsi="MinionPro"/>
          <w:sz w:val="22"/>
          <w:szCs w:val="22"/>
        </w:rPr>
        <w:t>), the TDABC approach overcomes many costing techniques’ problems and has the advantages of being more dynamic and fewer people-intensive, in addition to providing accurate information about unused capacity . All of these advantages have helped Kaplan and Anderson (</w:t>
      </w:r>
      <w:r>
        <w:rPr>
          <w:rFonts w:ascii="MinionPro" w:hAnsi="MinionPro"/>
          <w:color w:val="00007F"/>
          <w:sz w:val="22"/>
          <w:szCs w:val="22"/>
        </w:rPr>
        <w:t>2007</w:t>
      </w:r>
      <w:r>
        <w:rPr>
          <w:rFonts w:ascii="MinionPro" w:hAnsi="MinionPro"/>
          <w:sz w:val="22"/>
          <w:szCs w:val="22"/>
        </w:rPr>
        <w:t xml:space="preserve">) to conclude that TDABC can be used in most organizations irrespective of the complexity of operations, products, or services. </w:t>
      </w:r>
    </w:p>
    <w:p w:rsidR="009A23F4" w:rsidRDefault="009A23F4" w:rsidP="009A23F4">
      <w:pPr>
        <w:pStyle w:val="NormalWeb"/>
        <w:rPr>
          <w:rFonts w:ascii="MinionPro" w:hAnsi="MinionPro"/>
          <w:sz w:val="22"/>
          <w:szCs w:val="22"/>
        </w:rPr>
      </w:pPr>
      <w:r>
        <w:rPr>
          <w:rFonts w:ascii="MinionPro" w:hAnsi="MinionPro"/>
          <w:sz w:val="22"/>
          <w:szCs w:val="22"/>
        </w:rPr>
        <w:t xml:space="preserve">Thus, this paper is carried out to demonstrate how the fundamental </w:t>
      </w:r>
      <w:proofErr w:type="spellStart"/>
      <w:r>
        <w:rPr>
          <w:rFonts w:ascii="MinionPro" w:hAnsi="MinionPro"/>
          <w:sz w:val="22"/>
          <w:szCs w:val="22"/>
        </w:rPr>
        <w:t>prin</w:t>
      </w:r>
      <w:proofErr w:type="spellEnd"/>
      <w:r>
        <w:rPr>
          <w:rFonts w:ascii="MinionPro" w:hAnsi="MinionPro"/>
          <w:sz w:val="22"/>
          <w:szCs w:val="22"/>
        </w:rPr>
        <w:t xml:space="preserve">- </w:t>
      </w:r>
      <w:proofErr w:type="spellStart"/>
      <w:r>
        <w:rPr>
          <w:rFonts w:ascii="MinionPro" w:hAnsi="MinionPro"/>
          <w:sz w:val="22"/>
          <w:szCs w:val="22"/>
        </w:rPr>
        <w:t>ciples</w:t>
      </w:r>
      <w:proofErr w:type="spellEnd"/>
      <w:r>
        <w:rPr>
          <w:rFonts w:ascii="MinionPro" w:hAnsi="MinionPro"/>
          <w:sz w:val="22"/>
          <w:szCs w:val="22"/>
        </w:rPr>
        <w:t xml:space="preserve"> of TDABC can be applied to restaurant operations. Therefore, the TDABC approach was formulated in this analysis with three goals in mind: 1) tracking costs; 2) capturing NVAT, and 3) maximizing capacity planning of the case restaurant. As shown in </w:t>
      </w:r>
      <w:r>
        <w:rPr>
          <w:rFonts w:ascii="MinionPro" w:hAnsi="MinionPro"/>
          <w:color w:val="00007F"/>
          <w:sz w:val="22"/>
          <w:szCs w:val="22"/>
        </w:rPr>
        <w:t>Figure 1</w:t>
      </w:r>
      <w:r>
        <w:rPr>
          <w:rFonts w:ascii="MinionPro" w:hAnsi="MinionPro"/>
          <w:sz w:val="22"/>
          <w:szCs w:val="22"/>
        </w:rPr>
        <w:t xml:space="preserve">, FOUR essential phases were developed to achieve these objectives. </w:t>
      </w:r>
    </w:p>
    <w:p w:rsidR="009A23F4" w:rsidRPr="009A23F4" w:rsidRDefault="009A23F4" w:rsidP="009A23F4">
      <w:pPr>
        <w:pStyle w:val="NormalWeb"/>
      </w:pPr>
      <w:r w:rsidRPr="009A23F4">
        <w:rPr>
          <w:rFonts w:ascii="MyriadPro" w:hAnsi="MyriadPro"/>
          <w:b/>
          <w:bCs/>
          <w:color w:val="0F117C"/>
          <w:sz w:val="22"/>
          <w:szCs w:val="22"/>
        </w:rPr>
        <w:t xml:space="preserve">Results of the case study </w:t>
      </w:r>
    </w:p>
    <w:p w:rsidR="009A23F4" w:rsidRPr="009A23F4" w:rsidRDefault="009A23F4" w:rsidP="009A23F4">
      <w:pPr>
        <w:spacing w:before="100" w:beforeAutospacing="1" w:after="100" w:afterAutospacing="1"/>
        <w:rPr>
          <w:rFonts w:ascii="Times New Roman" w:eastAsia="Times New Roman" w:hAnsi="Times New Roman" w:cs="Times New Roman"/>
        </w:rPr>
      </w:pPr>
      <w:r w:rsidRPr="009A23F4">
        <w:rPr>
          <w:rFonts w:ascii="MyriadPro" w:eastAsia="Times New Roman" w:hAnsi="MyriadPro" w:cs="Times New Roman"/>
          <w:b/>
          <w:bCs/>
          <w:i/>
          <w:iCs/>
          <w:color w:val="0F117C"/>
          <w:sz w:val="22"/>
          <w:szCs w:val="22"/>
        </w:rPr>
        <w:t xml:space="preserve">Methodology </w:t>
      </w:r>
    </w:p>
    <w:p w:rsidR="009A23F4" w:rsidRPr="009A23F4" w:rsidRDefault="009A23F4" w:rsidP="009A23F4">
      <w:pPr>
        <w:spacing w:before="100" w:beforeAutospacing="1" w:after="100" w:afterAutospacing="1"/>
        <w:rPr>
          <w:rFonts w:ascii="Times New Roman" w:eastAsia="Times New Roman" w:hAnsi="Times New Roman" w:cs="Times New Roman"/>
        </w:rPr>
      </w:pPr>
      <w:r w:rsidRPr="009A23F4">
        <w:rPr>
          <w:rFonts w:ascii="MinionPro" w:eastAsia="Times New Roman" w:hAnsi="MinionPro" w:cs="Times New Roman"/>
          <w:sz w:val="22"/>
          <w:szCs w:val="22"/>
        </w:rPr>
        <w:t>In this research paper, a case study is employed to explore whether using TDABC for menu activities analysis, provides new insight into the true analysis of restaurants’ operational activities and value. According to Yin (</w:t>
      </w:r>
      <w:r w:rsidRPr="009A23F4">
        <w:rPr>
          <w:rFonts w:ascii="MinionPro" w:eastAsia="Times New Roman" w:hAnsi="MinionPro" w:cs="Times New Roman"/>
          <w:color w:val="00007F"/>
          <w:sz w:val="22"/>
          <w:szCs w:val="22"/>
        </w:rPr>
        <w:t>2003</w:t>
      </w:r>
      <w:r w:rsidRPr="009A23F4">
        <w:rPr>
          <w:rFonts w:ascii="MinionPro" w:eastAsia="Times New Roman" w:hAnsi="MinionPro" w:cs="Times New Roman"/>
          <w:sz w:val="22"/>
          <w:szCs w:val="22"/>
        </w:rPr>
        <w:t>), a case study design incorporates the theory and is suitable for discussing the “how” and “why” questions. It allows analy</w:t>
      </w:r>
      <w:r w:rsidR="00BE5A8B">
        <w:rPr>
          <w:rFonts w:ascii="MinionPro" w:eastAsia="Times New Roman" w:hAnsi="MinionPro" w:cs="Times New Roman"/>
          <w:sz w:val="22"/>
          <w:szCs w:val="22"/>
        </w:rPr>
        <w:t>s</w:t>
      </w:r>
      <w:r w:rsidRPr="009A23F4">
        <w:rPr>
          <w:rFonts w:ascii="MinionPro" w:eastAsia="Times New Roman" w:hAnsi="MinionPro" w:cs="Times New Roman"/>
          <w:sz w:val="22"/>
          <w:szCs w:val="22"/>
        </w:rPr>
        <w:t>ing phenomena in di</w:t>
      </w:r>
      <w:r w:rsidR="00BE5A8B">
        <w:rPr>
          <w:rFonts w:ascii="MinionPro" w:eastAsia="Times New Roman" w:hAnsi="MinionPro" w:cs="Times New Roman"/>
          <w:sz w:val="22"/>
          <w:szCs w:val="22"/>
        </w:rPr>
        <w:t>ff</w:t>
      </w:r>
      <w:r w:rsidRPr="009A23F4">
        <w:rPr>
          <w:rFonts w:ascii="MinionPro" w:eastAsia="Times New Roman" w:hAnsi="MinionPro" w:cs="Times New Roman"/>
          <w:sz w:val="22"/>
          <w:szCs w:val="22"/>
        </w:rPr>
        <w:t xml:space="preserve">erent real-life settings using multiple methods of data collection (Cronin, </w:t>
      </w:r>
      <w:r w:rsidRPr="009A23F4">
        <w:rPr>
          <w:rFonts w:ascii="MinionPro" w:eastAsia="Times New Roman" w:hAnsi="MinionPro" w:cs="Times New Roman"/>
          <w:color w:val="00007F"/>
          <w:sz w:val="22"/>
          <w:szCs w:val="22"/>
        </w:rPr>
        <w:t>2014</w:t>
      </w:r>
      <w:r w:rsidRPr="009A23F4">
        <w:rPr>
          <w:rFonts w:ascii="MinionPro" w:eastAsia="Times New Roman" w:hAnsi="MinionPro" w:cs="Times New Roman"/>
          <w:sz w:val="22"/>
          <w:szCs w:val="22"/>
        </w:rPr>
        <w:t xml:space="preserve">; Stewart, </w:t>
      </w:r>
      <w:r w:rsidRPr="009A23F4">
        <w:rPr>
          <w:rFonts w:ascii="MinionPro" w:eastAsia="Times New Roman" w:hAnsi="MinionPro" w:cs="Times New Roman"/>
          <w:color w:val="00007F"/>
          <w:sz w:val="22"/>
          <w:szCs w:val="22"/>
        </w:rPr>
        <w:t>2012</w:t>
      </w:r>
      <w:r w:rsidRPr="009A23F4">
        <w:rPr>
          <w:rFonts w:ascii="MinionPro" w:eastAsia="Times New Roman" w:hAnsi="MinionPro" w:cs="Times New Roman"/>
          <w:sz w:val="22"/>
          <w:szCs w:val="22"/>
        </w:rPr>
        <w:t>). This case study was performed at an Italian restaurant in the USA “S Sandwich Restaurant” which has nine sta</w:t>
      </w:r>
      <w:r w:rsidR="00BE5A8B">
        <w:rPr>
          <w:rFonts w:ascii="MinionPro" w:eastAsia="Times New Roman" w:hAnsi="MinionPro" w:cs="Times New Roman"/>
          <w:sz w:val="22"/>
          <w:szCs w:val="22"/>
        </w:rPr>
        <w:t xml:space="preserve">ff </w:t>
      </w:r>
      <w:r w:rsidRPr="009A23F4">
        <w:rPr>
          <w:rFonts w:ascii="MinionPro" w:eastAsia="Times New Roman" w:hAnsi="MinionPro" w:cs="Times New Roman"/>
          <w:sz w:val="22"/>
          <w:szCs w:val="22"/>
        </w:rPr>
        <w:t xml:space="preserve">members and an occupancy rate of 70%. The restaurant menu includes two edible sections; 15 sandwiches and limited option of salads, besides 10 items of hot and soft drinks. </w:t>
      </w:r>
    </w:p>
    <w:p w:rsidR="009A23F4" w:rsidRPr="009A23F4" w:rsidRDefault="009A23F4" w:rsidP="009A23F4">
      <w:pPr>
        <w:spacing w:before="100" w:beforeAutospacing="1" w:after="100" w:afterAutospacing="1"/>
        <w:rPr>
          <w:rFonts w:ascii="Times New Roman" w:eastAsia="Times New Roman" w:hAnsi="Times New Roman" w:cs="Times New Roman"/>
        </w:rPr>
      </w:pPr>
      <w:r w:rsidRPr="009A23F4">
        <w:rPr>
          <w:rFonts w:ascii="MinionPro" w:eastAsia="Times New Roman" w:hAnsi="MinionPro" w:cs="Times New Roman"/>
          <w:sz w:val="22"/>
          <w:szCs w:val="22"/>
        </w:rPr>
        <w:t xml:space="preserve">Based on the fact that our restaurant specializes in the production of a number of sandwiches with almost the same symmetry of ingredients (bread, spreads, main (meat/chicken/ </w:t>
      </w:r>
      <w:proofErr w:type="spellStart"/>
      <w:r w:rsidRPr="009A23F4">
        <w:rPr>
          <w:rFonts w:ascii="MinionPro" w:eastAsia="Times New Roman" w:hAnsi="MinionPro" w:cs="Times New Roman"/>
          <w:sz w:val="22"/>
          <w:szCs w:val="22"/>
        </w:rPr>
        <w:t>sh</w:t>
      </w:r>
      <w:proofErr w:type="spellEnd"/>
      <w:r w:rsidRPr="009A23F4">
        <w:rPr>
          <w:rFonts w:ascii="MinionPro" w:eastAsia="Times New Roman" w:hAnsi="MinionPro" w:cs="Times New Roman"/>
          <w:sz w:val="22"/>
          <w:szCs w:val="22"/>
        </w:rPr>
        <w:t>), cheese, and toppings), all prices of the menu items were based solely on food cost. While, in this study, labo</w:t>
      </w:r>
      <w:r w:rsidR="00BE5A8B">
        <w:rPr>
          <w:rFonts w:ascii="MinionPro" w:eastAsia="Times New Roman" w:hAnsi="MinionPro" w:cs="Times New Roman"/>
          <w:sz w:val="22"/>
          <w:szCs w:val="22"/>
        </w:rPr>
        <w:t>u</w:t>
      </w:r>
      <w:r w:rsidRPr="009A23F4">
        <w:rPr>
          <w:rFonts w:ascii="MinionPro" w:eastAsia="Times New Roman" w:hAnsi="MinionPro" w:cs="Times New Roman"/>
          <w:sz w:val="22"/>
          <w:szCs w:val="22"/>
        </w:rPr>
        <w:t xml:space="preserve">r cost was added to the basic cost unit of menu items using “time” as an activity driver. Direct observation was conducted for 3 months in the restaurant </w:t>
      </w:r>
    </w:p>
    <w:p w:rsidR="009A23F4" w:rsidRPr="009A23F4" w:rsidRDefault="009A23F4" w:rsidP="009A23F4">
      <w:pPr>
        <w:spacing w:before="100" w:beforeAutospacing="1" w:after="100" w:afterAutospacing="1"/>
        <w:rPr>
          <w:rFonts w:ascii="Times New Roman" w:eastAsia="Times New Roman" w:hAnsi="Times New Roman" w:cs="Times New Roman"/>
        </w:rPr>
      </w:pPr>
      <w:r w:rsidRPr="009A23F4">
        <w:rPr>
          <w:rFonts w:ascii="MinionPro" w:eastAsia="Times New Roman" w:hAnsi="MinionPro" w:cs="Times New Roman"/>
          <w:sz w:val="22"/>
          <w:szCs w:val="22"/>
        </w:rPr>
        <w:t xml:space="preserve">during the summertime. In which, the researcher served as an observer from an outstanding point (cook line), where one of his duties was to collect and store the inventory besides his main task; handling customers’ orders. The objective of the observations was to identify the </w:t>
      </w:r>
      <w:r w:rsidRPr="009A23F4">
        <w:rPr>
          <w:rFonts w:ascii="MinionPro" w:eastAsia="Times New Roman" w:hAnsi="MinionPro" w:cs="Times New Roman"/>
          <w:sz w:val="22"/>
          <w:szCs w:val="22"/>
        </w:rPr>
        <w:lastRenderedPageBreak/>
        <w:t xml:space="preserve">restaurant’s activities stream- </w:t>
      </w:r>
      <w:proofErr w:type="spellStart"/>
      <w:r w:rsidRPr="009A23F4">
        <w:rPr>
          <w:rFonts w:ascii="MinionPro" w:eastAsia="Times New Roman" w:hAnsi="MinionPro" w:cs="Times New Roman"/>
          <w:sz w:val="22"/>
          <w:szCs w:val="22"/>
        </w:rPr>
        <w:t>ing</w:t>
      </w:r>
      <w:proofErr w:type="spellEnd"/>
      <w:r w:rsidRPr="009A23F4">
        <w:rPr>
          <w:rFonts w:ascii="MinionPro" w:eastAsia="Times New Roman" w:hAnsi="MinionPro" w:cs="Times New Roman"/>
          <w:sz w:val="22"/>
          <w:szCs w:val="22"/>
        </w:rPr>
        <w:t xml:space="preserve"> and to capture costs (time) of resources based on a functional analysis. </w:t>
      </w:r>
    </w:p>
    <w:p w:rsidR="009A23F4" w:rsidRPr="009A23F4" w:rsidRDefault="009A23F4" w:rsidP="009A23F4">
      <w:pPr>
        <w:spacing w:before="100" w:beforeAutospacing="1" w:after="100" w:afterAutospacing="1"/>
        <w:rPr>
          <w:rFonts w:ascii="Times New Roman" w:eastAsia="Times New Roman" w:hAnsi="Times New Roman" w:cs="Times New Roman"/>
        </w:rPr>
      </w:pPr>
      <w:r w:rsidRPr="009A23F4">
        <w:rPr>
          <w:rFonts w:ascii="MyriadPro" w:eastAsia="Times New Roman" w:hAnsi="MyriadPro" w:cs="Times New Roman"/>
          <w:b/>
          <w:bCs/>
          <w:i/>
          <w:iCs/>
          <w:color w:val="0F117C"/>
          <w:sz w:val="22"/>
          <w:szCs w:val="22"/>
        </w:rPr>
        <w:t xml:space="preserve">Restaurant’s functions and activities </w:t>
      </w:r>
    </w:p>
    <w:p w:rsidR="009A23F4" w:rsidRPr="009A23F4" w:rsidRDefault="009A23F4" w:rsidP="009A23F4">
      <w:pPr>
        <w:spacing w:before="100" w:beforeAutospacing="1" w:after="100" w:afterAutospacing="1"/>
        <w:rPr>
          <w:rFonts w:ascii="Times New Roman" w:eastAsia="Times New Roman" w:hAnsi="Times New Roman" w:cs="Times New Roman"/>
        </w:rPr>
      </w:pPr>
      <w:r w:rsidRPr="009A23F4">
        <w:rPr>
          <w:rFonts w:ascii="MinionPro" w:eastAsia="Times New Roman" w:hAnsi="MinionPro" w:cs="Times New Roman"/>
          <w:sz w:val="22"/>
          <w:szCs w:val="22"/>
        </w:rPr>
        <w:t>The r</w:t>
      </w:r>
      <w:r w:rsidR="00BE5A8B">
        <w:rPr>
          <w:rFonts w:ascii="MinionPro" w:eastAsia="Times New Roman" w:hAnsi="MinionPro" w:cs="Times New Roman"/>
          <w:sz w:val="22"/>
          <w:szCs w:val="22"/>
        </w:rPr>
        <w:t>e</w:t>
      </w:r>
      <w:r w:rsidRPr="009A23F4">
        <w:rPr>
          <w:rFonts w:ascii="MinionPro" w:eastAsia="Times New Roman" w:hAnsi="MinionPro" w:cs="Times New Roman"/>
          <w:sz w:val="22"/>
          <w:szCs w:val="22"/>
        </w:rPr>
        <w:t>st step of analysis of TDABC is to identify di</w:t>
      </w:r>
      <w:r w:rsidR="00BE5A8B">
        <w:rPr>
          <w:rFonts w:ascii="MinionPro" w:eastAsia="Times New Roman" w:hAnsi="MinionPro" w:cs="Times New Roman"/>
          <w:sz w:val="22"/>
          <w:szCs w:val="22"/>
        </w:rPr>
        <w:t>ff</w:t>
      </w:r>
      <w:r w:rsidRPr="009A23F4">
        <w:rPr>
          <w:rFonts w:ascii="MinionPro" w:eastAsia="Times New Roman" w:hAnsi="MinionPro" w:cs="Times New Roman"/>
          <w:sz w:val="22"/>
          <w:szCs w:val="22"/>
        </w:rPr>
        <w:t>erent operational activities and its source. In the case restaurant, there are many activities including purchasing, receiving, stocking, food preparation, cleaning, dining room set- up, taking orders, serving food and beverages, table handling, cashing out customers, and customer communication. It was therefore necessary to esta</w:t>
      </w:r>
      <w:r w:rsidR="00BE5A8B">
        <w:rPr>
          <w:rFonts w:ascii="MinionPro" w:eastAsia="Times New Roman" w:hAnsi="MinionPro" w:cs="Times New Roman"/>
          <w:sz w:val="22"/>
          <w:szCs w:val="22"/>
        </w:rPr>
        <w:t>b</w:t>
      </w:r>
      <w:r w:rsidRPr="009A23F4">
        <w:rPr>
          <w:rFonts w:ascii="MinionPro" w:eastAsia="Times New Roman" w:hAnsi="MinionPro" w:cs="Times New Roman"/>
          <w:sz w:val="22"/>
          <w:szCs w:val="22"/>
        </w:rPr>
        <w:t xml:space="preserve">lish two </w:t>
      </w:r>
      <w:proofErr w:type="spellStart"/>
      <w:r w:rsidRPr="009A23F4">
        <w:rPr>
          <w:rFonts w:ascii="MinionPro" w:eastAsia="Times New Roman" w:hAnsi="MinionPro" w:cs="Times New Roman"/>
          <w:sz w:val="22"/>
          <w:szCs w:val="22"/>
        </w:rPr>
        <w:t>centers</w:t>
      </w:r>
      <w:proofErr w:type="spellEnd"/>
      <w:r w:rsidRPr="009A23F4">
        <w:rPr>
          <w:rFonts w:ascii="MinionPro" w:eastAsia="Times New Roman" w:hAnsi="MinionPro" w:cs="Times New Roman"/>
          <w:sz w:val="22"/>
          <w:szCs w:val="22"/>
        </w:rPr>
        <w:t xml:space="preserve"> of activity: The Front of the House (FOH) and the Back of the House (BOH). The concept “Front of the House” refers to the “external operations” which refer to things seen by the customer. The “Back of the House” is also called “internal operations,” they do not necessarily involve the customer in the production and delivery of the service but can in</w:t>
      </w:r>
      <w:r w:rsidR="00BE5A8B">
        <w:rPr>
          <w:rFonts w:ascii="MinionPro" w:eastAsia="Times New Roman" w:hAnsi="MinionPro" w:cs="Times New Roman"/>
          <w:sz w:val="22"/>
          <w:szCs w:val="22"/>
        </w:rPr>
        <w:t>fl</w:t>
      </w:r>
      <w:r w:rsidRPr="009A23F4">
        <w:rPr>
          <w:rFonts w:ascii="MinionPro" w:eastAsia="Times New Roman" w:hAnsi="MinionPro" w:cs="Times New Roman"/>
          <w:sz w:val="22"/>
          <w:szCs w:val="22"/>
        </w:rPr>
        <w:t>uence perceptions directly or indirectly if they are eventually linked to the satisfaction of the service (</w:t>
      </w:r>
      <w:proofErr w:type="spellStart"/>
      <w:r w:rsidRPr="009A23F4">
        <w:rPr>
          <w:rFonts w:ascii="MinionPro" w:eastAsia="Times New Roman" w:hAnsi="MinionPro" w:cs="Times New Roman"/>
          <w:sz w:val="22"/>
          <w:szCs w:val="22"/>
        </w:rPr>
        <w:t>Zeithamall</w:t>
      </w:r>
      <w:proofErr w:type="spellEnd"/>
      <w:r w:rsidRPr="009A23F4">
        <w:rPr>
          <w:rFonts w:ascii="MinionPro" w:eastAsia="Times New Roman" w:hAnsi="MinionPro" w:cs="Times New Roman"/>
          <w:sz w:val="22"/>
          <w:szCs w:val="22"/>
        </w:rPr>
        <w:t xml:space="preserve"> et al., </w:t>
      </w:r>
      <w:r w:rsidRPr="009A23F4">
        <w:rPr>
          <w:rFonts w:ascii="MinionPro" w:eastAsia="Times New Roman" w:hAnsi="MinionPro" w:cs="Times New Roman"/>
          <w:color w:val="00007F"/>
          <w:sz w:val="22"/>
          <w:szCs w:val="22"/>
        </w:rPr>
        <w:t>2006</w:t>
      </w:r>
      <w:r w:rsidRPr="009A23F4">
        <w:rPr>
          <w:rFonts w:ascii="MinionPro" w:eastAsia="Times New Roman" w:hAnsi="MinionPro" w:cs="Times New Roman"/>
          <w:sz w:val="22"/>
          <w:szCs w:val="22"/>
        </w:rPr>
        <w:t>). Garrison and Noreen (</w:t>
      </w:r>
      <w:r w:rsidRPr="009A23F4">
        <w:rPr>
          <w:rFonts w:ascii="MinionPro" w:eastAsia="Times New Roman" w:hAnsi="MinionPro" w:cs="Times New Roman"/>
          <w:color w:val="00007F"/>
          <w:sz w:val="22"/>
          <w:szCs w:val="22"/>
        </w:rPr>
        <w:t>1997</w:t>
      </w:r>
      <w:r w:rsidRPr="009A23F4">
        <w:rPr>
          <w:rFonts w:ascii="MinionPro" w:eastAsia="Times New Roman" w:hAnsi="MinionPro" w:cs="Times New Roman"/>
          <w:sz w:val="22"/>
          <w:szCs w:val="22"/>
        </w:rPr>
        <w:t>) recommend that all operating activities should be outlined in a process value analysis, which is a ow chart that displays all relevant operations that meet the requirements of products. To this end, all FOH and BOH activities are combined into a ow chart (</w:t>
      </w:r>
      <w:r w:rsidRPr="009A23F4">
        <w:rPr>
          <w:rFonts w:ascii="MinionPro" w:eastAsia="Times New Roman" w:hAnsi="MinionPro" w:cs="Times New Roman"/>
          <w:color w:val="00007F"/>
          <w:sz w:val="22"/>
          <w:szCs w:val="22"/>
        </w:rPr>
        <w:t>Figure 2</w:t>
      </w:r>
      <w:r w:rsidRPr="009A23F4">
        <w:rPr>
          <w:rFonts w:ascii="MinionPro" w:eastAsia="Times New Roman" w:hAnsi="MinionPro" w:cs="Times New Roman"/>
          <w:sz w:val="22"/>
          <w:szCs w:val="22"/>
        </w:rPr>
        <w:t xml:space="preserve">) displaying all restaurant operations. It can also be used to develop criteria to be used as a reference to maintain high and speedy service levels. </w:t>
      </w:r>
    </w:p>
    <w:p w:rsidR="009A23F4" w:rsidRDefault="009A23F4" w:rsidP="009A23F4">
      <w:pPr>
        <w:pStyle w:val="NormalWeb"/>
      </w:pPr>
    </w:p>
    <w:p w:rsidR="00C3425A" w:rsidRPr="00C3425A" w:rsidRDefault="00C3425A" w:rsidP="00C3425A">
      <w:pPr>
        <w:spacing w:before="100" w:beforeAutospacing="1" w:after="100" w:afterAutospacing="1"/>
        <w:rPr>
          <w:rFonts w:ascii="Times New Roman" w:eastAsia="Times New Roman" w:hAnsi="Times New Roman" w:cs="Times New Roman"/>
        </w:rPr>
      </w:pPr>
      <w:r w:rsidRPr="00C3425A">
        <w:rPr>
          <w:rFonts w:ascii="MyriadPro" w:eastAsia="Times New Roman" w:hAnsi="MyriadPro" w:cs="Times New Roman"/>
          <w:b/>
          <w:bCs/>
          <w:i/>
          <w:iCs/>
          <w:color w:val="0F117C"/>
          <w:sz w:val="22"/>
          <w:szCs w:val="22"/>
        </w:rPr>
        <w:t xml:space="preserve">Restaurant’s resources expenses </w:t>
      </w:r>
    </w:p>
    <w:p w:rsidR="00C3425A" w:rsidRPr="00C3425A" w:rsidRDefault="00C3425A" w:rsidP="00C3425A">
      <w:pPr>
        <w:spacing w:before="100" w:beforeAutospacing="1" w:after="100" w:afterAutospacing="1"/>
        <w:rPr>
          <w:rFonts w:ascii="Times New Roman" w:eastAsia="Times New Roman" w:hAnsi="Times New Roman" w:cs="Times New Roman"/>
        </w:rPr>
      </w:pPr>
      <w:r w:rsidRPr="00C3425A">
        <w:rPr>
          <w:rFonts w:ascii="MinionPro" w:eastAsia="Times New Roman" w:hAnsi="MinionPro" w:cs="Times New Roman"/>
          <w:sz w:val="22"/>
          <w:szCs w:val="22"/>
        </w:rPr>
        <w:t xml:space="preserve">Determining the overhead costs and assigning them is a key step in </w:t>
      </w:r>
      <w:proofErr w:type="spellStart"/>
      <w:r w:rsidRPr="00C3425A">
        <w:rPr>
          <w:rFonts w:ascii="MinionPro" w:eastAsia="Times New Roman" w:hAnsi="MinionPro" w:cs="Times New Roman"/>
          <w:sz w:val="22"/>
          <w:szCs w:val="22"/>
        </w:rPr>
        <w:t>imple</w:t>
      </w:r>
      <w:proofErr w:type="spellEnd"/>
      <w:r w:rsidRPr="00C3425A">
        <w:rPr>
          <w:rFonts w:ascii="MinionPro" w:eastAsia="Times New Roman" w:hAnsi="MinionPro" w:cs="Times New Roman"/>
          <w:sz w:val="22"/>
          <w:szCs w:val="22"/>
        </w:rPr>
        <w:t xml:space="preserve">- </w:t>
      </w:r>
      <w:proofErr w:type="spellStart"/>
      <w:r w:rsidRPr="00C3425A">
        <w:rPr>
          <w:rFonts w:ascii="MinionPro" w:eastAsia="Times New Roman" w:hAnsi="MinionPro" w:cs="Times New Roman"/>
          <w:sz w:val="22"/>
          <w:szCs w:val="22"/>
        </w:rPr>
        <w:t>menting</w:t>
      </w:r>
      <w:proofErr w:type="spellEnd"/>
      <w:r w:rsidRPr="00C3425A">
        <w:rPr>
          <w:rFonts w:ascii="MinionPro" w:eastAsia="Times New Roman" w:hAnsi="MinionPro" w:cs="Times New Roman"/>
          <w:sz w:val="22"/>
          <w:szCs w:val="22"/>
        </w:rPr>
        <w:t xml:space="preserve"> TDABC to restaurant operations. All </w:t>
      </w:r>
      <w:proofErr w:type="spellStart"/>
      <w:r w:rsidRPr="00C3425A">
        <w:rPr>
          <w:rFonts w:ascii="MinionPro" w:eastAsia="Times New Roman" w:hAnsi="MinionPro" w:cs="Times New Roman"/>
          <w:sz w:val="22"/>
          <w:szCs w:val="22"/>
        </w:rPr>
        <w:t>gures</w:t>
      </w:r>
      <w:proofErr w:type="spellEnd"/>
      <w:r w:rsidRPr="00C3425A">
        <w:rPr>
          <w:rFonts w:ascii="MinionPro" w:eastAsia="Times New Roman" w:hAnsi="MinionPro" w:cs="Times New Roman"/>
          <w:sz w:val="22"/>
          <w:szCs w:val="22"/>
        </w:rPr>
        <w:t xml:space="preserve"> shown in </w:t>
      </w:r>
      <w:r w:rsidRPr="00C3425A">
        <w:rPr>
          <w:rFonts w:ascii="MinionPro" w:eastAsia="Times New Roman" w:hAnsi="MinionPro" w:cs="Times New Roman"/>
          <w:color w:val="00007F"/>
          <w:sz w:val="22"/>
          <w:szCs w:val="22"/>
        </w:rPr>
        <w:t xml:space="preserve">Table 2 </w:t>
      </w:r>
      <w:r w:rsidRPr="00C3425A">
        <w:rPr>
          <w:rFonts w:ascii="MinionPro" w:eastAsia="Times New Roman" w:hAnsi="MinionPro" w:cs="Times New Roman"/>
          <w:sz w:val="22"/>
          <w:szCs w:val="22"/>
        </w:rPr>
        <w:t xml:space="preserve">were obtained from the restaurant’s general ledger in addition to the observation process that enabled the researcher to touch the reality of </w:t>
      </w:r>
      <w:proofErr w:type="spellStart"/>
      <w:r w:rsidRPr="00C3425A">
        <w:rPr>
          <w:rFonts w:ascii="MinionPro" w:eastAsia="Times New Roman" w:hAnsi="MinionPro" w:cs="Times New Roman"/>
          <w:sz w:val="22"/>
          <w:szCs w:val="22"/>
        </w:rPr>
        <w:t>nancing</w:t>
      </w:r>
      <w:proofErr w:type="spellEnd"/>
      <w:r w:rsidRPr="00C3425A">
        <w:rPr>
          <w:rFonts w:ascii="MinionPro" w:eastAsia="Times New Roman" w:hAnsi="MinionPro" w:cs="Times New Roman"/>
          <w:sz w:val="22"/>
          <w:szCs w:val="22"/>
        </w:rPr>
        <w:t xml:space="preserve">. </w:t>
      </w:r>
    </w:p>
    <w:p w:rsidR="00C3425A" w:rsidRPr="00C3425A" w:rsidRDefault="00C3425A" w:rsidP="00C3425A">
      <w:pPr>
        <w:spacing w:before="100" w:beforeAutospacing="1" w:after="100" w:afterAutospacing="1"/>
        <w:rPr>
          <w:rFonts w:ascii="Times New Roman" w:eastAsia="Times New Roman" w:hAnsi="Times New Roman" w:cs="Times New Roman"/>
        </w:rPr>
      </w:pPr>
      <w:r w:rsidRPr="00C3425A">
        <w:rPr>
          <w:rFonts w:ascii="MinionPro" w:eastAsia="Times New Roman" w:hAnsi="MinionPro" w:cs="Times New Roman"/>
          <w:sz w:val="22"/>
          <w:szCs w:val="22"/>
        </w:rPr>
        <w:t xml:space="preserve">At this stage, the study </w:t>
      </w:r>
      <w:proofErr w:type="spellStart"/>
      <w:r w:rsidRPr="00C3425A">
        <w:rPr>
          <w:rFonts w:ascii="MinionPro" w:eastAsia="Times New Roman" w:hAnsi="MinionPro" w:cs="Times New Roman"/>
          <w:sz w:val="22"/>
          <w:szCs w:val="22"/>
        </w:rPr>
        <w:t>identi</w:t>
      </w:r>
      <w:proofErr w:type="spellEnd"/>
      <w:r w:rsidRPr="00C3425A">
        <w:rPr>
          <w:rFonts w:ascii="MinionPro" w:eastAsia="Times New Roman" w:hAnsi="MinionPro" w:cs="Times New Roman"/>
          <w:sz w:val="22"/>
          <w:szCs w:val="22"/>
        </w:rPr>
        <w:t xml:space="preserve"> </w:t>
      </w:r>
      <w:proofErr w:type="spellStart"/>
      <w:r w:rsidRPr="00C3425A">
        <w:rPr>
          <w:rFonts w:ascii="MinionPro" w:eastAsia="Times New Roman" w:hAnsi="MinionPro" w:cs="Times New Roman"/>
          <w:sz w:val="22"/>
          <w:szCs w:val="22"/>
        </w:rPr>
        <w:t>ed</w:t>
      </w:r>
      <w:proofErr w:type="spellEnd"/>
      <w:r w:rsidRPr="00C3425A">
        <w:rPr>
          <w:rFonts w:ascii="MinionPro" w:eastAsia="Times New Roman" w:hAnsi="MinionPro" w:cs="Times New Roman"/>
          <w:sz w:val="22"/>
          <w:szCs w:val="22"/>
        </w:rPr>
        <w:t xml:space="preserve"> the following di </w:t>
      </w:r>
      <w:proofErr w:type="spellStart"/>
      <w:r w:rsidRPr="00C3425A">
        <w:rPr>
          <w:rFonts w:ascii="MinionPro" w:eastAsia="Times New Roman" w:hAnsi="MinionPro" w:cs="Times New Roman"/>
          <w:sz w:val="22"/>
          <w:szCs w:val="22"/>
        </w:rPr>
        <w:t>erent</w:t>
      </w:r>
      <w:proofErr w:type="spellEnd"/>
      <w:r w:rsidRPr="00C3425A">
        <w:rPr>
          <w:rFonts w:ascii="MinionPro" w:eastAsia="Times New Roman" w:hAnsi="MinionPro" w:cs="Times New Roman"/>
          <w:sz w:val="22"/>
          <w:szCs w:val="22"/>
        </w:rPr>
        <w:t xml:space="preserve"> types of costs - see </w:t>
      </w:r>
      <w:r w:rsidRPr="00C3425A">
        <w:rPr>
          <w:rFonts w:ascii="MinionPro" w:eastAsia="Times New Roman" w:hAnsi="MinionPro" w:cs="Times New Roman"/>
          <w:color w:val="00007F"/>
          <w:sz w:val="22"/>
          <w:szCs w:val="22"/>
        </w:rPr>
        <w:t>Appendix A</w:t>
      </w:r>
      <w:r w:rsidRPr="00C3425A">
        <w:rPr>
          <w:rFonts w:ascii="MinionPro" w:eastAsia="Times New Roman" w:hAnsi="MinionPro" w:cs="Times New Roman"/>
          <w:sz w:val="22"/>
          <w:szCs w:val="22"/>
        </w:rPr>
        <w:t xml:space="preserve">: </w:t>
      </w:r>
    </w:p>
    <w:p w:rsidR="00C3425A" w:rsidRPr="00C3425A" w:rsidRDefault="00C3425A" w:rsidP="00C3425A">
      <w:pPr>
        <w:spacing w:before="100" w:beforeAutospacing="1" w:after="100" w:afterAutospacing="1"/>
        <w:rPr>
          <w:rFonts w:ascii="Times New Roman" w:eastAsia="Times New Roman" w:hAnsi="Times New Roman" w:cs="Times New Roman"/>
        </w:rPr>
      </w:pPr>
      <w:r w:rsidRPr="00C3425A">
        <w:rPr>
          <w:rFonts w:ascii="TimesNewRomanPSMT-Identity-H" w:eastAsia="Times New Roman" w:hAnsi="TimesNewRomanPSMT-Identity-H" w:cs="Times New Roman"/>
          <w:position w:val="2"/>
          <w:sz w:val="16"/>
          <w:szCs w:val="16"/>
        </w:rPr>
        <w:t xml:space="preserve">● </w:t>
      </w:r>
      <w:r w:rsidRPr="00C3425A">
        <w:rPr>
          <w:rFonts w:ascii="MinionPro" w:eastAsia="Times New Roman" w:hAnsi="MinionPro" w:cs="Times New Roman"/>
          <w:sz w:val="22"/>
          <w:szCs w:val="22"/>
        </w:rPr>
        <w:t>Raw material costs</w:t>
      </w:r>
      <w:r w:rsidRPr="00C3425A">
        <w:rPr>
          <w:rFonts w:ascii="MinionPro" w:eastAsia="Times New Roman" w:hAnsi="MinionPro" w:cs="Times New Roman"/>
          <w:sz w:val="22"/>
          <w:szCs w:val="22"/>
        </w:rPr>
        <w:br/>
      </w:r>
      <w:r w:rsidRPr="00C3425A">
        <w:rPr>
          <w:rFonts w:ascii="TimesNewRomanPSMT-Identity-H" w:eastAsia="Times New Roman" w:hAnsi="TimesNewRomanPSMT-Identity-H" w:cs="Times New Roman"/>
          <w:position w:val="2"/>
          <w:sz w:val="16"/>
          <w:szCs w:val="16"/>
        </w:rPr>
        <w:t xml:space="preserve">● </w:t>
      </w:r>
      <w:proofErr w:type="spellStart"/>
      <w:r w:rsidRPr="00C3425A">
        <w:rPr>
          <w:rFonts w:ascii="MinionPro" w:eastAsia="Times New Roman" w:hAnsi="MinionPro" w:cs="Times New Roman"/>
          <w:sz w:val="22"/>
          <w:szCs w:val="22"/>
        </w:rPr>
        <w:t>Labor</w:t>
      </w:r>
      <w:proofErr w:type="spellEnd"/>
      <w:r w:rsidRPr="00C3425A">
        <w:rPr>
          <w:rFonts w:ascii="MinionPro" w:eastAsia="Times New Roman" w:hAnsi="MinionPro" w:cs="Times New Roman"/>
          <w:sz w:val="22"/>
          <w:szCs w:val="22"/>
        </w:rPr>
        <w:t xml:space="preserve"> costs</w:t>
      </w:r>
      <w:r w:rsidRPr="00C3425A">
        <w:rPr>
          <w:rFonts w:ascii="MinionPro" w:eastAsia="Times New Roman" w:hAnsi="MinionPro" w:cs="Times New Roman"/>
          <w:sz w:val="22"/>
          <w:szCs w:val="22"/>
        </w:rPr>
        <w:br/>
      </w:r>
      <w:r w:rsidRPr="00C3425A">
        <w:rPr>
          <w:rFonts w:ascii="TimesNewRomanPSMT-Identity-H" w:eastAsia="Times New Roman" w:hAnsi="TimesNewRomanPSMT-Identity-H" w:cs="Times New Roman"/>
          <w:position w:val="2"/>
          <w:sz w:val="16"/>
          <w:szCs w:val="16"/>
        </w:rPr>
        <w:t xml:space="preserve">● </w:t>
      </w:r>
      <w:r w:rsidRPr="00C3425A">
        <w:rPr>
          <w:rFonts w:ascii="MinionPro" w:eastAsia="Times New Roman" w:hAnsi="MinionPro" w:cs="Times New Roman"/>
          <w:sz w:val="22"/>
          <w:szCs w:val="22"/>
        </w:rPr>
        <w:t>Utility costs</w:t>
      </w:r>
      <w:r w:rsidRPr="00C3425A">
        <w:rPr>
          <w:rFonts w:ascii="MinionPro" w:eastAsia="Times New Roman" w:hAnsi="MinionPro" w:cs="Times New Roman"/>
          <w:sz w:val="22"/>
          <w:szCs w:val="22"/>
        </w:rPr>
        <w:br/>
      </w:r>
      <w:r w:rsidRPr="00C3425A">
        <w:rPr>
          <w:rFonts w:ascii="TimesNewRomanPSMT-Identity-H" w:eastAsia="Times New Roman" w:hAnsi="TimesNewRomanPSMT-Identity-H" w:cs="Times New Roman"/>
          <w:position w:val="2"/>
          <w:sz w:val="16"/>
          <w:szCs w:val="16"/>
        </w:rPr>
        <w:t xml:space="preserve">● </w:t>
      </w:r>
      <w:r w:rsidRPr="00C3425A">
        <w:rPr>
          <w:rFonts w:ascii="MinionPro" w:eastAsia="Times New Roman" w:hAnsi="MinionPro" w:cs="Times New Roman"/>
          <w:sz w:val="22"/>
          <w:szCs w:val="22"/>
        </w:rPr>
        <w:t xml:space="preserve">Repair and maintenance costs </w:t>
      </w:r>
      <w:r w:rsidRPr="00C3425A">
        <w:rPr>
          <w:rFonts w:ascii="TimesNewRomanPSMT-Identity-H" w:eastAsia="Times New Roman" w:hAnsi="TimesNewRomanPSMT-Identity-H" w:cs="Times New Roman"/>
          <w:position w:val="2"/>
          <w:sz w:val="16"/>
          <w:szCs w:val="16"/>
        </w:rPr>
        <w:t xml:space="preserve">● </w:t>
      </w:r>
      <w:r w:rsidRPr="00C3425A">
        <w:rPr>
          <w:rFonts w:ascii="MinionPro" w:eastAsia="Times New Roman" w:hAnsi="MinionPro" w:cs="Times New Roman"/>
          <w:sz w:val="22"/>
          <w:szCs w:val="22"/>
        </w:rPr>
        <w:t xml:space="preserve">Other costs </w:t>
      </w:r>
    </w:p>
    <w:p w:rsidR="009A23F4" w:rsidRDefault="009A23F4" w:rsidP="009A23F4">
      <w:pPr>
        <w:pStyle w:val="NormalWeb"/>
      </w:pPr>
    </w:p>
    <w:p w:rsidR="009A23F4" w:rsidRPr="000C5CC9" w:rsidRDefault="009A23F4" w:rsidP="000C5CC9">
      <w:pPr>
        <w:spacing w:before="100" w:beforeAutospacing="1" w:after="100" w:afterAutospacing="1"/>
        <w:rPr>
          <w:rFonts w:ascii="Times New Roman" w:eastAsia="Times New Roman" w:hAnsi="Times New Roman" w:cs="Times New Roman"/>
        </w:rPr>
      </w:pPr>
    </w:p>
    <w:p w:rsidR="0040242A" w:rsidRDefault="0040242A"/>
    <w:sectPr w:rsidR="0040242A" w:rsidSect="00B94B3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MyriadPro">
    <w:altName w:val="Cambria"/>
    <w:panose1 w:val="020B0604020202020204"/>
    <w:charset w:val="00"/>
    <w:family w:val="roman"/>
    <w:notTrueType/>
    <w:pitch w:val="default"/>
  </w:font>
  <w:font w:name="MinionPro">
    <w:altName w:val="Cambria"/>
    <w:panose1 w:val="020B0604020202020204"/>
    <w:charset w:val="00"/>
    <w:family w:val="roman"/>
    <w:notTrueType/>
    <w:pitch w:val="default"/>
  </w:font>
  <w:font w:name="TimesNewRomanPSMT-Identity-H">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CC9"/>
    <w:rsid w:val="000C5CC9"/>
    <w:rsid w:val="000D32F4"/>
    <w:rsid w:val="001A69B8"/>
    <w:rsid w:val="0040086C"/>
    <w:rsid w:val="0040242A"/>
    <w:rsid w:val="007D0E5F"/>
    <w:rsid w:val="009A23F4"/>
    <w:rsid w:val="00B94B3D"/>
    <w:rsid w:val="00BA476E"/>
    <w:rsid w:val="00BE5A8B"/>
    <w:rsid w:val="00C3425A"/>
    <w:rsid w:val="00D4707A"/>
    <w:rsid w:val="00DD7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F0835"/>
  <w15:chartTrackingRefBased/>
  <w15:docId w15:val="{C83FD7A8-020A-394E-B085-4F3EEF638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5CC9"/>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0D32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258515">
      <w:bodyDiv w:val="1"/>
      <w:marLeft w:val="0"/>
      <w:marRight w:val="0"/>
      <w:marTop w:val="0"/>
      <w:marBottom w:val="0"/>
      <w:divBdr>
        <w:top w:val="none" w:sz="0" w:space="0" w:color="auto"/>
        <w:left w:val="none" w:sz="0" w:space="0" w:color="auto"/>
        <w:bottom w:val="none" w:sz="0" w:space="0" w:color="auto"/>
        <w:right w:val="none" w:sz="0" w:space="0" w:color="auto"/>
      </w:divBdr>
      <w:divsChild>
        <w:div w:id="509684783">
          <w:marLeft w:val="0"/>
          <w:marRight w:val="0"/>
          <w:marTop w:val="0"/>
          <w:marBottom w:val="0"/>
          <w:divBdr>
            <w:top w:val="none" w:sz="0" w:space="0" w:color="auto"/>
            <w:left w:val="none" w:sz="0" w:space="0" w:color="auto"/>
            <w:bottom w:val="none" w:sz="0" w:space="0" w:color="auto"/>
            <w:right w:val="none" w:sz="0" w:space="0" w:color="auto"/>
          </w:divBdr>
          <w:divsChild>
            <w:div w:id="1705401898">
              <w:marLeft w:val="0"/>
              <w:marRight w:val="0"/>
              <w:marTop w:val="0"/>
              <w:marBottom w:val="0"/>
              <w:divBdr>
                <w:top w:val="none" w:sz="0" w:space="0" w:color="auto"/>
                <w:left w:val="none" w:sz="0" w:space="0" w:color="auto"/>
                <w:bottom w:val="none" w:sz="0" w:space="0" w:color="auto"/>
                <w:right w:val="none" w:sz="0" w:space="0" w:color="auto"/>
              </w:divBdr>
              <w:divsChild>
                <w:div w:id="121277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2615">
      <w:bodyDiv w:val="1"/>
      <w:marLeft w:val="0"/>
      <w:marRight w:val="0"/>
      <w:marTop w:val="0"/>
      <w:marBottom w:val="0"/>
      <w:divBdr>
        <w:top w:val="none" w:sz="0" w:space="0" w:color="auto"/>
        <w:left w:val="none" w:sz="0" w:space="0" w:color="auto"/>
        <w:bottom w:val="none" w:sz="0" w:space="0" w:color="auto"/>
        <w:right w:val="none" w:sz="0" w:space="0" w:color="auto"/>
      </w:divBdr>
      <w:divsChild>
        <w:div w:id="1831553057">
          <w:marLeft w:val="0"/>
          <w:marRight w:val="0"/>
          <w:marTop w:val="0"/>
          <w:marBottom w:val="0"/>
          <w:divBdr>
            <w:top w:val="none" w:sz="0" w:space="0" w:color="auto"/>
            <w:left w:val="none" w:sz="0" w:space="0" w:color="auto"/>
            <w:bottom w:val="none" w:sz="0" w:space="0" w:color="auto"/>
            <w:right w:val="none" w:sz="0" w:space="0" w:color="auto"/>
          </w:divBdr>
          <w:divsChild>
            <w:div w:id="602954628">
              <w:marLeft w:val="0"/>
              <w:marRight w:val="0"/>
              <w:marTop w:val="0"/>
              <w:marBottom w:val="0"/>
              <w:divBdr>
                <w:top w:val="none" w:sz="0" w:space="0" w:color="auto"/>
                <w:left w:val="none" w:sz="0" w:space="0" w:color="auto"/>
                <w:bottom w:val="none" w:sz="0" w:space="0" w:color="auto"/>
                <w:right w:val="none" w:sz="0" w:space="0" w:color="auto"/>
              </w:divBdr>
              <w:divsChild>
                <w:div w:id="66802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716128">
          <w:marLeft w:val="0"/>
          <w:marRight w:val="0"/>
          <w:marTop w:val="0"/>
          <w:marBottom w:val="0"/>
          <w:divBdr>
            <w:top w:val="none" w:sz="0" w:space="0" w:color="auto"/>
            <w:left w:val="none" w:sz="0" w:space="0" w:color="auto"/>
            <w:bottom w:val="none" w:sz="0" w:space="0" w:color="auto"/>
            <w:right w:val="none" w:sz="0" w:space="0" w:color="auto"/>
          </w:divBdr>
          <w:divsChild>
            <w:div w:id="1255675444">
              <w:marLeft w:val="0"/>
              <w:marRight w:val="0"/>
              <w:marTop w:val="0"/>
              <w:marBottom w:val="0"/>
              <w:divBdr>
                <w:top w:val="none" w:sz="0" w:space="0" w:color="auto"/>
                <w:left w:val="none" w:sz="0" w:space="0" w:color="auto"/>
                <w:bottom w:val="none" w:sz="0" w:space="0" w:color="auto"/>
                <w:right w:val="none" w:sz="0" w:space="0" w:color="auto"/>
              </w:divBdr>
              <w:divsChild>
                <w:div w:id="1192114819">
                  <w:marLeft w:val="0"/>
                  <w:marRight w:val="0"/>
                  <w:marTop w:val="0"/>
                  <w:marBottom w:val="0"/>
                  <w:divBdr>
                    <w:top w:val="none" w:sz="0" w:space="0" w:color="auto"/>
                    <w:left w:val="none" w:sz="0" w:space="0" w:color="auto"/>
                    <w:bottom w:val="none" w:sz="0" w:space="0" w:color="auto"/>
                    <w:right w:val="none" w:sz="0" w:space="0" w:color="auto"/>
                  </w:divBdr>
                </w:div>
              </w:divsChild>
            </w:div>
            <w:div w:id="1081682338">
              <w:marLeft w:val="0"/>
              <w:marRight w:val="0"/>
              <w:marTop w:val="0"/>
              <w:marBottom w:val="0"/>
              <w:divBdr>
                <w:top w:val="none" w:sz="0" w:space="0" w:color="auto"/>
                <w:left w:val="none" w:sz="0" w:space="0" w:color="auto"/>
                <w:bottom w:val="none" w:sz="0" w:space="0" w:color="auto"/>
                <w:right w:val="none" w:sz="0" w:space="0" w:color="auto"/>
              </w:divBdr>
              <w:divsChild>
                <w:div w:id="144507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726731">
          <w:marLeft w:val="0"/>
          <w:marRight w:val="0"/>
          <w:marTop w:val="0"/>
          <w:marBottom w:val="0"/>
          <w:divBdr>
            <w:top w:val="none" w:sz="0" w:space="0" w:color="auto"/>
            <w:left w:val="none" w:sz="0" w:space="0" w:color="auto"/>
            <w:bottom w:val="none" w:sz="0" w:space="0" w:color="auto"/>
            <w:right w:val="none" w:sz="0" w:space="0" w:color="auto"/>
          </w:divBdr>
          <w:divsChild>
            <w:div w:id="902837554">
              <w:marLeft w:val="0"/>
              <w:marRight w:val="0"/>
              <w:marTop w:val="0"/>
              <w:marBottom w:val="0"/>
              <w:divBdr>
                <w:top w:val="none" w:sz="0" w:space="0" w:color="auto"/>
                <w:left w:val="none" w:sz="0" w:space="0" w:color="auto"/>
                <w:bottom w:val="none" w:sz="0" w:space="0" w:color="auto"/>
                <w:right w:val="none" w:sz="0" w:space="0" w:color="auto"/>
              </w:divBdr>
              <w:divsChild>
                <w:div w:id="387530848">
                  <w:marLeft w:val="0"/>
                  <w:marRight w:val="0"/>
                  <w:marTop w:val="0"/>
                  <w:marBottom w:val="0"/>
                  <w:divBdr>
                    <w:top w:val="none" w:sz="0" w:space="0" w:color="auto"/>
                    <w:left w:val="none" w:sz="0" w:space="0" w:color="auto"/>
                    <w:bottom w:val="none" w:sz="0" w:space="0" w:color="auto"/>
                    <w:right w:val="none" w:sz="0" w:space="0" w:color="auto"/>
                  </w:divBdr>
                </w:div>
              </w:divsChild>
            </w:div>
            <w:div w:id="212929928">
              <w:marLeft w:val="0"/>
              <w:marRight w:val="0"/>
              <w:marTop w:val="0"/>
              <w:marBottom w:val="0"/>
              <w:divBdr>
                <w:top w:val="none" w:sz="0" w:space="0" w:color="auto"/>
                <w:left w:val="none" w:sz="0" w:space="0" w:color="auto"/>
                <w:bottom w:val="none" w:sz="0" w:space="0" w:color="auto"/>
                <w:right w:val="none" w:sz="0" w:space="0" w:color="auto"/>
              </w:divBdr>
              <w:divsChild>
                <w:div w:id="164503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337931">
      <w:bodyDiv w:val="1"/>
      <w:marLeft w:val="0"/>
      <w:marRight w:val="0"/>
      <w:marTop w:val="0"/>
      <w:marBottom w:val="0"/>
      <w:divBdr>
        <w:top w:val="none" w:sz="0" w:space="0" w:color="auto"/>
        <w:left w:val="none" w:sz="0" w:space="0" w:color="auto"/>
        <w:bottom w:val="none" w:sz="0" w:space="0" w:color="auto"/>
        <w:right w:val="none" w:sz="0" w:space="0" w:color="auto"/>
      </w:divBdr>
      <w:divsChild>
        <w:div w:id="726876950">
          <w:marLeft w:val="0"/>
          <w:marRight w:val="0"/>
          <w:marTop w:val="0"/>
          <w:marBottom w:val="0"/>
          <w:divBdr>
            <w:top w:val="none" w:sz="0" w:space="0" w:color="auto"/>
            <w:left w:val="none" w:sz="0" w:space="0" w:color="auto"/>
            <w:bottom w:val="none" w:sz="0" w:space="0" w:color="auto"/>
            <w:right w:val="none" w:sz="0" w:space="0" w:color="auto"/>
          </w:divBdr>
          <w:divsChild>
            <w:div w:id="1580361246">
              <w:marLeft w:val="0"/>
              <w:marRight w:val="0"/>
              <w:marTop w:val="0"/>
              <w:marBottom w:val="0"/>
              <w:divBdr>
                <w:top w:val="none" w:sz="0" w:space="0" w:color="auto"/>
                <w:left w:val="none" w:sz="0" w:space="0" w:color="auto"/>
                <w:bottom w:val="none" w:sz="0" w:space="0" w:color="auto"/>
                <w:right w:val="none" w:sz="0" w:space="0" w:color="auto"/>
              </w:divBdr>
              <w:divsChild>
                <w:div w:id="12466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130203">
      <w:bodyDiv w:val="1"/>
      <w:marLeft w:val="0"/>
      <w:marRight w:val="0"/>
      <w:marTop w:val="0"/>
      <w:marBottom w:val="0"/>
      <w:divBdr>
        <w:top w:val="none" w:sz="0" w:space="0" w:color="auto"/>
        <w:left w:val="none" w:sz="0" w:space="0" w:color="auto"/>
        <w:bottom w:val="none" w:sz="0" w:space="0" w:color="auto"/>
        <w:right w:val="none" w:sz="0" w:space="0" w:color="auto"/>
      </w:divBdr>
      <w:divsChild>
        <w:div w:id="202258874">
          <w:marLeft w:val="0"/>
          <w:marRight w:val="0"/>
          <w:marTop w:val="0"/>
          <w:marBottom w:val="0"/>
          <w:divBdr>
            <w:top w:val="none" w:sz="0" w:space="0" w:color="auto"/>
            <w:left w:val="none" w:sz="0" w:space="0" w:color="auto"/>
            <w:bottom w:val="none" w:sz="0" w:space="0" w:color="auto"/>
            <w:right w:val="none" w:sz="0" w:space="0" w:color="auto"/>
          </w:divBdr>
          <w:divsChild>
            <w:div w:id="827982224">
              <w:marLeft w:val="0"/>
              <w:marRight w:val="0"/>
              <w:marTop w:val="0"/>
              <w:marBottom w:val="0"/>
              <w:divBdr>
                <w:top w:val="none" w:sz="0" w:space="0" w:color="auto"/>
                <w:left w:val="none" w:sz="0" w:space="0" w:color="auto"/>
                <w:bottom w:val="none" w:sz="0" w:space="0" w:color="auto"/>
                <w:right w:val="none" w:sz="0" w:space="0" w:color="auto"/>
              </w:divBdr>
              <w:divsChild>
                <w:div w:id="192322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706200">
      <w:bodyDiv w:val="1"/>
      <w:marLeft w:val="0"/>
      <w:marRight w:val="0"/>
      <w:marTop w:val="0"/>
      <w:marBottom w:val="0"/>
      <w:divBdr>
        <w:top w:val="none" w:sz="0" w:space="0" w:color="auto"/>
        <w:left w:val="none" w:sz="0" w:space="0" w:color="auto"/>
        <w:bottom w:val="none" w:sz="0" w:space="0" w:color="auto"/>
        <w:right w:val="none" w:sz="0" w:space="0" w:color="auto"/>
      </w:divBdr>
      <w:divsChild>
        <w:div w:id="582491692">
          <w:marLeft w:val="0"/>
          <w:marRight w:val="0"/>
          <w:marTop w:val="0"/>
          <w:marBottom w:val="0"/>
          <w:divBdr>
            <w:top w:val="none" w:sz="0" w:space="0" w:color="auto"/>
            <w:left w:val="none" w:sz="0" w:space="0" w:color="auto"/>
            <w:bottom w:val="none" w:sz="0" w:space="0" w:color="auto"/>
            <w:right w:val="none" w:sz="0" w:space="0" w:color="auto"/>
          </w:divBdr>
          <w:divsChild>
            <w:div w:id="1796098508">
              <w:marLeft w:val="0"/>
              <w:marRight w:val="0"/>
              <w:marTop w:val="0"/>
              <w:marBottom w:val="0"/>
              <w:divBdr>
                <w:top w:val="none" w:sz="0" w:space="0" w:color="auto"/>
                <w:left w:val="none" w:sz="0" w:space="0" w:color="auto"/>
                <w:bottom w:val="none" w:sz="0" w:space="0" w:color="auto"/>
                <w:right w:val="none" w:sz="0" w:space="0" w:color="auto"/>
              </w:divBdr>
              <w:divsChild>
                <w:div w:id="201649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939396">
          <w:marLeft w:val="0"/>
          <w:marRight w:val="0"/>
          <w:marTop w:val="0"/>
          <w:marBottom w:val="0"/>
          <w:divBdr>
            <w:top w:val="none" w:sz="0" w:space="0" w:color="auto"/>
            <w:left w:val="none" w:sz="0" w:space="0" w:color="auto"/>
            <w:bottom w:val="none" w:sz="0" w:space="0" w:color="auto"/>
            <w:right w:val="none" w:sz="0" w:space="0" w:color="auto"/>
          </w:divBdr>
          <w:divsChild>
            <w:div w:id="505287255">
              <w:marLeft w:val="0"/>
              <w:marRight w:val="0"/>
              <w:marTop w:val="0"/>
              <w:marBottom w:val="0"/>
              <w:divBdr>
                <w:top w:val="none" w:sz="0" w:space="0" w:color="auto"/>
                <w:left w:val="none" w:sz="0" w:space="0" w:color="auto"/>
                <w:bottom w:val="none" w:sz="0" w:space="0" w:color="auto"/>
                <w:right w:val="none" w:sz="0" w:space="0" w:color="auto"/>
              </w:divBdr>
              <w:divsChild>
                <w:div w:id="78990729">
                  <w:marLeft w:val="0"/>
                  <w:marRight w:val="0"/>
                  <w:marTop w:val="0"/>
                  <w:marBottom w:val="0"/>
                  <w:divBdr>
                    <w:top w:val="none" w:sz="0" w:space="0" w:color="auto"/>
                    <w:left w:val="none" w:sz="0" w:space="0" w:color="auto"/>
                    <w:bottom w:val="none" w:sz="0" w:space="0" w:color="auto"/>
                    <w:right w:val="none" w:sz="0" w:space="0" w:color="auto"/>
                  </w:divBdr>
                </w:div>
              </w:divsChild>
            </w:div>
            <w:div w:id="725031872">
              <w:marLeft w:val="0"/>
              <w:marRight w:val="0"/>
              <w:marTop w:val="0"/>
              <w:marBottom w:val="0"/>
              <w:divBdr>
                <w:top w:val="none" w:sz="0" w:space="0" w:color="auto"/>
                <w:left w:val="none" w:sz="0" w:space="0" w:color="auto"/>
                <w:bottom w:val="none" w:sz="0" w:space="0" w:color="auto"/>
                <w:right w:val="none" w:sz="0" w:space="0" w:color="auto"/>
              </w:divBdr>
              <w:divsChild>
                <w:div w:id="39678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583606">
      <w:bodyDiv w:val="1"/>
      <w:marLeft w:val="0"/>
      <w:marRight w:val="0"/>
      <w:marTop w:val="0"/>
      <w:marBottom w:val="0"/>
      <w:divBdr>
        <w:top w:val="none" w:sz="0" w:space="0" w:color="auto"/>
        <w:left w:val="none" w:sz="0" w:space="0" w:color="auto"/>
        <w:bottom w:val="none" w:sz="0" w:space="0" w:color="auto"/>
        <w:right w:val="none" w:sz="0" w:space="0" w:color="auto"/>
      </w:divBdr>
      <w:divsChild>
        <w:div w:id="452595602">
          <w:marLeft w:val="0"/>
          <w:marRight w:val="0"/>
          <w:marTop w:val="0"/>
          <w:marBottom w:val="0"/>
          <w:divBdr>
            <w:top w:val="none" w:sz="0" w:space="0" w:color="auto"/>
            <w:left w:val="none" w:sz="0" w:space="0" w:color="auto"/>
            <w:bottom w:val="none" w:sz="0" w:space="0" w:color="auto"/>
            <w:right w:val="none" w:sz="0" w:space="0" w:color="auto"/>
          </w:divBdr>
          <w:divsChild>
            <w:div w:id="2117021677">
              <w:marLeft w:val="0"/>
              <w:marRight w:val="0"/>
              <w:marTop w:val="0"/>
              <w:marBottom w:val="0"/>
              <w:divBdr>
                <w:top w:val="none" w:sz="0" w:space="0" w:color="auto"/>
                <w:left w:val="none" w:sz="0" w:space="0" w:color="auto"/>
                <w:bottom w:val="none" w:sz="0" w:space="0" w:color="auto"/>
                <w:right w:val="none" w:sz="0" w:space="0" w:color="auto"/>
              </w:divBdr>
              <w:divsChild>
                <w:div w:id="34401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072184">
      <w:bodyDiv w:val="1"/>
      <w:marLeft w:val="0"/>
      <w:marRight w:val="0"/>
      <w:marTop w:val="0"/>
      <w:marBottom w:val="0"/>
      <w:divBdr>
        <w:top w:val="none" w:sz="0" w:space="0" w:color="auto"/>
        <w:left w:val="none" w:sz="0" w:space="0" w:color="auto"/>
        <w:bottom w:val="none" w:sz="0" w:space="0" w:color="auto"/>
        <w:right w:val="none" w:sz="0" w:space="0" w:color="auto"/>
      </w:divBdr>
      <w:divsChild>
        <w:div w:id="1656687420">
          <w:marLeft w:val="0"/>
          <w:marRight w:val="0"/>
          <w:marTop w:val="0"/>
          <w:marBottom w:val="0"/>
          <w:divBdr>
            <w:top w:val="none" w:sz="0" w:space="0" w:color="auto"/>
            <w:left w:val="none" w:sz="0" w:space="0" w:color="auto"/>
            <w:bottom w:val="none" w:sz="0" w:space="0" w:color="auto"/>
            <w:right w:val="none" w:sz="0" w:space="0" w:color="auto"/>
          </w:divBdr>
          <w:divsChild>
            <w:div w:id="63918799">
              <w:marLeft w:val="0"/>
              <w:marRight w:val="0"/>
              <w:marTop w:val="0"/>
              <w:marBottom w:val="0"/>
              <w:divBdr>
                <w:top w:val="none" w:sz="0" w:space="0" w:color="auto"/>
                <w:left w:val="none" w:sz="0" w:space="0" w:color="auto"/>
                <w:bottom w:val="none" w:sz="0" w:space="0" w:color="auto"/>
                <w:right w:val="none" w:sz="0" w:space="0" w:color="auto"/>
              </w:divBdr>
              <w:divsChild>
                <w:div w:id="190024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4</Pages>
  <Words>1804</Words>
  <Characters>10286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2022-05-04T18:05:00Z</dcterms:created>
  <dcterms:modified xsi:type="dcterms:W3CDTF">2022-05-04T20:21:00Z</dcterms:modified>
</cp:coreProperties>
</file>