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DD93D" w14:textId="00216A6F" w:rsidR="008833A0" w:rsidRDefault="006F6C8D" w:rsidP="008833A0">
      <w:pPr>
        <w:spacing w:line="360" w:lineRule="auto"/>
        <w:jc w:val="center"/>
        <w:rPr>
          <w:b/>
          <w:bCs/>
          <w:sz w:val="36"/>
          <w:szCs w:val="36"/>
        </w:rPr>
      </w:pPr>
      <w:r>
        <w:rPr>
          <w:noProof/>
          <w:lang w:val="en-US"/>
        </w:rPr>
        <w:drawing>
          <wp:inline distT="0" distB="0" distL="0" distR="0" wp14:anchorId="45E84190" wp14:editId="3E95B8F4">
            <wp:extent cx="1748790" cy="971550"/>
            <wp:effectExtent l="0" t="0" r="3810" b="0"/>
            <wp:docPr id="1"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50240" cy="972356"/>
                    </a:xfrm>
                    <a:prstGeom prst="rect">
                      <a:avLst/>
                    </a:prstGeom>
                    <a:noFill/>
                    <a:ln>
                      <a:noFill/>
                    </a:ln>
                  </pic:spPr>
                </pic:pic>
              </a:graphicData>
            </a:graphic>
          </wp:inline>
        </w:drawing>
      </w:r>
    </w:p>
    <w:p w14:paraId="2BD1A546" w14:textId="77777777" w:rsidR="008833A0" w:rsidRDefault="008833A0" w:rsidP="008833A0">
      <w:pPr>
        <w:spacing w:line="360" w:lineRule="auto"/>
        <w:jc w:val="center"/>
        <w:rPr>
          <w:b/>
          <w:bCs/>
          <w:sz w:val="36"/>
          <w:szCs w:val="36"/>
        </w:rPr>
      </w:pPr>
    </w:p>
    <w:p w14:paraId="322F5904" w14:textId="6D7F8121" w:rsidR="008833A0" w:rsidRPr="006F6C8D" w:rsidRDefault="006F6C8D" w:rsidP="008833A0">
      <w:pPr>
        <w:spacing w:line="360" w:lineRule="auto"/>
        <w:jc w:val="center"/>
        <w:rPr>
          <w:b/>
          <w:bCs/>
          <w:sz w:val="36"/>
          <w:szCs w:val="36"/>
        </w:rPr>
      </w:pPr>
      <w:r w:rsidRPr="006F6C8D">
        <w:rPr>
          <w:b/>
          <w:bCs/>
          <w:sz w:val="36"/>
          <w:szCs w:val="36"/>
        </w:rPr>
        <w:t>Personnel Resourcing and Development</w:t>
      </w:r>
    </w:p>
    <w:p w14:paraId="08EE330B" w14:textId="7BEAB71E" w:rsidR="006F6C8D" w:rsidRPr="006F6C8D" w:rsidRDefault="006F6C8D" w:rsidP="008833A0">
      <w:pPr>
        <w:spacing w:line="360" w:lineRule="auto"/>
        <w:jc w:val="center"/>
        <w:rPr>
          <w:b/>
          <w:bCs/>
          <w:sz w:val="36"/>
          <w:szCs w:val="36"/>
        </w:rPr>
      </w:pPr>
      <w:r w:rsidRPr="006F6C8D">
        <w:rPr>
          <w:b/>
          <w:bCs/>
          <w:sz w:val="36"/>
          <w:szCs w:val="36"/>
        </w:rPr>
        <w:t>Level 5</w:t>
      </w:r>
    </w:p>
    <w:p w14:paraId="7CD20A43" w14:textId="64ED915B" w:rsidR="006F6C8D" w:rsidRDefault="006F6C8D" w:rsidP="008833A0">
      <w:pPr>
        <w:spacing w:line="360" w:lineRule="auto"/>
        <w:jc w:val="center"/>
        <w:rPr>
          <w:b/>
          <w:bCs/>
          <w:sz w:val="36"/>
          <w:szCs w:val="36"/>
        </w:rPr>
      </w:pPr>
      <w:r w:rsidRPr="006F6C8D">
        <w:rPr>
          <w:b/>
          <w:bCs/>
          <w:sz w:val="36"/>
          <w:szCs w:val="36"/>
        </w:rPr>
        <w:t>BMIH5005</w:t>
      </w:r>
    </w:p>
    <w:p w14:paraId="2B7842D7" w14:textId="176747EC" w:rsidR="004E0A70" w:rsidRDefault="004E0A70" w:rsidP="008833A0">
      <w:pPr>
        <w:spacing w:line="360" w:lineRule="auto"/>
        <w:jc w:val="center"/>
        <w:rPr>
          <w:b/>
          <w:bCs/>
          <w:sz w:val="36"/>
          <w:szCs w:val="36"/>
        </w:rPr>
      </w:pPr>
      <w:r>
        <w:rPr>
          <w:b/>
          <w:bCs/>
          <w:sz w:val="36"/>
          <w:szCs w:val="36"/>
        </w:rPr>
        <w:t>Lecturer Helen Lee</w:t>
      </w:r>
    </w:p>
    <w:p w14:paraId="30257FF9" w14:textId="77777777" w:rsidR="008833A0" w:rsidRDefault="008833A0" w:rsidP="008833A0">
      <w:pPr>
        <w:spacing w:line="360" w:lineRule="auto"/>
        <w:jc w:val="center"/>
        <w:rPr>
          <w:b/>
          <w:bCs/>
          <w:sz w:val="36"/>
          <w:szCs w:val="36"/>
        </w:rPr>
      </w:pPr>
    </w:p>
    <w:p w14:paraId="068E4ACD" w14:textId="5D76C30C" w:rsidR="008833A0" w:rsidRPr="008833A0" w:rsidRDefault="00602023" w:rsidP="008833A0">
      <w:pPr>
        <w:spacing w:line="360" w:lineRule="auto"/>
        <w:jc w:val="center"/>
        <w:rPr>
          <w:b/>
          <w:bCs/>
          <w:sz w:val="36"/>
          <w:szCs w:val="36"/>
        </w:rPr>
      </w:pPr>
      <w:r>
        <w:rPr>
          <w:b/>
          <w:bCs/>
          <w:sz w:val="36"/>
          <w:szCs w:val="36"/>
        </w:rPr>
        <w:t>Analyze</w:t>
      </w:r>
      <w:r w:rsidRPr="008833A0">
        <w:rPr>
          <w:b/>
          <w:bCs/>
          <w:sz w:val="36"/>
          <w:szCs w:val="36"/>
        </w:rPr>
        <w:t xml:space="preserve"> the impacts of socio-economic force on employees’ performance management and monitoring in different work modes: Hospitality HR’s perspective</w:t>
      </w:r>
    </w:p>
    <w:p w14:paraId="28ECCEE0" w14:textId="77777777" w:rsidR="008833A0" w:rsidRDefault="008833A0" w:rsidP="008833A0">
      <w:pPr>
        <w:spacing w:line="360" w:lineRule="auto"/>
        <w:jc w:val="center"/>
        <w:rPr>
          <w:b/>
          <w:bCs/>
          <w:sz w:val="36"/>
          <w:szCs w:val="36"/>
        </w:rPr>
      </w:pPr>
    </w:p>
    <w:p w14:paraId="12246C1B" w14:textId="77777777" w:rsidR="008833A0" w:rsidRDefault="008833A0" w:rsidP="008833A0">
      <w:pPr>
        <w:spacing w:line="360" w:lineRule="auto"/>
        <w:jc w:val="center"/>
        <w:rPr>
          <w:b/>
          <w:bCs/>
          <w:sz w:val="36"/>
          <w:szCs w:val="36"/>
        </w:rPr>
      </w:pPr>
    </w:p>
    <w:p w14:paraId="6186FA54" w14:textId="67A9F729" w:rsidR="008833A0" w:rsidRPr="008833A0" w:rsidRDefault="00602023" w:rsidP="008833A0">
      <w:pPr>
        <w:spacing w:line="360" w:lineRule="auto"/>
        <w:jc w:val="center"/>
        <w:rPr>
          <w:b/>
          <w:bCs/>
          <w:sz w:val="36"/>
          <w:szCs w:val="36"/>
        </w:rPr>
      </w:pPr>
      <w:r w:rsidRPr="008833A0">
        <w:rPr>
          <w:b/>
          <w:bCs/>
          <w:sz w:val="36"/>
          <w:szCs w:val="36"/>
        </w:rPr>
        <w:t>Name</w:t>
      </w:r>
      <w:r w:rsidR="003826FA">
        <w:rPr>
          <w:b/>
          <w:bCs/>
          <w:sz w:val="36"/>
          <w:szCs w:val="36"/>
        </w:rPr>
        <w:t xml:space="preserve"> Mihaela Bumb</w:t>
      </w:r>
    </w:p>
    <w:p w14:paraId="55F9B917" w14:textId="591DA182" w:rsidR="008833A0" w:rsidRPr="008833A0" w:rsidRDefault="00602023" w:rsidP="008833A0">
      <w:pPr>
        <w:spacing w:line="360" w:lineRule="auto"/>
        <w:jc w:val="center"/>
        <w:rPr>
          <w:b/>
          <w:bCs/>
          <w:sz w:val="36"/>
          <w:szCs w:val="36"/>
        </w:rPr>
      </w:pPr>
      <w:r w:rsidRPr="008833A0">
        <w:rPr>
          <w:b/>
          <w:bCs/>
          <w:sz w:val="36"/>
          <w:szCs w:val="36"/>
        </w:rPr>
        <w:t>Student Id</w:t>
      </w:r>
      <w:r w:rsidR="003826FA">
        <w:rPr>
          <w:b/>
          <w:bCs/>
          <w:sz w:val="36"/>
          <w:szCs w:val="36"/>
        </w:rPr>
        <w:t xml:space="preserve"> 2232072</w:t>
      </w:r>
    </w:p>
    <w:p w14:paraId="445065E9" w14:textId="77777777" w:rsidR="008833A0" w:rsidRDefault="00602023">
      <w:pPr>
        <w:spacing w:after="160" w:line="259" w:lineRule="auto"/>
        <w:jc w:val="left"/>
        <w:rPr>
          <w:rFonts w:eastAsia="Times New Roman" w:cstheme="majorBidi"/>
          <w:b/>
          <w:sz w:val="28"/>
          <w:szCs w:val="32"/>
        </w:rPr>
      </w:pPr>
      <w:r>
        <w:rPr>
          <w:rFonts w:eastAsia="Times New Roman"/>
        </w:rPr>
        <w:br w:type="page"/>
      </w:r>
    </w:p>
    <w:p w14:paraId="679E6F6F" w14:textId="26A05F09" w:rsidR="008833A0" w:rsidRPr="004F473A" w:rsidRDefault="00602023">
      <w:pPr>
        <w:pStyle w:val="TOC1"/>
        <w:tabs>
          <w:tab w:val="right" w:pos="9350"/>
        </w:tabs>
        <w:rPr>
          <w:rFonts w:ascii="Arial" w:eastAsia="Times New Roman" w:hAnsi="Arial" w:cs="Arial"/>
          <w:sz w:val="24"/>
          <w:szCs w:val="24"/>
          <w:u w:val="none"/>
        </w:rPr>
      </w:pPr>
      <w:r w:rsidRPr="004F473A">
        <w:rPr>
          <w:rFonts w:ascii="Arial" w:eastAsia="Times New Roman" w:hAnsi="Arial" w:cs="Arial"/>
          <w:sz w:val="24"/>
          <w:szCs w:val="24"/>
          <w:u w:val="none"/>
        </w:rPr>
        <w:lastRenderedPageBreak/>
        <w:t>Table of content</w:t>
      </w:r>
    </w:p>
    <w:p w14:paraId="32100029" w14:textId="5C0930B5" w:rsidR="008833A0" w:rsidRPr="004F473A" w:rsidRDefault="00602023">
      <w:pPr>
        <w:pStyle w:val="TOC1"/>
        <w:tabs>
          <w:tab w:val="right" w:pos="9350"/>
        </w:tabs>
        <w:rPr>
          <w:rFonts w:ascii="Arial" w:eastAsiaTheme="minorEastAsia" w:hAnsi="Arial" w:cs="Arial"/>
          <w:b w:val="0"/>
          <w:bCs w:val="0"/>
          <w:caps w:val="0"/>
          <w:noProof/>
          <w:kern w:val="2"/>
          <w:sz w:val="24"/>
          <w:szCs w:val="24"/>
          <w:u w:val="none"/>
          <w:lang w:val="en-US"/>
          <w14:ligatures w14:val="standardContextual"/>
        </w:rPr>
      </w:pPr>
      <w:r w:rsidRPr="004F473A">
        <w:rPr>
          <w:rFonts w:ascii="Arial" w:eastAsia="Times New Roman" w:hAnsi="Arial" w:cs="Arial"/>
          <w:sz w:val="24"/>
          <w:szCs w:val="24"/>
          <w:u w:val="none"/>
        </w:rPr>
        <w:fldChar w:fldCharType="begin"/>
      </w:r>
      <w:r w:rsidRPr="004F473A">
        <w:rPr>
          <w:rFonts w:ascii="Arial" w:eastAsia="Times New Roman" w:hAnsi="Arial" w:cs="Arial"/>
          <w:sz w:val="24"/>
          <w:szCs w:val="24"/>
          <w:u w:val="none"/>
        </w:rPr>
        <w:instrText xml:space="preserve"> TOC \o "1-3" \h \z \u </w:instrText>
      </w:r>
      <w:r w:rsidRPr="004F473A">
        <w:rPr>
          <w:rFonts w:ascii="Arial" w:eastAsia="Times New Roman" w:hAnsi="Arial" w:cs="Arial"/>
          <w:sz w:val="24"/>
          <w:szCs w:val="24"/>
          <w:u w:val="none"/>
        </w:rPr>
        <w:fldChar w:fldCharType="separate"/>
      </w:r>
      <w:hyperlink w:anchor="_Toc159858774" w:history="1">
        <w:r w:rsidRPr="004F473A">
          <w:rPr>
            <w:rStyle w:val="Hyperlink"/>
            <w:rFonts w:ascii="Arial" w:eastAsia="Times New Roman" w:hAnsi="Arial" w:cs="Arial"/>
            <w:noProof/>
            <w:sz w:val="24"/>
            <w:szCs w:val="24"/>
            <w:u w:val="none"/>
          </w:rPr>
          <w:t>Introduction and Background</w:t>
        </w:r>
        <w:r w:rsidRPr="004F473A">
          <w:rPr>
            <w:rFonts w:ascii="Arial" w:hAnsi="Arial" w:cs="Arial"/>
            <w:noProof/>
            <w:webHidden/>
            <w:sz w:val="24"/>
            <w:szCs w:val="24"/>
            <w:u w:val="none"/>
          </w:rPr>
          <w:tab/>
        </w:r>
        <w:r w:rsidRPr="004F473A">
          <w:rPr>
            <w:rFonts w:ascii="Arial" w:hAnsi="Arial" w:cs="Arial"/>
            <w:noProof/>
            <w:webHidden/>
            <w:sz w:val="24"/>
            <w:szCs w:val="24"/>
            <w:u w:val="none"/>
          </w:rPr>
          <w:fldChar w:fldCharType="begin"/>
        </w:r>
        <w:r w:rsidRPr="004F473A">
          <w:rPr>
            <w:rFonts w:ascii="Arial" w:hAnsi="Arial" w:cs="Arial"/>
            <w:noProof/>
            <w:webHidden/>
            <w:sz w:val="24"/>
            <w:szCs w:val="24"/>
            <w:u w:val="none"/>
          </w:rPr>
          <w:instrText xml:space="preserve"> PAGEREF _Toc159858774 \h </w:instrText>
        </w:r>
        <w:r w:rsidRPr="004F473A">
          <w:rPr>
            <w:rFonts w:ascii="Arial" w:hAnsi="Arial" w:cs="Arial"/>
            <w:noProof/>
            <w:webHidden/>
            <w:sz w:val="24"/>
            <w:szCs w:val="24"/>
            <w:u w:val="none"/>
          </w:rPr>
        </w:r>
        <w:r w:rsidRPr="004F473A">
          <w:rPr>
            <w:rFonts w:ascii="Arial" w:hAnsi="Arial" w:cs="Arial"/>
            <w:noProof/>
            <w:webHidden/>
            <w:sz w:val="24"/>
            <w:szCs w:val="24"/>
            <w:u w:val="none"/>
          </w:rPr>
          <w:fldChar w:fldCharType="separate"/>
        </w:r>
        <w:r w:rsidR="00B21E11" w:rsidRPr="004F473A">
          <w:rPr>
            <w:rFonts w:ascii="Arial" w:hAnsi="Arial" w:cs="Arial"/>
            <w:noProof/>
            <w:webHidden/>
            <w:sz w:val="24"/>
            <w:szCs w:val="24"/>
            <w:u w:val="none"/>
          </w:rPr>
          <w:t>3</w:t>
        </w:r>
        <w:r w:rsidRPr="004F473A">
          <w:rPr>
            <w:rFonts w:ascii="Arial" w:hAnsi="Arial" w:cs="Arial"/>
            <w:noProof/>
            <w:webHidden/>
            <w:sz w:val="24"/>
            <w:szCs w:val="24"/>
            <w:u w:val="none"/>
          </w:rPr>
          <w:fldChar w:fldCharType="end"/>
        </w:r>
      </w:hyperlink>
    </w:p>
    <w:p w14:paraId="2AE2F751" w14:textId="176DAA92" w:rsidR="008833A0" w:rsidRPr="004F473A" w:rsidRDefault="00000000">
      <w:pPr>
        <w:pStyle w:val="TOC1"/>
        <w:tabs>
          <w:tab w:val="right" w:pos="9350"/>
        </w:tabs>
        <w:rPr>
          <w:rFonts w:ascii="Arial" w:eastAsiaTheme="minorEastAsia" w:hAnsi="Arial" w:cs="Arial"/>
          <w:b w:val="0"/>
          <w:bCs w:val="0"/>
          <w:caps w:val="0"/>
          <w:noProof/>
          <w:kern w:val="2"/>
          <w:sz w:val="24"/>
          <w:szCs w:val="24"/>
          <w:u w:val="none"/>
          <w:lang w:val="en-US"/>
          <w14:ligatures w14:val="standardContextual"/>
        </w:rPr>
      </w:pPr>
      <w:hyperlink w:anchor="_Toc159858775" w:history="1">
        <w:r w:rsidR="00602023" w:rsidRPr="004F473A">
          <w:rPr>
            <w:rStyle w:val="Hyperlink"/>
            <w:rFonts w:ascii="Arial" w:eastAsia="Times New Roman" w:hAnsi="Arial" w:cs="Arial"/>
            <w:noProof/>
            <w:sz w:val="24"/>
            <w:szCs w:val="24"/>
            <w:u w:val="none"/>
          </w:rPr>
          <w:t>Discussion</w:t>
        </w:r>
        <w:r w:rsidR="00602023" w:rsidRPr="004F473A">
          <w:rPr>
            <w:rFonts w:ascii="Arial" w:hAnsi="Arial" w:cs="Arial"/>
            <w:noProof/>
            <w:webHidden/>
            <w:sz w:val="24"/>
            <w:szCs w:val="24"/>
            <w:u w:val="none"/>
          </w:rPr>
          <w:tab/>
        </w:r>
        <w:r w:rsidR="00602023" w:rsidRPr="004F473A">
          <w:rPr>
            <w:rFonts w:ascii="Arial" w:hAnsi="Arial" w:cs="Arial"/>
            <w:noProof/>
            <w:webHidden/>
            <w:sz w:val="24"/>
            <w:szCs w:val="24"/>
            <w:u w:val="none"/>
          </w:rPr>
          <w:fldChar w:fldCharType="begin"/>
        </w:r>
        <w:r w:rsidR="00602023" w:rsidRPr="004F473A">
          <w:rPr>
            <w:rFonts w:ascii="Arial" w:hAnsi="Arial" w:cs="Arial"/>
            <w:noProof/>
            <w:webHidden/>
            <w:sz w:val="24"/>
            <w:szCs w:val="24"/>
            <w:u w:val="none"/>
          </w:rPr>
          <w:instrText xml:space="preserve"> PAGEREF _Toc159858775 \h </w:instrText>
        </w:r>
        <w:r w:rsidR="00602023" w:rsidRPr="004F473A">
          <w:rPr>
            <w:rFonts w:ascii="Arial" w:hAnsi="Arial" w:cs="Arial"/>
            <w:noProof/>
            <w:webHidden/>
            <w:sz w:val="24"/>
            <w:szCs w:val="24"/>
            <w:u w:val="none"/>
          </w:rPr>
        </w:r>
        <w:r w:rsidR="00602023" w:rsidRPr="004F473A">
          <w:rPr>
            <w:rFonts w:ascii="Arial" w:hAnsi="Arial" w:cs="Arial"/>
            <w:noProof/>
            <w:webHidden/>
            <w:sz w:val="24"/>
            <w:szCs w:val="24"/>
            <w:u w:val="none"/>
          </w:rPr>
          <w:fldChar w:fldCharType="separate"/>
        </w:r>
        <w:r w:rsidR="00B21E11" w:rsidRPr="004F473A">
          <w:rPr>
            <w:rFonts w:ascii="Arial" w:hAnsi="Arial" w:cs="Arial"/>
            <w:noProof/>
            <w:webHidden/>
            <w:sz w:val="24"/>
            <w:szCs w:val="24"/>
            <w:u w:val="none"/>
          </w:rPr>
          <w:t>4</w:t>
        </w:r>
        <w:r w:rsidR="00602023" w:rsidRPr="004F473A">
          <w:rPr>
            <w:rFonts w:ascii="Arial" w:hAnsi="Arial" w:cs="Arial"/>
            <w:noProof/>
            <w:webHidden/>
            <w:sz w:val="24"/>
            <w:szCs w:val="24"/>
            <w:u w:val="none"/>
          </w:rPr>
          <w:fldChar w:fldCharType="end"/>
        </w:r>
      </w:hyperlink>
    </w:p>
    <w:p w14:paraId="6036B0C5" w14:textId="02956440" w:rsidR="008833A0" w:rsidRPr="004F473A" w:rsidRDefault="00000000" w:rsidP="004F473A">
      <w:pPr>
        <w:pStyle w:val="TOC2"/>
        <w:rPr>
          <w:b/>
          <w:bCs/>
        </w:rPr>
      </w:pPr>
      <w:hyperlink w:anchor="_Toc159858776" w:history="1">
        <w:r w:rsidR="004F473A" w:rsidRPr="004F473A">
          <w:rPr>
            <w:rStyle w:val="Hyperlink"/>
            <w:b/>
            <w:bCs/>
            <w:u w:val="none"/>
          </w:rPr>
          <w:t>Summary of existing research</w:t>
        </w:r>
        <w:r w:rsidR="00602023" w:rsidRPr="004F473A">
          <w:rPr>
            <w:b/>
            <w:bCs/>
            <w:webHidden/>
          </w:rPr>
          <w:tab/>
        </w:r>
        <w:r w:rsidR="00602023" w:rsidRPr="004F473A">
          <w:rPr>
            <w:b/>
            <w:bCs/>
            <w:webHidden/>
          </w:rPr>
          <w:fldChar w:fldCharType="begin"/>
        </w:r>
        <w:r w:rsidR="00602023" w:rsidRPr="004F473A">
          <w:rPr>
            <w:b/>
            <w:bCs/>
            <w:webHidden/>
          </w:rPr>
          <w:instrText xml:space="preserve"> PAGEREF _Toc159858776 \h </w:instrText>
        </w:r>
        <w:r w:rsidR="00602023" w:rsidRPr="004F473A">
          <w:rPr>
            <w:b/>
            <w:bCs/>
            <w:webHidden/>
          </w:rPr>
        </w:r>
        <w:r w:rsidR="00602023" w:rsidRPr="004F473A">
          <w:rPr>
            <w:b/>
            <w:bCs/>
            <w:webHidden/>
          </w:rPr>
          <w:fldChar w:fldCharType="separate"/>
        </w:r>
        <w:r w:rsidR="00B21E11" w:rsidRPr="004F473A">
          <w:rPr>
            <w:b/>
            <w:bCs/>
            <w:webHidden/>
          </w:rPr>
          <w:t>4</w:t>
        </w:r>
        <w:r w:rsidR="00602023" w:rsidRPr="004F473A">
          <w:rPr>
            <w:b/>
            <w:bCs/>
            <w:webHidden/>
          </w:rPr>
          <w:fldChar w:fldCharType="end"/>
        </w:r>
      </w:hyperlink>
    </w:p>
    <w:p w14:paraId="3A9B595C" w14:textId="77777777" w:rsidR="004F473A" w:rsidRPr="004F473A" w:rsidRDefault="004F473A" w:rsidP="004F473A">
      <w:pPr>
        <w:rPr>
          <w:rFonts w:cs="Arial"/>
        </w:rPr>
      </w:pPr>
    </w:p>
    <w:p w14:paraId="2D28674F" w14:textId="7CF3871F" w:rsidR="008833A0" w:rsidRPr="004F473A" w:rsidRDefault="00000000" w:rsidP="004F473A">
      <w:pPr>
        <w:pStyle w:val="TOC2"/>
        <w:rPr>
          <w:b/>
          <w:bCs/>
        </w:rPr>
      </w:pPr>
      <w:hyperlink w:anchor="_Toc159858777" w:history="1">
        <w:r w:rsidR="00602023" w:rsidRPr="004F473A">
          <w:rPr>
            <w:rStyle w:val="Hyperlink"/>
            <w:b/>
            <w:bCs/>
            <w:u w:val="none"/>
          </w:rPr>
          <w:t xml:space="preserve">Examples of Employee Management in Different Work </w:t>
        </w:r>
        <w:r w:rsidR="004F473A" w:rsidRPr="004F473A">
          <w:rPr>
            <w:rStyle w:val="Hyperlink"/>
            <w:b/>
            <w:bCs/>
            <w:u w:val="none"/>
          </w:rPr>
          <w:t>modes</w:t>
        </w:r>
        <w:r w:rsidR="00602023" w:rsidRPr="004F473A">
          <w:rPr>
            <w:b/>
            <w:bCs/>
            <w:webHidden/>
          </w:rPr>
          <w:tab/>
        </w:r>
        <w:r w:rsidR="00602023" w:rsidRPr="004F473A">
          <w:rPr>
            <w:b/>
            <w:bCs/>
            <w:webHidden/>
          </w:rPr>
          <w:fldChar w:fldCharType="begin"/>
        </w:r>
        <w:r w:rsidR="00602023" w:rsidRPr="004F473A">
          <w:rPr>
            <w:b/>
            <w:bCs/>
            <w:webHidden/>
          </w:rPr>
          <w:instrText xml:space="preserve"> PAGEREF _Toc159858777 \h </w:instrText>
        </w:r>
        <w:r w:rsidR="00602023" w:rsidRPr="004F473A">
          <w:rPr>
            <w:b/>
            <w:bCs/>
            <w:webHidden/>
          </w:rPr>
        </w:r>
        <w:r w:rsidR="00602023" w:rsidRPr="004F473A">
          <w:rPr>
            <w:b/>
            <w:bCs/>
            <w:webHidden/>
          </w:rPr>
          <w:fldChar w:fldCharType="separate"/>
        </w:r>
        <w:r w:rsidR="00B21E11" w:rsidRPr="004F473A">
          <w:rPr>
            <w:b/>
            <w:bCs/>
            <w:webHidden/>
          </w:rPr>
          <w:t>5</w:t>
        </w:r>
        <w:r w:rsidR="00602023" w:rsidRPr="004F473A">
          <w:rPr>
            <w:b/>
            <w:bCs/>
            <w:webHidden/>
          </w:rPr>
          <w:fldChar w:fldCharType="end"/>
        </w:r>
      </w:hyperlink>
    </w:p>
    <w:p w14:paraId="01370FF3" w14:textId="77777777" w:rsidR="004F473A" w:rsidRPr="004F473A" w:rsidRDefault="004F473A" w:rsidP="004F473A">
      <w:pPr>
        <w:rPr>
          <w:rFonts w:cs="Arial"/>
        </w:rPr>
      </w:pPr>
    </w:p>
    <w:p w14:paraId="02101134" w14:textId="7660BE59" w:rsidR="008833A0" w:rsidRPr="004F473A" w:rsidRDefault="00000000" w:rsidP="004F473A">
      <w:pPr>
        <w:pStyle w:val="TOC2"/>
        <w:rPr>
          <w:rFonts w:eastAsiaTheme="minorEastAsia"/>
          <w:b/>
          <w:bCs/>
          <w:kern w:val="2"/>
          <w:lang w:val="en-US"/>
          <w14:ligatures w14:val="standardContextual"/>
        </w:rPr>
      </w:pPr>
      <w:hyperlink w:anchor="_Toc159858778" w:history="1">
        <w:r w:rsidR="004F473A" w:rsidRPr="004F473A">
          <w:rPr>
            <w:rStyle w:val="Hyperlink"/>
            <w:b/>
            <w:bCs/>
            <w:u w:val="none"/>
          </w:rPr>
          <w:t>Potential solutions</w:t>
        </w:r>
        <w:r w:rsidR="00602023" w:rsidRPr="004F473A">
          <w:rPr>
            <w:b/>
            <w:bCs/>
            <w:webHidden/>
          </w:rPr>
          <w:tab/>
        </w:r>
        <w:r w:rsidR="00602023" w:rsidRPr="004F473A">
          <w:rPr>
            <w:b/>
            <w:bCs/>
            <w:webHidden/>
          </w:rPr>
          <w:fldChar w:fldCharType="begin"/>
        </w:r>
        <w:r w:rsidR="00602023" w:rsidRPr="004F473A">
          <w:rPr>
            <w:b/>
            <w:bCs/>
            <w:webHidden/>
          </w:rPr>
          <w:instrText xml:space="preserve"> PAGEREF _Toc159858778 \h </w:instrText>
        </w:r>
        <w:r w:rsidR="00602023" w:rsidRPr="004F473A">
          <w:rPr>
            <w:b/>
            <w:bCs/>
            <w:webHidden/>
          </w:rPr>
        </w:r>
        <w:r w:rsidR="00602023" w:rsidRPr="004F473A">
          <w:rPr>
            <w:b/>
            <w:bCs/>
            <w:webHidden/>
          </w:rPr>
          <w:fldChar w:fldCharType="separate"/>
        </w:r>
        <w:r w:rsidR="00B21E11" w:rsidRPr="004F473A">
          <w:rPr>
            <w:b/>
            <w:bCs/>
            <w:webHidden/>
          </w:rPr>
          <w:t>6</w:t>
        </w:r>
        <w:r w:rsidR="00602023" w:rsidRPr="004F473A">
          <w:rPr>
            <w:b/>
            <w:bCs/>
            <w:webHidden/>
          </w:rPr>
          <w:fldChar w:fldCharType="end"/>
        </w:r>
      </w:hyperlink>
    </w:p>
    <w:p w14:paraId="3D70A0A7" w14:textId="492D1896" w:rsidR="008833A0" w:rsidRPr="004F473A" w:rsidRDefault="00000000">
      <w:pPr>
        <w:pStyle w:val="TOC1"/>
        <w:tabs>
          <w:tab w:val="right" w:pos="9350"/>
        </w:tabs>
        <w:rPr>
          <w:rFonts w:ascii="Arial" w:eastAsiaTheme="minorEastAsia" w:hAnsi="Arial" w:cs="Arial"/>
          <w:b w:val="0"/>
          <w:bCs w:val="0"/>
          <w:caps w:val="0"/>
          <w:noProof/>
          <w:kern w:val="2"/>
          <w:sz w:val="24"/>
          <w:szCs w:val="24"/>
          <w:u w:val="none"/>
          <w:lang w:val="en-US"/>
          <w14:ligatures w14:val="standardContextual"/>
        </w:rPr>
      </w:pPr>
      <w:hyperlink w:anchor="_Toc159858779" w:history="1">
        <w:r w:rsidR="00602023" w:rsidRPr="004F473A">
          <w:rPr>
            <w:rStyle w:val="Hyperlink"/>
            <w:rFonts w:ascii="Arial" w:eastAsia="Times New Roman" w:hAnsi="Arial" w:cs="Arial"/>
            <w:noProof/>
            <w:sz w:val="24"/>
            <w:szCs w:val="24"/>
            <w:u w:val="none"/>
          </w:rPr>
          <w:t>Evaluation and Conclusion</w:t>
        </w:r>
        <w:r w:rsidR="00602023" w:rsidRPr="004F473A">
          <w:rPr>
            <w:rFonts w:ascii="Arial" w:hAnsi="Arial" w:cs="Arial"/>
            <w:noProof/>
            <w:webHidden/>
            <w:sz w:val="24"/>
            <w:szCs w:val="24"/>
            <w:u w:val="none"/>
          </w:rPr>
          <w:tab/>
        </w:r>
        <w:r w:rsidR="00602023" w:rsidRPr="004F473A">
          <w:rPr>
            <w:rFonts w:ascii="Arial" w:hAnsi="Arial" w:cs="Arial"/>
            <w:noProof/>
            <w:webHidden/>
            <w:sz w:val="24"/>
            <w:szCs w:val="24"/>
            <w:u w:val="none"/>
          </w:rPr>
          <w:fldChar w:fldCharType="begin"/>
        </w:r>
        <w:r w:rsidR="00602023" w:rsidRPr="004F473A">
          <w:rPr>
            <w:rFonts w:ascii="Arial" w:hAnsi="Arial" w:cs="Arial"/>
            <w:noProof/>
            <w:webHidden/>
            <w:sz w:val="24"/>
            <w:szCs w:val="24"/>
            <w:u w:val="none"/>
          </w:rPr>
          <w:instrText xml:space="preserve"> PAGEREF _Toc159858779 \h </w:instrText>
        </w:r>
        <w:r w:rsidR="00602023" w:rsidRPr="004F473A">
          <w:rPr>
            <w:rFonts w:ascii="Arial" w:hAnsi="Arial" w:cs="Arial"/>
            <w:noProof/>
            <w:webHidden/>
            <w:sz w:val="24"/>
            <w:szCs w:val="24"/>
            <w:u w:val="none"/>
          </w:rPr>
        </w:r>
        <w:r w:rsidR="00602023" w:rsidRPr="004F473A">
          <w:rPr>
            <w:rFonts w:ascii="Arial" w:hAnsi="Arial" w:cs="Arial"/>
            <w:noProof/>
            <w:webHidden/>
            <w:sz w:val="24"/>
            <w:szCs w:val="24"/>
            <w:u w:val="none"/>
          </w:rPr>
          <w:fldChar w:fldCharType="separate"/>
        </w:r>
        <w:r w:rsidR="00B21E11" w:rsidRPr="004F473A">
          <w:rPr>
            <w:rFonts w:ascii="Arial" w:hAnsi="Arial" w:cs="Arial"/>
            <w:noProof/>
            <w:webHidden/>
            <w:sz w:val="24"/>
            <w:szCs w:val="24"/>
            <w:u w:val="none"/>
          </w:rPr>
          <w:t>7</w:t>
        </w:r>
        <w:r w:rsidR="00602023" w:rsidRPr="004F473A">
          <w:rPr>
            <w:rFonts w:ascii="Arial" w:hAnsi="Arial" w:cs="Arial"/>
            <w:noProof/>
            <w:webHidden/>
            <w:sz w:val="24"/>
            <w:szCs w:val="24"/>
            <w:u w:val="none"/>
          </w:rPr>
          <w:fldChar w:fldCharType="end"/>
        </w:r>
      </w:hyperlink>
    </w:p>
    <w:p w14:paraId="24CFF951" w14:textId="0B3DC708" w:rsidR="008833A0" w:rsidRPr="004F473A" w:rsidRDefault="00000000">
      <w:pPr>
        <w:pStyle w:val="TOC1"/>
        <w:tabs>
          <w:tab w:val="right" w:pos="9350"/>
        </w:tabs>
        <w:rPr>
          <w:rFonts w:ascii="Arial" w:eastAsiaTheme="minorEastAsia" w:hAnsi="Arial" w:cs="Arial"/>
          <w:b w:val="0"/>
          <w:bCs w:val="0"/>
          <w:caps w:val="0"/>
          <w:noProof/>
          <w:kern w:val="2"/>
          <w:sz w:val="24"/>
          <w:szCs w:val="24"/>
          <w:u w:val="none"/>
          <w:lang w:val="en-US"/>
          <w14:ligatures w14:val="standardContextual"/>
        </w:rPr>
      </w:pPr>
      <w:hyperlink w:anchor="_Toc159858780" w:history="1">
        <w:r w:rsidR="00602023" w:rsidRPr="004F473A">
          <w:rPr>
            <w:rStyle w:val="Hyperlink"/>
            <w:rFonts w:ascii="Arial" w:hAnsi="Arial" w:cs="Arial"/>
            <w:noProof/>
            <w:sz w:val="24"/>
            <w:szCs w:val="24"/>
            <w:u w:val="none"/>
          </w:rPr>
          <w:t>References</w:t>
        </w:r>
        <w:r w:rsidR="00602023" w:rsidRPr="004F473A">
          <w:rPr>
            <w:rFonts w:ascii="Arial" w:hAnsi="Arial" w:cs="Arial"/>
            <w:noProof/>
            <w:webHidden/>
            <w:sz w:val="24"/>
            <w:szCs w:val="24"/>
            <w:u w:val="none"/>
          </w:rPr>
          <w:tab/>
        </w:r>
        <w:r w:rsidR="00602023" w:rsidRPr="004F473A">
          <w:rPr>
            <w:rFonts w:ascii="Arial" w:hAnsi="Arial" w:cs="Arial"/>
            <w:noProof/>
            <w:webHidden/>
            <w:sz w:val="24"/>
            <w:szCs w:val="24"/>
            <w:u w:val="none"/>
          </w:rPr>
          <w:fldChar w:fldCharType="begin"/>
        </w:r>
        <w:r w:rsidR="00602023" w:rsidRPr="004F473A">
          <w:rPr>
            <w:rFonts w:ascii="Arial" w:hAnsi="Arial" w:cs="Arial"/>
            <w:noProof/>
            <w:webHidden/>
            <w:sz w:val="24"/>
            <w:szCs w:val="24"/>
            <w:u w:val="none"/>
          </w:rPr>
          <w:instrText xml:space="preserve"> PAGEREF _Toc159858780 \h </w:instrText>
        </w:r>
        <w:r w:rsidR="00602023" w:rsidRPr="004F473A">
          <w:rPr>
            <w:rFonts w:ascii="Arial" w:hAnsi="Arial" w:cs="Arial"/>
            <w:noProof/>
            <w:webHidden/>
            <w:sz w:val="24"/>
            <w:szCs w:val="24"/>
            <w:u w:val="none"/>
          </w:rPr>
        </w:r>
        <w:r w:rsidR="00602023" w:rsidRPr="004F473A">
          <w:rPr>
            <w:rFonts w:ascii="Arial" w:hAnsi="Arial" w:cs="Arial"/>
            <w:noProof/>
            <w:webHidden/>
            <w:sz w:val="24"/>
            <w:szCs w:val="24"/>
            <w:u w:val="none"/>
          </w:rPr>
          <w:fldChar w:fldCharType="separate"/>
        </w:r>
        <w:r w:rsidR="00B21E11" w:rsidRPr="004F473A">
          <w:rPr>
            <w:rFonts w:ascii="Arial" w:hAnsi="Arial" w:cs="Arial"/>
            <w:noProof/>
            <w:webHidden/>
            <w:sz w:val="24"/>
            <w:szCs w:val="24"/>
            <w:u w:val="none"/>
          </w:rPr>
          <w:t>9</w:t>
        </w:r>
        <w:r w:rsidR="00602023" w:rsidRPr="004F473A">
          <w:rPr>
            <w:rFonts w:ascii="Arial" w:hAnsi="Arial" w:cs="Arial"/>
            <w:noProof/>
            <w:webHidden/>
            <w:sz w:val="24"/>
            <w:szCs w:val="24"/>
            <w:u w:val="none"/>
          </w:rPr>
          <w:fldChar w:fldCharType="end"/>
        </w:r>
      </w:hyperlink>
    </w:p>
    <w:p w14:paraId="69451E9B" w14:textId="599C7051" w:rsidR="008833A0" w:rsidRDefault="00602023" w:rsidP="008833A0">
      <w:pPr>
        <w:pStyle w:val="Heading1"/>
        <w:spacing w:line="360" w:lineRule="auto"/>
        <w:rPr>
          <w:rFonts w:eastAsia="Times New Roman"/>
        </w:rPr>
      </w:pPr>
      <w:r w:rsidRPr="004F473A">
        <w:rPr>
          <w:rFonts w:eastAsia="Times New Roman" w:cs="Arial"/>
          <w:sz w:val="24"/>
          <w:szCs w:val="24"/>
        </w:rPr>
        <w:fldChar w:fldCharType="end"/>
      </w:r>
    </w:p>
    <w:p w14:paraId="6852F321" w14:textId="77777777" w:rsidR="008833A0" w:rsidRDefault="00602023">
      <w:pPr>
        <w:spacing w:after="160" w:line="259" w:lineRule="auto"/>
        <w:jc w:val="left"/>
        <w:rPr>
          <w:rFonts w:eastAsia="Times New Roman" w:cstheme="majorBidi"/>
          <w:b/>
          <w:sz w:val="28"/>
          <w:szCs w:val="32"/>
        </w:rPr>
      </w:pPr>
      <w:r>
        <w:rPr>
          <w:rFonts w:eastAsia="Times New Roman"/>
        </w:rPr>
        <w:br w:type="page"/>
      </w:r>
    </w:p>
    <w:p w14:paraId="21F134B5" w14:textId="1BB42097" w:rsidR="008833A0" w:rsidRPr="00B21E11" w:rsidRDefault="00602023" w:rsidP="00B21E11">
      <w:pPr>
        <w:pStyle w:val="Heading1"/>
        <w:spacing w:before="120" w:after="120" w:line="360" w:lineRule="auto"/>
        <w:rPr>
          <w:rFonts w:eastAsia="Times New Roman" w:cs="Arial"/>
        </w:rPr>
      </w:pPr>
      <w:bookmarkStart w:id="0" w:name="_Toc159858774"/>
      <w:r w:rsidRPr="00B21E11">
        <w:rPr>
          <w:rFonts w:eastAsia="Times New Roman" w:cs="Arial"/>
        </w:rPr>
        <w:lastRenderedPageBreak/>
        <w:t>Introduction and Background</w:t>
      </w:r>
      <w:bookmarkEnd w:id="0"/>
      <w:r w:rsidRPr="00B21E11">
        <w:rPr>
          <w:rFonts w:eastAsia="Times New Roman" w:cs="Arial"/>
        </w:rPr>
        <w:t xml:space="preserve"> </w:t>
      </w:r>
    </w:p>
    <w:p w14:paraId="3D7FB8E1" w14:textId="5B54E688" w:rsidR="008833A0" w:rsidRPr="00B21E11" w:rsidRDefault="00602023" w:rsidP="00B21E11">
      <w:pPr>
        <w:spacing w:before="120" w:after="120" w:line="360" w:lineRule="auto"/>
        <w:rPr>
          <w:rFonts w:cs="Arial"/>
        </w:rPr>
      </w:pPr>
      <w:r w:rsidRPr="00B21E11">
        <w:rPr>
          <w:rFonts w:cs="Arial"/>
        </w:rPr>
        <w:t>Hyatt Hotels Corporation, being a gem in the world hospitality sector and even in the presence of other hotels, took the lead by 1957. The hotel group occupies more than 900 properties established in 65 countries around the globe. Being one of the industry's shining stars, Hyatt has proven its ability to exceed the guests' expectations –comfort and personal approach are the brand's key features. As the leading international hotel brand, Hyatt will always stay on top of innovative ideas, construct and develop a diversified workforce, and be in touch with the emerging trends in the hospitality sector.</w:t>
      </w:r>
    </w:p>
    <w:p w14:paraId="67E46142" w14:textId="0C3FF59A" w:rsidR="008833A0" w:rsidRPr="00B21E11" w:rsidRDefault="00602023" w:rsidP="00B21E11">
      <w:pPr>
        <w:spacing w:before="120" w:after="120" w:line="360" w:lineRule="auto"/>
        <w:rPr>
          <w:rFonts w:cs="Arial"/>
        </w:rPr>
      </w:pPr>
      <w:r w:rsidRPr="00B21E11">
        <w:rPr>
          <w:rFonts w:cs="Arial"/>
        </w:rPr>
        <w:t>Socio-economic context is a significant factor determining the effectiveness of employee management practice in the Hyatt Hotels Corporation. Factors like the diversity of the labour force, changing population ages, and development of technology, etc., change the game's rules further and require continuous adjustment of the workforce and an organizational strategy. Amongst other changes, the work and employee management structure must evolve to implement the concepts specific to a diverse population, such as ageing and multicultural labour. In addition, the pandemic gives priority to following health and safety measures by the office. Therefore, Hyatt has procedures to ensure the safety of guests and staff as well</w:t>
      </w:r>
      <w:r w:rsidR="00D0510B" w:rsidRPr="00B21E11">
        <w:rPr>
          <w:rFonts w:cs="Arial"/>
        </w:rPr>
        <w:t xml:space="preserve"> (Akbari et al., 2020)</w:t>
      </w:r>
      <w:r w:rsidRPr="00B21E11">
        <w:rPr>
          <w:rFonts w:cs="Arial"/>
        </w:rPr>
        <w:t>.</w:t>
      </w:r>
    </w:p>
    <w:p w14:paraId="3F7412CB" w14:textId="523ADA18" w:rsidR="008833A0" w:rsidRPr="00B21E11" w:rsidRDefault="00602023" w:rsidP="00B21E11">
      <w:pPr>
        <w:spacing w:before="120" w:after="120" w:line="360" w:lineRule="auto"/>
        <w:rPr>
          <w:rFonts w:cs="Arial"/>
        </w:rPr>
      </w:pPr>
      <w:r w:rsidRPr="00B21E11">
        <w:rPr>
          <w:rFonts w:cs="Arial"/>
        </w:rPr>
        <w:t>Thanks to the impact of the socio-economic forces together with the hospitality industry, work styles have gone through another total revolution, achieved through technological innovations and employee expectations change. Work formations, office work settings, and scheduled hours have been turned into hybrid versions, replacing the one that was present before. It allows the employees to juggle personal and professional life in their way. The organization develops an adaptive attitude to managing the workforce, allowing workers to stay in their comfort zone, the conditions where they can use different working patterns to satisfy their tastes and job necessities.</w:t>
      </w:r>
    </w:p>
    <w:p w14:paraId="6301CC36" w14:textId="6146956C" w:rsidR="008833A0" w:rsidRPr="00B21E11" w:rsidRDefault="00602023" w:rsidP="00B21E11">
      <w:pPr>
        <w:spacing w:before="120" w:after="120" w:line="360" w:lineRule="auto"/>
        <w:rPr>
          <w:rFonts w:cs="Arial"/>
        </w:rPr>
      </w:pPr>
      <w:r w:rsidRPr="00B21E11">
        <w:rPr>
          <w:rFonts w:cs="Arial"/>
        </w:rPr>
        <w:t>Discovering new and transformed workplaces matters for Hyatt and hospitality producers alike. It will allow great chances if we manage it well, but it will also create new challenges if we don't. Flexible approaches can improve staff performance, motivation, and loyalty, thereby achieving the success of their mission. But, at the same time, it requires some strategies to be in place for smooth operations and the delivery of quality services</w:t>
      </w:r>
      <w:r w:rsidR="00D0510B" w:rsidRPr="00B21E11">
        <w:rPr>
          <w:rFonts w:cs="Arial"/>
        </w:rPr>
        <w:t xml:space="preserve"> (Ali et </w:t>
      </w:r>
      <w:r w:rsidR="00D0510B" w:rsidRPr="00B21E11">
        <w:rPr>
          <w:rFonts w:cs="Arial"/>
        </w:rPr>
        <w:lastRenderedPageBreak/>
        <w:t>al., 2020)</w:t>
      </w:r>
      <w:r w:rsidRPr="00B21E11">
        <w:rPr>
          <w:rFonts w:cs="Arial"/>
        </w:rPr>
        <w:t xml:space="preserve">. When acknowledging the socio-economic implications of these trends and using technology savviness in terms of work mode, Hyatt Hotels Corporation will be able to occupy a leading position in the hospitality market and drive sustainable growth and success for years to come. </w:t>
      </w:r>
    </w:p>
    <w:p w14:paraId="570424FC" w14:textId="62B421F6" w:rsidR="008833A0" w:rsidRPr="00B21E11" w:rsidRDefault="00602023" w:rsidP="00B21E11">
      <w:pPr>
        <w:pStyle w:val="Heading1"/>
        <w:spacing w:before="120" w:after="120" w:line="360" w:lineRule="auto"/>
        <w:rPr>
          <w:rFonts w:eastAsia="Times New Roman" w:cs="Arial"/>
        </w:rPr>
      </w:pPr>
      <w:bookmarkStart w:id="1" w:name="_Toc159858775"/>
      <w:r w:rsidRPr="00B21E11">
        <w:rPr>
          <w:rFonts w:eastAsia="Times New Roman" w:cs="Arial"/>
        </w:rPr>
        <w:t>Discussion</w:t>
      </w:r>
      <w:bookmarkEnd w:id="1"/>
      <w:r w:rsidRPr="00B21E11">
        <w:rPr>
          <w:rFonts w:eastAsia="Times New Roman" w:cs="Arial"/>
        </w:rPr>
        <w:t xml:space="preserve"> </w:t>
      </w:r>
    </w:p>
    <w:p w14:paraId="550BAA91" w14:textId="52DF1423" w:rsidR="008833A0" w:rsidRPr="00B21E11" w:rsidRDefault="00602023" w:rsidP="00B21E11">
      <w:pPr>
        <w:spacing w:before="120" w:after="120" w:line="360" w:lineRule="auto"/>
        <w:rPr>
          <w:rFonts w:cs="Arial"/>
        </w:rPr>
      </w:pPr>
      <w:r w:rsidRPr="00B21E11">
        <w:rPr>
          <w:rFonts w:cs="Arial"/>
        </w:rPr>
        <w:t>The Discussion section of this research proposal delves into existing research on socioeconomic forces impacting employee performance management in the hospitality industry</w:t>
      </w:r>
      <w:r w:rsidR="00D0510B" w:rsidRPr="00B21E11">
        <w:rPr>
          <w:rFonts w:cs="Arial"/>
        </w:rPr>
        <w:t xml:space="preserve"> (Alshawabkeh, Kharbat and Razmak, 2022)</w:t>
      </w:r>
      <w:r w:rsidRPr="00B21E11">
        <w:rPr>
          <w:rFonts w:cs="Arial"/>
        </w:rPr>
        <w:t>. It provides insights into how other researchers have approached this topic, highlights findings from relevant studies, and explores potential solutions for effective employee management in different work modes.</w:t>
      </w:r>
    </w:p>
    <w:p w14:paraId="3B9B6068" w14:textId="0E59F0F5" w:rsidR="008833A0" w:rsidRPr="00B21E11" w:rsidRDefault="00602023" w:rsidP="00B21E11">
      <w:pPr>
        <w:pStyle w:val="Heading2"/>
        <w:spacing w:before="120" w:after="120" w:line="360" w:lineRule="auto"/>
        <w:rPr>
          <w:rFonts w:cs="Arial"/>
        </w:rPr>
      </w:pPr>
      <w:bookmarkStart w:id="2" w:name="_Toc159858776"/>
      <w:r w:rsidRPr="00B21E11">
        <w:rPr>
          <w:rFonts w:cs="Arial"/>
          <w:color w:val="222222"/>
          <w:shd w:val="clear" w:color="auto" w:fill="FFFFFF"/>
        </w:rPr>
        <w:t>Socio-economic factors</w:t>
      </w:r>
      <w:r w:rsidRPr="00B21E11">
        <w:rPr>
          <w:rFonts w:cs="Arial"/>
        </w:rPr>
        <w:t>:</w:t>
      </w:r>
      <w:bookmarkEnd w:id="2"/>
    </w:p>
    <w:p w14:paraId="52CE468E" w14:textId="5943CDB1" w:rsidR="008833A0" w:rsidRPr="00B21E11" w:rsidRDefault="00602023" w:rsidP="00B21E11">
      <w:pPr>
        <w:spacing w:before="120" w:after="120" w:line="360" w:lineRule="auto"/>
        <w:rPr>
          <w:rFonts w:cs="Arial"/>
        </w:rPr>
      </w:pPr>
      <w:r w:rsidRPr="00B21E11">
        <w:rPr>
          <w:rFonts w:cs="Arial"/>
        </w:rPr>
        <w:t>Socio-economic factors of employee performance management in the hospitality sector have been extensively researched. Many case studies within the hospitality sector illustrate the role played by socio-economic dimensions. The ongoing dynamics of demographics are creating remarkable changes with an old generation and a wide range of cultures that determine who hotel workers are. Studies demonstrated the far-reaching effects of this demographic shift on hotels' employees' commitment &amp; turnover levels. To keep the workforce engaged, the demographic shift needs attention to the complexity of stakes in hospitality organizations and that of diversity</w:t>
      </w:r>
      <w:r w:rsidR="00D0510B" w:rsidRPr="00B21E11">
        <w:rPr>
          <w:rFonts w:cs="Arial"/>
        </w:rPr>
        <w:t xml:space="preserve"> (Asadi et al., 2020)</w:t>
      </w:r>
      <w:r w:rsidRPr="00B21E11">
        <w:rPr>
          <w:rFonts w:cs="Arial"/>
        </w:rPr>
        <w:t>.</w:t>
      </w:r>
    </w:p>
    <w:p w14:paraId="2764192C" w14:textId="35B0FAC9" w:rsidR="008833A0" w:rsidRPr="00B21E11" w:rsidRDefault="00602023" w:rsidP="00B21E11">
      <w:pPr>
        <w:spacing w:before="120" w:after="120" w:line="360" w:lineRule="auto"/>
        <w:rPr>
          <w:rFonts w:cs="Arial"/>
        </w:rPr>
      </w:pPr>
      <w:r w:rsidRPr="00B21E11">
        <w:rPr>
          <w:rFonts w:cs="Arial"/>
        </w:rPr>
        <w:t xml:space="preserve">The economic element is also a significant point in designing the management of employees' work in the hospitality industry. The effect of economic recessions on the labour costs and factors behind human resources, which demands a better preparedness toward an organizational situation that stays hard during tough economic times. Economic fluctuations can, however, massively impact the delocalizing of the workforce and resource allocation within the hotels, so a proactive overview of workforce management is of great use. There is an increasing need to develop effective staffing strategies in the face of economic rigours as a way of ensuring the survival of the hotel and hospitality businesses. The role contains staff resources efficiently, unique, advanced processes adoption, and productivity enhancement as intervention measures to solve or prevent the </w:t>
      </w:r>
      <w:r w:rsidRPr="00B21E11">
        <w:rPr>
          <w:rFonts w:cs="Arial"/>
        </w:rPr>
        <w:lastRenderedPageBreak/>
        <w:t>economic downturn on the performance of hotels</w:t>
      </w:r>
      <w:r w:rsidR="00D0510B" w:rsidRPr="00B21E11">
        <w:rPr>
          <w:rFonts w:cs="Arial"/>
        </w:rPr>
        <w:t xml:space="preserve"> (Dharmesti, Merrilees and Winata, 2020)</w:t>
      </w:r>
      <w:r w:rsidRPr="00B21E11">
        <w:rPr>
          <w:rFonts w:cs="Arial"/>
        </w:rPr>
        <w:t>.</w:t>
      </w:r>
    </w:p>
    <w:p w14:paraId="4FB0C1A9" w14:textId="3E6E68AF" w:rsidR="00493A33" w:rsidRPr="00B21E11" w:rsidRDefault="00602023" w:rsidP="00B21E11">
      <w:pPr>
        <w:pStyle w:val="Heading2"/>
        <w:spacing w:before="120" w:after="120" w:line="360" w:lineRule="auto"/>
        <w:rPr>
          <w:rFonts w:cs="Arial"/>
        </w:rPr>
      </w:pPr>
      <w:r w:rsidRPr="00B21E11">
        <w:rPr>
          <w:rFonts w:cs="Arial"/>
        </w:rPr>
        <w:t xml:space="preserve">Emerging trends </w:t>
      </w:r>
    </w:p>
    <w:p w14:paraId="7BF7AB2D" w14:textId="04F861D3" w:rsidR="00493A33" w:rsidRPr="00B21E11" w:rsidRDefault="00602023" w:rsidP="00B21E11">
      <w:pPr>
        <w:spacing w:before="120" w:after="120" w:line="360" w:lineRule="auto"/>
        <w:rPr>
          <w:rFonts w:cs="Arial"/>
        </w:rPr>
      </w:pPr>
      <w:r w:rsidRPr="00B21E11">
        <w:rPr>
          <w:rFonts w:cs="Arial"/>
        </w:rPr>
        <w:t>It is noteworthy to mention that the automation of technology in the service industry has seen the workforce dynamics of the industry take a different turn. The requirement for the hospitality industry employees to obtain digital literacy during the processes of continuous learning and acquisition to effectively face the impending technology changes. The study helped us understand the role of technologies in effectively working out the backend operations and extending the satisfaction and loyalty of guests</w:t>
      </w:r>
      <w:r w:rsidR="00D0510B" w:rsidRPr="00B21E11">
        <w:rPr>
          <w:rFonts w:cs="Arial"/>
        </w:rPr>
        <w:t xml:space="preserve"> (Eid and Agag, 2020)</w:t>
      </w:r>
      <w:r w:rsidRPr="00B21E11">
        <w:rPr>
          <w:rFonts w:cs="Arial"/>
        </w:rPr>
        <w:t>. With Technology continuing to become the backbone of hotel operations, employees, ,need to have the right skills to enhance competitiveness and ride with the guest's expectations. Hyatt Hotels Corporation, as a model, performs excellently well with the best practices of keeping employees well-managed under different work modes within the hospitality industry. Using technology, leadership performance management systems, and prioritization of employees' wellness, Hyatt is committed to ensuring that even workers working in mixed environments of remote and non-remote continue to feel engaged, motivated, and productive. Flexibility is a crucial element in managing employees, which makes Hyatt's adaptive approaches hit the bulls-eye regarding profitability and efficiency amid the changes in the market</w:t>
      </w:r>
      <w:r w:rsidR="00D0510B" w:rsidRPr="00B21E11">
        <w:rPr>
          <w:rFonts w:cs="Arial"/>
        </w:rPr>
        <w:t xml:space="preserve"> (Gunawan, Putri and Meidia, 2020)</w:t>
      </w:r>
      <w:r w:rsidRPr="00B21E11">
        <w:rPr>
          <w:rFonts w:cs="Arial"/>
        </w:rPr>
        <w:t>.</w:t>
      </w:r>
    </w:p>
    <w:p w14:paraId="4D90CF86" w14:textId="77777777" w:rsidR="008833A0" w:rsidRPr="00B21E11" w:rsidRDefault="00602023" w:rsidP="00B21E11">
      <w:pPr>
        <w:pStyle w:val="Heading2"/>
        <w:spacing w:before="120" w:after="120" w:line="360" w:lineRule="auto"/>
        <w:rPr>
          <w:rFonts w:cs="Arial"/>
        </w:rPr>
      </w:pPr>
      <w:bookmarkStart w:id="3" w:name="_Toc159858777"/>
      <w:r w:rsidRPr="00B21E11">
        <w:rPr>
          <w:rFonts w:cs="Arial"/>
        </w:rPr>
        <w:t>Examples of Employee Management in Different Work Modes:</w:t>
      </w:r>
      <w:bookmarkEnd w:id="3"/>
    </w:p>
    <w:p w14:paraId="1B860AC1" w14:textId="728740D7" w:rsidR="008833A0" w:rsidRPr="00B21E11" w:rsidRDefault="00602023" w:rsidP="00B21E11">
      <w:pPr>
        <w:spacing w:before="120" w:after="120" w:line="360" w:lineRule="auto"/>
        <w:rPr>
          <w:rFonts w:cs="Arial"/>
        </w:rPr>
      </w:pPr>
      <w:r w:rsidRPr="00B21E11">
        <w:rPr>
          <w:rFonts w:cs="Arial"/>
        </w:rPr>
        <w:t>Hyatt Hotels Corporation is known for its progressive strategy in inculcating employee management practices and working cumulatively with a gaming fashion in multiple working styles of the hospitality industry. The organization uses different tactics to efficiently supervise and assist its multi-faceted staff in all tasks and create a productive and effective environment for all the work arrangements at employees' disposal.</w:t>
      </w:r>
      <w:r w:rsidR="00493A33" w:rsidRPr="00B21E11">
        <w:rPr>
          <w:rFonts w:cs="Arial"/>
        </w:rPr>
        <w:t xml:space="preserve"> </w:t>
      </w:r>
      <w:r w:rsidRPr="00B21E11">
        <w:rPr>
          <w:rFonts w:cs="Arial"/>
        </w:rPr>
        <w:t>Amid a rising incidence of hybrid work designs, the hotel has made the most of digital communication platforms and employee performance management software to do just that</w:t>
      </w:r>
      <w:r w:rsidR="00D0510B" w:rsidRPr="00B21E11">
        <w:rPr>
          <w:rFonts w:cs="Arial"/>
        </w:rPr>
        <w:t xml:space="preserve"> (Hay, 2020)</w:t>
      </w:r>
      <w:r w:rsidRPr="00B21E11">
        <w:rPr>
          <w:rFonts w:cs="Arial"/>
        </w:rPr>
        <w:t xml:space="preserve">. Virtual meeting platforms can ensure that each team member is present in the meetings and project discussions. This way serves the purpose of information </w:t>
      </w:r>
      <w:r w:rsidRPr="00B21E11">
        <w:rPr>
          <w:rFonts w:cs="Arial"/>
        </w:rPr>
        <w:lastRenderedPageBreak/>
        <w:t>equality, which is essential for the participation and integration of each employee regardless of their working surface. In parallel with this, Hyatt relies on sophisticated data analysis to monitor the efficiency of employees on remote arrangements so the manager can provide prompt input and assistance whenever appropriate.</w:t>
      </w:r>
    </w:p>
    <w:p w14:paraId="3352F7CA" w14:textId="6EE8FA3C" w:rsidR="008833A0" w:rsidRPr="00B21E11" w:rsidRDefault="00602023" w:rsidP="00B21E11">
      <w:pPr>
        <w:spacing w:before="120" w:after="120" w:line="360" w:lineRule="auto"/>
        <w:rPr>
          <w:rFonts w:cs="Arial"/>
        </w:rPr>
      </w:pPr>
      <w:r w:rsidRPr="00B21E11">
        <w:rPr>
          <w:rFonts w:cs="Arial"/>
        </w:rPr>
        <w:t>In the old days, when most employees worked in offices (on-site), Hyatt used comprehensive performance appraisal systems and regular review meetings with supervisors to evaluate the performance of the employees and provide timely feedback to them. Through that process, managers can make clear that they notice contributions, dispense orders for improvement, and attempt workers' development and progress. Also, Human resourcing at Hyatt is trained for learning and up skills through a menu of multifaceted development programs targeted to specific skills and capabilities in the workplace.</w:t>
      </w:r>
      <w:r w:rsidR="00493A33" w:rsidRPr="00B21E11">
        <w:rPr>
          <w:rFonts w:cs="Arial"/>
        </w:rPr>
        <w:t xml:space="preserve"> </w:t>
      </w:r>
      <w:r w:rsidRPr="00B21E11">
        <w:rPr>
          <w:rFonts w:cs="Arial"/>
        </w:rPr>
        <w:t>To ensure the demand for life balance, Hyatt gives the workers a flexible schedule, especially for front office staff and guest room attendants</w:t>
      </w:r>
      <w:r w:rsidR="00D0510B" w:rsidRPr="00B21E11">
        <w:rPr>
          <w:rFonts w:cs="Arial"/>
        </w:rPr>
        <w:t xml:space="preserve"> (Hultman et al., 2020)</w:t>
      </w:r>
      <w:r w:rsidRPr="00B21E11">
        <w:rPr>
          <w:rFonts w:cs="Arial"/>
        </w:rPr>
        <w:t>. For greater efficiency, Hyatt uses advanced staffing software and shift management tools, aimed at optimizing the staff levels and guaranteeing the best performance during the peak periods. Using these tools, managers will efficiently manage the budget, save time and energy in scheduling, and eliminate waste in production processes, thus getting more done. In addition, Hyatt initiates a search for employee opinions through surveys, focus groups, and other feedback channels to learn the needs and interests of individual workers related to work-life balance and scheduling. By enabling contributions from all employees into the decision-making process, Hyatt proves that it regards employees as valuable partners in the organization forward and supports a collaborative, friendly, and respectful workplace</w:t>
      </w:r>
      <w:r w:rsidR="00D0510B" w:rsidRPr="00B21E11">
        <w:rPr>
          <w:rFonts w:cs="Arial"/>
        </w:rPr>
        <w:t xml:space="preserve"> (Lozano, Rey-Maquieira and Sastre, 2020)</w:t>
      </w:r>
      <w:r w:rsidRPr="00B21E11">
        <w:rPr>
          <w:rFonts w:cs="Arial"/>
        </w:rPr>
        <w:t>.</w:t>
      </w:r>
    </w:p>
    <w:p w14:paraId="54471B2E" w14:textId="77777777" w:rsidR="008833A0" w:rsidRPr="00B21E11" w:rsidRDefault="00602023" w:rsidP="00B21E11">
      <w:pPr>
        <w:pStyle w:val="Heading2"/>
        <w:spacing w:before="120" w:after="120" w:line="360" w:lineRule="auto"/>
        <w:rPr>
          <w:rFonts w:cs="Arial"/>
        </w:rPr>
      </w:pPr>
      <w:bookmarkStart w:id="4" w:name="_Toc159858778"/>
      <w:r w:rsidRPr="00B21E11">
        <w:rPr>
          <w:rFonts w:cs="Arial"/>
        </w:rPr>
        <w:t>Potential Solutions:</w:t>
      </w:r>
      <w:bookmarkEnd w:id="4"/>
    </w:p>
    <w:p w14:paraId="46EAA17B" w14:textId="334ED814" w:rsidR="008833A0" w:rsidRPr="00B21E11" w:rsidRDefault="00602023" w:rsidP="00B21E11">
      <w:pPr>
        <w:spacing w:before="120" w:after="120" w:line="360" w:lineRule="auto"/>
        <w:rPr>
          <w:rFonts w:cs="Arial"/>
        </w:rPr>
      </w:pPr>
      <w:r w:rsidRPr="00B21E11">
        <w:rPr>
          <w:rFonts w:cs="Arial"/>
        </w:rPr>
        <w:t>To address the challenges associated with managing employees in different work modes, Hyatt can consider the following solutions: To address the challenges associated with managing employees in different work modes, Hyatt can consider the following solutions:</w:t>
      </w:r>
    </w:p>
    <w:p w14:paraId="66A5FA84" w14:textId="5B1D9715" w:rsidR="008833A0" w:rsidRPr="00B21E11" w:rsidRDefault="00602023" w:rsidP="00B21E11">
      <w:pPr>
        <w:spacing w:before="120" w:after="120" w:line="360" w:lineRule="auto"/>
        <w:rPr>
          <w:rFonts w:cs="Arial"/>
        </w:rPr>
      </w:pPr>
      <w:r w:rsidRPr="00B21E11">
        <w:rPr>
          <w:rFonts w:cs="Arial"/>
        </w:rPr>
        <w:t>Envisioning and establishing effective communication tools such as intranet portals and mobile apps to aid communication and work between offsite and onsite employees at the particular moment</w:t>
      </w:r>
      <w:r w:rsidR="00D0510B" w:rsidRPr="00B21E11">
        <w:rPr>
          <w:rFonts w:cs="Arial"/>
        </w:rPr>
        <w:t xml:space="preserve"> (Ndiuini and Baum, 2020)</w:t>
      </w:r>
      <w:r w:rsidR="00493A33" w:rsidRPr="00B21E11">
        <w:rPr>
          <w:rFonts w:cs="Arial"/>
        </w:rPr>
        <w:t>.</w:t>
      </w:r>
      <w:r w:rsidRPr="00B21E11">
        <w:rPr>
          <w:rFonts w:cs="Arial"/>
        </w:rPr>
        <w:t xml:space="preserve"> Proposing schedules that can be changed </w:t>
      </w:r>
      <w:r w:rsidRPr="00B21E11">
        <w:rPr>
          <w:rFonts w:cs="Arial"/>
        </w:rPr>
        <w:lastRenderedPageBreak/>
        <w:t>and done at a convenient time to the workers or an alternative arrangement of how people should work.</w:t>
      </w:r>
      <w:r w:rsidR="00493A33" w:rsidRPr="00B21E11">
        <w:rPr>
          <w:rFonts w:cs="Arial"/>
        </w:rPr>
        <w:t xml:space="preserve"> </w:t>
      </w:r>
      <w:r w:rsidRPr="00B21E11">
        <w:rPr>
          <w:rFonts w:cs="Arial"/>
        </w:rPr>
        <w:t>Investing in a technological foundation and the necessary digital tools to support home and remote work is important. Technologies such as cloud-based collaboration platforms, virtual meeting software, and secure remote access solutions are some indicators.</w:t>
      </w:r>
      <w:r w:rsidR="00493A33" w:rsidRPr="00B21E11">
        <w:rPr>
          <w:rFonts w:cs="Arial"/>
        </w:rPr>
        <w:t xml:space="preserve"> </w:t>
      </w:r>
      <w:r w:rsidRPr="00B21E11">
        <w:rPr>
          <w:rFonts w:cs="Arial"/>
        </w:rPr>
        <w:t>Incorporating continuing education programs to give employees the knowledge and competencies to enable them to succeed in different types of ventures, including teamwork in the virtual environment and digital literacy skills, among others</w:t>
      </w:r>
      <w:r w:rsidR="00493A33" w:rsidRPr="00B21E11">
        <w:rPr>
          <w:rFonts w:cs="Arial"/>
        </w:rPr>
        <w:t xml:space="preserve">. </w:t>
      </w:r>
      <w:r w:rsidRPr="00B21E11">
        <w:rPr>
          <w:rFonts w:cs="Arial"/>
        </w:rPr>
        <w:t>By implementing these solutions, Hyatt can successfully operate in different modes of work, create performance management practices that will lead the team members to improve their performance, and develop a culture based on creativity, innovation, and flexibility</w:t>
      </w:r>
      <w:r w:rsidR="00D0510B" w:rsidRPr="00B21E11">
        <w:rPr>
          <w:rFonts w:cs="Arial"/>
        </w:rPr>
        <w:t xml:space="preserve"> (Ozdemir et al., 2021)</w:t>
      </w:r>
      <w:r w:rsidRPr="00B21E11">
        <w:rPr>
          <w:rFonts w:cs="Arial"/>
        </w:rPr>
        <w:t>.</w:t>
      </w:r>
    </w:p>
    <w:p w14:paraId="088893DD" w14:textId="7D96C7AF" w:rsidR="008833A0" w:rsidRPr="00B21E11" w:rsidRDefault="00602023" w:rsidP="00B21E11">
      <w:pPr>
        <w:pStyle w:val="Heading1"/>
        <w:spacing w:before="120" w:after="120" w:line="360" w:lineRule="auto"/>
        <w:rPr>
          <w:rFonts w:eastAsia="Times New Roman" w:cs="Arial"/>
        </w:rPr>
      </w:pPr>
      <w:bookmarkStart w:id="5" w:name="_Toc159858779"/>
      <w:r w:rsidRPr="00B21E11">
        <w:rPr>
          <w:rFonts w:eastAsia="Times New Roman" w:cs="Arial"/>
        </w:rPr>
        <w:t>Evaluation and Conclusion</w:t>
      </w:r>
      <w:bookmarkEnd w:id="5"/>
      <w:r w:rsidRPr="00B21E11">
        <w:rPr>
          <w:rFonts w:eastAsia="Times New Roman" w:cs="Arial"/>
        </w:rPr>
        <w:t xml:space="preserve"> </w:t>
      </w:r>
    </w:p>
    <w:p w14:paraId="7A9D4D10" w14:textId="187CE4F3" w:rsidR="008833A0" w:rsidRPr="00B21E11" w:rsidRDefault="00602023" w:rsidP="00B21E11">
      <w:pPr>
        <w:spacing w:before="120" w:after="120" w:line="360" w:lineRule="auto"/>
        <w:rPr>
          <w:rFonts w:cs="Arial"/>
        </w:rPr>
      </w:pPr>
      <w:r w:rsidRPr="00B21E11">
        <w:rPr>
          <w:rFonts w:cs="Arial"/>
        </w:rPr>
        <w:t>In summary, this research journey has given us significant perspectives on the effect of socioeconomic aspects on staff performance in the hoteling business, especially in the hotel industry, given that we have been looking at the case of the Hyatt Hotels Corporation. The analysis has pinpointed the value in handling demographic issues, technological upgrades, and economic trends, testing leaders to manage the workforce across different work modes.</w:t>
      </w:r>
    </w:p>
    <w:p w14:paraId="7FA25F76" w14:textId="456279CB" w:rsidR="008833A0" w:rsidRPr="00B21E11" w:rsidRDefault="00602023" w:rsidP="00B21E11">
      <w:pPr>
        <w:spacing w:before="120" w:after="120" w:line="360" w:lineRule="auto"/>
        <w:rPr>
          <w:rFonts w:cs="Arial"/>
        </w:rPr>
      </w:pPr>
      <w:r w:rsidRPr="00B21E11">
        <w:rPr>
          <w:rFonts w:cs="Arial"/>
        </w:rPr>
        <w:t>In conclusion, the literature review finds that demographic changes present a phenomenon such as the aging workforce and increasing diversity, which greatly affects employeethe employees' engagement and retention ra</w:t>
      </w:r>
      <w:r w:rsidR="00D0510B" w:rsidRPr="00B21E11">
        <w:rPr>
          <w:rFonts w:cs="Arial"/>
        </w:rPr>
        <w:t>sriani et al., 2023)</w:t>
      </w:r>
      <w:r w:rsidRPr="00B21E11">
        <w:rPr>
          <w:rFonts w:cs="Arial"/>
        </w:rPr>
        <w:t>. Furthermore, using technology is growing very fast and requires professionals working in the hospitality sector to learn new skills and be technologically literate to cope with evolving jobs. Economic factors related to economic slumps and financial restraints are also important; this shows that it is crucial to plan for the workforce strategically and have the cheapest and most subtle employee management scheme.</w:t>
      </w:r>
    </w:p>
    <w:p w14:paraId="13352D6D" w14:textId="52996DAB" w:rsidR="008833A0" w:rsidRPr="00B21E11" w:rsidRDefault="00602023" w:rsidP="00B21E11">
      <w:pPr>
        <w:spacing w:before="120" w:after="120" w:line="360" w:lineRule="auto"/>
        <w:rPr>
          <w:rFonts w:cs="Arial"/>
        </w:rPr>
      </w:pPr>
      <w:r w:rsidRPr="00B21E11">
        <w:rPr>
          <w:rFonts w:cs="Arial"/>
        </w:rPr>
        <w:t xml:space="preserve">It was also found that the examples taken from the Hyatt Hotels Corporation revealed that these organizations had used some strategies to investigate and handle the workers across different work modes. Digital communication tools coming into play in option-based work models. At the same time, more traditional methods of appraisals are </w:t>
      </w:r>
      <w:r w:rsidRPr="00B21E11">
        <w:rPr>
          <w:rFonts w:cs="Arial"/>
        </w:rPr>
        <w:lastRenderedPageBreak/>
        <w:t>implemented in office-based roles are evidence that the Hyatt Company greatly considers the diverse workforce and the culture of innovation and flexibility</w:t>
      </w:r>
      <w:r w:rsidR="00D0510B" w:rsidRPr="00B21E11">
        <w:rPr>
          <w:rFonts w:cs="Arial"/>
        </w:rPr>
        <w:t xml:space="preserve"> (Zhang et al., 2019)</w:t>
      </w:r>
      <w:r w:rsidRPr="00B21E11">
        <w:rPr>
          <w:rFonts w:cs="Arial"/>
        </w:rPr>
        <w:t>.</w:t>
      </w:r>
    </w:p>
    <w:p w14:paraId="7A1C764D" w14:textId="0C66549F" w:rsidR="008833A0" w:rsidRPr="00B21E11" w:rsidRDefault="00602023" w:rsidP="00B21E11">
      <w:pPr>
        <w:spacing w:before="120" w:after="120" w:line="360" w:lineRule="auto"/>
        <w:rPr>
          <w:rFonts w:cs="Arial"/>
        </w:rPr>
      </w:pPr>
      <w:r w:rsidRPr="00B21E11">
        <w:rPr>
          <w:rFonts w:cs="Arial"/>
        </w:rPr>
        <w:t>In the future, it is suggested that Hyatt should consider employee engagement and well-being to be high on the agenda, and understand its importance in working through ,i.e. onsite and remote work arrangements. Humanize it through investing in on-the-job training and development programs that will nurture skills in the digital environment as well as provide enough flexibility in work schedules to ensure that everyone is accommodated and implementing a healthy performance management system that will allow tracking of employees' productivity and performance</w:t>
      </w:r>
      <w:r w:rsidR="00D0510B" w:rsidRPr="00B21E11">
        <w:rPr>
          <w:rFonts w:cs="Arial"/>
        </w:rPr>
        <w:t xml:space="preserve"> (Calisto et al., 2021)</w:t>
      </w:r>
      <w:r w:rsidRPr="00B21E11">
        <w:rPr>
          <w:rFonts w:cs="Arial"/>
        </w:rPr>
        <w:t>.</w:t>
      </w:r>
    </w:p>
    <w:p w14:paraId="30F361A8" w14:textId="77777777" w:rsidR="008833A0" w:rsidRPr="00B21E11" w:rsidRDefault="00602023" w:rsidP="00B21E11">
      <w:pPr>
        <w:spacing w:before="120" w:after="120" w:line="360" w:lineRule="auto"/>
        <w:rPr>
          <w:rFonts w:cs="Arial"/>
        </w:rPr>
      </w:pPr>
      <w:r w:rsidRPr="00B21E11">
        <w:rPr>
          <w:rFonts w:cs="Arial"/>
        </w:rPr>
        <w:t>Apart from this, Hyatt must plan for the impact of these rapid socio-economic changes, including the dynamic demography and technological advancements, by sorting it out with its workforce strategies and organizational policies. The Hyatt can achieve this by constantly innovating and accepting that things will change. With this, they can stay ahead of the competition in the hospitality sector by making themselves sustainable in the future.</w:t>
      </w:r>
    </w:p>
    <w:p w14:paraId="03F64346" w14:textId="76C98065" w:rsidR="008833A0" w:rsidRPr="00B21E11" w:rsidRDefault="00602023" w:rsidP="00B21E11">
      <w:pPr>
        <w:spacing w:before="120" w:after="120" w:line="360" w:lineRule="auto"/>
        <w:rPr>
          <w:rFonts w:cs="Arial"/>
        </w:rPr>
      </w:pPr>
      <w:r w:rsidRPr="00B21E11">
        <w:rPr>
          <w:rFonts w:cs="Arial"/>
        </w:rPr>
        <w:t xml:space="preserve">Well, here is the finishing line: employee performance management needs socio-economic issues as a basic in the hospitality sector. Adopting this targeted approach along with performing proactive efforts in the management of the workforce, Hyatt Hospitality will be able to improve employee performance continuously and guest satisfaction and sustain its competitiveness in the business landscape that is constantly changing. </w:t>
      </w:r>
    </w:p>
    <w:p w14:paraId="2391D4CB" w14:textId="77777777" w:rsidR="00B21E11" w:rsidRDefault="00B21E11">
      <w:pPr>
        <w:spacing w:after="160" w:line="259" w:lineRule="auto"/>
        <w:jc w:val="left"/>
        <w:rPr>
          <w:rFonts w:eastAsiaTheme="majorEastAsia" w:cs="Arial"/>
          <w:b/>
          <w:sz w:val="28"/>
          <w:szCs w:val="32"/>
        </w:rPr>
      </w:pPr>
      <w:bookmarkStart w:id="6" w:name="_Toc159858780"/>
      <w:r>
        <w:rPr>
          <w:rFonts w:cs="Arial"/>
        </w:rPr>
        <w:br w:type="page"/>
      </w:r>
    </w:p>
    <w:p w14:paraId="7ADF821B" w14:textId="2D1BEE4D" w:rsidR="00387B41" w:rsidRPr="00B21E11" w:rsidRDefault="00602023" w:rsidP="00B21E11">
      <w:pPr>
        <w:pStyle w:val="Heading1"/>
        <w:spacing w:before="120" w:after="120" w:line="360" w:lineRule="auto"/>
        <w:rPr>
          <w:rFonts w:cs="Arial"/>
        </w:rPr>
      </w:pPr>
      <w:r w:rsidRPr="00B21E11">
        <w:rPr>
          <w:rFonts w:cs="Arial"/>
        </w:rPr>
        <w:lastRenderedPageBreak/>
        <w:t>References</w:t>
      </w:r>
      <w:bookmarkEnd w:id="6"/>
    </w:p>
    <w:p w14:paraId="062DFFDC" w14:textId="0D3763B2"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Akbari, M., Nazarian, A., Foroudi, P., Seyyed Amiri, N. and Ezatabadipoor, E. (2020). How corporate social responsibility contributes to strengthening brand loyalty, hotel positioning and intention to revisit? </w:t>
      </w:r>
      <w:r w:rsidRPr="00B21E11">
        <w:rPr>
          <w:rFonts w:ascii="Arial" w:hAnsi="Arial" w:cs="Arial"/>
          <w:i/>
          <w:iCs/>
        </w:rPr>
        <w:t>Current Issues in Tourism</w:t>
      </w:r>
      <w:r w:rsidRPr="00B21E11">
        <w:rPr>
          <w:rFonts w:ascii="Arial" w:hAnsi="Arial" w:cs="Arial"/>
        </w:rPr>
        <w:t xml:space="preserve">, 24(13), pp.1–21. </w:t>
      </w:r>
    </w:p>
    <w:p w14:paraId="2DBD49E7" w14:textId="14DFEAB0"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Ali, S., Peters, L.D., Khan, I.U., Ali, W. and Saif, N. (2020). Organizational Learning and Hotel Performance: The Role of Capabilities’ Hierarchy. </w:t>
      </w:r>
      <w:r w:rsidRPr="00B21E11">
        <w:rPr>
          <w:rFonts w:ascii="Arial" w:hAnsi="Arial" w:cs="Arial"/>
          <w:i/>
          <w:iCs/>
        </w:rPr>
        <w:t>International Journal of Hospitality Management</w:t>
      </w:r>
      <w:r w:rsidRPr="00B21E11">
        <w:rPr>
          <w:rFonts w:ascii="Arial" w:hAnsi="Arial" w:cs="Arial"/>
        </w:rPr>
        <w:t xml:space="preserve">, 85, p.102349. </w:t>
      </w:r>
    </w:p>
    <w:p w14:paraId="51C8F87C" w14:textId="3E38674E"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Alshawabkeh, A., Kharbat, F. and Razmak, J. (2022). </w:t>
      </w:r>
      <w:r w:rsidRPr="00B21E11">
        <w:rPr>
          <w:rFonts w:ascii="Arial" w:hAnsi="Arial" w:cs="Arial"/>
          <w:i/>
          <w:iCs/>
        </w:rPr>
        <w:t>Knowledge Management Role in Enhancing Customer Relationship Management in Hotels Industry in the UK</w:t>
      </w:r>
      <w:r w:rsidRPr="00B21E11">
        <w:rPr>
          <w:rFonts w:ascii="Arial" w:hAnsi="Arial" w:cs="Arial"/>
        </w:rPr>
        <w:t xml:space="preserve">. [online] IEEE Xplore. </w:t>
      </w:r>
    </w:p>
    <w:p w14:paraId="25F19786" w14:textId="6D3B231F"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Asadi, S., OmSalameh Pourhashemi, S., Nilashi, M., Abdullah, R., Samad, S., Yadegaridehkordi, E., Aljojo, N. and Razali, N.S. (2020). Investigating influence of green innovation on sustainability performance: A case on Malaysian hotel industry. </w:t>
      </w:r>
      <w:r w:rsidRPr="00B21E11">
        <w:rPr>
          <w:rFonts w:ascii="Arial" w:hAnsi="Arial" w:cs="Arial"/>
          <w:i/>
          <w:iCs/>
        </w:rPr>
        <w:t>Journal of Cleaner Production</w:t>
      </w:r>
      <w:r w:rsidRPr="00B21E11">
        <w:rPr>
          <w:rFonts w:ascii="Arial" w:hAnsi="Arial" w:cs="Arial"/>
        </w:rPr>
        <w:t xml:space="preserve">, 258, p.120860. </w:t>
      </w:r>
    </w:p>
    <w:p w14:paraId="404EA76D" w14:textId="10BF5D84"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Calisto, M. de L., Umbelino, J., Gonçalves, A. and Viegas, C. (2021). Environmental Sustainability Strategies for Smaller Companies in the Hotel Industry: Doing the Right Thing or Doing Things Right? </w:t>
      </w:r>
      <w:r w:rsidRPr="00B21E11">
        <w:rPr>
          <w:rFonts w:ascii="Arial" w:hAnsi="Arial" w:cs="Arial"/>
          <w:i/>
          <w:iCs/>
        </w:rPr>
        <w:t>Sustainability</w:t>
      </w:r>
      <w:r w:rsidRPr="00B21E11">
        <w:rPr>
          <w:rFonts w:ascii="Arial" w:hAnsi="Arial" w:cs="Arial"/>
        </w:rPr>
        <w:t xml:space="preserve">, [online] 13(18), p.10380. </w:t>
      </w:r>
    </w:p>
    <w:p w14:paraId="2479DFD5" w14:textId="1873512B"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Dharmesti, M., Merrilees, B. and Winata, L. (2020). ‘I’m mindfully green’: examining the determinants of guest pro-environmental behaviors (PEB) in hotels. </w:t>
      </w:r>
      <w:r w:rsidRPr="00B21E11">
        <w:rPr>
          <w:rFonts w:ascii="Arial" w:hAnsi="Arial" w:cs="Arial"/>
          <w:i/>
          <w:iCs/>
        </w:rPr>
        <w:t>Journal of Hospitality Marketing &amp; Management</w:t>
      </w:r>
      <w:r w:rsidRPr="00B21E11">
        <w:rPr>
          <w:rFonts w:ascii="Arial" w:hAnsi="Arial" w:cs="Arial"/>
        </w:rPr>
        <w:t xml:space="preserve">, pp.1–18. </w:t>
      </w:r>
    </w:p>
    <w:p w14:paraId="728CC30C" w14:textId="6A50F0F2"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Eid, R. and Agag, G. (2020). Determinants of Innovative Behaviour in the Hotel Industry: A cross-Cultural Study. </w:t>
      </w:r>
      <w:r w:rsidRPr="00B21E11">
        <w:rPr>
          <w:rFonts w:ascii="Arial" w:hAnsi="Arial" w:cs="Arial"/>
          <w:i/>
          <w:iCs/>
        </w:rPr>
        <w:t>International Journal of Hospitality Management</w:t>
      </w:r>
      <w:r w:rsidRPr="00B21E11">
        <w:rPr>
          <w:rFonts w:ascii="Arial" w:hAnsi="Arial" w:cs="Arial"/>
        </w:rPr>
        <w:t xml:space="preserve">, 91, p.102642. </w:t>
      </w:r>
    </w:p>
    <w:p w14:paraId="1D2386F1" w14:textId="0390EFEC"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Gunawan, D., Putri, F.P. and Meidia, H. (2020). Bershca: bringing chatbot into hotel industry in Indonesia. </w:t>
      </w:r>
      <w:r w:rsidRPr="00B21E11">
        <w:rPr>
          <w:rFonts w:ascii="Arial" w:hAnsi="Arial" w:cs="Arial"/>
          <w:i/>
          <w:iCs/>
        </w:rPr>
        <w:t>TELKOMNIKA (Telecommunication Computing Electronics and Control)</w:t>
      </w:r>
      <w:r w:rsidRPr="00B21E11">
        <w:rPr>
          <w:rFonts w:ascii="Arial" w:hAnsi="Arial" w:cs="Arial"/>
        </w:rPr>
        <w:t xml:space="preserve">, 18(2), p.839. </w:t>
      </w:r>
    </w:p>
    <w:p w14:paraId="76FC8E75" w14:textId="43C1F997"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Hay, B. (2020). Perceptions of commercial hospitality space: The case of a UK university campus hotel. </w:t>
      </w:r>
      <w:r w:rsidRPr="00B21E11">
        <w:rPr>
          <w:rFonts w:ascii="Arial" w:hAnsi="Arial" w:cs="Arial"/>
          <w:i/>
          <w:iCs/>
        </w:rPr>
        <w:t>Hospitality &amp; Society</w:t>
      </w:r>
      <w:r w:rsidRPr="00B21E11">
        <w:rPr>
          <w:rFonts w:ascii="Arial" w:hAnsi="Arial" w:cs="Arial"/>
        </w:rPr>
        <w:t xml:space="preserve">. </w:t>
      </w:r>
    </w:p>
    <w:p w14:paraId="51F22693" w14:textId="5BD98B4D"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lastRenderedPageBreak/>
        <w:t xml:space="preserve">Hultman, M., Papadopoulou, C., Oghazi, P. and Opoku, R. (2020). Branding the hotel industry: The effect of step-up versus step-down brand extensions. </w:t>
      </w:r>
      <w:r w:rsidRPr="00B21E11">
        <w:rPr>
          <w:rFonts w:ascii="Arial" w:hAnsi="Arial" w:cs="Arial"/>
          <w:i/>
          <w:iCs/>
        </w:rPr>
        <w:t>Journal of Business Research</w:t>
      </w:r>
      <w:r w:rsidRPr="00B21E11">
        <w:rPr>
          <w:rFonts w:ascii="Arial" w:hAnsi="Arial" w:cs="Arial"/>
        </w:rPr>
        <w:t xml:space="preserve">. </w:t>
      </w:r>
    </w:p>
    <w:p w14:paraId="51BEA9D9" w14:textId="2E786578"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Islam, M.A., Hack</w:t>
      </w:r>
      <w:r w:rsidRPr="00B21E11">
        <w:rPr>
          <w:rFonts w:ascii="Cambria Math" w:hAnsi="Cambria Math" w:cs="Cambria Math"/>
        </w:rPr>
        <w:t>‐</w:t>
      </w:r>
      <w:r w:rsidRPr="00B21E11">
        <w:rPr>
          <w:rFonts w:ascii="Arial" w:hAnsi="Arial" w:cs="Arial"/>
        </w:rPr>
        <w:t xml:space="preserve">Polay, D., Haque, A., Rahman, M. and Hossain, M.S. (2021). Moderating role of psychological empowerment on the relationship between green HRM practices and millennial employee retention in the hotel industry of Bangladesh. </w:t>
      </w:r>
      <w:r w:rsidRPr="00B21E11">
        <w:rPr>
          <w:rFonts w:ascii="Arial" w:hAnsi="Arial" w:cs="Arial"/>
          <w:i/>
          <w:iCs/>
        </w:rPr>
        <w:t>BUSINESS STRATEGY &amp; DEVELOPMENT</w:t>
      </w:r>
      <w:r w:rsidRPr="00B21E11">
        <w:rPr>
          <w:rFonts w:ascii="Arial" w:hAnsi="Arial" w:cs="Arial"/>
        </w:rPr>
        <w:t xml:space="preserve">, 5(1), pp.17–29. </w:t>
      </w:r>
    </w:p>
    <w:p w14:paraId="1A86B882" w14:textId="6AF12084"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Lozano, J., Rey-Maquieira, J. and Sastre, F. (2020). An Integrated Analysis of Tourism Seasonality in Prices and Quantities, with an Application to the Spanish Hotel Industry. </w:t>
      </w:r>
      <w:r w:rsidRPr="00B21E11">
        <w:rPr>
          <w:rFonts w:ascii="Arial" w:hAnsi="Arial" w:cs="Arial"/>
          <w:i/>
          <w:iCs/>
        </w:rPr>
        <w:t>Journal of Travel Research</w:t>
      </w:r>
      <w:r w:rsidRPr="00B21E11">
        <w:rPr>
          <w:rFonts w:ascii="Arial" w:hAnsi="Arial" w:cs="Arial"/>
        </w:rPr>
        <w:t xml:space="preserve">, p.004728752094780. </w:t>
      </w:r>
    </w:p>
    <w:p w14:paraId="3D61226D" w14:textId="058F7110"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Mehta, M.P., Kumar, G. and Ramkumar, M. (2021). Customer expectations in the hotel industry during the COVID-19 pandemic: a global perspective using sentiment analysis. </w:t>
      </w:r>
      <w:r w:rsidRPr="00B21E11">
        <w:rPr>
          <w:rFonts w:ascii="Arial" w:hAnsi="Arial" w:cs="Arial"/>
          <w:i/>
          <w:iCs/>
        </w:rPr>
        <w:t>Tourism Recreation Research</w:t>
      </w:r>
      <w:r w:rsidRPr="00B21E11">
        <w:rPr>
          <w:rFonts w:ascii="Arial" w:hAnsi="Arial" w:cs="Arial"/>
        </w:rPr>
        <w:t xml:space="preserve">, 48(1), pp.1–18. </w:t>
      </w:r>
    </w:p>
    <w:p w14:paraId="52728936" w14:textId="29A79C35"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Nazarian, A., Shabankareh, M., Ranjbaran, A., Sadeghilar, N. and Atkinson, P. (2023). Determinants of Intention to Revisit in Hospitality Industry: A Cross-Cultural Study Based on Globe Project. </w:t>
      </w:r>
      <w:r w:rsidRPr="00B21E11">
        <w:rPr>
          <w:rFonts w:ascii="Arial" w:hAnsi="Arial" w:cs="Arial"/>
          <w:i/>
          <w:iCs/>
        </w:rPr>
        <w:t>Journal of International Consumer Marketing</w:t>
      </w:r>
      <w:r w:rsidRPr="00B21E11">
        <w:rPr>
          <w:rFonts w:ascii="Arial" w:hAnsi="Arial" w:cs="Arial"/>
        </w:rPr>
        <w:t xml:space="preserve">, pp.1–18. </w:t>
      </w:r>
    </w:p>
    <w:p w14:paraId="0F06BFC0" w14:textId="7240591D"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Ndiuini, A. and Baum, T. (2020). Underemployment and lived experiences of migrant workers in the hotel industry: policy and industry implications. </w:t>
      </w:r>
      <w:r w:rsidRPr="00B21E11">
        <w:rPr>
          <w:rFonts w:ascii="Arial" w:hAnsi="Arial" w:cs="Arial"/>
          <w:i/>
          <w:iCs/>
        </w:rPr>
        <w:t>Journal of Policy Research in Tourism, Leisure and Events</w:t>
      </w:r>
      <w:r w:rsidRPr="00B21E11">
        <w:rPr>
          <w:rFonts w:ascii="Arial" w:hAnsi="Arial" w:cs="Arial"/>
        </w:rPr>
        <w:t>, pp.1–23</w:t>
      </w:r>
      <w:r w:rsidR="00162AB0" w:rsidRPr="00B21E11">
        <w:rPr>
          <w:rFonts w:ascii="Arial" w:hAnsi="Arial" w:cs="Arial"/>
        </w:rPr>
        <w:t>.</w:t>
      </w:r>
    </w:p>
    <w:p w14:paraId="10F6E824" w14:textId="7D428B6B"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Ozdemir, O., Dogru, T., Kizildag, M., Mody, M. and Suess, C. (2021). Quantifying the economic impact of COVID-19 on the U.S. hotel industry: Examination of hotel segments and operational structures. </w:t>
      </w:r>
      <w:r w:rsidRPr="00B21E11">
        <w:rPr>
          <w:rFonts w:ascii="Arial" w:hAnsi="Arial" w:cs="Arial"/>
          <w:i/>
          <w:iCs/>
        </w:rPr>
        <w:t>Tourism Management Perspectives</w:t>
      </w:r>
      <w:r w:rsidRPr="00B21E11">
        <w:rPr>
          <w:rFonts w:ascii="Arial" w:hAnsi="Arial" w:cs="Arial"/>
        </w:rPr>
        <w:t xml:space="preserve">, 39(100864), p.100864. </w:t>
      </w:r>
    </w:p>
    <w:p w14:paraId="6B347A2D" w14:textId="55501BAC"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Pereira-Moliner, J., López-Gamero, M.D., Font, X., Molina-Azorín, J.F., Tarí, J.J. and Pertusa-Ortega, E.M. (2021). Sustainability, Competitive Advantages and Performance in the Hotel Industry: A Synergistic Relationship. </w:t>
      </w:r>
      <w:r w:rsidRPr="00B21E11">
        <w:rPr>
          <w:rFonts w:ascii="Arial" w:hAnsi="Arial" w:cs="Arial"/>
          <w:i/>
          <w:iCs/>
        </w:rPr>
        <w:t>Journal of Tourism and Services</w:t>
      </w:r>
      <w:r w:rsidRPr="00B21E11">
        <w:rPr>
          <w:rFonts w:ascii="Arial" w:hAnsi="Arial" w:cs="Arial"/>
        </w:rPr>
        <w:t xml:space="preserve">, 12(23), pp.132–149. </w:t>
      </w:r>
    </w:p>
    <w:p w14:paraId="57400D07" w14:textId="38B365AB"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lastRenderedPageBreak/>
        <w:t xml:space="preserve">Rico, A., Olcina, J., Baños, C., Garcia, X. and Sauri, D. (2019). Declining water consumption in the hotel industry of mass tourism resorts: contrasting evidence for Benidorm, Spain. </w:t>
      </w:r>
      <w:r w:rsidRPr="00B21E11">
        <w:rPr>
          <w:rFonts w:ascii="Arial" w:hAnsi="Arial" w:cs="Arial"/>
          <w:i/>
          <w:iCs/>
        </w:rPr>
        <w:t>Current Issues in Tourism</w:t>
      </w:r>
      <w:r w:rsidRPr="00B21E11">
        <w:rPr>
          <w:rFonts w:ascii="Arial" w:hAnsi="Arial" w:cs="Arial"/>
        </w:rPr>
        <w:t xml:space="preserve">, 23(6), pp.770–783. </w:t>
      </w:r>
    </w:p>
    <w:p w14:paraId="4F40A8F9" w14:textId="75898B56"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Sri Yusriani, Shine, Iwan Setiyawan Prambudi and Andriani Julia Effendy (2023). Exploring Work Stress and Coping Strategies in the Hotel Industry: A Preliminary Study. </w:t>
      </w:r>
      <w:r w:rsidRPr="00B21E11">
        <w:rPr>
          <w:rFonts w:ascii="Arial" w:hAnsi="Arial" w:cs="Arial"/>
          <w:i/>
          <w:iCs/>
        </w:rPr>
        <w:t>Proceedings International Conference on Business Economics &amp; Management</w:t>
      </w:r>
      <w:r w:rsidRPr="00B21E11">
        <w:rPr>
          <w:rFonts w:ascii="Arial" w:hAnsi="Arial" w:cs="Arial"/>
        </w:rPr>
        <w:t xml:space="preserve">, (1), pp.742–753. </w:t>
      </w:r>
    </w:p>
    <w:p w14:paraId="7E9F33B7" w14:textId="20F86D65" w:rsidR="00591128" w:rsidRPr="00B21E11" w:rsidRDefault="00602023" w:rsidP="00B21E11">
      <w:pPr>
        <w:pStyle w:val="NormalWeb"/>
        <w:spacing w:before="120" w:beforeAutospacing="0" w:after="120" w:afterAutospacing="0" w:line="360" w:lineRule="auto"/>
        <w:ind w:left="567" w:hanging="567"/>
        <w:jc w:val="both"/>
        <w:rPr>
          <w:rFonts w:ascii="Arial" w:hAnsi="Arial" w:cs="Arial"/>
        </w:rPr>
      </w:pPr>
      <w:r w:rsidRPr="00B21E11">
        <w:rPr>
          <w:rFonts w:ascii="Arial" w:hAnsi="Arial" w:cs="Arial"/>
        </w:rPr>
        <w:t xml:space="preserve">Zhang, F., Xiao, Q., Law, R. and Lee, S. (2019). Mergers and acquisitions in the hotel industry: A comprehensive review. </w:t>
      </w:r>
      <w:r w:rsidRPr="00B21E11">
        <w:rPr>
          <w:rFonts w:ascii="Arial" w:hAnsi="Arial" w:cs="Arial"/>
          <w:i/>
          <w:iCs/>
        </w:rPr>
        <w:t>International Journal of Hospitality Management</w:t>
      </w:r>
      <w:r w:rsidRPr="00B21E11">
        <w:rPr>
          <w:rFonts w:ascii="Arial" w:hAnsi="Arial" w:cs="Arial"/>
        </w:rPr>
        <w:t xml:space="preserve">, 91, p.102418. </w:t>
      </w:r>
    </w:p>
    <w:p w14:paraId="73AFD78F" w14:textId="77777777" w:rsidR="00591128" w:rsidRPr="00591128" w:rsidRDefault="00591128" w:rsidP="00591128"/>
    <w:sectPr w:rsidR="00591128" w:rsidRPr="005911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522E0"/>
    <w:multiLevelType w:val="hybridMultilevel"/>
    <w:tmpl w:val="6BEA691E"/>
    <w:lvl w:ilvl="0" w:tplc="5942AE22">
      <w:start w:val="1"/>
      <w:numFmt w:val="bullet"/>
      <w:lvlText w:val=""/>
      <w:lvlJc w:val="left"/>
      <w:pPr>
        <w:ind w:left="720" w:hanging="360"/>
      </w:pPr>
      <w:rPr>
        <w:rFonts w:ascii="Symbol" w:hAnsi="Symbol" w:hint="default"/>
      </w:rPr>
    </w:lvl>
    <w:lvl w:ilvl="1" w:tplc="ED7063F6" w:tentative="1">
      <w:start w:val="1"/>
      <w:numFmt w:val="bullet"/>
      <w:lvlText w:val="o"/>
      <w:lvlJc w:val="left"/>
      <w:pPr>
        <w:ind w:left="1440" w:hanging="360"/>
      </w:pPr>
      <w:rPr>
        <w:rFonts w:ascii="Courier New" w:hAnsi="Courier New" w:cs="Courier New" w:hint="default"/>
      </w:rPr>
    </w:lvl>
    <w:lvl w:ilvl="2" w:tplc="4B9E57AE" w:tentative="1">
      <w:start w:val="1"/>
      <w:numFmt w:val="bullet"/>
      <w:lvlText w:val=""/>
      <w:lvlJc w:val="left"/>
      <w:pPr>
        <w:ind w:left="2160" w:hanging="360"/>
      </w:pPr>
      <w:rPr>
        <w:rFonts w:ascii="Wingdings" w:hAnsi="Wingdings" w:hint="default"/>
      </w:rPr>
    </w:lvl>
    <w:lvl w:ilvl="3" w:tplc="24E0FCDE" w:tentative="1">
      <w:start w:val="1"/>
      <w:numFmt w:val="bullet"/>
      <w:lvlText w:val=""/>
      <w:lvlJc w:val="left"/>
      <w:pPr>
        <w:ind w:left="2880" w:hanging="360"/>
      </w:pPr>
      <w:rPr>
        <w:rFonts w:ascii="Symbol" w:hAnsi="Symbol" w:hint="default"/>
      </w:rPr>
    </w:lvl>
    <w:lvl w:ilvl="4" w:tplc="78C6C830" w:tentative="1">
      <w:start w:val="1"/>
      <w:numFmt w:val="bullet"/>
      <w:lvlText w:val="o"/>
      <w:lvlJc w:val="left"/>
      <w:pPr>
        <w:ind w:left="3600" w:hanging="360"/>
      </w:pPr>
      <w:rPr>
        <w:rFonts w:ascii="Courier New" w:hAnsi="Courier New" w:cs="Courier New" w:hint="default"/>
      </w:rPr>
    </w:lvl>
    <w:lvl w:ilvl="5" w:tplc="58AC236C" w:tentative="1">
      <w:start w:val="1"/>
      <w:numFmt w:val="bullet"/>
      <w:lvlText w:val=""/>
      <w:lvlJc w:val="left"/>
      <w:pPr>
        <w:ind w:left="4320" w:hanging="360"/>
      </w:pPr>
      <w:rPr>
        <w:rFonts w:ascii="Wingdings" w:hAnsi="Wingdings" w:hint="default"/>
      </w:rPr>
    </w:lvl>
    <w:lvl w:ilvl="6" w:tplc="4D9815FE" w:tentative="1">
      <w:start w:val="1"/>
      <w:numFmt w:val="bullet"/>
      <w:lvlText w:val=""/>
      <w:lvlJc w:val="left"/>
      <w:pPr>
        <w:ind w:left="5040" w:hanging="360"/>
      </w:pPr>
      <w:rPr>
        <w:rFonts w:ascii="Symbol" w:hAnsi="Symbol" w:hint="default"/>
      </w:rPr>
    </w:lvl>
    <w:lvl w:ilvl="7" w:tplc="0422FE5A" w:tentative="1">
      <w:start w:val="1"/>
      <w:numFmt w:val="bullet"/>
      <w:lvlText w:val="o"/>
      <w:lvlJc w:val="left"/>
      <w:pPr>
        <w:ind w:left="5760" w:hanging="360"/>
      </w:pPr>
      <w:rPr>
        <w:rFonts w:ascii="Courier New" w:hAnsi="Courier New" w:cs="Courier New" w:hint="default"/>
      </w:rPr>
    </w:lvl>
    <w:lvl w:ilvl="8" w:tplc="6BFE50BE" w:tentative="1">
      <w:start w:val="1"/>
      <w:numFmt w:val="bullet"/>
      <w:lvlText w:val=""/>
      <w:lvlJc w:val="left"/>
      <w:pPr>
        <w:ind w:left="6480" w:hanging="360"/>
      </w:pPr>
      <w:rPr>
        <w:rFonts w:ascii="Wingdings" w:hAnsi="Wingdings" w:hint="default"/>
      </w:rPr>
    </w:lvl>
  </w:abstractNum>
  <w:abstractNum w:abstractNumId="1" w15:restartNumberingAfterBreak="0">
    <w:nsid w:val="3EFD379B"/>
    <w:multiLevelType w:val="hybridMultilevel"/>
    <w:tmpl w:val="F83A84F2"/>
    <w:lvl w:ilvl="0" w:tplc="F4D8B83A">
      <w:start w:val="1"/>
      <w:numFmt w:val="decimal"/>
      <w:lvlText w:val="%1."/>
      <w:lvlJc w:val="left"/>
      <w:pPr>
        <w:ind w:left="720" w:hanging="360"/>
      </w:pPr>
    </w:lvl>
    <w:lvl w:ilvl="1" w:tplc="F94EAB5E" w:tentative="1">
      <w:start w:val="1"/>
      <w:numFmt w:val="lowerLetter"/>
      <w:lvlText w:val="%2."/>
      <w:lvlJc w:val="left"/>
      <w:pPr>
        <w:ind w:left="1440" w:hanging="360"/>
      </w:pPr>
    </w:lvl>
    <w:lvl w:ilvl="2" w:tplc="9FB0C47E" w:tentative="1">
      <w:start w:val="1"/>
      <w:numFmt w:val="lowerRoman"/>
      <w:lvlText w:val="%3."/>
      <w:lvlJc w:val="right"/>
      <w:pPr>
        <w:ind w:left="2160" w:hanging="180"/>
      </w:pPr>
    </w:lvl>
    <w:lvl w:ilvl="3" w:tplc="8A66ED3C" w:tentative="1">
      <w:start w:val="1"/>
      <w:numFmt w:val="decimal"/>
      <w:lvlText w:val="%4."/>
      <w:lvlJc w:val="left"/>
      <w:pPr>
        <w:ind w:left="2880" w:hanging="360"/>
      </w:pPr>
    </w:lvl>
    <w:lvl w:ilvl="4" w:tplc="9A728A4E" w:tentative="1">
      <w:start w:val="1"/>
      <w:numFmt w:val="lowerLetter"/>
      <w:lvlText w:val="%5."/>
      <w:lvlJc w:val="left"/>
      <w:pPr>
        <w:ind w:left="3600" w:hanging="360"/>
      </w:pPr>
    </w:lvl>
    <w:lvl w:ilvl="5" w:tplc="3AC64DFA" w:tentative="1">
      <w:start w:val="1"/>
      <w:numFmt w:val="lowerRoman"/>
      <w:lvlText w:val="%6."/>
      <w:lvlJc w:val="right"/>
      <w:pPr>
        <w:ind w:left="4320" w:hanging="180"/>
      </w:pPr>
    </w:lvl>
    <w:lvl w:ilvl="6" w:tplc="FC5867CC" w:tentative="1">
      <w:start w:val="1"/>
      <w:numFmt w:val="decimal"/>
      <w:lvlText w:val="%7."/>
      <w:lvlJc w:val="left"/>
      <w:pPr>
        <w:ind w:left="5040" w:hanging="360"/>
      </w:pPr>
    </w:lvl>
    <w:lvl w:ilvl="7" w:tplc="76AAE01E" w:tentative="1">
      <w:start w:val="1"/>
      <w:numFmt w:val="lowerLetter"/>
      <w:lvlText w:val="%8."/>
      <w:lvlJc w:val="left"/>
      <w:pPr>
        <w:ind w:left="5760" w:hanging="360"/>
      </w:pPr>
    </w:lvl>
    <w:lvl w:ilvl="8" w:tplc="6328766C" w:tentative="1">
      <w:start w:val="1"/>
      <w:numFmt w:val="lowerRoman"/>
      <w:lvlText w:val="%9."/>
      <w:lvlJc w:val="right"/>
      <w:pPr>
        <w:ind w:left="6480" w:hanging="180"/>
      </w:pPr>
    </w:lvl>
  </w:abstractNum>
  <w:num w:numId="1" w16cid:durableId="417026575">
    <w:abstractNumId w:val="1"/>
  </w:num>
  <w:num w:numId="2" w16cid:durableId="158900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3A0"/>
    <w:rsid w:val="00153585"/>
    <w:rsid w:val="00162AB0"/>
    <w:rsid w:val="0028708C"/>
    <w:rsid w:val="003826FA"/>
    <w:rsid w:val="00387B41"/>
    <w:rsid w:val="00484418"/>
    <w:rsid w:val="00493A33"/>
    <w:rsid w:val="004E0A70"/>
    <w:rsid w:val="004F473A"/>
    <w:rsid w:val="005277FF"/>
    <w:rsid w:val="00591128"/>
    <w:rsid w:val="005A0D39"/>
    <w:rsid w:val="00602023"/>
    <w:rsid w:val="006B3BE8"/>
    <w:rsid w:val="006F6C8D"/>
    <w:rsid w:val="0076403A"/>
    <w:rsid w:val="008833A0"/>
    <w:rsid w:val="008E2EE8"/>
    <w:rsid w:val="009E67A5"/>
    <w:rsid w:val="00A154EF"/>
    <w:rsid w:val="00A84CB4"/>
    <w:rsid w:val="00B21E11"/>
    <w:rsid w:val="00D0510B"/>
    <w:rsid w:val="00DD6B8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5F4AA"/>
  <w15:chartTrackingRefBased/>
  <w15:docId w15:val="{4A5D0E6B-5A91-403E-A80E-340192034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3A0"/>
    <w:pPr>
      <w:spacing w:after="0" w:line="240" w:lineRule="auto"/>
      <w:jc w:val="both"/>
    </w:pPr>
    <w:rPr>
      <w:rFonts w:ascii="Arial" w:hAnsi="Arial"/>
      <w:sz w:val="24"/>
      <w:szCs w:val="24"/>
      <w:lang w:val="en-GB"/>
    </w:rPr>
  </w:style>
  <w:style w:type="paragraph" w:styleId="Heading1">
    <w:name w:val="heading 1"/>
    <w:basedOn w:val="Normal"/>
    <w:next w:val="Normal"/>
    <w:link w:val="Heading1Char"/>
    <w:uiPriority w:val="9"/>
    <w:qFormat/>
    <w:rsid w:val="008833A0"/>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833A0"/>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3A0"/>
    <w:pPr>
      <w:ind w:left="720"/>
      <w:contextualSpacing/>
    </w:pPr>
  </w:style>
  <w:style w:type="character" w:customStyle="1" w:styleId="Heading2Char">
    <w:name w:val="Heading 2 Char"/>
    <w:basedOn w:val="DefaultParagraphFont"/>
    <w:link w:val="Heading2"/>
    <w:uiPriority w:val="9"/>
    <w:rsid w:val="008833A0"/>
    <w:rPr>
      <w:rFonts w:ascii="Arial" w:eastAsiaTheme="majorEastAsia" w:hAnsi="Arial" w:cstheme="majorBidi"/>
      <w:b/>
      <w:sz w:val="24"/>
      <w:szCs w:val="26"/>
      <w:lang w:val="en-GB"/>
    </w:rPr>
  </w:style>
  <w:style w:type="character" w:customStyle="1" w:styleId="Heading1Char">
    <w:name w:val="Heading 1 Char"/>
    <w:basedOn w:val="DefaultParagraphFont"/>
    <w:link w:val="Heading1"/>
    <w:uiPriority w:val="9"/>
    <w:rsid w:val="008833A0"/>
    <w:rPr>
      <w:rFonts w:ascii="Arial" w:eastAsiaTheme="majorEastAsia" w:hAnsi="Arial" w:cstheme="majorBidi"/>
      <w:b/>
      <w:sz w:val="28"/>
      <w:szCs w:val="32"/>
      <w:lang w:val="en-GB"/>
    </w:rPr>
  </w:style>
  <w:style w:type="paragraph" w:styleId="TOC1">
    <w:name w:val="toc 1"/>
    <w:basedOn w:val="Normal"/>
    <w:next w:val="Normal"/>
    <w:autoRedefine/>
    <w:uiPriority w:val="39"/>
    <w:unhideWhenUsed/>
    <w:rsid w:val="008833A0"/>
    <w:pPr>
      <w:spacing w:before="360" w:after="360"/>
      <w:jc w:val="left"/>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4F473A"/>
    <w:pPr>
      <w:tabs>
        <w:tab w:val="right" w:pos="9350"/>
      </w:tabs>
      <w:jc w:val="left"/>
    </w:pPr>
    <w:rPr>
      <w:rFonts w:cs="Arial"/>
      <w:smallCaps/>
      <w:noProof/>
    </w:rPr>
  </w:style>
  <w:style w:type="paragraph" w:styleId="TOC3">
    <w:name w:val="toc 3"/>
    <w:basedOn w:val="Normal"/>
    <w:next w:val="Normal"/>
    <w:autoRedefine/>
    <w:uiPriority w:val="39"/>
    <w:unhideWhenUsed/>
    <w:rsid w:val="008833A0"/>
    <w:pPr>
      <w:jc w:val="left"/>
    </w:pPr>
    <w:rPr>
      <w:rFonts w:asciiTheme="minorHAnsi" w:hAnsiTheme="minorHAnsi" w:cstheme="minorHAnsi"/>
      <w:smallCaps/>
      <w:sz w:val="22"/>
      <w:szCs w:val="22"/>
    </w:rPr>
  </w:style>
  <w:style w:type="paragraph" w:styleId="TOC4">
    <w:name w:val="toc 4"/>
    <w:basedOn w:val="Normal"/>
    <w:next w:val="Normal"/>
    <w:autoRedefine/>
    <w:uiPriority w:val="39"/>
    <w:unhideWhenUsed/>
    <w:rsid w:val="008833A0"/>
    <w:pPr>
      <w:jc w:val="left"/>
    </w:pPr>
    <w:rPr>
      <w:rFonts w:asciiTheme="minorHAnsi" w:hAnsiTheme="minorHAnsi" w:cstheme="minorHAnsi"/>
      <w:sz w:val="22"/>
      <w:szCs w:val="22"/>
    </w:rPr>
  </w:style>
  <w:style w:type="paragraph" w:styleId="TOC5">
    <w:name w:val="toc 5"/>
    <w:basedOn w:val="Normal"/>
    <w:next w:val="Normal"/>
    <w:autoRedefine/>
    <w:uiPriority w:val="39"/>
    <w:unhideWhenUsed/>
    <w:rsid w:val="008833A0"/>
    <w:pPr>
      <w:jc w:val="left"/>
    </w:pPr>
    <w:rPr>
      <w:rFonts w:asciiTheme="minorHAnsi" w:hAnsiTheme="minorHAnsi" w:cstheme="minorHAnsi"/>
      <w:sz w:val="22"/>
      <w:szCs w:val="22"/>
    </w:rPr>
  </w:style>
  <w:style w:type="paragraph" w:styleId="TOC6">
    <w:name w:val="toc 6"/>
    <w:basedOn w:val="Normal"/>
    <w:next w:val="Normal"/>
    <w:autoRedefine/>
    <w:uiPriority w:val="39"/>
    <w:unhideWhenUsed/>
    <w:rsid w:val="008833A0"/>
    <w:pPr>
      <w:jc w:val="left"/>
    </w:pPr>
    <w:rPr>
      <w:rFonts w:asciiTheme="minorHAnsi" w:hAnsiTheme="minorHAnsi" w:cstheme="minorHAnsi"/>
      <w:sz w:val="22"/>
      <w:szCs w:val="22"/>
    </w:rPr>
  </w:style>
  <w:style w:type="paragraph" w:styleId="TOC7">
    <w:name w:val="toc 7"/>
    <w:basedOn w:val="Normal"/>
    <w:next w:val="Normal"/>
    <w:autoRedefine/>
    <w:uiPriority w:val="39"/>
    <w:unhideWhenUsed/>
    <w:rsid w:val="008833A0"/>
    <w:pPr>
      <w:jc w:val="left"/>
    </w:pPr>
    <w:rPr>
      <w:rFonts w:asciiTheme="minorHAnsi" w:hAnsiTheme="minorHAnsi" w:cstheme="minorHAnsi"/>
      <w:sz w:val="22"/>
      <w:szCs w:val="22"/>
    </w:rPr>
  </w:style>
  <w:style w:type="paragraph" w:styleId="TOC8">
    <w:name w:val="toc 8"/>
    <w:basedOn w:val="Normal"/>
    <w:next w:val="Normal"/>
    <w:autoRedefine/>
    <w:uiPriority w:val="39"/>
    <w:unhideWhenUsed/>
    <w:rsid w:val="008833A0"/>
    <w:pPr>
      <w:jc w:val="left"/>
    </w:pPr>
    <w:rPr>
      <w:rFonts w:asciiTheme="minorHAnsi" w:hAnsiTheme="minorHAnsi" w:cstheme="minorHAnsi"/>
      <w:sz w:val="22"/>
      <w:szCs w:val="22"/>
    </w:rPr>
  </w:style>
  <w:style w:type="paragraph" w:styleId="TOC9">
    <w:name w:val="toc 9"/>
    <w:basedOn w:val="Normal"/>
    <w:next w:val="Normal"/>
    <w:autoRedefine/>
    <w:uiPriority w:val="39"/>
    <w:unhideWhenUsed/>
    <w:rsid w:val="008833A0"/>
    <w:pPr>
      <w:jc w:val="left"/>
    </w:pPr>
    <w:rPr>
      <w:rFonts w:asciiTheme="minorHAnsi" w:hAnsiTheme="minorHAnsi" w:cstheme="minorHAnsi"/>
      <w:sz w:val="22"/>
      <w:szCs w:val="22"/>
    </w:rPr>
  </w:style>
  <w:style w:type="character" w:styleId="Hyperlink">
    <w:name w:val="Hyperlink"/>
    <w:basedOn w:val="DefaultParagraphFont"/>
    <w:uiPriority w:val="99"/>
    <w:unhideWhenUsed/>
    <w:rsid w:val="008833A0"/>
    <w:rPr>
      <w:color w:val="0563C1" w:themeColor="hyperlink"/>
      <w:u w:val="single"/>
    </w:rPr>
  </w:style>
  <w:style w:type="paragraph" w:styleId="NormalWeb">
    <w:name w:val="Normal (Web)"/>
    <w:basedOn w:val="Normal"/>
    <w:uiPriority w:val="99"/>
    <w:semiHidden/>
    <w:unhideWhenUsed/>
    <w:rsid w:val="00591128"/>
    <w:pPr>
      <w:spacing w:before="100" w:beforeAutospacing="1" w:after="100" w:afterAutospacing="1"/>
      <w:jc w:val="left"/>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703F8-119D-4545-8790-2C7A018AA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2835</Words>
  <Characters>16162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Ammar .</dc:creator>
  <cp:lastModifiedBy>adrian bumb</cp:lastModifiedBy>
  <cp:revision>2</cp:revision>
  <dcterms:created xsi:type="dcterms:W3CDTF">2024-03-03T20:49:00Z</dcterms:created>
  <dcterms:modified xsi:type="dcterms:W3CDTF">2024-03-03T20:49:00Z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d2eae7da-aa92-443a-ba16-91cde101f63a</vt:lpwstr>
  </property>
</Properties>
</file>