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060A7" w14:textId="7327634A" w:rsidR="00841D0B" w:rsidRDefault="00082665">
      <w:r>
        <w:t xml:space="preserve">To what extent can the survival </w:t>
      </w:r>
      <w:r w:rsidR="003E7F7B">
        <w:t xml:space="preserve">and character of </w:t>
      </w:r>
      <w:r w:rsidR="00836FCB">
        <w:t>Judaism</w:t>
      </w:r>
      <w:r w:rsidR="003E7F7B">
        <w:t xml:space="preserve"> post – 70CE be attributed to the pharisees</w:t>
      </w:r>
      <w:r w:rsidR="00836FCB">
        <w:t xml:space="preserve"> and their theological orientation? </w:t>
      </w:r>
    </w:p>
    <w:p w14:paraId="34CF7E68" w14:textId="52846D89" w:rsidR="004A7123" w:rsidRDefault="008D3729">
      <w:r>
        <w:t xml:space="preserve">This essay will firstly provide </w:t>
      </w:r>
      <w:r w:rsidR="002E7369">
        <w:t xml:space="preserve">historical context </w:t>
      </w:r>
      <w:r w:rsidR="003815B0">
        <w:t>from before, during and after 70 CE</w:t>
      </w:r>
      <w:r w:rsidR="00B15DDE">
        <w:t xml:space="preserve">. This will allow the reader to </w:t>
      </w:r>
      <w:r w:rsidR="005973B1">
        <w:t>acquire</w:t>
      </w:r>
      <w:r w:rsidR="00B15DDE">
        <w:t xml:space="preserve"> an </w:t>
      </w:r>
      <w:r w:rsidR="005973B1">
        <w:t>in depth</w:t>
      </w:r>
      <w:r w:rsidR="00B15DDE">
        <w:t xml:space="preserve"> understanding of</w:t>
      </w:r>
      <w:r w:rsidR="000F65CC">
        <w:t xml:space="preserve"> the significant events </w:t>
      </w:r>
      <w:r w:rsidR="00B15DDE">
        <w:t>within Judaism and wh</w:t>
      </w:r>
      <w:r w:rsidR="005973B1">
        <w:t xml:space="preserve">at </w:t>
      </w:r>
      <w:r w:rsidR="000F65CC">
        <w:t>can be</w:t>
      </w:r>
      <w:r w:rsidR="005973B1">
        <w:t xml:space="preserve"> attributed to their survival. </w:t>
      </w:r>
      <w:r w:rsidR="004A7123">
        <w:t xml:space="preserve">Secondly, there will be a section providing further answer to the question: to what extent the pharisees can be attributed to the survival and character of </w:t>
      </w:r>
      <w:r w:rsidR="00F82961">
        <w:t>Judaism and to what extent they cannot. During this section there will also be reference to which other grou</w:t>
      </w:r>
      <w:r w:rsidR="0092083D">
        <w:t xml:space="preserve">ps and other factors </w:t>
      </w:r>
      <w:r w:rsidR="004679C6">
        <w:t xml:space="preserve">that </w:t>
      </w:r>
      <w:r w:rsidR="0092083D">
        <w:t xml:space="preserve">may have also attributed to the survival and character of Judaism. </w:t>
      </w:r>
      <w:r w:rsidR="00F720A9">
        <w:t>Then to conclude, there will be one overall answer to the question</w:t>
      </w:r>
      <w:r w:rsidR="0052440B">
        <w:t xml:space="preserve"> based on the knowledge and understanding presented in this essay. </w:t>
      </w:r>
    </w:p>
    <w:p w14:paraId="7EB6FD5C" w14:textId="0E0A3821" w:rsidR="0014786C" w:rsidRDefault="00AF6924">
      <w:r>
        <w:t>It is</w:t>
      </w:r>
      <w:r w:rsidR="000B4392">
        <w:t xml:space="preserve"> important to recognise the significant events prior – 70CE for one to understand why Judaism needed to be saved</w:t>
      </w:r>
      <w:r w:rsidR="00642049">
        <w:t xml:space="preserve">. </w:t>
      </w:r>
      <w:r w:rsidR="007C02BC">
        <w:t xml:space="preserve">During 66CE </w:t>
      </w:r>
      <w:r w:rsidR="00663021">
        <w:t>there was a disturbance between the Greek and the Jews</w:t>
      </w:r>
      <w:r w:rsidR="001A3D92">
        <w:t xml:space="preserve">, </w:t>
      </w:r>
      <w:r w:rsidR="00381F26">
        <w:t>furthermore</w:t>
      </w:r>
      <w:r w:rsidR="001A3D92">
        <w:t xml:space="preserve"> “the procurator adopted an anti-</w:t>
      </w:r>
      <w:r w:rsidR="0066535C">
        <w:t>Jewish stance and allowed his troops to riot in Jerusalem.</w:t>
      </w:r>
      <w:r w:rsidR="00406050">
        <w:rPr>
          <w:rStyle w:val="FootnoteReference"/>
        </w:rPr>
        <w:footnoteReference w:id="1"/>
      </w:r>
      <w:r w:rsidR="0066535C">
        <w:t>”</w:t>
      </w:r>
      <w:r w:rsidR="00F61152">
        <w:t xml:space="preserve"> this anti-Jewish stance was appointed by </w:t>
      </w:r>
      <w:proofErr w:type="spellStart"/>
      <w:r w:rsidR="00F61152">
        <w:t>Flo</w:t>
      </w:r>
      <w:r w:rsidR="00640EA3">
        <w:t>rus</w:t>
      </w:r>
      <w:proofErr w:type="spellEnd"/>
      <w:r w:rsidR="00640EA3">
        <w:t xml:space="preserve">, who was also responsible in </w:t>
      </w:r>
      <w:r w:rsidR="00B76BCE">
        <w:t>commending the Greek, Jewish</w:t>
      </w:r>
      <w:r w:rsidR="00690C69">
        <w:t xml:space="preserve"> fights. </w:t>
      </w:r>
      <w:r w:rsidR="006A4478">
        <w:t>Also,</w:t>
      </w:r>
      <w:r w:rsidR="00690C69">
        <w:t xml:space="preserve"> during the era prior to 70CE the </w:t>
      </w:r>
      <w:r w:rsidR="006A4478">
        <w:t>Jewish</w:t>
      </w:r>
      <w:r w:rsidR="00690C69">
        <w:t xml:space="preserve"> sect known as the zealots</w:t>
      </w:r>
      <w:r w:rsidR="0045214D">
        <w:t xml:space="preserve"> overthrew the government in Jerusalem and killed those who they believed helped the romans. From these events there is already clear indication </w:t>
      </w:r>
      <w:r w:rsidR="006A4478">
        <w:t xml:space="preserve">that Judaism was somewhat in </w:t>
      </w:r>
      <w:r w:rsidR="007A6723">
        <w:t>poor condition</w:t>
      </w:r>
      <w:r w:rsidR="003D4FDB">
        <w:t xml:space="preserve">. Moreover, </w:t>
      </w:r>
      <w:r w:rsidR="00353075">
        <w:t xml:space="preserve">Vespasian was now involved in the aiding of Jewish </w:t>
      </w:r>
      <w:r w:rsidR="0060156D">
        <w:t>scrutiny,</w:t>
      </w:r>
      <w:r w:rsidR="002571C0">
        <w:t xml:space="preserve"> and he had; “subjugated </w:t>
      </w:r>
      <w:r w:rsidR="0060156D">
        <w:t>Transjordan</w:t>
      </w:r>
      <w:r w:rsidR="002571C0">
        <w:t>, Western Judea, Idumea, Samaria and Jericho.”</w:t>
      </w:r>
      <w:r w:rsidR="0060156D">
        <w:rPr>
          <w:rStyle w:val="FootnoteReference"/>
        </w:rPr>
        <w:footnoteReference w:id="2"/>
      </w:r>
      <w:r w:rsidR="0060156D">
        <w:t xml:space="preserve"> This again proving the Jewish need to be saved as they become further damaged by opposing rule. </w:t>
      </w:r>
      <w:r w:rsidR="00C6410D">
        <w:t xml:space="preserve">However, it is when Vespasian appoints his son Titus to take care of the Jewish Campaign that the need for Jewish survival becomes </w:t>
      </w:r>
      <w:r w:rsidR="00A67A2C">
        <w:t xml:space="preserve">most apparent. During 70CE from May to September </w:t>
      </w:r>
      <w:r w:rsidR="00B01045">
        <w:t xml:space="preserve">multiple catastrophes inflicted by the Romans cause more </w:t>
      </w:r>
      <w:r w:rsidR="00CA080A">
        <w:t xml:space="preserve">collapse to the Jewish character all the way up to the point of the fall of the second temple in late August 70CE. </w:t>
      </w:r>
    </w:p>
    <w:p w14:paraId="3917F872" w14:textId="0853938D" w:rsidR="00A75247" w:rsidRDefault="00A75247">
      <w:r>
        <w:t xml:space="preserve">It is important to see here the absolute collapse that Judaism was in by 70CE as it will allow one to understand how the Jews now need to be saved. </w:t>
      </w:r>
      <w:r w:rsidR="00C45719">
        <w:t>With the events</w:t>
      </w:r>
      <w:r w:rsidR="00A420EE">
        <w:t xml:space="preserve"> caused by the</w:t>
      </w:r>
      <w:r w:rsidR="00C45719">
        <w:t xml:space="preserve"> Romans and the total collapse of the city and the destruction of the second temple it is </w:t>
      </w:r>
      <w:r w:rsidR="00F40BAB">
        <w:t>evident</w:t>
      </w:r>
      <w:r w:rsidR="00A420EE">
        <w:t xml:space="preserve"> here that the Jews </w:t>
      </w:r>
      <w:r w:rsidR="00DB2BAE">
        <w:t>need</w:t>
      </w:r>
      <w:r w:rsidR="00A420EE">
        <w:t xml:space="preserve"> keeping the faith and adapting their </w:t>
      </w:r>
      <w:r w:rsidR="00DB2BAE">
        <w:t xml:space="preserve">religion in ways to allow them to survive. There were </w:t>
      </w:r>
      <w:r w:rsidR="003E0304">
        <w:t>three</w:t>
      </w:r>
      <w:r w:rsidR="00DB2BAE">
        <w:t xml:space="preserve"> main sects during this time that would each attribute in the own way to this survival of Jewish faith and character. </w:t>
      </w:r>
    </w:p>
    <w:p w14:paraId="454CC193" w14:textId="77777777" w:rsidR="00461AF6" w:rsidRDefault="00642049" w:rsidP="00203575">
      <w:r>
        <w:t>The pharisees were one of the three major sects that divided parts of Judaism during its early years. “There were only a few Sadducees, more than 4,000 Essenes, and (at the time of Herod) 6,000 Pharisees.”</w:t>
      </w:r>
      <w:r>
        <w:rPr>
          <w:rStyle w:val="FootnoteReference"/>
        </w:rPr>
        <w:footnoteReference w:id="3"/>
      </w:r>
      <w:r>
        <w:t xml:space="preserve"> </w:t>
      </w:r>
    </w:p>
    <w:p w14:paraId="7BFA4705" w14:textId="2CAB0F07" w:rsidR="00B27C0E" w:rsidRDefault="00642049" w:rsidP="00203575">
      <w:r>
        <w:t>Th</w:t>
      </w:r>
      <w:r w:rsidR="00A05A74">
        <w:t xml:space="preserve">e </w:t>
      </w:r>
      <w:r w:rsidR="000610F6">
        <w:t xml:space="preserve">Sadducees centred their devotion on </w:t>
      </w:r>
      <w:r w:rsidR="007743FF">
        <w:t>temple worship</w:t>
      </w:r>
      <w:r w:rsidR="00D54A3B">
        <w:t xml:space="preserve"> and consisted of</w:t>
      </w:r>
      <w:r w:rsidR="00A06B1D">
        <w:t xml:space="preserve"> a small group of hereditary </w:t>
      </w:r>
      <w:r w:rsidR="00081C85">
        <w:t>priests</w:t>
      </w:r>
      <w:r w:rsidR="00A06B1D">
        <w:t xml:space="preserve"> and it is stated that they “controlled temple worship.”</w:t>
      </w:r>
      <w:r w:rsidR="00A06B1D">
        <w:rPr>
          <w:rStyle w:val="FootnoteReference"/>
        </w:rPr>
        <w:footnoteReference w:id="4"/>
      </w:r>
      <w:r w:rsidR="00081C85">
        <w:t xml:space="preserve"> </w:t>
      </w:r>
      <w:r w:rsidR="004C39B5">
        <w:t xml:space="preserve">The </w:t>
      </w:r>
      <w:r w:rsidR="005614E3">
        <w:t>Sadducees</w:t>
      </w:r>
      <w:r w:rsidR="004C39B5">
        <w:t xml:space="preserve"> are also referred to as the “temple cult”</w:t>
      </w:r>
      <w:r w:rsidR="004C39B5">
        <w:rPr>
          <w:rStyle w:val="FootnoteReference"/>
        </w:rPr>
        <w:footnoteReference w:id="5"/>
      </w:r>
      <w:r w:rsidR="005614E3">
        <w:t xml:space="preserve"> it is clear to see how the destruction of the temple would greatly </w:t>
      </w:r>
      <w:r w:rsidR="005614E3">
        <w:lastRenderedPageBreak/>
        <w:t xml:space="preserve">hinder their beliefs and practices </w:t>
      </w:r>
      <w:r w:rsidR="00ED2CDC">
        <w:t xml:space="preserve">and further their ability to survive as a group. As there was no temple it would diminish a lot of their worship and rituals. </w:t>
      </w:r>
    </w:p>
    <w:p w14:paraId="396C453A" w14:textId="609DF3A0" w:rsidR="00461AF6" w:rsidRDefault="00461AF6" w:rsidP="00203575">
      <w:r>
        <w:t>The second group, the Essen</w:t>
      </w:r>
      <w:r w:rsidR="00873463">
        <w:t>es</w:t>
      </w:r>
      <w:r w:rsidR="009B3DB9">
        <w:t xml:space="preserve">, </w:t>
      </w:r>
      <w:r w:rsidR="00BF06FB">
        <w:t>did not agree with the ideal of living by “town life”</w:t>
      </w:r>
      <w:r w:rsidR="00BF06FB">
        <w:rPr>
          <w:rStyle w:val="FootnoteReference"/>
        </w:rPr>
        <w:footnoteReference w:id="6"/>
      </w:r>
      <w:r w:rsidR="00BF06FB">
        <w:t xml:space="preserve"> and therefore removed themselves from popular society. They abided by the strict laws of purity and in some </w:t>
      </w:r>
      <w:r w:rsidR="00E76580">
        <w:t>cases,</w:t>
      </w:r>
      <w:r w:rsidR="00BF06FB">
        <w:t xml:space="preserve"> it is argued they abided by rules of celibacy. It is believed that this sect is responsible for the creation of the dead sea scrolls</w:t>
      </w:r>
      <w:r w:rsidR="00EF18AF">
        <w:t>. “</w:t>
      </w:r>
      <w:r w:rsidR="00223340">
        <w:t>The</w:t>
      </w:r>
      <w:r w:rsidR="00EF18AF">
        <w:t xml:space="preserve"> Essenes believed</w:t>
      </w:r>
      <w:r w:rsidR="00046FC6">
        <w:t xml:space="preserve"> that they alone were members of the new covenant prophesi</w:t>
      </w:r>
      <w:r w:rsidR="00223340">
        <w:t>ed by Jeremiah”</w:t>
      </w:r>
      <w:r w:rsidR="00223340">
        <w:rPr>
          <w:rStyle w:val="FootnoteReference"/>
        </w:rPr>
        <w:footnoteReference w:id="7"/>
      </w:r>
      <w:r w:rsidR="00CE1DE0">
        <w:t xml:space="preserve"> b y isolating themselves it is difficult to understand how they would be influential in the character and survival of Judaism post 70CE.</w:t>
      </w:r>
    </w:p>
    <w:p w14:paraId="26982D79" w14:textId="7024355A" w:rsidR="00CE1DE0" w:rsidRDefault="00681FAD" w:rsidP="00203575">
      <w:r>
        <w:t xml:space="preserve">The last sect known as the Pharisees were arguably the most influential of the time. </w:t>
      </w:r>
      <w:r w:rsidR="00967D24">
        <w:t>“</w:t>
      </w:r>
      <w:r w:rsidR="00F71410">
        <w:t>The</w:t>
      </w:r>
      <w:r w:rsidR="00967D24">
        <w:t xml:space="preserve"> pharisees </w:t>
      </w:r>
      <w:r w:rsidR="00F71410">
        <w:t>centred</w:t>
      </w:r>
      <w:r w:rsidR="00967D24">
        <w:t xml:space="preserve"> their</w:t>
      </w:r>
      <w:r w:rsidR="00F71410">
        <w:t xml:space="preserve"> activities on the synagogue.”</w:t>
      </w:r>
      <w:r w:rsidR="00F71410">
        <w:rPr>
          <w:rStyle w:val="FootnoteReference"/>
        </w:rPr>
        <w:footnoteReference w:id="8"/>
      </w:r>
      <w:r w:rsidR="00F71410">
        <w:t xml:space="preserve"> This presents the first clear way in which </w:t>
      </w:r>
      <w:r w:rsidR="00F31675">
        <w:t xml:space="preserve">the pharisees can be attributed to the survival and character of Judaism Post 70CE as there was no temple but that did not diminish their ideals and virtues. </w:t>
      </w:r>
      <w:r w:rsidR="0082340F">
        <w:t>The pharisees also provided clarity within the laws, further attributing to their influence of Jewish survival</w:t>
      </w:r>
      <w:r w:rsidR="00B8547E">
        <w:t xml:space="preserve">. </w:t>
      </w:r>
      <w:r w:rsidR="003B0A46">
        <w:t xml:space="preserve">An example of this is the list of thirty-nine categories </w:t>
      </w:r>
      <w:r w:rsidR="00AE7E79">
        <w:t xml:space="preserve">of labour that define what you cannot do during the sabbath, as the fourth commandment declares no work to be done on the sabbath the Pharisees provided an in-depth explanation as to what that meant, this allowed Jews to be clear when observing this commandment. </w:t>
      </w:r>
      <w:r w:rsidR="00AE4E58">
        <w:t>It is through their theological orientation that the Pharisees also had great influence on the Jews</w:t>
      </w:r>
      <w:r w:rsidR="00C73F03">
        <w:t>. They upheld the belief that</w:t>
      </w:r>
      <w:r w:rsidR="00597718">
        <w:t>:</w:t>
      </w:r>
    </w:p>
    <w:p w14:paraId="381FC2D8" w14:textId="18BD9028" w:rsidR="00597718" w:rsidRDefault="00597718" w:rsidP="00597718">
      <w:pPr>
        <w:ind w:left="720"/>
      </w:pPr>
      <w:r>
        <w:t>“</w:t>
      </w:r>
      <w:r w:rsidR="00C40F5A">
        <w:t>Souls</w:t>
      </w:r>
      <w:r>
        <w:t xml:space="preserve"> have the power to survive death and that there are rewards and punishments under</w:t>
      </w:r>
      <w:r w:rsidR="00890768">
        <w:t xml:space="preserve"> the earth for those who have led lives of virtue or vice</w:t>
      </w:r>
      <w:r w:rsidR="003B1407">
        <w:t>: eternal punishment is the lot of the evil souls, while the good souls</w:t>
      </w:r>
      <w:r w:rsidR="00775E24">
        <w:t xml:space="preserve"> receive an easy passage to a new life.”</w:t>
      </w:r>
      <w:r w:rsidR="00775E24">
        <w:rPr>
          <w:rStyle w:val="FootnoteReference"/>
        </w:rPr>
        <w:footnoteReference w:id="9"/>
      </w:r>
    </w:p>
    <w:p w14:paraId="17A3B0CB" w14:textId="01C7E0B5" w:rsidR="00C40F5A" w:rsidRDefault="00C40F5A" w:rsidP="00C40F5A">
      <w:r>
        <w:t xml:space="preserve">This quote defines what the pharisees held to their belief and </w:t>
      </w:r>
      <w:r w:rsidR="00210CFA">
        <w:t>is to a large extent how they influenced that character of Judaism. By advising the Jewish people to continue their devotion and the worship</w:t>
      </w:r>
      <w:r w:rsidR="00D93FCA">
        <w:t xml:space="preserve"> it would prevent those who were unsure in the power of God to stay lo</w:t>
      </w:r>
      <w:r w:rsidR="00C36547">
        <w:t xml:space="preserve">yal and continue devoting their souls to worship even without the temple. </w:t>
      </w:r>
      <w:r w:rsidR="00F93F83">
        <w:t>This is apparent also in the events later of the holocaust. It is arguable that th</w:t>
      </w:r>
      <w:r w:rsidR="005002AE">
        <w:t>e</w:t>
      </w:r>
      <w:r w:rsidR="00F93F83">
        <w:t xml:space="preserve"> Jews of the 1940s still adopted this </w:t>
      </w:r>
      <w:r w:rsidR="005002AE">
        <w:t>characterise</w:t>
      </w:r>
      <w:r w:rsidR="00F93F83">
        <w:t xml:space="preserve"> of worship as even through constant persecution they remained </w:t>
      </w:r>
      <w:r w:rsidR="005002AE">
        <w:t xml:space="preserve">with their faith and kept their devotion to God, similarly </w:t>
      </w:r>
      <w:r w:rsidR="00006558">
        <w:t xml:space="preserve">to the events prior to the destruction of the temple in 70CE. </w:t>
      </w:r>
    </w:p>
    <w:p w14:paraId="7D601A9E" w14:textId="77777777" w:rsidR="007E125C" w:rsidRDefault="007E125C" w:rsidP="00203575"/>
    <w:p w14:paraId="52CEA84B" w14:textId="2621142C" w:rsidR="002A015B" w:rsidRDefault="00890F45" w:rsidP="002A015B">
      <w:r>
        <w:t xml:space="preserve">On the contrary </w:t>
      </w:r>
      <w:r w:rsidR="000742D7">
        <w:t xml:space="preserve">it is the interest of the Hasidic communities to follow </w:t>
      </w:r>
      <w:r w:rsidR="00045ABB">
        <w:t xml:space="preserve">and complete all 613 commandments. There </w:t>
      </w:r>
      <w:r w:rsidR="00C5012B">
        <w:t>is</w:t>
      </w:r>
      <w:r w:rsidR="00045ABB">
        <w:t xml:space="preserve"> multiple commandment</w:t>
      </w:r>
      <w:r w:rsidR="00DA5D41">
        <w:t>s</w:t>
      </w:r>
      <w:r w:rsidR="00045ABB">
        <w:t xml:space="preserve"> which </w:t>
      </w:r>
      <w:r w:rsidR="00C5012B">
        <w:t>refer</w:t>
      </w:r>
      <w:r w:rsidR="00045ABB">
        <w:t xml:space="preserve"> to the Temple and Temple worship</w:t>
      </w:r>
      <w:r w:rsidR="00C5012B">
        <w:t xml:space="preserve">. This means that in some instances there are commandments which cannot be met </w:t>
      </w:r>
      <w:r w:rsidR="00F33C87">
        <w:t xml:space="preserve">and </w:t>
      </w:r>
      <w:r w:rsidR="00EB6981">
        <w:t xml:space="preserve">this </w:t>
      </w:r>
      <w:r w:rsidR="006B1D81">
        <w:t xml:space="preserve">is how the pharisees could not be attributed to the survival and character of Judaism. </w:t>
      </w:r>
      <w:r w:rsidR="00DC147C">
        <w:t xml:space="preserve">It is arguable that the Sadducees would have </w:t>
      </w:r>
      <w:r w:rsidR="00A400A1">
        <w:t>had more influence here as they were more acquainted to the instruction of temple worship</w:t>
      </w:r>
      <w:r w:rsidR="00C12E6C">
        <w:t xml:space="preserve"> and therefore would have been able to offer better assistance </w:t>
      </w:r>
      <w:r w:rsidR="009E76C4">
        <w:t>as to what else they could do</w:t>
      </w:r>
      <w:r w:rsidR="007E04F1">
        <w:t xml:space="preserve">. As the Pharisees were more </w:t>
      </w:r>
      <w:r w:rsidR="00195641">
        <w:t>centred</w:t>
      </w:r>
      <w:r w:rsidR="007E04F1">
        <w:t xml:space="preserve"> around temple worship this is </w:t>
      </w:r>
      <w:r w:rsidR="002A663B">
        <w:t xml:space="preserve">how they would </w:t>
      </w:r>
      <w:r w:rsidR="00195641">
        <w:t>contribute</w:t>
      </w:r>
      <w:r w:rsidR="002A663B">
        <w:t xml:space="preserve"> to the character of Judaism but, this would not help in keeping the temple</w:t>
      </w:r>
      <w:r w:rsidR="00195641">
        <w:t xml:space="preserve"> worship alive </w:t>
      </w:r>
      <w:r w:rsidR="00195641">
        <w:lastRenderedPageBreak/>
        <w:t xml:space="preserve">in Judaism today. </w:t>
      </w:r>
      <w:r w:rsidR="00783585">
        <w:t>Here are a few examples of where the commandments favour temple worship as a devotion in Judaism</w:t>
      </w:r>
      <w:r w:rsidR="00455963">
        <w:t>:</w:t>
      </w:r>
    </w:p>
    <w:p w14:paraId="5E0FA317" w14:textId="5686EDD6" w:rsidR="00AB0652" w:rsidRDefault="00AB0652" w:rsidP="002A015B">
      <w:r>
        <w:t xml:space="preserve">“306. Not to leave the temple unguarded.” </w:t>
      </w:r>
      <w:r w:rsidR="00C91FA9">
        <w:rPr>
          <w:rStyle w:val="FootnoteReference"/>
        </w:rPr>
        <w:footnoteReference w:id="10"/>
      </w:r>
    </w:p>
    <w:p w14:paraId="2EDF1640" w14:textId="3345556A" w:rsidR="00722525" w:rsidRDefault="00316007" w:rsidP="002A015B">
      <w:r>
        <w:t>“</w:t>
      </w:r>
      <w:r w:rsidR="00B011EB">
        <w:t>420</w:t>
      </w:r>
      <w:r w:rsidR="00F570DE">
        <w:t xml:space="preserve">. </w:t>
      </w:r>
      <w:r w:rsidR="00452E4E">
        <w:t>to be seen at the temple three times a year</w:t>
      </w:r>
      <w:r w:rsidR="00AB0652">
        <w:t>.</w:t>
      </w:r>
      <w:r w:rsidR="00452E4E">
        <w:t>”</w:t>
      </w:r>
      <w:r w:rsidR="002629A7">
        <w:t xml:space="preserve"> This is stated in </w:t>
      </w:r>
      <w:r w:rsidR="00F228A5">
        <w:t>Deuteronomy</w:t>
      </w:r>
      <w:r w:rsidR="002629A7">
        <w:t xml:space="preserve"> 16:16 </w:t>
      </w:r>
      <w:r w:rsidR="00F228A5">
        <w:t xml:space="preserve">and as a commandment it is expected for Jews to follow them. As there is </w:t>
      </w:r>
      <w:r w:rsidR="004A03A7">
        <w:t xml:space="preserve">not </w:t>
      </w:r>
      <w:r w:rsidR="00FD0509">
        <w:t>a temple there can be no way to now follow this commandment</w:t>
      </w:r>
      <w:r w:rsidR="00E72FAA">
        <w:t xml:space="preserve">. To the Pharisees this would </w:t>
      </w:r>
      <w:r w:rsidR="00917727">
        <w:t xml:space="preserve">not </w:t>
      </w:r>
      <w:r w:rsidR="00E72FAA">
        <w:t xml:space="preserve">present as an issue as their </w:t>
      </w:r>
      <w:r w:rsidR="00917727">
        <w:t xml:space="preserve">focus </w:t>
      </w:r>
      <w:r w:rsidR="00C07BB5">
        <w:t xml:space="preserve">is centred on the synagogue and community worship however this does not offer an answer </w:t>
      </w:r>
      <w:r w:rsidR="00144728">
        <w:t xml:space="preserve">for those who see it mandatory to complete this command. For the Sadducees they would be able to offer further guidance in comparison to the </w:t>
      </w:r>
      <w:r w:rsidR="00613D51">
        <w:t xml:space="preserve">Pharisees as it was their devotion to the temple that </w:t>
      </w:r>
      <w:r w:rsidR="00085291">
        <w:t xml:space="preserve">contributes to their </w:t>
      </w:r>
      <w:r w:rsidR="00613D51">
        <w:t xml:space="preserve">better knowledge. </w:t>
      </w:r>
    </w:p>
    <w:p w14:paraId="656C1B34" w14:textId="1090A7B0" w:rsidR="002A015B" w:rsidRDefault="00455963" w:rsidP="002A015B">
      <w:r>
        <w:t xml:space="preserve">In conclusion the pharisees to a large extent can be attributed to the </w:t>
      </w:r>
      <w:r w:rsidR="00212083">
        <w:t xml:space="preserve">character and survival of </w:t>
      </w:r>
      <w:r w:rsidR="00F95C76">
        <w:t>Judaism</w:t>
      </w:r>
      <w:r w:rsidR="00212083">
        <w:t xml:space="preserve"> as they were able to thrive even after the destruction of the temple</w:t>
      </w:r>
      <w:r w:rsidR="00735126">
        <w:t xml:space="preserve"> where the other major sects of Judaism were hindered. </w:t>
      </w:r>
      <w:r w:rsidR="007F091C">
        <w:t xml:space="preserve">It was the Pharisees theological orientation that allowed them to continue to be influential within society, by holding the </w:t>
      </w:r>
      <w:r w:rsidR="00A214F5">
        <w:t>synagogue</w:t>
      </w:r>
      <w:r w:rsidR="007F091C">
        <w:t xml:space="preserve"> as the centre of worship and continuing the faith even </w:t>
      </w:r>
      <w:r w:rsidR="00A214F5">
        <w:t xml:space="preserve">after the destruction of the temple they set the path for the rest of Judaism through </w:t>
      </w:r>
      <w:r w:rsidR="003B19D0">
        <w:t xml:space="preserve">all other major events that the Jews incurred by keeping the characteristics of the Pharisees Judaism was able to survive. Namely one may use The Holocaust as an example of this as </w:t>
      </w:r>
      <w:r w:rsidR="0053272C">
        <w:t xml:space="preserve">this is another example of other major powers trying to diminish </w:t>
      </w:r>
      <w:r w:rsidR="00840E1C">
        <w:t xml:space="preserve">Judaism but, by the Jews continuing their faith and by </w:t>
      </w:r>
      <w:r w:rsidR="00EA0BBF">
        <w:t>centring</w:t>
      </w:r>
      <w:r w:rsidR="00840E1C">
        <w:t xml:space="preserve"> Judaism on the community aspect rather than</w:t>
      </w:r>
      <w:r w:rsidR="00EA0BBF">
        <w:t xml:space="preserve"> the Physical, similarly to the Pharisees, they were able to thrive. This </w:t>
      </w:r>
      <w:r w:rsidR="00496053">
        <w:t xml:space="preserve">again proving how Judaism no matter what era will always be focused on the community rather than the holy buildings they possess as it is </w:t>
      </w:r>
      <w:r w:rsidR="00DA209D">
        <w:t xml:space="preserve">keeping the faith and beliefs alive that is what matters. </w:t>
      </w:r>
    </w:p>
    <w:p w14:paraId="79967448" w14:textId="77777777" w:rsidR="007D4203" w:rsidRDefault="007D4203" w:rsidP="002A015B"/>
    <w:p w14:paraId="6617B528" w14:textId="49047C4E" w:rsidR="007D4203" w:rsidRDefault="007D4203" w:rsidP="002A015B">
      <w:r>
        <w:t>Bibliography</w:t>
      </w:r>
    </w:p>
    <w:p w14:paraId="4C219A5F" w14:textId="14B7E539" w:rsidR="009B4EDD" w:rsidRDefault="009B4EDD" w:rsidP="002A015B">
      <w:r w:rsidRPr="009B4EDD">
        <w:t xml:space="preserve">Cohn-Sherbok, Dan. </w:t>
      </w:r>
      <w:r w:rsidRPr="009B4EDD">
        <w:rPr>
          <w:i/>
          <w:iCs/>
        </w:rPr>
        <w:t>Atlas of Jewish History</w:t>
      </w:r>
      <w:r w:rsidRPr="009B4EDD">
        <w:t xml:space="preserve"> (London, England: Routledge</w:t>
      </w:r>
      <w:r>
        <w:t>1994</w:t>
      </w:r>
      <w:r w:rsidRPr="009B4EDD">
        <w:t>)</w:t>
      </w:r>
    </w:p>
    <w:p w14:paraId="6DE1788C" w14:textId="2B4676AF" w:rsidR="006B322B" w:rsidRPr="00381F26" w:rsidRDefault="006B322B" w:rsidP="002A015B">
      <w:r>
        <w:t>C</w:t>
      </w:r>
      <w:r w:rsidR="006F31CA">
        <w:t xml:space="preserve">ohn-Sherbok, Dan. </w:t>
      </w:r>
      <w:r w:rsidR="006F31CA">
        <w:rPr>
          <w:i/>
          <w:iCs/>
        </w:rPr>
        <w:t xml:space="preserve">Judaism History belief </w:t>
      </w:r>
      <w:r w:rsidR="00381F26">
        <w:rPr>
          <w:i/>
          <w:iCs/>
        </w:rPr>
        <w:t xml:space="preserve">and practice </w:t>
      </w:r>
      <w:r w:rsidR="00381F26">
        <w:t>(London: Routledge, 2003)</w:t>
      </w:r>
    </w:p>
    <w:p w14:paraId="1C0A03E1" w14:textId="52C46EE7" w:rsidR="0049548A" w:rsidRDefault="0049548A" w:rsidP="000E4DB3">
      <w:r w:rsidRPr="000E4DB3">
        <w:t xml:space="preserve">Jeremias, J., </w:t>
      </w:r>
      <w:r w:rsidRPr="000E4DB3">
        <w:rPr>
          <w:i/>
          <w:iCs/>
        </w:rPr>
        <w:t>Jerusalem in the Time of Jesus</w:t>
      </w:r>
      <w:r w:rsidRPr="000E4DB3">
        <w:t xml:space="preserve"> (Philadelphia: Fortress Press, 1969)</w:t>
      </w:r>
    </w:p>
    <w:p w14:paraId="54DF861C" w14:textId="22C20190" w:rsidR="000D1E8A" w:rsidRPr="000E4DB3" w:rsidRDefault="000D1E8A" w:rsidP="000E4DB3">
      <w:r>
        <w:t>Katz</w:t>
      </w:r>
      <w:r w:rsidR="0009678B">
        <w:t xml:space="preserve">, T S. </w:t>
      </w:r>
      <w:r w:rsidR="0009678B">
        <w:rPr>
          <w:i/>
          <w:iCs/>
        </w:rPr>
        <w:t xml:space="preserve">The Cambridge History of Judaism, </w:t>
      </w:r>
      <w:r w:rsidR="004B0488">
        <w:rPr>
          <w:i/>
          <w:iCs/>
        </w:rPr>
        <w:t xml:space="preserve">VOL 4, </w:t>
      </w:r>
      <w:r w:rsidR="00CB3B0B">
        <w:rPr>
          <w:i/>
          <w:iCs/>
        </w:rPr>
        <w:t>‘The late Roman-Rabbinic period’</w:t>
      </w:r>
      <w:r w:rsidR="009F3353">
        <w:rPr>
          <w:i/>
          <w:iCs/>
        </w:rPr>
        <w:t xml:space="preserve"> </w:t>
      </w:r>
      <w:r w:rsidR="009F3353">
        <w:t>(Cambridge: Cambridge University Press, 2006).</w:t>
      </w:r>
    </w:p>
    <w:p w14:paraId="47438A9B" w14:textId="77777777" w:rsidR="0049548A" w:rsidRPr="000E4DB3" w:rsidRDefault="0049548A" w:rsidP="000E4DB3">
      <w:r w:rsidRPr="000E4DB3">
        <w:t xml:space="preserve">Lloyd Jones, G., </w:t>
      </w:r>
      <w:r w:rsidRPr="000E4DB3">
        <w:rPr>
          <w:i/>
          <w:iCs/>
        </w:rPr>
        <w:t>The Bones of Joseph</w:t>
      </w:r>
      <w:r w:rsidRPr="000E4DB3">
        <w:t xml:space="preserve"> (Grand Rapids: William B. Eerdmans, 1997)</w:t>
      </w:r>
    </w:p>
    <w:p w14:paraId="05293B2C" w14:textId="77777777" w:rsidR="0049548A" w:rsidRPr="000E4DB3" w:rsidRDefault="0049548A" w:rsidP="000E4DB3">
      <w:proofErr w:type="spellStart"/>
      <w:r w:rsidRPr="000E4DB3">
        <w:t>Neusner</w:t>
      </w:r>
      <w:proofErr w:type="spellEnd"/>
      <w:r w:rsidRPr="000E4DB3">
        <w:t xml:space="preserve">, J., </w:t>
      </w:r>
      <w:r w:rsidRPr="000E4DB3">
        <w:rPr>
          <w:i/>
          <w:iCs/>
        </w:rPr>
        <w:t>Judaism in the Beginning of Christianity</w:t>
      </w:r>
      <w:r w:rsidRPr="000E4DB3">
        <w:t xml:space="preserve"> (Philadelphia: Fortress Press, 1984)</w:t>
      </w:r>
    </w:p>
    <w:p w14:paraId="19CFB8D0" w14:textId="27344D4C" w:rsidR="0049548A" w:rsidRPr="009E0BEA" w:rsidRDefault="0049548A" w:rsidP="009E0BEA">
      <w:r w:rsidRPr="009E0BEA">
        <w:t xml:space="preserve">Sanders, E P. </w:t>
      </w:r>
      <w:r w:rsidRPr="009E0BEA">
        <w:rPr>
          <w:i/>
          <w:iCs/>
        </w:rPr>
        <w:t>Judaism: Practice and Belief, 63 BCE-66 CE</w:t>
      </w:r>
      <w:r w:rsidRPr="009E0BEA">
        <w:t xml:space="preserve"> (</w:t>
      </w:r>
      <w:r w:rsidR="00E00A3B">
        <w:t>London: SCM Press</w:t>
      </w:r>
      <w:r>
        <w:t xml:space="preserve"> </w:t>
      </w:r>
      <w:r w:rsidR="00CF3D5B">
        <w:t>1992</w:t>
      </w:r>
      <w:r w:rsidRPr="009E0BEA">
        <w:t>)</w:t>
      </w:r>
    </w:p>
    <w:p w14:paraId="36A4B173" w14:textId="77777777" w:rsidR="007D4203" w:rsidRDefault="007D4203" w:rsidP="002A015B"/>
    <w:sectPr w:rsidR="007D42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2B2A8" w14:textId="77777777" w:rsidR="00C15B82" w:rsidRDefault="00C15B82" w:rsidP="00CF3D5B">
      <w:pPr>
        <w:spacing w:after="0" w:line="240" w:lineRule="auto"/>
      </w:pPr>
      <w:r>
        <w:separator/>
      </w:r>
    </w:p>
  </w:endnote>
  <w:endnote w:type="continuationSeparator" w:id="0">
    <w:p w14:paraId="480A9895" w14:textId="77777777" w:rsidR="00C15B82" w:rsidRDefault="00C15B82" w:rsidP="00CF3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89CF02" w14:textId="77777777" w:rsidR="00C15B82" w:rsidRDefault="00C15B82" w:rsidP="00CF3D5B">
      <w:pPr>
        <w:spacing w:after="0" w:line="240" w:lineRule="auto"/>
      </w:pPr>
      <w:r>
        <w:separator/>
      </w:r>
    </w:p>
  </w:footnote>
  <w:footnote w:type="continuationSeparator" w:id="0">
    <w:p w14:paraId="5FC5162B" w14:textId="77777777" w:rsidR="00C15B82" w:rsidRDefault="00C15B82" w:rsidP="00CF3D5B">
      <w:pPr>
        <w:spacing w:after="0" w:line="240" w:lineRule="auto"/>
      </w:pPr>
      <w:r>
        <w:continuationSeparator/>
      </w:r>
    </w:p>
  </w:footnote>
  <w:footnote w:id="1">
    <w:p w14:paraId="36DBC090" w14:textId="1E4E5304" w:rsidR="00406050" w:rsidRPr="007C2A68" w:rsidRDefault="00406050">
      <w:pPr>
        <w:pStyle w:val="FootnoteText"/>
      </w:pPr>
      <w:r>
        <w:rPr>
          <w:rStyle w:val="FootnoteReference"/>
        </w:rPr>
        <w:footnoteRef/>
      </w:r>
      <w:r>
        <w:t xml:space="preserve"> Dan Cohn-Sherbok, </w:t>
      </w:r>
      <w:r>
        <w:rPr>
          <w:i/>
          <w:iCs/>
        </w:rPr>
        <w:t xml:space="preserve">Judaism History, </w:t>
      </w:r>
      <w:r w:rsidR="00381F26">
        <w:rPr>
          <w:i/>
          <w:iCs/>
        </w:rPr>
        <w:t>belief,</w:t>
      </w:r>
      <w:r w:rsidR="007C2A68">
        <w:rPr>
          <w:i/>
          <w:iCs/>
        </w:rPr>
        <w:t xml:space="preserve"> and practice </w:t>
      </w:r>
      <w:r w:rsidR="007C2A68">
        <w:t>(</w:t>
      </w:r>
      <w:r w:rsidR="0057042A">
        <w:t>London: Routledge, 2003)</w:t>
      </w:r>
      <w:r w:rsidR="00AC1689">
        <w:t xml:space="preserve"> pg</w:t>
      </w:r>
      <w:r w:rsidR="006B322B">
        <w:t>111</w:t>
      </w:r>
    </w:p>
  </w:footnote>
  <w:footnote w:id="2">
    <w:p w14:paraId="7FD8057E" w14:textId="11AE980B" w:rsidR="0060156D" w:rsidRDefault="0060156D">
      <w:pPr>
        <w:pStyle w:val="FootnoteText"/>
      </w:pPr>
      <w:r>
        <w:rPr>
          <w:rStyle w:val="FootnoteReference"/>
        </w:rPr>
        <w:footnoteRef/>
      </w:r>
      <w:r>
        <w:t xml:space="preserve"> </w:t>
      </w:r>
      <w:r>
        <w:t xml:space="preserve">Dan Cohn-Sherbok, </w:t>
      </w:r>
      <w:r>
        <w:rPr>
          <w:i/>
          <w:iCs/>
        </w:rPr>
        <w:t xml:space="preserve">Judaism History, belief, and practice </w:t>
      </w:r>
      <w:r>
        <w:t>(London: Routledge, 2003) pg111</w:t>
      </w:r>
    </w:p>
  </w:footnote>
  <w:footnote w:id="3">
    <w:p w14:paraId="073E8F80" w14:textId="77777777" w:rsidR="00642049" w:rsidRPr="006F3E8C" w:rsidRDefault="00642049" w:rsidP="00642049">
      <w:pPr>
        <w:rPr>
          <w:sz w:val="20"/>
          <w:szCs w:val="20"/>
        </w:rPr>
      </w:pPr>
      <w:r>
        <w:rPr>
          <w:rStyle w:val="FootnoteReference"/>
        </w:rPr>
        <w:footnoteRef/>
      </w:r>
      <w:r>
        <w:t xml:space="preserve"> </w:t>
      </w:r>
      <w:r w:rsidRPr="006F3E8C">
        <w:rPr>
          <w:sz w:val="20"/>
          <w:szCs w:val="20"/>
        </w:rPr>
        <w:t xml:space="preserve">E P, Sanders. </w:t>
      </w:r>
      <w:r w:rsidRPr="006F3E8C">
        <w:rPr>
          <w:i/>
          <w:iCs/>
          <w:sz w:val="20"/>
          <w:szCs w:val="20"/>
        </w:rPr>
        <w:t>Judaism: Practice and Belief, 63 BCE-66 CE</w:t>
      </w:r>
      <w:r w:rsidRPr="006F3E8C">
        <w:rPr>
          <w:sz w:val="20"/>
          <w:szCs w:val="20"/>
        </w:rPr>
        <w:t xml:space="preserve"> (London: SCM Press 1992) pg20</w:t>
      </w:r>
    </w:p>
  </w:footnote>
  <w:footnote w:id="4">
    <w:p w14:paraId="585AE01C" w14:textId="75090A4D" w:rsidR="00081C85" w:rsidRPr="007C2A68" w:rsidRDefault="00A06B1D" w:rsidP="00081C85">
      <w:pPr>
        <w:pStyle w:val="FootnoteText"/>
      </w:pPr>
      <w:r>
        <w:rPr>
          <w:rStyle w:val="FootnoteReference"/>
        </w:rPr>
        <w:footnoteRef/>
      </w:r>
      <w:r>
        <w:t xml:space="preserve"> </w:t>
      </w:r>
      <w:r w:rsidR="00081C85">
        <w:t xml:space="preserve">Dan Cohn-Sherbok, </w:t>
      </w:r>
      <w:r w:rsidR="00081C85">
        <w:rPr>
          <w:i/>
          <w:iCs/>
        </w:rPr>
        <w:t xml:space="preserve">Judaism History, belief, and practice </w:t>
      </w:r>
      <w:r w:rsidR="00081C85">
        <w:t>(London: Routledge, 2003) pg</w:t>
      </w:r>
      <w:r w:rsidR="005614E3">
        <w:t>90</w:t>
      </w:r>
    </w:p>
    <w:p w14:paraId="235DFE92" w14:textId="31547681" w:rsidR="00A06B1D" w:rsidRDefault="00A06B1D">
      <w:pPr>
        <w:pStyle w:val="FootnoteText"/>
      </w:pPr>
    </w:p>
  </w:footnote>
  <w:footnote w:id="5">
    <w:p w14:paraId="3994F803" w14:textId="4B963937" w:rsidR="004C39B5" w:rsidRPr="007C2A68" w:rsidRDefault="004C39B5" w:rsidP="004C39B5">
      <w:pPr>
        <w:pStyle w:val="FootnoteText"/>
      </w:pPr>
      <w:r>
        <w:rPr>
          <w:rStyle w:val="FootnoteReference"/>
        </w:rPr>
        <w:footnoteRef/>
      </w:r>
      <w:r>
        <w:t xml:space="preserve"> </w:t>
      </w:r>
      <w:r>
        <w:t xml:space="preserve">Dan Cohn-Sherbok, </w:t>
      </w:r>
      <w:r>
        <w:rPr>
          <w:i/>
          <w:iCs/>
        </w:rPr>
        <w:t xml:space="preserve">Judaism History, belief, and practice </w:t>
      </w:r>
      <w:r>
        <w:t>(London: Routledge, 2003) pg</w:t>
      </w:r>
      <w:r w:rsidR="005614E3">
        <w:t>9</w:t>
      </w:r>
      <w:r>
        <w:t>1</w:t>
      </w:r>
    </w:p>
    <w:p w14:paraId="1F64D658" w14:textId="22FB6E4C" w:rsidR="004C39B5" w:rsidRDefault="004C39B5">
      <w:pPr>
        <w:pStyle w:val="FootnoteText"/>
      </w:pPr>
    </w:p>
  </w:footnote>
  <w:footnote w:id="6">
    <w:p w14:paraId="0884658B" w14:textId="2A5030AB" w:rsidR="00BF06FB" w:rsidRPr="007C2A68" w:rsidRDefault="00BF06FB" w:rsidP="00BF06FB">
      <w:pPr>
        <w:pStyle w:val="FootnoteText"/>
      </w:pPr>
      <w:r>
        <w:rPr>
          <w:rStyle w:val="FootnoteReference"/>
        </w:rPr>
        <w:footnoteRef/>
      </w:r>
      <w:r>
        <w:t xml:space="preserve"> </w:t>
      </w:r>
      <w:r>
        <w:t xml:space="preserve">Dan Cohn-Sherbok, </w:t>
      </w:r>
      <w:r>
        <w:rPr>
          <w:i/>
          <w:iCs/>
        </w:rPr>
        <w:t xml:space="preserve">Judaism History, belief, and practice </w:t>
      </w:r>
      <w:r>
        <w:t>(London: Routledge, 2003) pg</w:t>
      </w:r>
      <w:r>
        <w:t>9</w:t>
      </w:r>
      <w:r>
        <w:t>1</w:t>
      </w:r>
    </w:p>
    <w:p w14:paraId="6AA69C55" w14:textId="5A38390C" w:rsidR="00BF06FB" w:rsidRDefault="00BF06FB">
      <w:pPr>
        <w:pStyle w:val="FootnoteText"/>
      </w:pPr>
    </w:p>
  </w:footnote>
  <w:footnote w:id="7">
    <w:p w14:paraId="506259E8" w14:textId="7191A6FA" w:rsidR="00223340" w:rsidRPr="007C2A68" w:rsidRDefault="00223340" w:rsidP="00223340">
      <w:pPr>
        <w:pStyle w:val="FootnoteText"/>
      </w:pPr>
      <w:r>
        <w:rPr>
          <w:rStyle w:val="FootnoteReference"/>
        </w:rPr>
        <w:footnoteRef/>
      </w:r>
      <w:r>
        <w:t xml:space="preserve"> </w:t>
      </w:r>
      <w:r>
        <w:t xml:space="preserve">Dan Cohn-Sherbok, </w:t>
      </w:r>
      <w:r>
        <w:rPr>
          <w:i/>
          <w:iCs/>
        </w:rPr>
        <w:t xml:space="preserve">Judaism History, belief, and practice </w:t>
      </w:r>
      <w:r>
        <w:t>(London: Routledge, 2003) pg</w:t>
      </w:r>
      <w:r>
        <w:t>91</w:t>
      </w:r>
    </w:p>
    <w:p w14:paraId="04DCA3C6" w14:textId="681FF07F" w:rsidR="00223340" w:rsidRDefault="00223340">
      <w:pPr>
        <w:pStyle w:val="FootnoteText"/>
      </w:pPr>
    </w:p>
  </w:footnote>
  <w:footnote w:id="8">
    <w:p w14:paraId="6F040983" w14:textId="2545DC9F" w:rsidR="00F71410" w:rsidRPr="007C2A68" w:rsidRDefault="00F71410" w:rsidP="00F71410">
      <w:pPr>
        <w:pStyle w:val="FootnoteText"/>
      </w:pPr>
      <w:r>
        <w:rPr>
          <w:rStyle w:val="FootnoteReference"/>
        </w:rPr>
        <w:footnoteRef/>
      </w:r>
      <w:r>
        <w:t xml:space="preserve"> </w:t>
      </w:r>
      <w:r>
        <w:t xml:space="preserve">Dan Cohn-Sherbok, </w:t>
      </w:r>
      <w:r>
        <w:rPr>
          <w:i/>
          <w:iCs/>
        </w:rPr>
        <w:t xml:space="preserve">Judaism History, belief, and practice </w:t>
      </w:r>
      <w:r>
        <w:t>(London: Routledge, 2003) pg</w:t>
      </w:r>
      <w:r>
        <w:t>91</w:t>
      </w:r>
    </w:p>
    <w:p w14:paraId="57B65256" w14:textId="08EDCE85" w:rsidR="00F71410" w:rsidRDefault="00F71410">
      <w:pPr>
        <w:pStyle w:val="FootnoteText"/>
      </w:pPr>
    </w:p>
  </w:footnote>
  <w:footnote w:id="9">
    <w:p w14:paraId="0243E9DB" w14:textId="4DB9076B" w:rsidR="00775E24" w:rsidRPr="007C2A68" w:rsidRDefault="00775E24" w:rsidP="00775E24">
      <w:pPr>
        <w:pStyle w:val="FootnoteText"/>
      </w:pPr>
      <w:r>
        <w:rPr>
          <w:rStyle w:val="FootnoteReference"/>
        </w:rPr>
        <w:footnoteRef/>
      </w:r>
      <w:r>
        <w:t xml:space="preserve"> </w:t>
      </w:r>
      <w:r>
        <w:t xml:space="preserve">Dan Cohn-Sherbok, </w:t>
      </w:r>
      <w:r>
        <w:rPr>
          <w:i/>
          <w:iCs/>
        </w:rPr>
        <w:t xml:space="preserve">Judaism History, belief, and practice </w:t>
      </w:r>
      <w:r>
        <w:t>(London: Routledge, 2003) pg</w:t>
      </w:r>
      <w:r>
        <w:t>9</w:t>
      </w:r>
      <w:r w:rsidR="00C40F5A">
        <w:t>3</w:t>
      </w:r>
    </w:p>
    <w:p w14:paraId="29547B7F" w14:textId="026F22EC" w:rsidR="00775E24" w:rsidRDefault="00775E24">
      <w:pPr>
        <w:pStyle w:val="FootnoteText"/>
      </w:pPr>
    </w:p>
  </w:footnote>
  <w:footnote w:id="10">
    <w:p w14:paraId="115F1CA3" w14:textId="7E28AE5B" w:rsidR="00C91FA9" w:rsidRPr="00C91FA9" w:rsidRDefault="00C91FA9">
      <w:pPr>
        <w:pStyle w:val="FootnoteText"/>
      </w:pPr>
      <w:r>
        <w:rPr>
          <w:rStyle w:val="FootnoteReference"/>
        </w:rPr>
        <w:footnoteRef/>
      </w:r>
      <w:r>
        <w:t xml:space="preserve"> Mendy Hecht, </w:t>
      </w:r>
      <w:r>
        <w:rPr>
          <w:i/>
          <w:iCs/>
        </w:rPr>
        <w:t xml:space="preserve">The 613 commandments (mitzvot), </w:t>
      </w:r>
      <w:r w:rsidR="001C1B64">
        <w:t xml:space="preserve">&lt; </w:t>
      </w:r>
      <w:hyperlink r:id="rId1" w:anchor=":~:text=%20The%20613%20Commandments%20%28Mitzvot%29%20%201%20To,test%20the%20prophet%20unduly%E2%80%94%20Deuteronomy%206%3A16%20More%20" w:history="1">
        <w:r w:rsidR="001C1B64">
          <w:rPr>
            <w:rStyle w:val="Hyperlink"/>
          </w:rPr>
          <w:t>The 613 Commandments (Mitzvot) - Mitzvahs &amp; Traditions (chabad.org)</w:t>
        </w:r>
      </w:hyperlink>
      <w:r w:rsidR="001C1B64">
        <w:t xml:space="preserve">&gt; [accessed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730BE7"/>
    <w:multiLevelType w:val="hybridMultilevel"/>
    <w:tmpl w:val="28222754"/>
    <w:lvl w:ilvl="0" w:tplc="3898AFA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923"/>
    <w:rsid w:val="00006558"/>
    <w:rsid w:val="00015B61"/>
    <w:rsid w:val="00045ABB"/>
    <w:rsid w:val="00046FC6"/>
    <w:rsid w:val="000610F6"/>
    <w:rsid w:val="000742D7"/>
    <w:rsid w:val="00081C85"/>
    <w:rsid w:val="00082665"/>
    <w:rsid w:val="00085291"/>
    <w:rsid w:val="0009678B"/>
    <w:rsid w:val="000B4392"/>
    <w:rsid w:val="000D1E8A"/>
    <w:rsid w:val="000E4DB3"/>
    <w:rsid w:val="000F65CC"/>
    <w:rsid w:val="000F6C0C"/>
    <w:rsid w:val="00144728"/>
    <w:rsid w:val="0014786C"/>
    <w:rsid w:val="00161DA5"/>
    <w:rsid w:val="00181011"/>
    <w:rsid w:val="00195641"/>
    <w:rsid w:val="001A3D92"/>
    <w:rsid w:val="001C1B64"/>
    <w:rsid w:val="00203575"/>
    <w:rsid w:val="00210CFA"/>
    <w:rsid w:val="00212083"/>
    <w:rsid w:val="00223340"/>
    <w:rsid w:val="0024150B"/>
    <w:rsid w:val="002571C0"/>
    <w:rsid w:val="002629A7"/>
    <w:rsid w:val="002A015B"/>
    <w:rsid w:val="002A663B"/>
    <w:rsid w:val="002E7369"/>
    <w:rsid w:val="002F22B0"/>
    <w:rsid w:val="002F36DE"/>
    <w:rsid w:val="00316007"/>
    <w:rsid w:val="00353075"/>
    <w:rsid w:val="00373860"/>
    <w:rsid w:val="003815B0"/>
    <w:rsid w:val="00381F26"/>
    <w:rsid w:val="003B0A46"/>
    <w:rsid w:val="003B1407"/>
    <w:rsid w:val="003B19D0"/>
    <w:rsid w:val="003C6718"/>
    <w:rsid w:val="003D4FDB"/>
    <w:rsid w:val="003E0304"/>
    <w:rsid w:val="003E7F7B"/>
    <w:rsid w:val="00406050"/>
    <w:rsid w:val="004337A5"/>
    <w:rsid w:val="00450402"/>
    <w:rsid w:val="0045214D"/>
    <w:rsid w:val="00452E4E"/>
    <w:rsid w:val="00455963"/>
    <w:rsid w:val="00456070"/>
    <w:rsid w:val="00461AF6"/>
    <w:rsid w:val="00463079"/>
    <w:rsid w:val="0046508B"/>
    <w:rsid w:val="004679C6"/>
    <w:rsid w:val="0049548A"/>
    <w:rsid w:val="00496053"/>
    <w:rsid w:val="004A03A7"/>
    <w:rsid w:val="004A1122"/>
    <w:rsid w:val="004A2A62"/>
    <w:rsid w:val="004A7123"/>
    <w:rsid w:val="004B0488"/>
    <w:rsid w:val="004C39B5"/>
    <w:rsid w:val="005002AE"/>
    <w:rsid w:val="00521C53"/>
    <w:rsid w:val="0052440B"/>
    <w:rsid w:val="0053272C"/>
    <w:rsid w:val="005614E3"/>
    <w:rsid w:val="0057042A"/>
    <w:rsid w:val="005973B1"/>
    <w:rsid w:val="00597718"/>
    <w:rsid w:val="005A7045"/>
    <w:rsid w:val="005B5C5C"/>
    <w:rsid w:val="0060156D"/>
    <w:rsid w:val="00613D51"/>
    <w:rsid w:val="00631411"/>
    <w:rsid w:val="00640EA3"/>
    <w:rsid w:val="00642049"/>
    <w:rsid w:val="006605C5"/>
    <w:rsid w:val="00663021"/>
    <w:rsid w:val="0066535C"/>
    <w:rsid w:val="00681FAD"/>
    <w:rsid w:val="00687923"/>
    <w:rsid w:val="00690C69"/>
    <w:rsid w:val="006A4478"/>
    <w:rsid w:val="006B1D81"/>
    <w:rsid w:val="006B322B"/>
    <w:rsid w:val="006B6F93"/>
    <w:rsid w:val="006F31CA"/>
    <w:rsid w:val="006F3E8C"/>
    <w:rsid w:val="00722525"/>
    <w:rsid w:val="00735126"/>
    <w:rsid w:val="00740E8E"/>
    <w:rsid w:val="007743FF"/>
    <w:rsid w:val="00775E24"/>
    <w:rsid w:val="00783585"/>
    <w:rsid w:val="007A06DC"/>
    <w:rsid w:val="007A6723"/>
    <w:rsid w:val="007B5ECE"/>
    <w:rsid w:val="007C02BC"/>
    <w:rsid w:val="007C2A68"/>
    <w:rsid w:val="007D4203"/>
    <w:rsid w:val="007E04F1"/>
    <w:rsid w:val="007E125C"/>
    <w:rsid w:val="007F091C"/>
    <w:rsid w:val="0082340F"/>
    <w:rsid w:val="00836FCB"/>
    <w:rsid w:val="00840E1C"/>
    <w:rsid w:val="00841D0B"/>
    <w:rsid w:val="00873463"/>
    <w:rsid w:val="00890768"/>
    <w:rsid w:val="00890F45"/>
    <w:rsid w:val="008D3729"/>
    <w:rsid w:val="008F405A"/>
    <w:rsid w:val="00917727"/>
    <w:rsid w:val="0092083D"/>
    <w:rsid w:val="00967D24"/>
    <w:rsid w:val="009B3DB9"/>
    <w:rsid w:val="009B4EDD"/>
    <w:rsid w:val="009E0BEA"/>
    <w:rsid w:val="009E76C4"/>
    <w:rsid w:val="009F3353"/>
    <w:rsid w:val="00A05A74"/>
    <w:rsid w:val="00A06B1D"/>
    <w:rsid w:val="00A214F5"/>
    <w:rsid w:val="00A400A1"/>
    <w:rsid w:val="00A420EE"/>
    <w:rsid w:val="00A67A2C"/>
    <w:rsid w:val="00A75247"/>
    <w:rsid w:val="00AB0652"/>
    <w:rsid w:val="00AC1689"/>
    <w:rsid w:val="00AE2AEC"/>
    <w:rsid w:val="00AE4E58"/>
    <w:rsid w:val="00AE67D2"/>
    <w:rsid w:val="00AE7E79"/>
    <w:rsid w:val="00AF6924"/>
    <w:rsid w:val="00B01045"/>
    <w:rsid w:val="00B011EB"/>
    <w:rsid w:val="00B15DDE"/>
    <w:rsid w:val="00B27C0E"/>
    <w:rsid w:val="00B50B81"/>
    <w:rsid w:val="00B76BCE"/>
    <w:rsid w:val="00B82CCD"/>
    <w:rsid w:val="00B8547E"/>
    <w:rsid w:val="00BC043D"/>
    <w:rsid w:val="00BF06FB"/>
    <w:rsid w:val="00C02220"/>
    <w:rsid w:val="00C07BB5"/>
    <w:rsid w:val="00C1196D"/>
    <w:rsid w:val="00C12E6C"/>
    <w:rsid w:val="00C15B82"/>
    <w:rsid w:val="00C16F64"/>
    <w:rsid w:val="00C26951"/>
    <w:rsid w:val="00C36547"/>
    <w:rsid w:val="00C40F5A"/>
    <w:rsid w:val="00C45719"/>
    <w:rsid w:val="00C5012B"/>
    <w:rsid w:val="00C52084"/>
    <w:rsid w:val="00C612D1"/>
    <w:rsid w:val="00C6410D"/>
    <w:rsid w:val="00C73F03"/>
    <w:rsid w:val="00C91FA9"/>
    <w:rsid w:val="00CA080A"/>
    <w:rsid w:val="00CB3B0B"/>
    <w:rsid w:val="00CE1DE0"/>
    <w:rsid w:val="00CF3D5B"/>
    <w:rsid w:val="00D54A3B"/>
    <w:rsid w:val="00D65AFA"/>
    <w:rsid w:val="00D93FCA"/>
    <w:rsid w:val="00DA209D"/>
    <w:rsid w:val="00DA5D41"/>
    <w:rsid w:val="00DB2BAE"/>
    <w:rsid w:val="00DC147C"/>
    <w:rsid w:val="00DE7B56"/>
    <w:rsid w:val="00E00A3B"/>
    <w:rsid w:val="00E72FAA"/>
    <w:rsid w:val="00E76580"/>
    <w:rsid w:val="00E805C6"/>
    <w:rsid w:val="00EA0BBF"/>
    <w:rsid w:val="00EB6981"/>
    <w:rsid w:val="00EC2729"/>
    <w:rsid w:val="00ED2CDC"/>
    <w:rsid w:val="00EF18AF"/>
    <w:rsid w:val="00F064EC"/>
    <w:rsid w:val="00F225E6"/>
    <w:rsid w:val="00F228A5"/>
    <w:rsid w:val="00F31675"/>
    <w:rsid w:val="00F33C87"/>
    <w:rsid w:val="00F40BAB"/>
    <w:rsid w:val="00F549CF"/>
    <w:rsid w:val="00F570DE"/>
    <w:rsid w:val="00F61152"/>
    <w:rsid w:val="00F71410"/>
    <w:rsid w:val="00F71774"/>
    <w:rsid w:val="00F720A9"/>
    <w:rsid w:val="00F82961"/>
    <w:rsid w:val="00F93F83"/>
    <w:rsid w:val="00F95C76"/>
    <w:rsid w:val="00FD0509"/>
    <w:rsid w:val="00FF3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2854F"/>
  <w15:chartTrackingRefBased/>
  <w15:docId w15:val="{17D53116-AA27-4791-9F65-B2767770B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011"/>
    <w:pPr>
      <w:ind w:left="720"/>
      <w:contextualSpacing/>
    </w:pPr>
  </w:style>
  <w:style w:type="paragraph" w:styleId="FootnoteText">
    <w:name w:val="footnote text"/>
    <w:basedOn w:val="Normal"/>
    <w:link w:val="FootnoteTextChar"/>
    <w:uiPriority w:val="99"/>
    <w:semiHidden/>
    <w:unhideWhenUsed/>
    <w:rsid w:val="00CF3D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3D5B"/>
    <w:rPr>
      <w:sz w:val="20"/>
      <w:szCs w:val="20"/>
    </w:rPr>
  </w:style>
  <w:style w:type="character" w:styleId="FootnoteReference">
    <w:name w:val="footnote reference"/>
    <w:basedOn w:val="DefaultParagraphFont"/>
    <w:uiPriority w:val="99"/>
    <w:semiHidden/>
    <w:unhideWhenUsed/>
    <w:rsid w:val="00CF3D5B"/>
    <w:rPr>
      <w:vertAlign w:val="superscript"/>
    </w:rPr>
  </w:style>
  <w:style w:type="character" w:styleId="Hyperlink">
    <w:name w:val="Hyperlink"/>
    <w:basedOn w:val="DefaultParagraphFont"/>
    <w:uiPriority w:val="99"/>
    <w:semiHidden/>
    <w:unhideWhenUsed/>
    <w:rsid w:val="001C1B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124191">
      <w:bodyDiv w:val="1"/>
      <w:marLeft w:val="0"/>
      <w:marRight w:val="0"/>
      <w:marTop w:val="0"/>
      <w:marBottom w:val="0"/>
      <w:divBdr>
        <w:top w:val="none" w:sz="0" w:space="0" w:color="auto"/>
        <w:left w:val="none" w:sz="0" w:space="0" w:color="auto"/>
        <w:bottom w:val="none" w:sz="0" w:space="0" w:color="auto"/>
        <w:right w:val="none" w:sz="0" w:space="0" w:color="auto"/>
      </w:divBdr>
    </w:div>
    <w:div w:id="754328280">
      <w:bodyDiv w:val="1"/>
      <w:marLeft w:val="0"/>
      <w:marRight w:val="0"/>
      <w:marTop w:val="0"/>
      <w:marBottom w:val="0"/>
      <w:divBdr>
        <w:top w:val="none" w:sz="0" w:space="0" w:color="auto"/>
        <w:left w:val="none" w:sz="0" w:space="0" w:color="auto"/>
        <w:bottom w:val="none" w:sz="0" w:space="0" w:color="auto"/>
        <w:right w:val="none" w:sz="0" w:space="0" w:color="auto"/>
      </w:divBdr>
      <w:divsChild>
        <w:div w:id="1487942410">
          <w:marLeft w:val="0"/>
          <w:marRight w:val="0"/>
          <w:marTop w:val="0"/>
          <w:marBottom w:val="0"/>
          <w:divBdr>
            <w:top w:val="none" w:sz="0" w:space="0" w:color="auto"/>
            <w:left w:val="none" w:sz="0" w:space="0" w:color="auto"/>
            <w:bottom w:val="none" w:sz="0" w:space="0" w:color="auto"/>
            <w:right w:val="none" w:sz="0" w:space="0" w:color="auto"/>
          </w:divBdr>
        </w:div>
      </w:divsChild>
    </w:div>
    <w:div w:id="1460340400">
      <w:bodyDiv w:val="1"/>
      <w:marLeft w:val="0"/>
      <w:marRight w:val="0"/>
      <w:marTop w:val="0"/>
      <w:marBottom w:val="0"/>
      <w:divBdr>
        <w:top w:val="none" w:sz="0" w:space="0" w:color="auto"/>
        <w:left w:val="none" w:sz="0" w:space="0" w:color="auto"/>
        <w:bottom w:val="none" w:sz="0" w:space="0" w:color="auto"/>
        <w:right w:val="none" w:sz="0" w:space="0" w:color="auto"/>
      </w:divBdr>
      <w:divsChild>
        <w:div w:id="1631787769">
          <w:marLeft w:val="0"/>
          <w:marRight w:val="0"/>
          <w:marTop w:val="0"/>
          <w:marBottom w:val="0"/>
          <w:divBdr>
            <w:top w:val="none" w:sz="0" w:space="0" w:color="auto"/>
            <w:left w:val="none" w:sz="0" w:space="0" w:color="auto"/>
            <w:bottom w:val="none" w:sz="0" w:space="0" w:color="auto"/>
            <w:right w:val="none" w:sz="0" w:space="0" w:color="auto"/>
          </w:divBdr>
        </w:div>
      </w:divsChild>
    </w:div>
    <w:div w:id="2094428173">
      <w:bodyDiv w:val="1"/>
      <w:marLeft w:val="0"/>
      <w:marRight w:val="0"/>
      <w:marTop w:val="0"/>
      <w:marBottom w:val="0"/>
      <w:divBdr>
        <w:top w:val="none" w:sz="0" w:space="0" w:color="auto"/>
        <w:left w:val="none" w:sz="0" w:space="0" w:color="auto"/>
        <w:bottom w:val="none" w:sz="0" w:space="0" w:color="auto"/>
        <w:right w:val="none" w:sz="0" w:space="0" w:color="auto"/>
      </w:divBdr>
      <w:divsChild>
        <w:div w:id="13664461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chabad.org/library/article_cdo/aid/756399/jewish/The-613-Commandments-Mitzvo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6FF54-B69A-4CCA-AD9A-3C01CA2FF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927</TotalTime>
  <Pages>3</Pages>
  <Words>1345</Words>
  <Characters>7669</Characters>
  <Application>Microsoft Office Word</Application>
  <DocSecurity>0</DocSecurity>
  <Lines>63</Lines>
  <Paragraphs>17</Paragraphs>
  <ScaleCrop>false</ScaleCrop>
  <Company/>
  <LinksUpToDate>false</LinksUpToDate>
  <CharactersWithSpaces>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Lowrie Williams (1801640)</dc:creator>
  <cp:keywords/>
  <dc:description/>
  <cp:lastModifiedBy>Georgia Lowrie Williams (1801640)</cp:lastModifiedBy>
  <cp:revision>198</cp:revision>
  <dcterms:created xsi:type="dcterms:W3CDTF">2021-05-10T14:50:00Z</dcterms:created>
  <dcterms:modified xsi:type="dcterms:W3CDTF">2021-05-30T23:21:00Z</dcterms:modified>
</cp:coreProperties>
</file>