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2587C" w14:textId="022D123E" w:rsidR="008C650D" w:rsidRDefault="008C650D" w:rsidP="008C650D">
      <w:pPr>
        <w:pStyle w:val="Titlu"/>
        <w:rPr>
          <w:sz w:val="32"/>
          <w:szCs w:val="32"/>
        </w:rPr>
      </w:pPr>
      <w:r>
        <w:rPr>
          <w:noProof/>
          <w:sz w:val="32"/>
          <w:szCs w:val="32"/>
        </w:rPr>
        <w:drawing>
          <wp:inline distT="0" distB="0" distL="0" distR="0" wp14:anchorId="61C93EBA" wp14:editId="7EF117DA">
            <wp:extent cx="1810385" cy="72517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5F86BC5" w14:textId="77777777" w:rsidR="008C650D" w:rsidRDefault="008C650D" w:rsidP="008C650D">
      <w:pPr>
        <w:pStyle w:val="Titlu"/>
        <w:rPr>
          <w:sz w:val="32"/>
          <w:szCs w:val="32"/>
        </w:rPr>
      </w:pPr>
    </w:p>
    <w:p w14:paraId="2B1CA1B4" w14:textId="77777777" w:rsidR="008C650D" w:rsidRDefault="008C650D" w:rsidP="008C650D">
      <w:pPr>
        <w:pStyle w:val="Titlu"/>
        <w:rPr>
          <w:sz w:val="32"/>
          <w:szCs w:val="32"/>
        </w:rPr>
      </w:pPr>
    </w:p>
    <w:p w14:paraId="3DB964F5" w14:textId="462291C4" w:rsidR="008C650D" w:rsidRPr="008C650D" w:rsidRDefault="008C650D" w:rsidP="008C650D">
      <w:pPr>
        <w:pStyle w:val="Titlu"/>
        <w:rPr>
          <w:sz w:val="32"/>
          <w:szCs w:val="32"/>
        </w:rPr>
      </w:pPr>
      <w:r w:rsidRPr="008C650D">
        <w:rPr>
          <w:sz w:val="32"/>
          <w:szCs w:val="32"/>
        </w:rPr>
        <w:t>Module code: ACCA40</w:t>
      </w:r>
      <w:r>
        <w:rPr>
          <w:sz w:val="32"/>
          <w:szCs w:val="32"/>
        </w:rPr>
        <w:t>02</w:t>
      </w:r>
    </w:p>
    <w:p w14:paraId="0C62D590" w14:textId="4523246A" w:rsidR="008C650D" w:rsidRPr="008C650D" w:rsidRDefault="008C650D" w:rsidP="008C650D">
      <w:pPr>
        <w:pStyle w:val="Titlu"/>
        <w:rPr>
          <w:sz w:val="32"/>
          <w:szCs w:val="32"/>
        </w:rPr>
      </w:pPr>
      <w:r w:rsidRPr="008C650D">
        <w:rPr>
          <w:sz w:val="32"/>
          <w:szCs w:val="32"/>
        </w:rPr>
        <w:t xml:space="preserve">Assessment: </w:t>
      </w:r>
      <w:r>
        <w:rPr>
          <w:sz w:val="32"/>
          <w:szCs w:val="32"/>
        </w:rPr>
        <w:t>Data Analysis and Visualisation</w:t>
      </w:r>
    </w:p>
    <w:p w14:paraId="045EB7FE" w14:textId="277950C6" w:rsidR="008C650D" w:rsidRDefault="008C650D" w:rsidP="008C650D">
      <w:pPr>
        <w:pStyle w:val="Titlu"/>
        <w:rPr>
          <w:sz w:val="32"/>
          <w:szCs w:val="32"/>
        </w:rPr>
      </w:pPr>
      <w:r w:rsidRPr="008C650D">
        <w:rPr>
          <w:sz w:val="32"/>
          <w:szCs w:val="32"/>
        </w:rPr>
        <w:t>University of Wales Trinity Saint David, London</w:t>
      </w:r>
    </w:p>
    <w:p w14:paraId="7256EE14" w14:textId="011E5991" w:rsidR="008C650D" w:rsidRPr="008C650D" w:rsidRDefault="008C650D" w:rsidP="008C650D">
      <w:pPr>
        <w:pStyle w:val="Titlu"/>
        <w:rPr>
          <w:sz w:val="32"/>
          <w:szCs w:val="32"/>
        </w:rPr>
      </w:pPr>
      <w:r w:rsidRPr="008C650D">
        <w:rPr>
          <w:sz w:val="32"/>
          <w:szCs w:val="32"/>
        </w:rPr>
        <w:t>Student name: Anca Iulia Leonte</w:t>
      </w:r>
    </w:p>
    <w:p w14:paraId="75C67F7A" w14:textId="0BF860B7" w:rsidR="008C650D" w:rsidRPr="008C650D" w:rsidRDefault="008C650D" w:rsidP="008C650D">
      <w:pPr>
        <w:pStyle w:val="Titlu"/>
        <w:rPr>
          <w:sz w:val="32"/>
          <w:szCs w:val="32"/>
        </w:rPr>
      </w:pPr>
      <w:r w:rsidRPr="008C650D">
        <w:rPr>
          <w:sz w:val="32"/>
          <w:szCs w:val="32"/>
        </w:rPr>
        <w:t>Student ID number:2112154</w:t>
      </w:r>
    </w:p>
    <w:p w14:paraId="60C4DA40" w14:textId="77777777" w:rsidR="008C650D" w:rsidRDefault="008C650D" w:rsidP="00F24333">
      <w:pPr>
        <w:pStyle w:val="Titlu"/>
      </w:pPr>
    </w:p>
    <w:p w14:paraId="3C871AA4" w14:textId="77777777" w:rsidR="008C650D" w:rsidRDefault="008C650D" w:rsidP="00F24333">
      <w:pPr>
        <w:pStyle w:val="Titlu"/>
      </w:pPr>
    </w:p>
    <w:p w14:paraId="2E403388" w14:textId="77777777" w:rsidR="008C650D" w:rsidRDefault="008C650D" w:rsidP="00F24333">
      <w:pPr>
        <w:pStyle w:val="Titlu"/>
      </w:pPr>
    </w:p>
    <w:p w14:paraId="6B12B1FE" w14:textId="2615D2AE" w:rsidR="00F24333" w:rsidRDefault="00F24333" w:rsidP="00F24333">
      <w:pPr>
        <w:pStyle w:val="Titlu"/>
      </w:pPr>
      <w:r>
        <w:t>Analysis and Visualization of Data</w:t>
      </w:r>
    </w:p>
    <w:p w14:paraId="47435D67" w14:textId="77777777" w:rsidR="00F24333" w:rsidRDefault="00F24333" w:rsidP="005444BD">
      <w:pPr>
        <w:spacing w:line="360" w:lineRule="auto"/>
        <w:rPr>
          <w:rFonts w:cstheme="minorHAnsi"/>
          <w:sz w:val="24"/>
          <w:szCs w:val="24"/>
        </w:rPr>
      </w:pPr>
    </w:p>
    <w:p w14:paraId="7E630345" w14:textId="77777777" w:rsidR="00527109" w:rsidRPr="005444BD" w:rsidRDefault="00EE30E1" w:rsidP="005444BD">
      <w:pPr>
        <w:spacing w:line="360" w:lineRule="auto"/>
        <w:rPr>
          <w:rFonts w:cstheme="minorHAnsi"/>
          <w:sz w:val="24"/>
          <w:szCs w:val="24"/>
        </w:rPr>
      </w:pPr>
      <w:r w:rsidRPr="005444BD">
        <w:rPr>
          <w:rFonts w:cstheme="minorHAnsi"/>
          <w:sz w:val="24"/>
          <w:szCs w:val="24"/>
        </w:rPr>
        <w:t>It may seem nearly inconsequential to compose regarding graphical images of data in the event of a large world recession, but this infographic play an important role, as well as the public's capacity to make understanding of them will never be more essential. Supporters say that visual representations encourage better understanding of the information by providing a means and straightforward, and therefore it is probable to 'perform excellent with statistical information' through visual representation, as the registered trademark campaign slogan of US-based graphical authority Periscopic asserts.</w:t>
      </w:r>
      <w:r w:rsidR="00922D94">
        <w:rPr>
          <w:rFonts w:cstheme="minorHAnsi"/>
          <w:sz w:val="24"/>
          <w:szCs w:val="24"/>
        </w:rPr>
        <w:t>[1]</w:t>
      </w:r>
    </w:p>
    <w:p w14:paraId="37815984" w14:textId="77777777" w:rsidR="001D3A9D" w:rsidRDefault="005444BD" w:rsidP="005444BD">
      <w:pPr>
        <w:spacing w:line="360" w:lineRule="auto"/>
        <w:rPr>
          <w:rFonts w:cstheme="minorHAnsi"/>
          <w:sz w:val="24"/>
          <w:szCs w:val="24"/>
        </w:rPr>
      </w:pPr>
      <w:r w:rsidRPr="005444BD">
        <w:rPr>
          <w:rFonts w:cstheme="minorHAnsi"/>
          <w:sz w:val="24"/>
          <w:szCs w:val="24"/>
        </w:rPr>
        <w:t>The expansion of COVID-19 has managed to bring quantities, statistics, and charts towards the leading edge of vast numbers of contemporary societies. There is a large market for accurate statistics, whether they are observing viruses for public health purposes or basically taking a comprehensive attention in one of the major highlights in well over a generation.</w:t>
      </w:r>
    </w:p>
    <w:p w14:paraId="7853E2B5" w14:textId="77777777" w:rsidR="005444BD" w:rsidRDefault="005444BD" w:rsidP="005444BD">
      <w:pPr>
        <w:spacing w:line="360" w:lineRule="auto"/>
        <w:rPr>
          <w:rFonts w:cstheme="minorHAnsi"/>
          <w:sz w:val="24"/>
          <w:szCs w:val="24"/>
        </w:rPr>
      </w:pPr>
      <w:r w:rsidRPr="005444BD">
        <w:rPr>
          <w:rFonts w:cstheme="minorHAnsi"/>
          <w:sz w:val="24"/>
          <w:szCs w:val="24"/>
        </w:rPr>
        <w:lastRenderedPageBreak/>
        <w:t>This smart Data pack contains COVID-19-related graphs and charts that track patterns in incidence and mortality over period and by region and by age, as well as given rise to a new with fertility rate approaches like social distancing.</w:t>
      </w:r>
    </w:p>
    <w:p w14:paraId="452D3E14" w14:textId="77777777" w:rsidR="002771EF" w:rsidRDefault="002771EF" w:rsidP="005444BD">
      <w:pPr>
        <w:spacing w:line="360" w:lineRule="auto"/>
        <w:rPr>
          <w:rFonts w:cstheme="minorHAnsi"/>
          <w:sz w:val="24"/>
          <w:szCs w:val="24"/>
        </w:rPr>
      </w:pPr>
      <w:r w:rsidRPr="002771EF">
        <w:rPr>
          <w:rFonts w:cstheme="minorHAnsi"/>
          <w:sz w:val="24"/>
          <w:szCs w:val="24"/>
        </w:rPr>
        <w:t>Visual representation is a common approach for representing, comprehending, or communicating any set of data, objects, o</w:t>
      </w:r>
      <w:r>
        <w:rPr>
          <w:rFonts w:cstheme="minorHAnsi"/>
          <w:sz w:val="24"/>
          <w:szCs w:val="24"/>
        </w:rPr>
        <w:t xml:space="preserve">r situations. This infographic </w:t>
      </w:r>
      <w:r w:rsidRPr="002771EF">
        <w:rPr>
          <w:rFonts w:cstheme="minorHAnsi"/>
          <w:sz w:val="24"/>
          <w:szCs w:val="24"/>
        </w:rPr>
        <w:t>is the process of conveying statistical information to a device image, graph, or indeed any narrative – delivering data in a graphical context. With today’s modern growing concentrations of information from different sources, having a visual summary of data points instead of manually reading 1000s of rows or columns is beneficial. The advantages of graphics include determining the regularity, relationship, patterns, and trends among unique data factors. There are numerous visualization resources available, including charts, tables, graphs, waypoints, scorecards, and plots. These techniques differ depending on how data is formed </w:t>
      </w:r>
      <w:r w:rsidR="00922D94">
        <w:rPr>
          <w:rFonts w:cstheme="minorHAnsi"/>
          <w:sz w:val="24"/>
          <w:szCs w:val="24"/>
        </w:rPr>
        <w:t>[2]</w:t>
      </w:r>
    </w:p>
    <w:p w14:paraId="73B356B6" w14:textId="77777777" w:rsidR="00CB0651" w:rsidRDefault="00CB0651" w:rsidP="005444BD">
      <w:pPr>
        <w:spacing w:line="360" w:lineRule="auto"/>
        <w:rPr>
          <w:rFonts w:cstheme="minorHAnsi"/>
          <w:sz w:val="24"/>
          <w:szCs w:val="24"/>
        </w:rPr>
      </w:pPr>
      <w:r w:rsidRPr="00CB0651">
        <w:rPr>
          <w:rFonts w:cstheme="minorHAnsi"/>
          <w:sz w:val="24"/>
          <w:szCs w:val="24"/>
        </w:rPr>
        <w:t>Such information was chosen for this collection regarding the quality of the datasets used in their infographic, and the styling and performance of the visual representation itself. We chose information infographic that collect in-depth sequences of infectious disease around the globe, simplified graphical representations that introduce audiences to relevant topics including such COVID-19 cases in multiple conditions increase risks, and especially those with existing conditions visualizations’ that illustrate fascinating finer points of the outbreak relevant towards other sectors like banking, work opportunities, rapid urbanization, and commuting.</w:t>
      </w:r>
    </w:p>
    <w:p w14:paraId="42126EF7" w14:textId="77777777" w:rsidR="00CB0651" w:rsidRDefault="00CB0651" w:rsidP="005444BD">
      <w:pPr>
        <w:spacing w:line="360" w:lineRule="auto"/>
        <w:rPr>
          <w:rFonts w:cstheme="minorHAnsi"/>
          <w:sz w:val="24"/>
          <w:szCs w:val="24"/>
        </w:rPr>
      </w:pPr>
      <w:r w:rsidRPr="00CB0651">
        <w:rPr>
          <w:rFonts w:cstheme="minorHAnsi"/>
          <w:sz w:val="24"/>
          <w:szCs w:val="24"/>
        </w:rPr>
        <w:t>Info on the expansion of coronavirus out of each capita, either per million individuals, is obtainable. However, this can give rise to some conceivably unreliable results. A small nation with only a few infectious diseases will rated far significantly greater than a bigger nation trying to contain the epidemic. The size of a nation's population has no bearing on how quickly the infection spreads. That is calculated by how people in that region interact with one another.</w:t>
      </w:r>
    </w:p>
    <w:p w14:paraId="5837D478" w14:textId="77777777" w:rsidR="00920FD5" w:rsidRDefault="00920FD5" w:rsidP="005444BD">
      <w:pPr>
        <w:spacing w:line="360" w:lineRule="auto"/>
        <w:rPr>
          <w:rFonts w:cstheme="minorHAnsi"/>
          <w:sz w:val="24"/>
          <w:szCs w:val="24"/>
        </w:rPr>
      </w:pPr>
      <w:r w:rsidRPr="00920FD5">
        <w:rPr>
          <w:rFonts w:cstheme="minorHAnsi"/>
          <w:sz w:val="24"/>
          <w:szCs w:val="24"/>
        </w:rPr>
        <w:t xml:space="preserve">It's important to note that 24,657 individuals each day die of hunger, amounting to around 9 million annually. Traffic accidents kill 1.25 million people each year, or 3424 people per day. As a result, Coronavirus is highly improbable to kill more people than most of the concerns we face on a daily basis. Aaah, and simple snacking was responsible for 4,000,000 lives lost, or </w:t>
      </w:r>
      <w:r w:rsidRPr="00920FD5">
        <w:rPr>
          <w:rFonts w:cstheme="minorHAnsi"/>
          <w:sz w:val="24"/>
          <w:szCs w:val="24"/>
        </w:rPr>
        <w:lastRenderedPageBreak/>
        <w:t>approximately 11,000 people per day merely eating oneself to death. Perhaps it renders 4,117 deaths in 2 months can</w:t>
      </w:r>
      <w:r w:rsidR="00EA6FEB">
        <w:rPr>
          <w:rFonts w:cstheme="minorHAnsi"/>
          <w:sz w:val="24"/>
          <w:szCs w:val="24"/>
        </w:rPr>
        <w:t xml:space="preserve"> seem risky?  Through this info,</w:t>
      </w:r>
      <w:r w:rsidRPr="00920FD5">
        <w:rPr>
          <w:rFonts w:cstheme="minorHAnsi"/>
          <w:sz w:val="24"/>
          <w:szCs w:val="24"/>
        </w:rPr>
        <w:t> it's everyone's responsibility to take precautions, especially to avoid putting elderly people in danger. Whether you are ill, sit at home.</w:t>
      </w:r>
      <w:r w:rsidR="00922D94">
        <w:rPr>
          <w:rFonts w:cstheme="minorHAnsi"/>
          <w:sz w:val="24"/>
          <w:szCs w:val="24"/>
        </w:rPr>
        <w:t>[3]</w:t>
      </w:r>
    </w:p>
    <w:p w14:paraId="70DED828" w14:textId="77777777" w:rsidR="00EA6FEB" w:rsidRPr="00EA6FEB" w:rsidRDefault="00EA6FEB" w:rsidP="00EA6FEB">
      <w:pPr>
        <w:spacing w:line="360" w:lineRule="auto"/>
        <w:rPr>
          <w:rFonts w:cstheme="minorHAnsi"/>
          <w:sz w:val="24"/>
          <w:szCs w:val="24"/>
        </w:rPr>
      </w:pPr>
      <w:r w:rsidRPr="00EA6FEB">
        <w:rPr>
          <w:rFonts w:cstheme="minorHAnsi"/>
          <w:sz w:val="24"/>
          <w:szCs w:val="24"/>
        </w:rPr>
        <w:t>"Infections do not expand tremendously," Burn-Murdoch tells. "Corona virus doesn’t go from one infected individual presently to 2, 3, and four." It's somewhere around one, then two, after which four, and after that eight – increasing and speeding up at a much more and extreme rate."</w:t>
      </w:r>
    </w:p>
    <w:p w14:paraId="30176B32" w14:textId="77777777" w:rsidR="00EA6FEB" w:rsidRPr="00EA6FEB" w:rsidRDefault="00EA6FEB" w:rsidP="00EA6FEB">
      <w:pPr>
        <w:spacing w:line="360" w:lineRule="auto"/>
        <w:rPr>
          <w:rFonts w:cstheme="minorHAnsi"/>
          <w:sz w:val="24"/>
          <w:szCs w:val="24"/>
        </w:rPr>
      </w:pPr>
      <w:r w:rsidRPr="00EA6FEB">
        <w:rPr>
          <w:rFonts w:cstheme="minorHAnsi"/>
          <w:sz w:val="24"/>
          <w:szCs w:val="24"/>
        </w:rPr>
        <w:t>Even though a linear scale chart will generate a relatively close path to represent the coronavirus's incredibly rapid expansion, logarithmic balances even out the fast expansion, making the</w:t>
      </w:r>
      <w:r>
        <w:rPr>
          <w:rFonts w:cstheme="minorHAnsi"/>
          <w:sz w:val="24"/>
          <w:szCs w:val="24"/>
        </w:rPr>
        <w:t xml:space="preserve"> information easier to process.</w:t>
      </w:r>
    </w:p>
    <w:p w14:paraId="0D782FF7" w14:textId="77777777" w:rsidR="00EA6FEB" w:rsidRDefault="00EA6FEB" w:rsidP="00EA6FEB">
      <w:pPr>
        <w:spacing w:line="360" w:lineRule="auto"/>
        <w:rPr>
          <w:rFonts w:cstheme="minorHAnsi"/>
          <w:sz w:val="24"/>
          <w:szCs w:val="24"/>
        </w:rPr>
      </w:pPr>
      <w:r w:rsidRPr="00EA6FEB">
        <w:rPr>
          <w:rFonts w:cstheme="minorHAnsi"/>
          <w:sz w:val="24"/>
          <w:szCs w:val="24"/>
        </w:rPr>
        <w:t xml:space="preserve">"This infographic is a way to spread awareness and make them understand of the gravity of the situation, but we don't want to scare </w:t>
      </w:r>
      <w:r w:rsidR="002771EF">
        <w:rPr>
          <w:rFonts w:cstheme="minorHAnsi"/>
          <w:sz w:val="24"/>
          <w:szCs w:val="24"/>
        </w:rPr>
        <w:t xml:space="preserve">them." This Covid=19 data pack </w:t>
      </w:r>
      <w:r w:rsidRPr="00EA6FEB">
        <w:rPr>
          <w:rFonts w:cstheme="minorHAnsi"/>
          <w:sz w:val="24"/>
          <w:szCs w:val="24"/>
        </w:rPr>
        <w:t>trying to highlight the inevitable outcome of coronavirus distributed by depicting it on a straight path."</w:t>
      </w:r>
    </w:p>
    <w:p w14:paraId="56D4BF31" w14:textId="77777777" w:rsidR="00F24333" w:rsidRPr="00F24333" w:rsidRDefault="00F24333" w:rsidP="00F24333">
      <w:pPr>
        <w:spacing w:line="360" w:lineRule="auto"/>
        <w:rPr>
          <w:rFonts w:cstheme="minorHAnsi"/>
          <w:sz w:val="24"/>
          <w:szCs w:val="24"/>
        </w:rPr>
      </w:pPr>
      <w:r w:rsidRPr="00F24333">
        <w:rPr>
          <w:rFonts w:cstheme="minorHAnsi"/>
          <w:sz w:val="24"/>
          <w:szCs w:val="24"/>
        </w:rPr>
        <w:t>The severity of clinical disease varies from mild to severe; the majority of these ca</w:t>
      </w:r>
      <w:r w:rsidR="004C0286">
        <w:rPr>
          <w:rFonts w:cstheme="minorHAnsi"/>
          <w:sz w:val="24"/>
          <w:szCs w:val="24"/>
        </w:rPr>
        <w:t>ses really aren't severe</w:t>
      </w:r>
      <w:r w:rsidRPr="00F24333">
        <w:rPr>
          <w:rFonts w:cstheme="minorHAnsi"/>
          <w:sz w:val="24"/>
          <w:szCs w:val="24"/>
        </w:rPr>
        <w:t>. Particularly, within the first quarters of the disease outbreak, an analysis from the Chinese Center for Disease Control and Preventative measures included nearly 44,500 declared diseases and discovered the mentioned:</w:t>
      </w:r>
    </w:p>
    <w:p w14:paraId="3AB797F0" w14:textId="77777777" w:rsidR="00F24333" w:rsidRPr="00C80619" w:rsidRDefault="00F24333" w:rsidP="00C80619">
      <w:pPr>
        <w:pStyle w:val="Listparagraf"/>
        <w:numPr>
          <w:ilvl w:val="0"/>
          <w:numId w:val="1"/>
        </w:numPr>
        <w:spacing w:line="360" w:lineRule="auto"/>
        <w:rPr>
          <w:rFonts w:cstheme="minorHAnsi"/>
          <w:sz w:val="24"/>
          <w:szCs w:val="24"/>
        </w:rPr>
      </w:pPr>
      <w:r w:rsidRPr="00C80619">
        <w:rPr>
          <w:rFonts w:cstheme="minorHAnsi"/>
          <w:sz w:val="24"/>
          <w:szCs w:val="24"/>
        </w:rPr>
        <w:t>In 81 % of cases, mild illness was observed.</w:t>
      </w:r>
    </w:p>
    <w:p w14:paraId="304CA390" w14:textId="77777777" w:rsidR="00F24333" w:rsidRPr="00C80619" w:rsidRDefault="00F24333" w:rsidP="00C80619">
      <w:pPr>
        <w:pStyle w:val="Listparagraf"/>
        <w:numPr>
          <w:ilvl w:val="0"/>
          <w:numId w:val="1"/>
        </w:numPr>
        <w:spacing w:line="360" w:lineRule="auto"/>
        <w:rPr>
          <w:rFonts w:cstheme="minorHAnsi"/>
          <w:sz w:val="24"/>
          <w:szCs w:val="24"/>
        </w:rPr>
      </w:pPr>
      <w:r w:rsidRPr="00C80619">
        <w:rPr>
          <w:rFonts w:cstheme="minorHAnsi"/>
          <w:sz w:val="24"/>
          <w:szCs w:val="24"/>
        </w:rPr>
        <w:t>14 % had severe symptoms (e.g., dyspnea, hypoxia, or &gt;50% respiratory participation on image processing inside of 24 to 48 hours).</w:t>
      </w:r>
    </w:p>
    <w:p w14:paraId="072B88D5" w14:textId="77777777" w:rsidR="00F24333" w:rsidRPr="00C80619" w:rsidRDefault="00F24333" w:rsidP="00C80619">
      <w:pPr>
        <w:pStyle w:val="Listparagraf"/>
        <w:numPr>
          <w:ilvl w:val="0"/>
          <w:numId w:val="1"/>
        </w:numPr>
        <w:spacing w:line="360" w:lineRule="auto"/>
        <w:rPr>
          <w:rFonts w:cstheme="minorHAnsi"/>
          <w:sz w:val="24"/>
          <w:szCs w:val="24"/>
        </w:rPr>
      </w:pPr>
      <w:r w:rsidRPr="00C80619">
        <w:rPr>
          <w:rFonts w:cstheme="minorHAnsi"/>
          <w:sz w:val="24"/>
          <w:szCs w:val="24"/>
        </w:rPr>
        <w:t>In 5% of cases, critical disorder (e.g., respiration rejection, shock, or multiple organ disorder) was mentioned.</w:t>
      </w:r>
    </w:p>
    <w:p w14:paraId="2C2D0BBA" w14:textId="77777777" w:rsidR="00C80619" w:rsidRDefault="00C80619" w:rsidP="00C80619">
      <w:pPr>
        <w:pStyle w:val="Listparagraf"/>
        <w:numPr>
          <w:ilvl w:val="0"/>
          <w:numId w:val="1"/>
        </w:numPr>
        <w:spacing w:line="360" w:lineRule="auto"/>
        <w:rPr>
          <w:rFonts w:cstheme="minorHAnsi"/>
          <w:sz w:val="24"/>
          <w:szCs w:val="24"/>
        </w:rPr>
      </w:pPr>
      <w:r w:rsidRPr="00C80619">
        <w:rPr>
          <w:rFonts w:cstheme="minorHAnsi"/>
          <w:sz w:val="24"/>
          <w:szCs w:val="24"/>
        </w:rPr>
        <w:t>A</w:t>
      </w:r>
      <w:r w:rsidR="00F24333" w:rsidRPr="00C80619">
        <w:rPr>
          <w:rFonts w:cstheme="minorHAnsi"/>
          <w:sz w:val="24"/>
          <w:szCs w:val="24"/>
        </w:rPr>
        <w:t xml:space="preserve">s a whole mortality rate has been 2.3 %, with no confirmed deaths in </w:t>
      </w:r>
      <w:r w:rsidRPr="00C80619">
        <w:rPr>
          <w:rFonts w:cstheme="minorHAnsi"/>
          <w:sz w:val="24"/>
          <w:szCs w:val="24"/>
        </w:rPr>
        <w:t>non-essential</w:t>
      </w:r>
      <w:r w:rsidR="00F24333" w:rsidRPr="00C80619">
        <w:rPr>
          <w:rFonts w:cstheme="minorHAnsi"/>
          <w:sz w:val="24"/>
          <w:szCs w:val="24"/>
        </w:rPr>
        <w:t xml:space="preserve"> scenarios.</w:t>
      </w:r>
      <w:r w:rsidR="00A15BDF">
        <w:rPr>
          <w:rFonts w:cstheme="minorHAnsi"/>
          <w:sz w:val="24"/>
          <w:szCs w:val="24"/>
        </w:rPr>
        <w:t>[4]</w:t>
      </w:r>
    </w:p>
    <w:p w14:paraId="5727A8D3" w14:textId="77777777" w:rsidR="00C80619" w:rsidRDefault="00C80619" w:rsidP="00C80619">
      <w:pPr>
        <w:spacing w:line="360" w:lineRule="auto"/>
        <w:rPr>
          <w:rFonts w:cstheme="minorHAnsi"/>
          <w:sz w:val="24"/>
          <w:szCs w:val="24"/>
        </w:rPr>
      </w:pPr>
      <w:r w:rsidRPr="00C80619">
        <w:rPr>
          <w:rFonts w:cstheme="minorHAnsi"/>
          <w:sz w:val="24"/>
          <w:szCs w:val="24"/>
        </w:rPr>
        <w:lastRenderedPageBreak/>
        <w:t xml:space="preserve">Although many </w:t>
      </w:r>
      <w:r w:rsidR="00111C0B" w:rsidRPr="00C80619">
        <w:rPr>
          <w:rFonts w:cstheme="minorHAnsi"/>
          <w:sz w:val="24"/>
          <w:szCs w:val="24"/>
        </w:rPr>
        <w:t>severe</w:t>
      </w:r>
      <w:r w:rsidRPr="00C80619">
        <w:rPr>
          <w:rFonts w:cstheme="minorHAnsi"/>
          <w:sz w:val="24"/>
          <w:szCs w:val="24"/>
        </w:rPr>
        <w:t xml:space="preserve"> acute respiratory viruses are symptom free and so many mild viruses go undiagnosed, the virus deaths rate is significantly lesser and it has been approximated in certain assessments of infected individuals to be around 0.15 as well as 1%, with indirectly increased by region and risk group. In a comprehensive examination that estimated the total number of public infectious diseases via incidence assessments from 53 countries (with both source of energy and asset contexts) even before to vaccine accessibility, the infectious disease mortality rate [IFR] has been 0.005 % at 1 year, reduced to 0.002 basis points by age 7, and then grown significantly: 0.006 basis points at 15, 0.06 % at 30, 0.4 percent at 50, 2.9 % at 70, as well as 20% at 80. </w:t>
      </w:r>
      <w:r w:rsidR="00111C0B" w:rsidRPr="00111C0B">
        <w:rPr>
          <w:rFonts w:cstheme="minorHAnsi"/>
          <w:sz w:val="24"/>
          <w:szCs w:val="24"/>
        </w:rPr>
        <w:t>Throughout April 2020, the mean average IFR was 0.47 cents, and now in January 2021, it was 0.31 %.</w:t>
      </w:r>
    </w:p>
    <w:p w14:paraId="278480B8" w14:textId="77777777" w:rsidR="00723014" w:rsidRDefault="00723014" w:rsidP="00C80619">
      <w:pPr>
        <w:spacing w:line="360" w:lineRule="auto"/>
        <w:rPr>
          <w:rFonts w:cstheme="minorHAnsi"/>
          <w:sz w:val="24"/>
          <w:szCs w:val="24"/>
        </w:rPr>
      </w:pPr>
      <w:r w:rsidRPr="00723014">
        <w:rPr>
          <w:rFonts w:cstheme="minorHAnsi"/>
          <w:sz w:val="24"/>
          <w:szCs w:val="24"/>
        </w:rPr>
        <w:t xml:space="preserve">This clearly shows the use of such a simultaneous coordinate’s procedure to visualize a huge amount of maximum likelihood estimation COVID-19 data that is still growing. The clustering of data for place and date factors aids in the analysis of spatial and cultural factors. This decreases the quantity of serial interfaces that must be delivered per collective level (e.g., on a quarterly basis) while improving interconnectivity. To endorse an introspective visual representation, the concurrent location graph was improved with many operations like data preprocessing, angle </w:t>
      </w:r>
      <w:r w:rsidR="004D5A24" w:rsidRPr="00723014">
        <w:rPr>
          <w:rFonts w:cstheme="minorHAnsi"/>
          <w:sz w:val="24"/>
          <w:szCs w:val="24"/>
        </w:rPr>
        <w:t>reorganizing</w:t>
      </w:r>
      <w:r w:rsidRPr="00723014">
        <w:rPr>
          <w:rFonts w:cstheme="minorHAnsi"/>
          <w:sz w:val="24"/>
          <w:szCs w:val="24"/>
        </w:rPr>
        <w:t xml:space="preserve"> and resampling, and showcasing.</w:t>
      </w:r>
      <w:r w:rsidR="00A15BDF">
        <w:rPr>
          <w:rFonts w:cstheme="minorHAnsi"/>
          <w:sz w:val="24"/>
          <w:szCs w:val="24"/>
        </w:rPr>
        <w:t>[5]</w:t>
      </w:r>
    </w:p>
    <w:p w14:paraId="214AD30F" w14:textId="77777777" w:rsidR="00111C0B" w:rsidRDefault="00111C0B" w:rsidP="00C80619">
      <w:pPr>
        <w:spacing w:line="360" w:lineRule="auto"/>
        <w:rPr>
          <w:rFonts w:cstheme="minorHAnsi"/>
          <w:sz w:val="24"/>
          <w:szCs w:val="24"/>
        </w:rPr>
      </w:pPr>
      <w:r w:rsidRPr="00111C0B">
        <w:rPr>
          <w:rFonts w:cstheme="minorHAnsi"/>
          <w:b/>
          <w:sz w:val="24"/>
          <w:szCs w:val="24"/>
        </w:rPr>
        <w:t>Mortality rates between many hospital admissions</w:t>
      </w:r>
      <w:r w:rsidRPr="00111C0B">
        <w:rPr>
          <w:rFonts w:cstheme="minorHAnsi"/>
          <w:sz w:val="24"/>
          <w:szCs w:val="24"/>
        </w:rPr>
        <w:t xml:space="preserve"> – The risk of crucial or fatal illness between many hospitalized is greater between infected individuals, and the in-hospital number of fatalities affiliated with COVID-19 is greater than just that affiliated with seasonal flu. For instance, in a research study of over 16,000 admitted patients for COVID-19 among March as well as December 2020 in the U. S., the as a whole rate of death was 11.4 basis points, ranging quarterly from 7.1 to 17.1 %. Even before widely spread vaccination, shrinking in-hospital deaths rates had really been mentioned over the duration of the disease outbreak. The explanations with this analysis are unknown, but possible explanations involve advancements in COVID-19 clinic treatment and improved distribution of resources while clinics really aren't overloaded.</w:t>
      </w:r>
    </w:p>
    <w:p w14:paraId="4E8FB37A" w14:textId="77777777" w:rsidR="00111C0B" w:rsidRDefault="00A6407B" w:rsidP="00C80619">
      <w:pPr>
        <w:spacing w:line="360" w:lineRule="auto"/>
        <w:rPr>
          <w:rFonts w:cstheme="minorHAnsi"/>
          <w:sz w:val="24"/>
          <w:szCs w:val="24"/>
        </w:rPr>
      </w:pPr>
      <w:r w:rsidRPr="00A6407B">
        <w:rPr>
          <w:rFonts w:cstheme="minorHAnsi"/>
          <w:sz w:val="24"/>
          <w:szCs w:val="24"/>
        </w:rPr>
        <w:lastRenderedPageBreak/>
        <w:t>In resource-constrained contexts, in-hospital death rates might be greater than anywhere else in the identified. In one research from ten African countries, where every other hospital had a middle value of two inpatient psychiatric experts and a minority of found significant not even have pulse sensor, the in-hospital 1-month fatality rate obeying prehospital enrollment was 48%. Risk of death was linked to underlying chronic conditions and a limited resource.</w:t>
      </w:r>
      <w:r w:rsidR="00A15BDF">
        <w:rPr>
          <w:rFonts w:cstheme="minorHAnsi"/>
          <w:sz w:val="24"/>
          <w:szCs w:val="24"/>
        </w:rPr>
        <w:t>[6]</w:t>
      </w:r>
    </w:p>
    <w:p w14:paraId="79E51EAB" w14:textId="77777777" w:rsidR="00A6407B" w:rsidRDefault="00A6407B" w:rsidP="00C80619">
      <w:pPr>
        <w:spacing w:line="360" w:lineRule="auto"/>
        <w:rPr>
          <w:rFonts w:cstheme="minorHAnsi"/>
          <w:sz w:val="24"/>
          <w:szCs w:val="24"/>
        </w:rPr>
      </w:pPr>
      <w:r w:rsidRPr="00A6407B">
        <w:rPr>
          <w:rFonts w:cstheme="minorHAnsi"/>
          <w:b/>
          <w:sz w:val="24"/>
          <w:szCs w:val="24"/>
        </w:rPr>
        <w:t>Deaths worldwide as during disease outbreak</w:t>
      </w:r>
      <w:r w:rsidRPr="00A6407B">
        <w:rPr>
          <w:rFonts w:cstheme="minorHAnsi"/>
          <w:sz w:val="24"/>
          <w:szCs w:val="24"/>
        </w:rPr>
        <w:t xml:space="preserve"> – Although neither relative risk nor the infectious disease fatality flow report for the entire global epidemic liability, that also contains elevated risk from other circumstances leading to missed care, overstretched medical systems, as well as socioeconomic factors. A comprehensive evaluation that contrasted all-cause fatality findings from 74 countries in 2020/21 to those from the prior eleven years approximated an international all-age surplus fatality rate of 120.3 percent of all deaths and 18.2 million deaths increase in global to the COVID-19 disease outbreak.</w:t>
      </w:r>
    </w:p>
    <w:p w14:paraId="65D66DAC" w14:textId="77777777" w:rsidR="006C7F1A" w:rsidRPr="006C7F1A" w:rsidRDefault="006C7F1A" w:rsidP="006C7F1A">
      <w:pPr>
        <w:spacing w:line="360" w:lineRule="auto"/>
        <w:rPr>
          <w:rFonts w:cstheme="minorHAnsi"/>
          <w:sz w:val="24"/>
          <w:szCs w:val="24"/>
        </w:rPr>
      </w:pPr>
      <w:r w:rsidRPr="006C7F1A">
        <w:rPr>
          <w:rFonts w:cstheme="minorHAnsi"/>
          <w:b/>
          <w:sz w:val="24"/>
          <w:szCs w:val="24"/>
        </w:rPr>
        <w:t>Age above 60 risks</w:t>
      </w:r>
      <w:r>
        <w:rPr>
          <w:rFonts w:cstheme="minorHAnsi"/>
          <w:b/>
          <w:sz w:val="24"/>
          <w:szCs w:val="24"/>
        </w:rPr>
        <w:t xml:space="preserve"> - </w:t>
      </w:r>
      <w:r w:rsidRPr="006C7F1A">
        <w:rPr>
          <w:rFonts w:cstheme="minorHAnsi"/>
          <w:sz w:val="24"/>
          <w:szCs w:val="24"/>
        </w:rPr>
        <w:t>People of whatever age can become infected with Severe acute respiratory, but adults in their 60s and or over are the most usually encountered, &amp; elderly individuals are much more inclined to produce serious illnesses.</w:t>
      </w:r>
      <w:r w:rsidR="00A15BDF">
        <w:rPr>
          <w:rFonts w:cstheme="minorHAnsi"/>
          <w:sz w:val="24"/>
          <w:szCs w:val="24"/>
        </w:rPr>
        <w:t>[7]</w:t>
      </w:r>
    </w:p>
    <w:p w14:paraId="6E3A3A85" w14:textId="77777777" w:rsidR="006C7F1A" w:rsidRDefault="006C7F1A" w:rsidP="006C7F1A">
      <w:pPr>
        <w:spacing w:line="360" w:lineRule="auto"/>
        <w:rPr>
          <w:rFonts w:cstheme="minorHAnsi"/>
          <w:sz w:val="24"/>
          <w:szCs w:val="24"/>
        </w:rPr>
      </w:pPr>
      <w:r w:rsidRPr="006C7F1A">
        <w:rPr>
          <w:rFonts w:cstheme="minorHAnsi"/>
          <w:sz w:val="24"/>
          <w:szCs w:val="24"/>
        </w:rPr>
        <w:t>The average age group ranging from 60 to 80 years across several cohorts of hospitalized patient</w:t>
      </w:r>
      <w:r w:rsidR="00431AC6">
        <w:rPr>
          <w:rFonts w:cstheme="minorHAnsi"/>
          <w:sz w:val="24"/>
          <w:szCs w:val="24"/>
        </w:rPr>
        <w:t xml:space="preserve">s with active COVID-19. </w:t>
      </w:r>
      <w:r w:rsidRPr="006C7F1A">
        <w:rPr>
          <w:rFonts w:cstheme="minorHAnsi"/>
          <w:sz w:val="24"/>
          <w:szCs w:val="24"/>
        </w:rPr>
        <w:t>According to a Chinese Center for Disease And control bulletin that also included estimated 44,500 declared diseases, 87 percent of people had between ages of 60 and 79.</w:t>
      </w:r>
    </w:p>
    <w:p w14:paraId="4AE3F4C1" w14:textId="77777777" w:rsidR="006C7F1A" w:rsidRDefault="006C7F1A" w:rsidP="006C7F1A">
      <w:pPr>
        <w:spacing w:line="360" w:lineRule="auto"/>
        <w:rPr>
          <w:rFonts w:cstheme="minorHAnsi"/>
          <w:sz w:val="24"/>
          <w:szCs w:val="24"/>
        </w:rPr>
      </w:pPr>
      <w:r w:rsidRPr="006C7F1A">
        <w:rPr>
          <w:rFonts w:cstheme="minorHAnsi"/>
          <w:sz w:val="24"/>
          <w:szCs w:val="24"/>
        </w:rPr>
        <w:t xml:space="preserve">Older age is indeed linked to a higher risk of death. According to infographic report, mortality rates between those elderly 70 to 79 years as well as 80 people over age were 8 &amp; 15%, including both, compared to the overall cohort's mortality rate of 2.3 percent. According to a study conducted in the United Kingdom, the </w:t>
      </w:r>
      <w:r w:rsidR="00431AC6" w:rsidRPr="006C7F1A">
        <w:rPr>
          <w:rFonts w:cstheme="minorHAnsi"/>
          <w:sz w:val="24"/>
          <w:szCs w:val="24"/>
        </w:rPr>
        <w:t>rate of mortality among people aged 80 and up was</w:t>
      </w:r>
      <w:r w:rsidRPr="006C7F1A">
        <w:rPr>
          <w:rFonts w:cstheme="minorHAnsi"/>
          <w:sz w:val="24"/>
          <w:szCs w:val="24"/>
        </w:rPr>
        <w:t xml:space="preserve"> 20 times that of people aged 50 to 59.</w:t>
      </w:r>
    </w:p>
    <w:p w14:paraId="26317472" w14:textId="77777777" w:rsidR="00431AC6" w:rsidRPr="006C7F1A" w:rsidRDefault="00431AC6" w:rsidP="00431AC6">
      <w:pPr>
        <w:spacing w:line="360" w:lineRule="auto"/>
        <w:rPr>
          <w:rFonts w:cstheme="minorHAnsi"/>
          <w:sz w:val="24"/>
          <w:szCs w:val="24"/>
        </w:rPr>
      </w:pPr>
      <w:r w:rsidRPr="00431AC6">
        <w:rPr>
          <w:rFonts w:cstheme="minorHAnsi"/>
          <w:b/>
          <w:sz w:val="24"/>
          <w:szCs w:val="24"/>
        </w:rPr>
        <w:t>Biological Sex:</w:t>
      </w:r>
      <w:r>
        <w:rPr>
          <w:rFonts w:cstheme="minorHAnsi"/>
          <w:sz w:val="24"/>
          <w:szCs w:val="24"/>
        </w:rPr>
        <w:t xml:space="preserve"> </w:t>
      </w:r>
      <w:r w:rsidRPr="00431AC6">
        <w:rPr>
          <w:rFonts w:cstheme="minorHAnsi"/>
          <w:sz w:val="24"/>
          <w:szCs w:val="24"/>
        </w:rPr>
        <w:t xml:space="preserve">Definite statistics were also linked </w:t>
      </w:r>
      <w:r>
        <w:rPr>
          <w:rFonts w:cstheme="minorHAnsi"/>
          <w:sz w:val="24"/>
          <w:szCs w:val="24"/>
        </w:rPr>
        <w:t xml:space="preserve">to much more serious infection. </w:t>
      </w:r>
      <w:r w:rsidRPr="00431AC6">
        <w:rPr>
          <w:rFonts w:cstheme="minorHAnsi"/>
          <w:sz w:val="24"/>
          <w:szCs w:val="24"/>
        </w:rPr>
        <w:t>Males have been found to have a surprisingly large number of crucial incidence and mortality in numer</w:t>
      </w:r>
      <w:r>
        <w:rPr>
          <w:rFonts w:cstheme="minorHAnsi"/>
          <w:sz w:val="24"/>
          <w:szCs w:val="24"/>
        </w:rPr>
        <w:t xml:space="preserve">ous compadres around the world. </w:t>
      </w:r>
      <w:r w:rsidRPr="00431AC6">
        <w:rPr>
          <w:rFonts w:cstheme="minorHAnsi"/>
          <w:sz w:val="24"/>
          <w:szCs w:val="24"/>
        </w:rPr>
        <w:t xml:space="preserve">Black, Hispanic, as well as Southern Asian people account for a </w:t>
      </w:r>
      <w:r w:rsidRPr="00431AC6">
        <w:rPr>
          <w:rFonts w:cstheme="minorHAnsi"/>
          <w:sz w:val="24"/>
          <w:szCs w:val="24"/>
        </w:rPr>
        <w:lastRenderedPageBreak/>
        <w:t xml:space="preserve">relatively high number of COVID-19 diseases and lives lost in the U.s Britain, which is probable due to systemic imbalances in social factors. A few experiments that monitored for illnesses and socioeconomic factors showed no difference between African-American and otherwise Hispanic nationality and poor COVID-19 </w:t>
      </w:r>
      <w:r>
        <w:rPr>
          <w:rFonts w:cstheme="minorHAnsi"/>
          <w:sz w:val="24"/>
          <w:szCs w:val="24"/>
        </w:rPr>
        <w:t xml:space="preserve">results in hospital admissions. </w:t>
      </w:r>
      <w:r w:rsidRPr="00431AC6">
        <w:rPr>
          <w:rFonts w:cstheme="minorHAnsi"/>
          <w:sz w:val="24"/>
          <w:szCs w:val="24"/>
        </w:rPr>
        <w:t>COVID-19-related risk of death has indeed been observed to be higher in other economically disadvantaged marginalized communities, including the inmate population.</w:t>
      </w:r>
      <w:r w:rsidR="00A15BDF">
        <w:rPr>
          <w:rFonts w:cstheme="minorHAnsi"/>
          <w:sz w:val="24"/>
          <w:szCs w:val="24"/>
        </w:rPr>
        <w:t>[8]</w:t>
      </w:r>
    </w:p>
    <w:p w14:paraId="524CF535" w14:textId="77777777" w:rsidR="00111C0B" w:rsidRDefault="001F096F" w:rsidP="00C80619">
      <w:pPr>
        <w:spacing w:line="360" w:lineRule="auto"/>
        <w:rPr>
          <w:rFonts w:cstheme="minorHAnsi"/>
          <w:sz w:val="24"/>
          <w:szCs w:val="24"/>
        </w:rPr>
      </w:pPr>
      <w:r w:rsidRPr="001F096F">
        <w:rPr>
          <w:rFonts w:cstheme="minorHAnsi"/>
          <w:b/>
          <w:sz w:val="24"/>
          <w:szCs w:val="24"/>
        </w:rPr>
        <w:t>Symptoms:</w:t>
      </w:r>
      <w:r>
        <w:rPr>
          <w:rFonts w:cstheme="minorHAnsi"/>
          <w:sz w:val="24"/>
          <w:szCs w:val="24"/>
        </w:rPr>
        <w:t xml:space="preserve"> </w:t>
      </w:r>
      <w:r w:rsidR="00431AC6" w:rsidRPr="00431AC6">
        <w:rPr>
          <w:rFonts w:cstheme="minorHAnsi"/>
          <w:sz w:val="24"/>
          <w:szCs w:val="24"/>
        </w:rPr>
        <w:t xml:space="preserve">Cough, chest tightness, and migraine are by far the most widely mentioned signs between many people with severe COVID-19. Other symptoms, such as </w:t>
      </w:r>
      <w:r w:rsidRPr="00431AC6">
        <w:rPr>
          <w:rFonts w:cstheme="minorHAnsi"/>
          <w:sz w:val="24"/>
          <w:szCs w:val="24"/>
        </w:rPr>
        <w:t>diarrhea</w:t>
      </w:r>
      <w:r w:rsidR="00431AC6" w:rsidRPr="00431AC6">
        <w:rPr>
          <w:rFonts w:cstheme="minorHAnsi"/>
          <w:sz w:val="24"/>
          <w:szCs w:val="24"/>
        </w:rPr>
        <w:t xml:space="preserve">, dry mouth, and unusual taste and feel, have been well outlined.  Mild infection of the respiratory signs (for example, nasal flooding and breathlessness) </w:t>
      </w:r>
      <w:proofErr w:type="gramStart"/>
      <w:r w:rsidR="00431AC6" w:rsidRPr="00431AC6">
        <w:rPr>
          <w:rFonts w:cstheme="minorHAnsi"/>
          <w:sz w:val="24"/>
          <w:szCs w:val="24"/>
        </w:rPr>
        <w:t>have</w:t>
      </w:r>
      <w:proofErr w:type="gramEnd"/>
      <w:r w:rsidR="00431AC6" w:rsidRPr="00431AC6">
        <w:rPr>
          <w:rFonts w:cstheme="minorHAnsi"/>
          <w:sz w:val="24"/>
          <w:szCs w:val="24"/>
        </w:rPr>
        <w:t xml:space="preserve"> seemed to become more prevalent in the Omicron version. Pneumonia is the most common dental abscess manifestation, with symptoms including fever, sore throat, shortness of breath, and bilateral penetrates on breast image analysis. Even though some clinical characteristics (particularly odour or </w:t>
      </w:r>
      <w:r w:rsidRPr="00431AC6">
        <w:rPr>
          <w:rFonts w:cstheme="minorHAnsi"/>
          <w:sz w:val="24"/>
          <w:szCs w:val="24"/>
        </w:rPr>
        <w:t>flavors</w:t>
      </w:r>
      <w:r w:rsidR="00431AC6" w:rsidRPr="00431AC6">
        <w:rPr>
          <w:rFonts w:cstheme="minorHAnsi"/>
          <w:sz w:val="24"/>
          <w:szCs w:val="24"/>
        </w:rPr>
        <w:t xml:space="preserve"> diseases) are much more frequent in COVID-19 than elsewhere highly contagious respiratory disease, there seem to be no different symptoms or symbols which can confidently differentiate COVID-19. Moreover, the initiation of shortness of breath each week after the initiation of early symptoms could be indicative of COVID-19.</w:t>
      </w:r>
    </w:p>
    <w:p w14:paraId="6D67CA24" w14:textId="77777777" w:rsidR="001F096F" w:rsidRPr="001F096F" w:rsidRDefault="001F096F" w:rsidP="001F096F">
      <w:pPr>
        <w:spacing w:line="360" w:lineRule="auto"/>
        <w:rPr>
          <w:rFonts w:cstheme="minorHAnsi"/>
          <w:sz w:val="24"/>
          <w:szCs w:val="24"/>
        </w:rPr>
      </w:pPr>
      <w:proofErr w:type="gramStart"/>
      <w:r w:rsidRPr="001F096F">
        <w:rPr>
          <w:rFonts w:cstheme="minorHAnsi"/>
          <w:sz w:val="24"/>
          <w:szCs w:val="24"/>
        </w:rPr>
        <w:t>A</w:t>
      </w:r>
      <w:proofErr w:type="gramEnd"/>
      <w:r w:rsidRPr="001F096F">
        <w:rPr>
          <w:rFonts w:cstheme="minorHAnsi"/>
          <w:sz w:val="24"/>
          <w:szCs w:val="24"/>
        </w:rPr>
        <w:t xml:space="preserve"> analysis including over 370,000 declared COVID-19 scenarios with recognized side effect condition noted to the Center for disease control in the U.s demonstrated the variety of possible signs:</w:t>
      </w:r>
    </w:p>
    <w:p w14:paraId="41C2C9C1" w14:textId="77777777" w:rsidR="001F096F" w:rsidRPr="001F096F" w:rsidRDefault="001F096F" w:rsidP="001F096F">
      <w:pPr>
        <w:pStyle w:val="Listparagraf"/>
        <w:numPr>
          <w:ilvl w:val="0"/>
          <w:numId w:val="2"/>
        </w:numPr>
        <w:spacing w:line="360" w:lineRule="auto"/>
        <w:rPr>
          <w:rFonts w:cstheme="minorHAnsi"/>
          <w:sz w:val="24"/>
          <w:szCs w:val="24"/>
        </w:rPr>
      </w:pPr>
      <w:r w:rsidRPr="001F096F">
        <w:rPr>
          <w:rFonts w:cstheme="minorHAnsi"/>
          <w:sz w:val="24"/>
          <w:szCs w:val="24"/>
        </w:rPr>
        <w:t>Cough throughout 50% of the time</w:t>
      </w:r>
    </w:p>
    <w:p w14:paraId="68C2C28F" w14:textId="77777777" w:rsidR="001F096F" w:rsidRPr="001F096F" w:rsidRDefault="001F096F" w:rsidP="001F096F">
      <w:pPr>
        <w:pStyle w:val="Listparagraf"/>
        <w:numPr>
          <w:ilvl w:val="0"/>
          <w:numId w:val="2"/>
        </w:numPr>
        <w:spacing w:line="360" w:lineRule="auto"/>
        <w:rPr>
          <w:rFonts w:cstheme="minorHAnsi"/>
          <w:sz w:val="24"/>
          <w:szCs w:val="24"/>
        </w:rPr>
      </w:pPr>
      <w:r w:rsidRPr="001F096F">
        <w:rPr>
          <w:rFonts w:cstheme="minorHAnsi"/>
          <w:sz w:val="24"/>
          <w:szCs w:val="24"/>
        </w:rPr>
        <w:t>Fever (qualitative or greater than 100.4°F/38°C) throughout 43%</w:t>
      </w:r>
    </w:p>
    <w:p w14:paraId="12AED2CD" w14:textId="77777777" w:rsidR="001F096F" w:rsidRPr="001F096F" w:rsidRDefault="001F096F" w:rsidP="001F096F">
      <w:pPr>
        <w:pStyle w:val="Listparagraf"/>
        <w:numPr>
          <w:ilvl w:val="0"/>
          <w:numId w:val="2"/>
        </w:numPr>
        <w:spacing w:line="360" w:lineRule="auto"/>
        <w:rPr>
          <w:rFonts w:cstheme="minorHAnsi"/>
          <w:sz w:val="24"/>
          <w:szCs w:val="24"/>
        </w:rPr>
      </w:pPr>
      <w:r w:rsidRPr="001F096F">
        <w:rPr>
          <w:rFonts w:cstheme="minorHAnsi"/>
          <w:sz w:val="24"/>
          <w:szCs w:val="24"/>
        </w:rPr>
        <w:t>Myalgia affects 36% of the population.</w:t>
      </w:r>
    </w:p>
    <w:p w14:paraId="57D9B6B2" w14:textId="77777777" w:rsidR="001F096F" w:rsidRPr="001F096F" w:rsidRDefault="001F096F" w:rsidP="001F096F">
      <w:pPr>
        <w:pStyle w:val="Listparagraf"/>
        <w:numPr>
          <w:ilvl w:val="0"/>
          <w:numId w:val="2"/>
        </w:numPr>
        <w:spacing w:line="360" w:lineRule="auto"/>
        <w:rPr>
          <w:rFonts w:cstheme="minorHAnsi"/>
          <w:sz w:val="24"/>
          <w:szCs w:val="24"/>
        </w:rPr>
      </w:pPr>
      <w:r w:rsidRPr="001F096F">
        <w:rPr>
          <w:rFonts w:cstheme="minorHAnsi"/>
          <w:sz w:val="24"/>
          <w:szCs w:val="24"/>
        </w:rPr>
        <w:t>34% of people suffer from headaches.</w:t>
      </w:r>
    </w:p>
    <w:p w14:paraId="5642BBA8" w14:textId="77777777" w:rsidR="001F096F" w:rsidRPr="001F096F" w:rsidRDefault="001F096F" w:rsidP="001F096F">
      <w:pPr>
        <w:pStyle w:val="Listparagraf"/>
        <w:numPr>
          <w:ilvl w:val="0"/>
          <w:numId w:val="2"/>
        </w:numPr>
        <w:spacing w:line="360" w:lineRule="auto"/>
        <w:rPr>
          <w:rFonts w:cstheme="minorHAnsi"/>
          <w:sz w:val="24"/>
          <w:szCs w:val="24"/>
        </w:rPr>
      </w:pPr>
      <w:r w:rsidRPr="001F096F">
        <w:rPr>
          <w:rFonts w:cstheme="minorHAnsi"/>
          <w:sz w:val="24"/>
          <w:szCs w:val="24"/>
        </w:rPr>
        <w:t>Dyspnea affects 29% of people.</w:t>
      </w:r>
    </w:p>
    <w:p w14:paraId="5925F292" w14:textId="77777777" w:rsidR="001F096F" w:rsidRPr="001F096F" w:rsidRDefault="001F096F" w:rsidP="001F096F">
      <w:pPr>
        <w:pStyle w:val="Listparagraf"/>
        <w:numPr>
          <w:ilvl w:val="0"/>
          <w:numId w:val="2"/>
        </w:numPr>
        <w:spacing w:line="360" w:lineRule="auto"/>
        <w:rPr>
          <w:rFonts w:cstheme="minorHAnsi"/>
          <w:sz w:val="24"/>
          <w:szCs w:val="24"/>
        </w:rPr>
      </w:pPr>
      <w:r w:rsidRPr="001F096F">
        <w:rPr>
          <w:rFonts w:cstheme="minorHAnsi"/>
          <w:sz w:val="24"/>
          <w:szCs w:val="24"/>
        </w:rPr>
        <w:t>20% of people have a throat infection.</w:t>
      </w:r>
    </w:p>
    <w:p w14:paraId="1FD7C360" w14:textId="77777777" w:rsidR="001F096F" w:rsidRPr="001F096F" w:rsidRDefault="001F096F" w:rsidP="001F096F">
      <w:pPr>
        <w:spacing w:line="360" w:lineRule="auto"/>
        <w:rPr>
          <w:rFonts w:cstheme="minorHAnsi"/>
          <w:sz w:val="24"/>
          <w:szCs w:val="24"/>
        </w:rPr>
      </w:pPr>
      <w:r w:rsidRPr="001F096F">
        <w:rPr>
          <w:rFonts w:cstheme="minorHAnsi"/>
          <w:sz w:val="24"/>
          <w:szCs w:val="24"/>
        </w:rPr>
        <w:lastRenderedPageBreak/>
        <w:t>Food poisoning was reported in 19% of the cases, and stomach cramps wa</w:t>
      </w:r>
      <w:r>
        <w:rPr>
          <w:rFonts w:cstheme="minorHAnsi"/>
          <w:sz w:val="24"/>
          <w:szCs w:val="24"/>
        </w:rPr>
        <w:t xml:space="preserve">s reported in 12% of the cases. </w:t>
      </w:r>
      <w:r w:rsidRPr="001F096F">
        <w:rPr>
          <w:rFonts w:cstheme="minorHAnsi"/>
          <w:sz w:val="24"/>
          <w:szCs w:val="24"/>
        </w:rPr>
        <w:t>Lesser than 10% of people experience decline of smell or taste, stomach pain, or nasal congestion.</w:t>
      </w:r>
      <w:r w:rsidR="00A15BDF">
        <w:rPr>
          <w:rFonts w:cstheme="minorHAnsi"/>
          <w:sz w:val="24"/>
          <w:szCs w:val="24"/>
        </w:rPr>
        <w:t>[9]</w:t>
      </w:r>
    </w:p>
    <w:p w14:paraId="336F08C7" w14:textId="77777777" w:rsidR="001F096F" w:rsidRDefault="001F096F" w:rsidP="001F096F">
      <w:pPr>
        <w:spacing w:line="360" w:lineRule="auto"/>
        <w:rPr>
          <w:rFonts w:cstheme="minorHAnsi"/>
          <w:sz w:val="24"/>
          <w:szCs w:val="24"/>
        </w:rPr>
      </w:pPr>
      <w:r w:rsidRPr="001F096F">
        <w:rPr>
          <w:rFonts w:cstheme="minorHAnsi"/>
          <w:sz w:val="24"/>
          <w:szCs w:val="24"/>
        </w:rPr>
        <w:t>Numerous different observational studies of declared COVID-19 sick people have encountered a similar variet</w:t>
      </w:r>
      <w:r>
        <w:rPr>
          <w:rFonts w:cstheme="minorHAnsi"/>
          <w:sz w:val="24"/>
          <w:szCs w:val="24"/>
        </w:rPr>
        <w:t xml:space="preserve">y of healthcare observations. </w:t>
      </w:r>
      <w:r w:rsidRPr="001F096F">
        <w:rPr>
          <w:rFonts w:cstheme="minorHAnsi"/>
          <w:sz w:val="24"/>
          <w:szCs w:val="24"/>
        </w:rPr>
        <w:t xml:space="preserve">Sensation and palate disabilities (for example, anosmia as well as </w:t>
      </w:r>
      <w:r w:rsidR="00065160" w:rsidRPr="001F096F">
        <w:rPr>
          <w:rFonts w:cstheme="minorHAnsi"/>
          <w:sz w:val="24"/>
          <w:szCs w:val="24"/>
        </w:rPr>
        <w:t>disguise</w:t>
      </w:r>
      <w:r w:rsidRPr="001F096F">
        <w:rPr>
          <w:rFonts w:cstheme="minorHAnsi"/>
          <w:sz w:val="24"/>
          <w:szCs w:val="24"/>
        </w:rPr>
        <w:t>) have indeed been found to be more common. The aggregated epidemiological data for smell and taste deformities in a conceptual of controlled experiments have been 52 as well as 44 %, including both. Inside one research study of 202 adult patients with gentle COVID-19 throughout Italy, 64% changes in equity in lingering smell, as well as 24% noted extremely dramatic differences; sensation or gustatory adjustments were noted for the only side effect in 3% of the sick people and accompanied signs from another 12%. The percentage of goal taste or smell outliers, on the other hand, may be smaller than the number of identity outliers.</w:t>
      </w:r>
      <w:r w:rsidR="00A15BDF">
        <w:rPr>
          <w:rFonts w:cstheme="minorHAnsi"/>
          <w:sz w:val="24"/>
          <w:szCs w:val="24"/>
        </w:rPr>
        <w:t>[10]</w:t>
      </w:r>
    </w:p>
    <w:p w14:paraId="45B07809" w14:textId="77777777" w:rsidR="00065160" w:rsidRDefault="00065160" w:rsidP="001F096F">
      <w:pPr>
        <w:spacing w:line="360" w:lineRule="auto"/>
        <w:rPr>
          <w:rFonts w:cstheme="minorHAnsi"/>
          <w:b/>
          <w:sz w:val="24"/>
          <w:szCs w:val="24"/>
        </w:rPr>
      </w:pPr>
      <w:r w:rsidRPr="00065160">
        <w:rPr>
          <w:rFonts w:cstheme="minorHAnsi"/>
          <w:b/>
          <w:sz w:val="24"/>
          <w:szCs w:val="24"/>
        </w:rPr>
        <w:t>Problems</w:t>
      </w:r>
    </w:p>
    <w:p w14:paraId="1DF9BE86" w14:textId="77777777" w:rsidR="00065160" w:rsidRDefault="00065160" w:rsidP="00065160">
      <w:pPr>
        <w:pStyle w:val="Listparagraf"/>
        <w:numPr>
          <w:ilvl w:val="0"/>
          <w:numId w:val="3"/>
        </w:numPr>
        <w:spacing w:line="360" w:lineRule="auto"/>
        <w:rPr>
          <w:rFonts w:cstheme="minorHAnsi"/>
          <w:sz w:val="24"/>
          <w:szCs w:val="24"/>
        </w:rPr>
      </w:pPr>
      <w:r w:rsidRPr="00065160">
        <w:rPr>
          <w:rFonts w:cstheme="minorHAnsi"/>
          <w:sz w:val="24"/>
          <w:szCs w:val="24"/>
        </w:rPr>
        <w:t>The issue is that is only the beginning. That most of these figures will change rapidly over the coming weeks, but there is still a lot we don't know.</w:t>
      </w:r>
    </w:p>
    <w:p w14:paraId="110ED893" w14:textId="77777777" w:rsidR="00065160" w:rsidRPr="00065160" w:rsidRDefault="00065160" w:rsidP="00065160">
      <w:pPr>
        <w:pStyle w:val="Listparagraf"/>
        <w:numPr>
          <w:ilvl w:val="0"/>
          <w:numId w:val="3"/>
        </w:numPr>
        <w:spacing w:line="360" w:lineRule="auto"/>
        <w:rPr>
          <w:rFonts w:cstheme="minorHAnsi"/>
          <w:sz w:val="24"/>
          <w:szCs w:val="24"/>
        </w:rPr>
      </w:pPr>
      <w:r w:rsidRPr="00065160">
        <w:rPr>
          <w:rFonts w:cstheme="minorHAnsi"/>
          <w:sz w:val="24"/>
          <w:szCs w:val="24"/>
        </w:rPr>
        <w:t>Information also must notify but really not frighten.</w:t>
      </w:r>
    </w:p>
    <w:p w14:paraId="0197343B" w14:textId="77777777" w:rsidR="00065160" w:rsidRPr="00065160" w:rsidRDefault="00065160" w:rsidP="00065160">
      <w:pPr>
        <w:pStyle w:val="Listparagraf"/>
        <w:numPr>
          <w:ilvl w:val="0"/>
          <w:numId w:val="3"/>
        </w:numPr>
        <w:spacing w:line="360" w:lineRule="auto"/>
        <w:rPr>
          <w:rFonts w:cstheme="minorHAnsi"/>
          <w:sz w:val="24"/>
          <w:szCs w:val="24"/>
        </w:rPr>
      </w:pPr>
      <w:r w:rsidRPr="00065160">
        <w:rPr>
          <w:rFonts w:cstheme="minorHAnsi"/>
          <w:sz w:val="24"/>
          <w:szCs w:val="24"/>
        </w:rPr>
        <w:t>Modifying figures to account for population numbers can be deceptive.</w:t>
      </w:r>
    </w:p>
    <w:p w14:paraId="20BB7116" w14:textId="77777777" w:rsidR="00065160" w:rsidRDefault="00065160" w:rsidP="00065160">
      <w:pPr>
        <w:pStyle w:val="Listparagraf"/>
        <w:numPr>
          <w:ilvl w:val="0"/>
          <w:numId w:val="3"/>
        </w:numPr>
        <w:spacing w:line="360" w:lineRule="auto"/>
        <w:rPr>
          <w:rFonts w:cstheme="minorHAnsi"/>
          <w:sz w:val="24"/>
          <w:szCs w:val="24"/>
        </w:rPr>
      </w:pPr>
      <w:r w:rsidRPr="00065160">
        <w:rPr>
          <w:rFonts w:cstheme="minorHAnsi"/>
          <w:sz w:val="24"/>
          <w:szCs w:val="24"/>
        </w:rPr>
        <w:t>Urban areas seem to be definitely in the crosshairs of COVID-19.</w:t>
      </w:r>
    </w:p>
    <w:p w14:paraId="51EE0E91" w14:textId="77777777" w:rsidR="005241B5" w:rsidRPr="005241B5" w:rsidRDefault="005241B5" w:rsidP="005241B5">
      <w:pPr>
        <w:pStyle w:val="Listparagraf"/>
        <w:numPr>
          <w:ilvl w:val="0"/>
          <w:numId w:val="3"/>
        </w:numPr>
        <w:spacing w:line="360" w:lineRule="auto"/>
        <w:jc w:val="both"/>
        <w:rPr>
          <w:sz w:val="24"/>
          <w:szCs w:val="24"/>
        </w:rPr>
      </w:pPr>
      <w:r w:rsidRPr="005241B5">
        <w:rPr>
          <w:sz w:val="24"/>
          <w:szCs w:val="24"/>
        </w:rPr>
        <w:t>This infographic is using the both layouts vertical and horizontal. The majority of online graphs and charts have a vertical movement arranged out like publications, with the audience scrolling down after them as those who create a narrative. Some are structured with interconnectivity in imagination, and employ systems such as parallax horizontal browsing or layouts that we zoom in as well to unveil extra particular information about particular areas.</w:t>
      </w:r>
    </w:p>
    <w:p w14:paraId="34B1B126" w14:textId="77777777" w:rsidR="005241B5" w:rsidRPr="005241B5" w:rsidRDefault="005241B5" w:rsidP="005241B5">
      <w:pPr>
        <w:pStyle w:val="Listparagraf"/>
        <w:numPr>
          <w:ilvl w:val="0"/>
          <w:numId w:val="3"/>
        </w:numPr>
        <w:spacing w:line="360" w:lineRule="auto"/>
        <w:jc w:val="both"/>
        <w:rPr>
          <w:sz w:val="24"/>
          <w:szCs w:val="24"/>
        </w:rPr>
      </w:pPr>
      <w:r w:rsidRPr="005241B5">
        <w:rPr>
          <w:sz w:val="24"/>
          <w:szCs w:val="24"/>
        </w:rPr>
        <w:t>In particular, more the fascinating our design is, the more fascinating our visual would be to glance at (as lengthy because it does not intrude with comprehension or demonstration).</w:t>
      </w:r>
    </w:p>
    <w:p w14:paraId="1FE5C025" w14:textId="77777777" w:rsidR="005241B5" w:rsidRPr="005241B5" w:rsidRDefault="005241B5" w:rsidP="005241B5">
      <w:pPr>
        <w:pStyle w:val="Listparagraf"/>
        <w:numPr>
          <w:ilvl w:val="0"/>
          <w:numId w:val="3"/>
        </w:numPr>
        <w:spacing w:line="360" w:lineRule="auto"/>
        <w:jc w:val="both"/>
        <w:rPr>
          <w:sz w:val="24"/>
          <w:szCs w:val="24"/>
        </w:rPr>
      </w:pPr>
      <w:r w:rsidRPr="005241B5">
        <w:rPr>
          <w:sz w:val="24"/>
          <w:szCs w:val="24"/>
        </w:rPr>
        <w:lastRenderedPageBreak/>
        <w:t>Keep in mind that our viewers must never be perplexed for where to look after that. It should still be obvious to them where to press after that as well as how to navigate the layout. So, this infographic should need to improve the layout in one format to look like a perfect poster.</w:t>
      </w:r>
    </w:p>
    <w:p w14:paraId="4C090DE7" w14:textId="77777777" w:rsidR="005241B5" w:rsidRDefault="005241B5" w:rsidP="005241B5">
      <w:pPr>
        <w:pStyle w:val="Listparagraf"/>
        <w:spacing w:line="360" w:lineRule="auto"/>
        <w:rPr>
          <w:rFonts w:cstheme="minorHAnsi"/>
          <w:sz w:val="24"/>
          <w:szCs w:val="24"/>
        </w:rPr>
      </w:pPr>
    </w:p>
    <w:p w14:paraId="1267352E" w14:textId="77777777" w:rsidR="00065160" w:rsidRDefault="00065160" w:rsidP="00065160">
      <w:pPr>
        <w:spacing w:line="360" w:lineRule="auto"/>
        <w:rPr>
          <w:rFonts w:cstheme="minorHAnsi"/>
          <w:sz w:val="24"/>
          <w:szCs w:val="24"/>
        </w:rPr>
      </w:pPr>
    </w:p>
    <w:p w14:paraId="1C6FEC85" w14:textId="77777777" w:rsidR="00A15BDF" w:rsidRDefault="00A15BDF" w:rsidP="00065160">
      <w:pPr>
        <w:spacing w:line="360" w:lineRule="auto"/>
        <w:rPr>
          <w:rFonts w:cstheme="minorHAnsi"/>
          <w:sz w:val="24"/>
          <w:szCs w:val="24"/>
        </w:rPr>
      </w:pPr>
    </w:p>
    <w:p w14:paraId="0CD176BF" w14:textId="77777777" w:rsidR="00A15BDF" w:rsidRDefault="00A15BDF" w:rsidP="00065160">
      <w:pPr>
        <w:spacing w:line="360" w:lineRule="auto"/>
        <w:rPr>
          <w:rFonts w:cstheme="minorHAnsi"/>
          <w:sz w:val="24"/>
          <w:szCs w:val="24"/>
        </w:rPr>
      </w:pPr>
    </w:p>
    <w:p w14:paraId="5AC53B5A" w14:textId="77777777" w:rsidR="00A15BDF" w:rsidRDefault="00A15BDF" w:rsidP="00065160">
      <w:pPr>
        <w:spacing w:line="360" w:lineRule="auto"/>
        <w:rPr>
          <w:rFonts w:cstheme="minorHAnsi"/>
          <w:sz w:val="24"/>
          <w:szCs w:val="24"/>
        </w:rPr>
      </w:pPr>
    </w:p>
    <w:p w14:paraId="5B82CDDA" w14:textId="77777777" w:rsidR="00A15BDF" w:rsidRDefault="00A15BDF" w:rsidP="00065160">
      <w:pPr>
        <w:spacing w:line="360" w:lineRule="auto"/>
        <w:rPr>
          <w:rFonts w:cstheme="minorHAnsi"/>
          <w:sz w:val="24"/>
          <w:szCs w:val="24"/>
        </w:rPr>
      </w:pPr>
    </w:p>
    <w:p w14:paraId="441FFC16" w14:textId="77777777" w:rsidR="00A15BDF" w:rsidRDefault="00A15BDF" w:rsidP="00065160">
      <w:pPr>
        <w:spacing w:line="360" w:lineRule="auto"/>
        <w:rPr>
          <w:rFonts w:cstheme="minorHAnsi"/>
          <w:sz w:val="24"/>
          <w:szCs w:val="24"/>
        </w:rPr>
      </w:pPr>
    </w:p>
    <w:p w14:paraId="1A16B44E" w14:textId="77777777" w:rsidR="00A15BDF" w:rsidRDefault="00A15BDF" w:rsidP="00065160">
      <w:pPr>
        <w:spacing w:line="360" w:lineRule="auto"/>
        <w:rPr>
          <w:rFonts w:cstheme="minorHAnsi"/>
          <w:sz w:val="24"/>
          <w:szCs w:val="24"/>
        </w:rPr>
      </w:pPr>
    </w:p>
    <w:p w14:paraId="740FE5C8" w14:textId="77777777" w:rsidR="00A15BDF" w:rsidRDefault="00A15BDF" w:rsidP="00065160">
      <w:pPr>
        <w:spacing w:line="360" w:lineRule="auto"/>
        <w:rPr>
          <w:rFonts w:cstheme="minorHAnsi"/>
          <w:sz w:val="24"/>
          <w:szCs w:val="24"/>
        </w:rPr>
      </w:pPr>
    </w:p>
    <w:p w14:paraId="20EF1482" w14:textId="77777777" w:rsidR="00A15BDF" w:rsidRDefault="00A15BDF" w:rsidP="00065160">
      <w:pPr>
        <w:spacing w:line="360" w:lineRule="auto"/>
        <w:rPr>
          <w:rFonts w:cstheme="minorHAnsi"/>
          <w:sz w:val="24"/>
          <w:szCs w:val="24"/>
        </w:rPr>
      </w:pPr>
    </w:p>
    <w:p w14:paraId="0EF2739B" w14:textId="77777777" w:rsidR="00A15BDF" w:rsidRDefault="00A15BDF" w:rsidP="00065160">
      <w:pPr>
        <w:spacing w:line="360" w:lineRule="auto"/>
        <w:rPr>
          <w:rFonts w:cstheme="minorHAnsi"/>
          <w:sz w:val="24"/>
          <w:szCs w:val="24"/>
        </w:rPr>
      </w:pPr>
    </w:p>
    <w:p w14:paraId="0649B384" w14:textId="77777777" w:rsidR="00A15BDF" w:rsidRDefault="00A15BDF" w:rsidP="00065160">
      <w:pPr>
        <w:spacing w:line="360" w:lineRule="auto"/>
        <w:rPr>
          <w:rFonts w:cstheme="minorHAnsi"/>
          <w:sz w:val="24"/>
          <w:szCs w:val="24"/>
        </w:rPr>
      </w:pPr>
    </w:p>
    <w:p w14:paraId="547876E4" w14:textId="77777777" w:rsidR="00A15BDF" w:rsidRDefault="00A15BDF" w:rsidP="00065160">
      <w:pPr>
        <w:spacing w:line="360" w:lineRule="auto"/>
        <w:rPr>
          <w:rFonts w:cstheme="minorHAnsi"/>
          <w:sz w:val="24"/>
          <w:szCs w:val="24"/>
        </w:rPr>
      </w:pPr>
    </w:p>
    <w:p w14:paraId="2C75DB8D" w14:textId="77777777" w:rsidR="00A15BDF" w:rsidRDefault="00A15BDF" w:rsidP="00065160">
      <w:pPr>
        <w:spacing w:line="360" w:lineRule="auto"/>
        <w:rPr>
          <w:rFonts w:cstheme="minorHAnsi"/>
          <w:sz w:val="24"/>
          <w:szCs w:val="24"/>
        </w:rPr>
      </w:pPr>
    </w:p>
    <w:p w14:paraId="40747814" w14:textId="77777777" w:rsidR="00A15BDF" w:rsidRDefault="00A15BDF" w:rsidP="00065160">
      <w:pPr>
        <w:spacing w:line="360" w:lineRule="auto"/>
        <w:rPr>
          <w:rFonts w:cstheme="minorHAnsi"/>
          <w:sz w:val="24"/>
          <w:szCs w:val="24"/>
        </w:rPr>
      </w:pPr>
    </w:p>
    <w:p w14:paraId="4F2F7886" w14:textId="77777777" w:rsidR="00A15BDF" w:rsidRDefault="00A15BDF" w:rsidP="00065160">
      <w:pPr>
        <w:spacing w:line="360" w:lineRule="auto"/>
        <w:rPr>
          <w:rFonts w:cstheme="minorHAnsi"/>
          <w:sz w:val="24"/>
          <w:szCs w:val="24"/>
        </w:rPr>
      </w:pPr>
    </w:p>
    <w:p w14:paraId="6B2F7DAD" w14:textId="77777777" w:rsidR="00A15BDF" w:rsidRDefault="00A15BDF" w:rsidP="00065160">
      <w:pPr>
        <w:spacing w:line="360" w:lineRule="auto"/>
        <w:rPr>
          <w:rFonts w:cstheme="minorHAnsi"/>
          <w:sz w:val="24"/>
          <w:szCs w:val="24"/>
        </w:rPr>
      </w:pPr>
    </w:p>
    <w:p w14:paraId="17F53D40" w14:textId="77777777" w:rsidR="00A15BDF" w:rsidRDefault="00A15BDF" w:rsidP="00065160">
      <w:pPr>
        <w:spacing w:line="360" w:lineRule="auto"/>
        <w:rPr>
          <w:rFonts w:cstheme="minorHAnsi"/>
          <w:b/>
          <w:sz w:val="24"/>
          <w:szCs w:val="24"/>
        </w:rPr>
      </w:pPr>
      <w:r w:rsidRPr="00A15BDF">
        <w:rPr>
          <w:rFonts w:cstheme="minorHAnsi"/>
          <w:b/>
          <w:sz w:val="24"/>
          <w:szCs w:val="24"/>
        </w:rPr>
        <w:t>References</w:t>
      </w:r>
    </w:p>
    <w:tbl>
      <w:tblPr>
        <w:tblW w:w="0" w:type="auto"/>
        <w:tblCellMar>
          <w:top w:w="15" w:type="dxa"/>
          <w:left w:w="15" w:type="dxa"/>
          <w:bottom w:w="15" w:type="dxa"/>
          <w:right w:w="15" w:type="dxa"/>
        </w:tblCellMar>
        <w:tblLook w:val="04A0" w:firstRow="1" w:lastRow="0" w:firstColumn="1" w:lastColumn="0" w:noHBand="0" w:noVBand="1"/>
      </w:tblPr>
      <w:tblGrid>
        <w:gridCol w:w="540"/>
        <w:gridCol w:w="8850"/>
      </w:tblGrid>
      <w:tr w:rsidR="00A15BDF" w:rsidRPr="00623D8D" w14:paraId="5368532C" w14:textId="77777777" w:rsidTr="00D044BB">
        <w:tc>
          <w:tcPr>
            <w:tcW w:w="540" w:type="dxa"/>
            <w:hideMark/>
          </w:tcPr>
          <w:p w14:paraId="363B8D34" w14:textId="77777777" w:rsidR="00A15BDF" w:rsidRPr="00623D8D" w:rsidRDefault="00A15BDF" w:rsidP="00D044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sidRPr="00623D8D">
              <w:rPr>
                <w:rFonts w:ascii="Times New Roman" w:eastAsia="Times New Roman" w:hAnsi="Times New Roman" w:cs="Times New Roman"/>
                <w:sz w:val="24"/>
                <w:szCs w:val="24"/>
              </w:rPr>
              <w:t>]</w:t>
            </w:r>
          </w:p>
        </w:tc>
        <w:tc>
          <w:tcPr>
            <w:tcW w:w="0" w:type="auto"/>
            <w:hideMark/>
          </w:tcPr>
          <w:p w14:paraId="25A4CC46" w14:textId="77777777" w:rsidR="00A15BDF" w:rsidRDefault="00A15BDF" w:rsidP="00D044BB">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M. Reavy, “Rules and the real world an examination of information graphics intimeandNewsweek,” Vis. Commun. Q., vol. 10, no. 4, pp. 4–10, 2003.</w:t>
            </w:r>
          </w:p>
          <w:p w14:paraId="3E3D5EBD" w14:textId="77777777" w:rsidR="00A15BDF" w:rsidRPr="00623D8D" w:rsidRDefault="00A15BDF" w:rsidP="00D044BB">
            <w:pPr>
              <w:spacing w:after="0" w:line="240" w:lineRule="auto"/>
              <w:rPr>
                <w:rFonts w:ascii="Times New Roman" w:eastAsia="Times New Roman" w:hAnsi="Times New Roman" w:cs="Times New Roman"/>
                <w:sz w:val="24"/>
                <w:szCs w:val="24"/>
              </w:rPr>
            </w:pPr>
          </w:p>
        </w:tc>
      </w:tr>
      <w:tr w:rsidR="00A15BDF" w:rsidRPr="00623D8D" w14:paraId="7D58BB84" w14:textId="77777777" w:rsidTr="00A15BDF">
        <w:tc>
          <w:tcPr>
            <w:tcW w:w="540" w:type="dxa"/>
            <w:hideMark/>
          </w:tcPr>
          <w:p w14:paraId="644BA902" w14:textId="77777777" w:rsidR="00A15BDF" w:rsidRPr="00623D8D" w:rsidRDefault="00A15BDF" w:rsidP="00D044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623D8D">
              <w:rPr>
                <w:rFonts w:ascii="Times New Roman" w:eastAsia="Times New Roman" w:hAnsi="Times New Roman" w:cs="Times New Roman"/>
                <w:sz w:val="24"/>
                <w:szCs w:val="24"/>
              </w:rPr>
              <w:t>]</w:t>
            </w:r>
          </w:p>
        </w:tc>
        <w:tc>
          <w:tcPr>
            <w:tcW w:w="0" w:type="auto"/>
            <w:hideMark/>
          </w:tcPr>
          <w:p w14:paraId="459F8C64" w14:textId="77777777" w:rsidR="00A15BDF" w:rsidRDefault="00A15BDF" w:rsidP="00D044BB">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J. Krauss, “Infographics: More than words can say,” Learn. Lead. technol., vol. 39, no. 5, pp. 10–14, 2012.</w:t>
            </w:r>
          </w:p>
          <w:p w14:paraId="14D9A9EE" w14:textId="77777777" w:rsidR="00A15BDF" w:rsidRPr="00623D8D" w:rsidRDefault="00A15BDF" w:rsidP="00D044BB">
            <w:pPr>
              <w:spacing w:after="0" w:line="240" w:lineRule="auto"/>
              <w:rPr>
                <w:rFonts w:ascii="Times New Roman" w:eastAsia="Times New Roman" w:hAnsi="Times New Roman" w:cs="Times New Roman"/>
                <w:sz w:val="24"/>
                <w:szCs w:val="24"/>
              </w:rPr>
            </w:pPr>
          </w:p>
        </w:tc>
      </w:tr>
      <w:tr w:rsidR="00A15BDF" w:rsidRPr="00A15BDF" w14:paraId="604D24FE" w14:textId="77777777" w:rsidTr="00A15BDF">
        <w:tc>
          <w:tcPr>
            <w:tcW w:w="540" w:type="dxa"/>
            <w:hideMark/>
          </w:tcPr>
          <w:p w14:paraId="501EAFA9" w14:textId="77777777" w:rsidR="00A15BDF" w:rsidRPr="00A15BDF" w:rsidRDefault="00A15BDF" w:rsidP="00A15B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A15BDF">
              <w:rPr>
                <w:rFonts w:ascii="Times New Roman" w:eastAsia="Times New Roman" w:hAnsi="Times New Roman" w:cs="Times New Roman"/>
                <w:sz w:val="24"/>
                <w:szCs w:val="24"/>
              </w:rPr>
              <w:t>]</w:t>
            </w:r>
          </w:p>
        </w:tc>
        <w:tc>
          <w:tcPr>
            <w:tcW w:w="0" w:type="auto"/>
            <w:hideMark/>
          </w:tcPr>
          <w:p w14:paraId="4445D836" w14:textId="77777777" w:rsidR="00A15BDF" w:rsidRDefault="00A15BDF" w:rsidP="00A15BDF">
            <w:pPr>
              <w:spacing w:after="0" w:line="240" w:lineRule="auto"/>
              <w:rPr>
                <w:rFonts w:ascii="Times New Roman" w:eastAsia="Times New Roman" w:hAnsi="Times New Roman" w:cs="Times New Roman"/>
                <w:sz w:val="24"/>
                <w:szCs w:val="24"/>
              </w:rPr>
            </w:pPr>
            <w:r w:rsidRPr="00A15BDF">
              <w:rPr>
                <w:rFonts w:ascii="Times New Roman" w:eastAsia="Times New Roman" w:hAnsi="Times New Roman" w:cs="Times New Roman"/>
                <w:sz w:val="24"/>
                <w:szCs w:val="24"/>
              </w:rPr>
              <w:t>S. Osendarp et al., “The COVID-19 crisis will exacerbate maternal and child undernutrition and child mortality in low- and middle-income countries,” Nat Food, vol. 2, no. 7, pp. 476–484, 2021.</w:t>
            </w:r>
          </w:p>
          <w:p w14:paraId="46846616" w14:textId="77777777" w:rsidR="00A15BDF" w:rsidRPr="00A15BDF" w:rsidRDefault="00A15BDF" w:rsidP="00A15BDF">
            <w:pPr>
              <w:spacing w:after="0" w:line="240" w:lineRule="auto"/>
              <w:rPr>
                <w:rFonts w:ascii="Times New Roman" w:eastAsia="Times New Roman" w:hAnsi="Times New Roman" w:cs="Times New Roman"/>
                <w:sz w:val="24"/>
                <w:szCs w:val="24"/>
              </w:rPr>
            </w:pPr>
          </w:p>
        </w:tc>
      </w:tr>
      <w:tr w:rsidR="00A15BDF" w:rsidRPr="00A15BDF" w14:paraId="0BEFBFAF" w14:textId="77777777" w:rsidTr="00A15BDF">
        <w:tc>
          <w:tcPr>
            <w:tcW w:w="540" w:type="dxa"/>
            <w:hideMark/>
          </w:tcPr>
          <w:p w14:paraId="0A911DA9" w14:textId="77777777" w:rsidR="00A15BDF" w:rsidRPr="00A15BDF" w:rsidRDefault="00A15BDF" w:rsidP="00A15B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A15BDF">
              <w:rPr>
                <w:rFonts w:ascii="Times New Roman" w:eastAsia="Times New Roman" w:hAnsi="Times New Roman" w:cs="Times New Roman"/>
                <w:sz w:val="24"/>
                <w:szCs w:val="24"/>
              </w:rPr>
              <w:t>]</w:t>
            </w:r>
          </w:p>
        </w:tc>
        <w:tc>
          <w:tcPr>
            <w:tcW w:w="0" w:type="auto"/>
            <w:hideMark/>
          </w:tcPr>
          <w:p w14:paraId="7C2B99C2" w14:textId="77777777" w:rsidR="00A15BDF" w:rsidRDefault="00A15BDF" w:rsidP="00A15BDF">
            <w:pPr>
              <w:spacing w:after="0" w:line="240" w:lineRule="auto"/>
              <w:rPr>
                <w:rFonts w:ascii="Times New Roman" w:eastAsia="Times New Roman" w:hAnsi="Times New Roman" w:cs="Times New Roman"/>
                <w:sz w:val="24"/>
                <w:szCs w:val="24"/>
              </w:rPr>
            </w:pPr>
            <w:r w:rsidRPr="00A15BDF">
              <w:rPr>
                <w:rFonts w:ascii="Times New Roman" w:eastAsia="Times New Roman" w:hAnsi="Times New Roman" w:cs="Times New Roman"/>
                <w:sz w:val="24"/>
                <w:szCs w:val="24"/>
              </w:rPr>
              <w:t xml:space="preserve">“Simple data visualizations have become key to communicating about the COVID-19 pandemic, but we know little about their impact,” Impact of Social Sciences, 04-May-2020. [Online]. </w:t>
            </w:r>
          </w:p>
          <w:p w14:paraId="2FB69E9D" w14:textId="77777777" w:rsidR="00A15BDF" w:rsidRPr="00A15BDF" w:rsidRDefault="00A15BDF" w:rsidP="00A15BDF">
            <w:pPr>
              <w:spacing w:after="0" w:line="240" w:lineRule="auto"/>
              <w:rPr>
                <w:rFonts w:ascii="Times New Roman" w:eastAsia="Times New Roman" w:hAnsi="Times New Roman" w:cs="Times New Roman"/>
                <w:sz w:val="24"/>
                <w:szCs w:val="24"/>
              </w:rPr>
            </w:pPr>
          </w:p>
        </w:tc>
      </w:tr>
      <w:tr w:rsidR="00A15BDF" w:rsidRPr="00A15BDF" w14:paraId="133D0A83" w14:textId="77777777" w:rsidTr="00A15BDF">
        <w:tc>
          <w:tcPr>
            <w:tcW w:w="540" w:type="dxa"/>
            <w:hideMark/>
          </w:tcPr>
          <w:p w14:paraId="07995D77" w14:textId="77777777" w:rsidR="00A15BDF" w:rsidRPr="00A15BDF" w:rsidRDefault="00A15BDF" w:rsidP="00A15B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A15BDF">
              <w:rPr>
                <w:rFonts w:ascii="Times New Roman" w:eastAsia="Times New Roman" w:hAnsi="Times New Roman" w:cs="Times New Roman"/>
                <w:sz w:val="24"/>
                <w:szCs w:val="24"/>
              </w:rPr>
              <w:t>]</w:t>
            </w:r>
          </w:p>
        </w:tc>
        <w:tc>
          <w:tcPr>
            <w:tcW w:w="0" w:type="auto"/>
            <w:hideMark/>
          </w:tcPr>
          <w:p w14:paraId="21A35D3F" w14:textId="77777777" w:rsidR="00A15BDF" w:rsidRPr="00A15BDF" w:rsidRDefault="00A15BDF" w:rsidP="00A15BDF">
            <w:pPr>
              <w:spacing w:after="0" w:line="240" w:lineRule="auto"/>
              <w:rPr>
                <w:rFonts w:ascii="Times New Roman" w:eastAsia="Times New Roman" w:hAnsi="Times New Roman" w:cs="Times New Roman"/>
                <w:sz w:val="24"/>
                <w:szCs w:val="24"/>
              </w:rPr>
            </w:pPr>
            <w:r w:rsidRPr="00A15BDF">
              <w:rPr>
                <w:rFonts w:ascii="Times New Roman" w:eastAsia="Times New Roman" w:hAnsi="Times New Roman" w:cs="Times New Roman"/>
                <w:sz w:val="24"/>
                <w:szCs w:val="24"/>
              </w:rPr>
              <w:t xml:space="preserve">“UpToDate,” Uptodate.com. [Online]. </w:t>
            </w:r>
          </w:p>
        </w:tc>
      </w:tr>
    </w:tbl>
    <w:p w14:paraId="27C90827" w14:textId="77777777" w:rsidR="00A15BDF" w:rsidRDefault="00A15BDF" w:rsidP="00065160">
      <w:pPr>
        <w:spacing w:line="360" w:lineRule="auto"/>
        <w:rPr>
          <w:rFonts w:cstheme="minorHAnsi"/>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40"/>
        <w:gridCol w:w="6995"/>
      </w:tblGrid>
      <w:tr w:rsidR="00A15BDF" w:rsidRPr="00A15BDF" w14:paraId="7D19C529" w14:textId="77777777" w:rsidTr="00A15BDF">
        <w:tc>
          <w:tcPr>
            <w:tcW w:w="540" w:type="dxa"/>
            <w:hideMark/>
          </w:tcPr>
          <w:p w14:paraId="664A7B5C" w14:textId="77777777" w:rsidR="00A15BDF" w:rsidRPr="00A15BDF" w:rsidRDefault="00A15BDF" w:rsidP="00A15B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A15BDF">
              <w:rPr>
                <w:rFonts w:ascii="Times New Roman" w:eastAsia="Times New Roman" w:hAnsi="Times New Roman" w:cs="Times New Roman"/>
                <w:sz w:val="24"/>
                <w:szCs w:val="24"/>
              </w:rPr>
              <w:t>]</w:t>
            </w:r>
          </w:p>
        </w:tc>
        <w:tc>
          <w:tcPr>
            <w:tcW w:w="0" w:type="auto"/>
            <w:hideMark/>
          </w:tcPr>
          <w:p w14:paraId="526B654B" w14:textId="77777777" w:rsidR="00A15BDF" w:rsidRPr="00A15BDF" w:rsidRDefault="00A15BDF" w:rsidP="00A15BDF">
            <w:pPr>
              <w:spacing w:after="0" w:line="240" w:lineRule="auto"/>
              <w:rPr>
                <w:rFonts w:ascii="Times New Roman" w:eastAsia="Times New Roman" w:hAnsi="Times New Roman" w:cs="Times New Roman"/>
                <w:sz w:val="24"/>
                <w:szCs w:val="24"/>
              </w:rPr>
            </w:pPr>
            <w:r w:rsidRPr="00A15BDF">
              <w:rPr>
                <w:rFonts w:ascii="Times New Roman" w:eastAsia="Times New Roman" w:hAnsi="Times New Roman" w:cs="Times New Roman"/>
                <w:sz w:val="24"/>
                <w:szCs w:val="24"/>
              </w:rPr>
              <w:t xml:space="preserve">“COVID-19 Coronavirus infographic </w:t>
            </w:r>
            <w:proofErr w:type="spellStart"/>
            <w:r w:rsidRPr="00A15BDF">
              <w:rPr>
                <w:rFonts w:ascii="Times New Roman" w:eastAsia="Times New Roman" w:hAnsi="Times New Roman" w:cs="Times New Roman"/>
                <w:sz w:val="24"/>
                <w:szCs w:val="24"/>
              </w:rPr>
              <w:t>datapack</w:t>
            </w:r>
            <w:proofErr w:type="spellEnd"/>
            <w:r w:rsidRPr="00A15BDF">
              <w:rPr>
                <w:rFonts w:ascii="Times New Roman" w:eastAsia="Times New Roman" w:hAnsi="Times New Roman" w:cs="Times New Roman"/>
                <w:sz w:val="24"/>
                <w:szCs w:val="24"/>
              </w:rPr>
              <w:t>,” </w:t>
            </w:r>
            <w:r w:rsidRPr="00A15BDF">
              <w:rPr>
                <w:rFonts w:ascii="Times New Roman" w:eastAsia="Times New Roman" w:hAnsi="Times New Roman" w:cs="Times New Roman"/>
                <w:i/>
                <w:iCs/>
                <w:sz w:val="24"/>
                <w:szCs w:val="24"/>
              </w:rPr>
              <w:t>Harvard.edu</w:t>
            </w:r>
            <w:r w:rsidRPr="00A15BDF">
              <w:rPr>
                <w:rFonts w:ascii="Times New Roman" w:eastAsia="Times New Roman" w:hAnsi="Times New Roman" w:cs="Times New Roman"/>
                <w:sz w:val="24"/>
                <w:szCs w:val="24"/>
              </w:rPr>
              <w:t xml:space="preserve">. [Online]. </w:t>
            </w:r>
          </w:p>
        </w:tc>
      </w:tr>
    </w:tbl>
    <w:p w14:paraId="60ADAAB5" w14:textId="77777777" w:rsidR="00A15BDF" w:rsidRDefault="00A15BDF" w:rsidP="00065160">
      <w:pPr>
        <w:spacing w:line="360" w:lineRule="auto"/>
        <w:rPr>
          <w:rFonts w:cstheme="minorHAnsi"/>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40"/>
        <w:gridCol w:w="8850"/>
      </w:tblGrid>
      <w:tr w:rsidR="005241B5" w:rsidRPr="005241B5" w14:paraId="2DD683B0" w14:textId="77777777" w:rsidTr="005241B5">
        <w:tc>
          <w:tcPr>
            <w:tcW w:w="540" w:type="dxa"/>
            <w:hideMark/>
          </w:tcPr>
          <w:p w14:paraId="017AC27E" w14:textId="77777777" w:rsidR="005241B5" w:rsidRPr="005241B5" w:rsidRDefault="005241B5" w:rsidP="005241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5241B5">
              <w:rPr>
                <w:rFonts w:ascii="Times New Roman" w:eastAsia="Times New Roman" w:hAnsi="Times New Roman" w:cs="Times New Roman"/>
                <w:sz w:val="24"/>
                <w:szCs w:val="24"/>
              </w:rPr>
              <w:t>]</w:t>
            </w:r>
          </w:p>
        </w:tc>
        <w:tc>
          <w:tcPr>
            <w:tcW w:w="0" w:type="auto"/>
            <w:hideMark/>
          </w:tcPr>
          <w:p w14:paraId="5D83FBFE" w14:textId="77777777" w:rsidR="005241B5" w:rsidRDefault="005241B5" w:rsidP="005241B5">
            <w:pPr>
              <w:spacing w:after="0" w:line="240" w:lineRule="auto"/>
              <w:rPr>
                <w:rFonts w:ascii="Times New Roman" w:eastAsia="Times New Roman" w:hAnsi="Times New Roman" w:cs="Times New Roman"/>
                <w:sz w:val="24"/>
                <w:szCs w:val="24"/>
              </w:rPr>
            </w:pPr>
            <w:r w:rsidRPr="005241B5">
              <w:rPr>
                <w:rFonts w:ascii="Times New Roman" w:eastAsia="Times New Roman" w:hAnsi="Times New Roman" w:cs="Times New Roman"/>
                <w:sz w:val="24"/>
                <w:szCs w:val="24"/>
              </w:rPr>
              <w:t>L. Zhang </w:t>
            </w:r>
            <w:r w:rsidRPr="005241B5">
              <w:rPr>
                <w:rFonts w:ascii="Times New Roman" w:eastAsia="Times New Roman" w:hAnsi="Times New Roman" w:cs="Times New Roman"/>
                <w:i/>
                <w:iCs/>
                <w:sz w:val="24"/>
                <w:szCs w:val="24"/>
              </w:rPr>
              <w:t>et al.</w:t>
            </w:r>
            <w:r w:rsidRPr="005241B5">
              <w:rPr>
                <w:rFonts w:ascii="Times New Roman" w:eastAsia="Times New Roman" w:hAnsi="Times New Roman" w:cs="Times New Roman"/>
                <w:sz w:val="24"/>
                <w:szCs w:val="24"/>
              </w:rPr>
              <w:t>, “Interactive COVID-19 mobility impact and social distancing analysis platform,” </w:t>
            </w:r>
            <w:r w:rsidRPr="005241B5">
              <w:rPr>
                <w:rFonts w:ascii="Times New Roman" w:eastAsia="Times New Roman" w:hAnsi="Times New Roman" w:cs="Times New Roman"/>
                <w:i/>
                <w:iCs/>
                <w:sz w:val="24"/>
                <w:szCs w:val="24"/>
              </w:rPr>
              <w:t>Transp. Res. Rec.</w:t>
            </w:r>
            <w:r w:rsidRPr="005241B5">
              <w:rPr>
                <w:rFonts w:ascii="Times New Roman" w:eastAsia="Times New Roman" w:hAnsi="Times New Roman" w:cs="Times New Roman"/>
                <w:sz w:val="24"/>
                <w:szCs w:val="24"/>
              </w:rPr>
              <w:t>, p. 036119812110438, 2021.</w:t>
            </w:r>
          </w:p>
          <w:p w14:paraId="2B671D29" w14:textId="77777777" w:rsidR="005241B5" w:rsidRPr="005241B5" w:rsidRDefault="005241B5" w:rsidP="005241B5">
            <w:pPr>
              <w:spacing w:after="0" w:line="240" w:lineRule="auto"/>
              <w:rPr>
                <w:rFonts w:ascii="Times New Roman" w:eastAsia="Times New Roman" w:hAnsi="Times New Roman" w:cs="Times New Roman"/>
                <w:sz w:val="24"/>
                <w:szCs w:val="24"/>
              </w:rPr>
            </w:pPr>
          </w:p>
        </w:tc>
      </w:tr>
      <w:tr w:rsidR="005241B5" w:rsidRPr="005241B5" w14:paraId="6CA85541" w14:textId="77777777" w:rsidTr="005241B5">
        <w:tc>
          <w:tcPr>
            <w:tcW w:w="540" w:type="dxa"/>
            <w:hideMark/>
          </w:tcPr>
          <w:p w14:paraId="1986CFF4" w14:textId="77777777" w:rsidR="005241B5" w:rsidRPr="005241B5" w:rsidRDefault="005241B5" w:rsidP="005241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5241B5">
              <w:rPr>
                <w:rFonts w:ascii="Times New Roman" w:eastAsia="Times New Roman" w:hAnsi="Times New Roman" w:cs="Times New Roman"/>
                <w:sz w:val="24"/>
                <w:szCs w:val="24"/>
              </w:rPr>
              <w:t>]</w:t>
            </w:r>
          </w:p>
        </w:tc>
        <w:tc>
          <w:tcPr>
            <w:tcW w:w="0" w:type="auto"/>
            <w:hideMark/>
          </w:tcPr>
          <w:p w14:paraId="63E49563" w14:textId="77777777" w:rsidR="005241B5" w:rsidRDefault="005241B5" w:rsidP="005241B5">
            <w:pPr>
              <w:spacing w:after="0" w:line="240" w:lineRule="auto"/>
              <w:rPr>
                <w:rFonts w:ascii="Times New Roman" w:eastAsia="Times New Roman" w:hAnsi="Times New Roman" w:cs="Times New Roman"/>
                <w:sz w:val="24"/>
                <w:szCs w:val="24"/>
              </w:rPr>
            </w:pPr>
            <w:r w:rsidRPr="005241B5">
              <w:rPr>
                <w:rFonts w:ascii="Times New Roman" w:eastAsia="Times New Roman" w:hAnsi="Times New Roman" w:cs="Times New Roman"/>
                <w:sz w:val="24"/>
                <w:szCs w:val="24"/>
              </w:rPr>
              <w:t xml:space="preserve">A. </w:t>
            </w:r>
            <w:proofErr w:type="spellStart"/>
            <w:r w:rsidRPr="005241B5">
              <w:rPr>
                <w:rFonts w:ascii="Times New Roman" w:eastAsia="Times New Roman" w:hAnsi="Times New Roman" w:cs="Times New Roman"/>
                <w:sz w:val="24"/>
                <w:szCs w:val="24"/>
              </w:rPr>
              <w:t>Sarker</w:t>
            </w:r>
            <w:proofErr w:type="spellEnd"/>
            <w:r w:rsidRPr="005241B5">
              <w:rPr>
                <w:rFonts w:ascii="Times New Roman" w:eastAsia="Times New Roman" w:hAnsi="Times New Roman" w:cs="Times New Roman"/>
                <w:sz w:val="24"/>
                <w:szCs w:val="24"/>
              </w:rPr>
              <w:t xml:space="preserve">, S. </w:t>
            </w:r>
            <w:proofErr w:type="spellStart"/>
            <w:r w:rsidRPr="005241B5">
              <w:rPr>
                <w:rFonts w:ascii="Times New Roman" w:eastAsia="Times New Roman" w:hAnsi="Times New Roman" w:cs="Times New Roman"/>
                <w:sz w:val="24"/>
                <w:szCs w:val="24"/>
              </w:rPr>
              <w:t>Lakamana</w:t>
            </w:r>
            <w:proofErr w:type="spellEnd"/>
            <w:r w:rsidRPr="005241B5">
              <w:rPr>
                <w:rFonts w:ascii="Times New Roman" w:eastAsia="Times New Roman" w:hAnsi="Times New Roman" w:cs="Times New Roman"/>
                <w:sz w:val="24"/>
                <w:szCs w:val="24"/>
              </w:rPr>
              <w:t xml:space="preserve">, W. Hogg-Bremer, A. </w:t>
            </w:r>
            <w:proofErr w:type="spellStart"/>
            <w:r w:rsidRPr="005241B5">
              <w:rPr>
                <w:rFonts w:ascii="Times New Roman" w:eastAsia="Times New Roman" w:hAnsi="Times New Roman" w:cs="Times New Roman"/>
                <w:sz w:val="24"/>
                <w:szCs w:val="24"/>
              </w:rPr>
              <w:t>Xie</w:t>
            </w:r>
            <w:proofErr w:type="spellEnd"/>
            <w:r w:rsidRPr="005241B5">
              <w:rPr>
                <w:rFonts w:ascii="Times New Roman" w:eastAsia="Times New Roman" w:hAnsi="Times New Roman" w:cs="Times New Roman"/>
                <w:sz w:val="24"/>
                <w:szCs w:val="24"/>
              </w:rPr>
              <w:t>, M. A. Al-</w:t>
            </w:r>
            <w:proofErr w:type="spellStart"/>
            <w:r w:rsidRPr="005241B5">
              <w:rPr>
                <w:rFonts w:ascii="Times New Roman" w:eastAsia="Times New Roman" w:hAnsi="Times New Roman" w:cs="Times New Roman"/>
                <w:sz w:val="24"/>
                <w:szCs w:val="24"/>
              </w:rPr>
              <w:t>Garadi</w:t>
            </w:r>
            <w:proofErr w:type="spellEnd"/>
            <w:r w:rsidRPr="005241B5">
              <w:rPr>
                <w:rFonts w:ascii="Times New Roman" w:eastAsia="Times New Roman" w:hAnsi="Times New Roman" w:cs="Times New Roman"/>
                <w:sz w:val="24"/>
                <w:szCs w:val="24"/>
              </w:rPr>
              <w:t>, and Y.-C. Yang, “Self-reported COVID-19 symptoms on Twitter: an analysis and a research resource,” J. Am. Med. Inform. Assoc., vol. 27, no. 8, pp. 1310–1315, 2020.</w:t>
            </w:r>
          </w:p>
          <w:p w14:paraId="5343D752" w14:textId="77777777" w:rsidR="005241B5" w:rsidRPr="005241B5" w:rsidRDefault="005241B5" w:rsidP="005241B5">
            <w:pPr>
              <w:spacing w:after="0" w:line="240" w:lineRule="auto"/>
              <w:rPr>
                <w:rFonts w:ascii="Times New Roman" w:eastAsia="Times New Roman" w:hAnsi="Times New Roman" w:cs="Times New Roman"/>
                <w:sz w:val="24"/>
                <w:szCs w:val="24"/>
              </w:rPr>
            </w:pPr>
          </w:p>
        </w:tc>
      </w:tr>
      <w:tr w:rsidR="005241B5" w:rsidRPr="005241B5" w14:paraId="751DD9FA" w14:textId="77777777" w:rsidTr="005241B5">
        <w:tc>
          <w:tcPr>
            <w:tcW w:w="540" w:type="dxa"/>
            <w:hideMark/>
          </w:tcPr>
          <w:p w14:paraId="10DB911B" w14:textId="77777777" w:rsidR="005241B5" w:rsidRPr="005241B5" w:rsidRDefault="005241B5" w:rsidP="005241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5241B5">
              <w:rPr>
                <w:rFonts w:ascii="Times New Roman" w:eastAsia="Times New Roman" w:hAnsi="Times New Roman" w:cs="Times New Roman"/>
                <w:sz w:val="24"/>
                <w:szCs w:val="24"/>
              </w:rPr>
              <w:t>]</w:t>
            </w:r>
          </w:p>
        </w:tc>
        <w:tc>
          <w:tcPr>
            <w:tcW w:w="0" w:type="auto"/>
            <w:hideMark/>
          </w:tcPr>
          <w:p w14:paraId="525A8143" w14:textId="77777777" w:rsidR="005241B5" w:rsidRPr="005241B5" w:rsidRDefault="005241B5" w:rsidP="005241B5">
            <w:pPr>
              <w:spacing w:after="0" w:line="240" w:lineRule="auto"/>
              <w:rPr>
                <w:rFonts w:ascii="Times New Roman" w:eastAsia="Times New Roman" w:hAnsi="Times New Roman" w:cs="Times New Roman"/>
                <w:sz w:val="24"/>
                <w:szCs w:val="24"/>
              </w:rPr>
            </w:pPr>
            <w:r w:rsidRPr="005241B5">
              <w:rPr>
                <w:rFonts w:ascii="Times New Roman" w:eastAsia="Times New Roman" w:hAnsi="Times New Roman" w:cs="Times New Roman"/>
                <w:sz w:val="24"/>
                <w:szCs w:val="24"/>
              </w:rPr>
              <w:t xml:space="preserve">Sciencedirect.com. [Online]. </w:t>
            </w:r>
          </w:p>
        </w:tc>
      </w:tr>
    </w:tbl>
    <w:p w14:paraId="15404894" w14:textId="77777777" w:rsidR="005241B5" w:rsidRDefault="005241B5" w:rsidP="00065160">
      <w:pPr>
        <w:spacing w:line="360" w:lineRule="auto"/>
        <w:rPr>
          <w:rFonts w:cstheme="minorHAnsi"/>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40"/>
        <w:gridCol w:w="8850"/>
      </w:tblGrid>
      <w:tr w:rsidR="005241B5" w:rsidRPr="005241B5" w14:paraId="43556848" w14:textId="77777777" w:rsidTr="005241B5">
        <w:tc>
          <w:tcPr>
            <w:tcW w:w="540" w:type="dxa"/>
            <w:hideMark/>
          </w:tcPr>
          <w:p w14:paraId="5E2D19E0" w14:textId="77777777" w:rsidR="005241B5" w:rsidRPr="005241B5" w:rsidRDefault="005241B5" w:rsidP="005241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5241B5">
              <w:rPr>
                <w:rFonts w:ascii="Times New Roman" w:eastAsia="Times New Roman" w:hAnsi="Times New Roman" w:cs="Times New Roman"/>
                <w:sz w:val="24"/>
                <w:szCs w:val="24"/>
              </w:rPr>
              <w:t>]</w:t>
            </w:r>
          </w:p>
        </w:tc>
        <w:tc>
          <w:tcPr>
            <w:tcW w:w="0" w:type="auto"/>
            <w:hideMark/>
          </w:tcPr>
          <w:p w14:paraId="0346847D" w14:textId="77777777" w:rsidR="005241B5" w:rsidRPr="005241B5" w:rsidRDefault="005241B5" w:rsidP="005241B5">
            <w:pPr>
              <w:spacing w:after="0" w:line="240" w:lineRule="auto"/>
              <w:rPr>
                <w:rFonts w:ascii="Times New Roman" w:eastAsia="Times New Roman" w:hAnsi="Times New Roman" w:cs="Times New Roman"/>
                <w:sz w:val="24"/>
                <w:szCs w:val="24"/>
              </w:rPr>
            </w:pPr>
            <w:r w:rsidRPr="005241B5">
              <w:rPr>
                <w:rFonts w:ascii="Times New Roman" w:eastAsia="Times New Roman" w:hAnsi="Times New Roman" w:cs="Times New Roman"/>
                <w:sz w:val="24"/>
                <w:szCs w:val="24"/>
              </w:rPr>
              <w:t>H. Ali </w:t>
            </w:r>
            <w:r w:rsidRPr="005241B5">
              <w:rPr>
                <w:rFonts w:ascii="Times New Roman" w:eastAsia="Times New Roman" w:hAnsi="Times New Roman" w:cs="Times New Roman"/>
                <w:i/>
                <w:iCs/>
                <w:sz w:val="24"/>
                <w:szCs w:val="24"/>
              </w:rPr>
              <w:t>et al.</w:t>
            </w:r>
            <w:r w:rsidRPr="005241B5">
              <w:rPr>
                <w:rFonts w:ascii="Times New Roman" w:eastAsia="Times New Roman" w:hAnsi="Times New Roman" w:cs="Times New Roman"/>
                <w:sz w:val="24"/>
                <w:szCs w:val="24"/>
              </w:rPr>
              <w:t>, “Survival rate in acute kidney injury superimposed COVID-19 patients: a systematic review and meta-analysis,” </w:t>
            </w:r>
            <w:r w:rsidRPr="005241B5">
              <w:rPr>
                <w:rFonts w:ascii="Times New Roman" w:eastAsia="Times New Roman" w:hAnsi="Times New Roman" w:cs="Times New Roman"/>
                <w:i/>
                <w:iCs/>
                <w:sz w:val="24"/>
                <w:szCs w:val="24"/>
              </w:rPr>
              <w:t>Ren. Fail.</w:t>
            </w:r>
            <w:r w:rsidRPr="005241B5">
              <w:rPr>
                <w:rFonts w:ascii="Times New Roman" w:eastAsia="Times New Roman" w:hAnsi="Times New Roman" w:cs="Times New Roman"/>
                <w:sz w:val="24"/>
                <w:szCs w:val="24"/>
              </w:rPr>
              <w:t>, vol. 42, no. 1, pp. 393–397, 2020.</w:t>
            </w:r>
          </w:p>
        </w:tc>
      </w:tr>
    </w:tbl>
    <w:p w14:paraId="3E8E66D4" w14:textId="77777777" w:rsidR="005241B5" w:rsidRPr="00A15BDF" w:rsidRDefault="005241B5" w:rsidP="00065160">
      <w:pPr>
        <w:spacing w:line="360" w:lineRule="auto"/>
        <w:rPr>
          <w:rFonts w:cstheme="minorHAnsi"/>
          <w:sz w:val="24"/>
          <w:szCs w:val="24"/>
        </w:rPr>
      </w:pPr>
    </w:p>
    <w:sectPr w:rsidR="005241B5" w:rsidRPr="00A15B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0D7"/>
    <w:multiLevelType w:val="hybridMultilevel"/>
    <w:tmpl w:val="AFDC0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B7EA2"/>
    <w:multiLevelType w:val="hybridMultilevel"/>
    <w:tmpl w:val="DD489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5F087C"/>
    <w:multiLevelType w:val="hybridMultilevel"/>
    <w:tmpl w:val="5C4C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30E1"/>
    <w:rsid w:val="00065160"/>
    <w:rsid w:val="00111C0B"/>
    <w:rsid w:val="001D3A9D"/>
    <w:rsid w:val="001F096F"/>
    <w:rsid w:val="002771EF"/>
    <w:rsid w:val="00431AC6"/>
    <w:rsid w:val="004C0286"/>
    <w:rsid w:val="004D5A24"/>
    <w:rsid w:val="005241B5"/>
    <w:rsid w:val="00527109"/>
    <w:rsid w:val="005444BD"/>
    <w:rsid w:val="006C7F1A"/>
    <w:rsid w:val="00723014"/>
    <w:rsid w:val="008C650D"/>
    <w:rsid w:val="00920FD5"/>
    <w:rsid w:val="00922D94"/>
    <w:rsid w:val="00A15BDF"/>
    <w:rsid w:val="00A6407B"/>
    <w:rsid w:val="00C80619"/>
    <w:rsid w:val="00CB0651"/>
    <w:rsid w:val="00EA6FEB"/>
    <w:rsid w:val="00EE30E1"/>
    <w:rsid w:val="00F24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B88ED"/>
  <w15:docId w15:val="{0A6CC7F3-BBD5-4600-82AB-FFCE6D88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243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24333"/>
    <w:rPr>
      <w:rFonts w:asciiTheme="majorHAnsi" w:eastAsiaTheme="majorEastAsia" w:hAnsiTheme="majorHAnsi" w:cstheme="majorBidi"/>
      <w:b/>
      <w:bCs/>
      <w:color w:val="365F91" w:themeColor="accent1" w:themeShade="BF"/>
      <w:sz w:val="28"/>
      <w:szCs w:val="28"/>
    </w:rPr>
  </w:style>
  <w:style w:type="paragraph" w:styleId="Titlu">
    <w:name w:val="Title"/>
    <w:basedOn w:val="Normal"/>
    <w:next w:val="Normal"/>
    <w:link w:val="TitluCaracter"/>
    <w:uiPriority w:val="10"/>
    <w:qFormat/>
    <w:rsid w:val="00F243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24333"/>
    <w:rPr>
      <w:rFonts w:asciiTheme="majorHAnsi" w:eastAsiaTheme="majorEastAsia" w:hAnsiTheme="majorHAnsi" w:cstheme="majorBidi"/>
      <w:color w:val="17365D" w:themeColor="text2" w:themeShade="BF"/>
      <w:spacing w:val="5"/>
      <w:kern w:val="28"/>
      <w:sz w:val="52"/>
      <w:szCs w:val="52"/>
    </w:rPr>
  </w:style>
  <w:style w:type="paragraph" w:styleId="Listparagraf">
    <w:name w:val="List Paragraph"/>
    <w:basedOn w:val="Normal"/>
    <w:uiPriority w:val="34"/>
    <w:qFormat/>
    <w:rsid w:val="00C806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83307">
      <w:bodyDiv w:val="1"/>
      <w:marLeft w:val="0"/>
      <w:marRight w:val="0"/>
      <w:marTop w:val="0"/>
      <w:marBottom w:val="0"/>
      <w:divBdr>
        <w:top w:val="none" w:sz="0" w:space="0" w:color="auto"/>
        <w:left w:val="none" w:sz="0" w:space="0" w:color="auto"/>
        <w:bottom w:val="none" w:sz="0" w:space="0" w:color="auto"/>
        <w:right w:val="none" w:sz="0" w:space="0" w:color="auto"/>
      </w:divBdr>
      <w:divsChild>
        <w:div w:id="1418475780">
          <w:marLeft w:val="0"/>
          <w:marRight w:val="0"/>
          <w:marTop w:val="0"/>
          <w:marBottom w:val="0"/>
          <w:divBdr>
            <w:top w:val="none" w:sz="0" w:space="0" w:color="auto"/>
            <w:left w:val="none" w:sz="0" w:space="0" w:color="auto"/>
            <w:bottom w:val="none" w:sz="0" w:space="0" w:color="auto"/>
            <w:right w:val="none" w:sz="0" w:space="0" w:color="auto"/>
          </w:divBdr>
        </w:div>
      </w:divsChild>
    </w:div>
    <w:div w:id="213204844">
      <w:bodyDiv w:val="1"/>
      <w:marLeft w:val="0"/>
      <w:marRight w:val="0"/>
      <w:marTop w:val="0"/>
      <w:marBottom w:val="0"/>
      <w:divBdr>
        <w:top w:val="none" w:sz="0" w:space="0" w:color="auto"/>
        <w:left w:val="none" w:sz="0" w:space="0" w:color="auto"/>
        <w:bottom w:val="none" w:sz="0" w:space="0" w:color="auto"/>
        <w:right w:val="none" w:sz="0" w:space="0" w:color="auto"/>
      </w:divBdr>
      <w:divsChild>
        <w:div w:id="1635452928">
          <w:marLeft w:val="0"/>
          <w:marRight w:val="0"/>
          <w:marTop w:val="0"/>
          <w:marBottom w:val="0"/>
          <w:divBdr>
            <w:top w:val="none" w:sz="0" w:space="0" w:color="auto"/>
            <w:left w:val="none" w:sz="0" w:space="0" w:color="auto"/>
            <w:bottom w:val="none" w:sz="0" w:space="0" w:color="auto"/>
            <w:right w:val="none" w:sz="0" w:space="0" w:color="auto"/>
          </w:divBdr>
        </w:div>
        <w:div w:id="1726173687">
          <w:marLeft w:val="510"/>
          <w:marRight w:val="0"/>
          <w:marTop w:val="0"/>
          <w:marBottom w:val="0"/>
          <w:divBdr>
            <w:top w:val="none" w:sz="0" w:space="0" w:color="auto"/>
            <w:left w:val="none" w:sz="0" w:space="0" w:color="auto"/>
            <w:bottom w:val="none" w:sz="0" w:space="0" w:color="auto"/>
            <w:right w:val="none" w:sz="0" w:space="0" w:color="auto"/>
          </w:divBdr>
        </w:div>
      </w:divsChild>
    </w:div>
    <w:div w:id="309865521">
      <w:bodyDiv w:val="1"/>
      <w:marLeft w:val="0"/>
      <w:marRight w:val="0"/>
      <w:marTop w:val="0"/>
      <w:marBottom w:val="0"/>
      <w:divBdr>
        <w:top w:val="none" w:sz="0" w:space="0" w:color="auto"/>
        <w:left w:val="none" w:sz="0" w:space="0" w:color="auto"/>
        <w:bottom w:val="none" w:sz="0" w:space="0" w:color="auto"/>
        <w:right w:val="none" w:sz="0" w:space="0" w:color="auto"/>
      </w:divBdr>
      <w:divsChild>
        <w:div w:id="1661813795">
          <w:marLeft w:val="0"/>
          <w:marRight w:val="0"/>
          <w:marTop w:val="0"/>
          <w:marBottom w:val="0"/>
          <w:divBdr>
            <w:top w:val="none" w:sz="0" w:space="0" w:color="auto"/>
            <w:left w:val="none" w:sz="0" w:space="0" w:color="auto"/>
            <w:bottom w:val="none" w:sz="0" w:space="0" w:color="auto"/>
            <w:right w:val="none" w:sz="0" w:space="0" w:color="auto"/>
          </w:divBdr>
        </w:div>
      </w:divsChild>
    </w:div>
    <w:div w:id="683940463">
      <w:bodyDiv w:val="1"/>
      <w:marLeft w:val="0"/>
      <w:marRight w:val="0"/>
      <w:marTop w:val="0"/>
      <w:marBottom w:val="0"/>
      <w:divBdr>
        <w:top w:val="none" w:sz="0" w:space="0" w:color="auto"/>
        <w:left w:val="none" w:sz="0" w:space="0" w:color="auto"/>
        <w:bottom w:val="none" w:sz="0" w:space="0" w:color="auto"/>
        <w:right w:val="none" w:sz="0" w:space="0" w:color="auto"/>
      </w:divBdr>
      <w:divsChild>
        <w:div w:id="384454646">
          <w:marLeft w:val="0"/>
          <w:marRight w:val="0"/>
          <w:marTop w:val="0"/>
          <w:marBottom w:val="0"/>
          <w:divBdr>
            <w:top w:val="none" w:sz="0" w:space="0" w:color="auto"/>
            <w:left w:val="none" w:sz="0" w:space="0" w:color="auto"/>
            <w:bottom w:val="none" w:sz="0" w:space="0" w:color="auto"/>
            <w:right w:val="none" w:sz="0" w:space="0" w:color="auto"/>
          </w:divBdr>
        </w:div>
      </w:divsChild>
    </w:div>
    <w:div w:id="752359875">
      <w:bodyDiv w:val="1"/>
      <w:marLeft w:val="0"/>
      <w:marRight w:val="0"/>
      <w:marTop w:val="0"/>
      <w:marBottom w:val="0"/>
      <w:divBdr>
        <w:top w:val="none" w:sz="0" w:space="0" w:color="auto"/>
        <w:left w:val="none" w:sz="0" w:space="0" w:color="auto"/>
        <w:bottom w:val="none" w:sz="0" w:space="0" w:color="auto"/>
        <w:right w:val="none" w:sz="0" w:space="0" w:color="auto"/>
      </w:divBdr>
      <w:divsChild>
        <w:div w:id="1690792331">
          <w:marLeft w:val="0"/>
          <w:marRight w:val="0"/>
          <w:marTop w:val="0"/>
          <w:marBottom w:val="0"/>
          <w:divBdr>
            <w:top w:val="none" w:sz="0" w:space="0" w:color="auto"/>
            <w:left w:val="none" w:sz="0" w:space="0" w:color="auto"/>
            <w:bottom w:val="none" w:sz="0" w:space="0" w:color="auto"/>
            <w:right w:val="none" w:sz="0" w:space="0" w:color="auto"/>
          </w:divBdr>
        </w:div>
      </w:divsChild>
    </w:div>
    <w:div w:id="971524059">
      <w:bodyDiv w:val="1"/>
      <w:marLeft w:val="0"/>
      <w:marRight w:val="0"/>
      <w:marTop w:val="0"/>
      <w:marBottom w:val="0"/>
      <w:divBdr>
        <w:top w:val="none" w:sz="0" w:space="0" w:color="auto"/>
        <w:left w:val="none" w:sz="0" w:space="0" w:color="auto"/>
        <w:bottom w:val="none" w:sz="0" w:space="0" w:color="auto"/>
        <w:right w:val="none" w:sz="0" w:space="0" w:color="auto"/>
      </w:divBdr>
      <w:divsChild>
        <w:div w:id="891430565">
          <w:marLeft w:val="0"/>
          <w:marRight w:val="0"/>
          <w:marTop w:val="0"/>
          <w:marBottom w:val="0"/>
          <w:divBdr>
            <w:top w:val="none" w:sz="0" w:space="0" w:color="auto"/>
            <w:left w:val="none" w:sz="0" w:space="0" w:color="auto"/>
            <w:bottom w:val="none" w:sz="0" w:space="0" w:color="auto"/>
            <w:right w:val="none" w:sz="0" w:space="0" w:color="auto"/>
          </w:divBdr>
        </w:div>
      </w:divsChild>
    </w:div>
    <w:div w:id="1228999543">
      <w:bodyDiv w:val="1"/>
      <w:marLeft w:val="0"/>
      <w:marRight w:val="0"/>
      <w:marTop w:val="0"/>
      <w:marBottom w:val="0"/>
      <w:divBdr>
        <w:top w:val="none" w:sz="0" w:space="0" w:color="auto"/>
        <w:left w:val="none" w:sz="0" w:space="0" w:color="auto"/>
        <w:bottom w:val="none" w:sz="0" w:space="0" w:color="auto"/>
        <w:right w:val="none" w:sz="0" w:space="0" w:color="auto"/>
      </w:divBdr>
      <w:divsChild>
        <w:div w:id="1627467118">
          <w:marLeft w:val="0"/>
          <w:marRight w:val="0"/>
          <w:marTop w:val="0"/>
          <w:marBottom w:val="0"/>
          <w:divBdr>
            <w:top w:val="none" w:sz="0" w:space="0" w:color="auto"/>
            <w:left w:val="none" w:sz="0" w:space="0" w:color="auto"/>
            <w:bottom w:val="none" w:sz="0" w:space="0" w:color="auto"/>
            <w:right w:val="none" w:sz="0" w:space="0" w:color="auto"/>
          </w:divBdr>
        </w:div>
      </w:divsChild>
    </w:div>
    <w:div w:id="1733887870">
      <w:bodyDiv w:val="1"/>
      <w:marLeft w:val="0"/>
      <w:marRight w:val="0"/>
      <w:marTop w:val="0"/>
      <w:marBottom w:val="0"/>
      <w:divBdr>
        <w:top w:val="none" w:sz="0" w:space="0" w:color="auto"/>
        <w:left w:val="none" w:sz="0" w:space="0" w:color="auto"/>
        <w:bottom w:val="none" w:sz="0" w:space="0" w:color="auto"/>
        <w:right w:val="none" w:sz="0" w:space="0" w:color="auto"/>
      </w:divBdr>
      <w:divsChild>
        <w:div w:id="2054426673">
          <w:marLeft w:val="0"/>
          <w:marRight w:val="0"/>
          <w:marTop w:val="0"/>
          <w:marBottom w:val="0"/>
          <w:divBdr>
            <w:top w:val="none" w:sz="0" w:space="0" w:color="auto"/>
            <w:left w:val="none" w:sz="0" w:space="0" w:color="auto"/>
            <w:bottom w:val="none" w:sz="0" w:space="0" w:color="auto"/>
            <w:right w:val="none" w:sz="0" w:space="0" w:color="auto"/>
          </w:divBdr>
        </w:div>
      </w:divsChild>
    </w:div>
    <w:div w:id="2056276913">
      <w:bodyDiv w:val="1"/>
      <w:marLeft w:val="0"/>
      <w:marRight w:val="0"/>
      <w:marTop w:val="0"/>
      <w:marBottom w:val="0"/>
      <w:divBdr>
        <w:top w:val="none" w:sz="0" w:space="0" w:color="auto"/>
        <w:left w:val="none" w:sz="0" w:space="0" w:color="auto"/>
        <w:bottom w:val="none" w:sz="0" w:space="0" w:color="auto"/>
        <w:right w:val="none" w:sz="0" w:space="0" w:color="auto"/>
      </w:divBdr>
      <w:divsChild>
        <w:div w:id="1608194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2356</Words>
  <Characters>13433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Rida</dc:creator>
  <cp:lastModifiedBy>anca iulia leonte</cp:lastModifiedBy>
  <cp:revision>2</cp:revision>
  <dcterms:created xsi:type="dcterms:W3CDTF">2022-03-27T19:54:00Z</dcterms:created>
  <dcterms:modified xsi:type="dcterms:W3CDTF">2022-03-27T19:54:00Z</dcterms:modified>
</cp:coreProperties>
</file>