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21B3" w:rsidRDefault="00EE48A3" w:rsidP="00EE48A3">
      <w:pPr>
        <w:jc w:val="both"/>
        <w:rPr>
          <w:rFonts w:ascii="Times New Roman" w:hAnsi="Times New Roman" w:cs="Times New Roman"/>
          <w:b/>
          <w:sz w:val="24"/>
          <w:szCs w:val="24"/>
        </w:rPr>
      </w:pPr>
      <w:r w:rsidRPr="00EE48A3">
        <w:rPr>
          <w:rFonts w:ascii="Times New Roman" w:hAnsi="Times New Roman" w:cs="Times New Roman"/>
          <w:b/>
          <w:sz w:val="24"/>
          <w:szCs w:val="24"/>
        </w:rPr>
        <w:t>How Did the Unprecedented Mass Death and Bereavement of World War One Impact Upon the way Britons Remembered a</w:t>
      </w:r>
      <w:r w:rsidR="00846446">
        <w:rPr>
          <w:rFonts w:ascii="Times New Roman" w:hAnsi="Times New Roman" w:cs="Times New Roman"/>
          <w:b/>
          <w:sz w:val="24"/>
          <w:szCs w:val="24"/>
        </w:rPr>
        <w:t>nd Commemorated Their War Dead?</w:t>
      </w:r>
      <w:r w:rsidRPr="00EE48A3">
        <w:rPr>
          <w:rFonts w:ascii="Times New Roman" w:hAnsi="Times New Roman" w:cs="Times New Roman"/>
          <w:b/>
          <w:sz w:val="24"/>
          <w:szCs w:val="24"/>
        </w:rPr>
        <w:t xml:space="preserve"> You May Refer to both Local and National Forms of Commemoration and Memorialisation.</w:t>
      </w:r>
    </w:p>
    <w:p w:rsidR="008D047F" w:rsidRDefault="003A1E83" w:rsidP="008D047F">
      <w:pPr>
        <w:jc w:val="both"/>
        <w:rPr>
          <w:rFonts w:ascii="Times New Roman" w:hAnsi="Times New Roman" w:cs="Times New Roman"/>
          <w:sz w:val="24"/>
          <w:szCs w:val="24"/>
        </w:rPr>
      </w:pPr>
      <w:r w:rsidRPr="003A1E83">
        <w:rPr>
          <w:rFonts w:ascii="Times New Roman" w:hAnsi="Times New Roman" w:cs="Times New Roman"/>
          <w:sz w:val="24"/>
          <w:szCs w:val="24"/>
        </w:rPr>
        <w:t>The</w:t>
      </w:r>
      <w:r>
        <w:rPr>
          <w:rFonts w:ascii="Times New Roman" w:hAnsi="Times New Roman" w:cs="Times New Roman"/>
          <w:sz w:val="24"/>
          <w:szCs w:val="24"/>
        </w:rPr>
        <w:t xml:space="preserve"> unprecedented number of </w:t>
      </w:r>
      <w:r w:rsidR="00BE6950">
        <w:rPr>
          <w:rFonts w:ascii="Times New Roman" w:hAnsi="Times New Roman" w:cs="Times New Roman"/>
          <w:sz w:val="24"/>
          <w:szCs w:val="24"/>
        </w:rPr>
        <w:t>servicemen</w:t>
      </w:r>
      <w:r>
        <w:rPr>
          <w:rFonts w:ascii="Times New Roman" w:hAnsi="Times New Roman" w:cs="Times New Roman"/>
          <w:sz w:val="24"/>
          <w:szCs w:val="24"/>
        </w:rPr>
        <w:t xml:space="preserve"> who died during World War One </w:t>
      </w:r>
      <w:r w:rsidR="00BE6950">
        <w:rPr>
          <w:rFonts w:ascii="Times New Roman" w:hAnsi="Times New Roman" w:cs="Times New Roman"/>
          <w:sz w:val="24"/>
          <w:szCs w:val="24"/>
        </w:rPr>
        <w:t>left</w:t>
      </w:r>
      <w:r>
        <w:rPr>
          <w:rFonts w:ascii="Times New Roman" w:hAnsi="Times New Roman" w:cs="Times New Roman"/>
          <w:sz w:val="24"/>
          <w:szCs w:val="24"/>
        </w:rPr>
        <w:t xml:space="preserve"> practically every family in Britain mourning a husband, son, brother, cousin or friend</w:t>
      </w:r>
      <w:r w:rsidR="00BE6950">
        <w:rPr>
          <w:rFonts w:ascii="Times New Roman" w:hAnsi="Times New Roman" w:cs="Times New Roman"/>
          <w:sz w:val="24"/>
          <w:szCs w:val="24"/>
        </w:rPr>
        <w:t>;</w:t>
      </w:r>
      <w:r>
        <w:rPr>
          <w:rFonts w:ascii="Times New Roman" w:hAnsi="Times New Roman" w:cs="Times New Roman"/>
          <w:sz w:val="24"/>
          <w:szCs w:val="24"/>
        </w:rPr>
        <w:t xml:space="preserve"> some communities whose young men had formed ‘pals’ battalions found nearly a whole generation being </w:t>
      </w:r>
      <w:r w:rsidR="00F66C5C">
        <w:rPr>
          <w:rFonts w:ascii="Times New Roman" w:hAnsi="Times New Roman" w:cs="Times New Roman"/>
          <w:sz w:val="24"/>
          <w:szCs w:val="24"/>
        </w:rPr>
        <w:t xml:space="preserve">wiped out </w:t>
      </w:r>
      <w:r w:rsidR="00BE6950">
        <w:rPr>
          <w:rFonts w:ascii="Times New Roman" w:hAnsi="Times New Roman" w:cs="Times New Roman"/>
          <w:sz w:val="24"/>
          <w:szCs w:val="24"/>
        </w:rPr>
        <w:t>in</w:t>
      </w:r>
      <w:r w:rsidR="00F66C5C">
        <w:rPr>
          <w:rFonts w:ascii="Times New Roman" w:hAnsi="Times New Roman" w:cs="Times New Roman"/>
          <w:sz w:val="24"/>
          <w:szCs w:val="24"/>
        </w:rPr>
        <w:t xml:space="preserve"> a single battle. The </w:t>
      </w:r>
      <w:r w:rsidR="00BE6950">
        <w:rPr>
          <w:rFonts w:ascii="Times New Roman" w:hAnsi="Times New Roman" w:cs="Times New Roman"/>
          <w:sz w:val="24"/>
          <w:szCs w:val="24"/>
        </w:rPr>
        <w:t>decision by the British government not to repatriate anyone killed left</w:t>
      </w:r>
      <w:r>
        <w:rPr>
          <w:rFonts w:ascii="Times New Roman" w:hAnsi="Times New Roman" w:cs="Times New Roman"/>
          <w:sz w:val="24"/>
          <w:szCs w:val="24"/>
        </w:rPr>
        <w:t xml:space="preserve"> </w:t>
      </w:r>
      <w:r w:rsidR="00F66C5C">
        <w:rPr>
          <w:rFonts w:ascii="Times New Roman" w:hAnsi="Times New Roman" w:cs="Times New Roman"/>
          <w:sz w:val="24"/>
          <w:szCs w:val="24"/>
        </w:rPr>
        <w:t>families seeking other</w:t>
      </w:r>
      <w:r>
        <w:rPr>
          <w:rFonts w:ascii="Times New Roman" w:hAnsi="Times New Roman" w:cs="Times New Roman"/>
          <w:sz w:val="24"/>
          <w:szCs w:val="24"/>
        </w:rPr>
        <w:t xml:space="preserve"> ways to c</w:t>
      </w:r>
      <w:r w:rsidR="00F66C5C">
        <w:rPr>
          <w:rFonts w:ascii="Times New Roman" w:hAnsi="Times New Roman" w:cs="Times New Roman"/>
          <w:sz w:val="24"/>
          <w:szCs w:val="24"/>
        </w:rPr>
        <w:t xml:space="preserve">ommemorate and mourn loved ones, </w:t>
      </w:r>
      <w:r w:rsidR="00EE15B5">
        <w:rPr>
          <w:rFonts w:ascii="Times New Roman" w:hAnsi="Times New Roman" w:cs="Times New Roman"/>
          <w:sz w:val="24"/>
          <w:szCs w:val="24"/>
        </w:rPr>
        <w:t>some resorted to the age-old traditions while others looked to new modern forms of memorial</w:t>
      </w:r>
      <w:r w:rsidR="002B13B1">
        <w:rPr>
          <w:rFonts w:ascii="Times New Roman" w:hAnsi="Times New Roman" w:cs="Times New Roman"/>
          <w:sz w:val="24"/>
          <w:szCs w:val="24"/>
        </w:rPr>
        <w:t xml:space="preserve">, sometimes causing conflict between different sections of society. </w:t>
      </w:r>
      <w:r w:rsidR="00EE15B5">
        <w:rPr>
          <w:rFonts w:ascii="Times New Roman" w:hAnsi="Times New Roman" w:cs="Times New Roman"/>
          <w:sz w:val="24"/>
          <w:szCs w:val="24"/>
        </w:rPr>
        <w:t xml:space="preserve">From </w:t>
      </w:r>
      <w:r w:rsidR="002B13B1">
        <w:rPr>
          <w:rFonts w:ascii="Times New Roman" w:hAnsi="Times New Roman" w:cs="Times New Roman"/>
          <w:sz w:val="24"/>
          <w:szCs w:val="24"/>
        </w:rPr>
        <w:t xml:space="preserve">installing </w:t>
      </w:r>
      <w:r w:rsidR="00EE15B5">
        <w:rPr>
          <w:rFonts w:ascii="Times New Roman" w:hAnsi="Times New Roman" w:cs="Times New Roman"/>
          <w:sz w:val="24"/>
          <w:szCs w:val="24"/>
        </w:rPr>
        <w:t>small family shrines</w:t>
      </w:r>
      <w:r w:rsidR="002B13B1">
        <w:rPr>
          <w:rFonts w:ascii="Times New Roman" w:hAnsi="Times New Roman" w:cs="Times New Roman"/>
          <w:sz w:val="24"/>
          <w:szCs w:val="24"/>
        </w:rPr>
        <w:t xml:space="preserve"> and monuments</w:t>
      </w:r>
      <w:r w:rsidR="00EE15B5">
        <w:rPr>
          <w:rFonts w:ascii="Times New Roman" w:hAnsi="Times New Roman" w:cs="Times New Roman"/>
          <w:sz w:val="24"/>
          <w:szCs w:val="24"/>
        </w:rPr>
        <w:t xml:space="preserve"> to </w:t>
      </w:r>
      <w:r w:rsidR="002B13B1">
        <w:rPr>
          <w:rFonts w:ascii="Times New Roman" w:hAnsi="Times New Roman" w:cs="Times New Roman"/>
          <w:sz w:val="24"/>
          <w:szCs w:val="24"/>
        </w:rPr>
        <w:t xml:space="preserve">listening to the spirits of lost loved ones, </w:t>
      </w:r>
      <w:r w:rsidR="00EE15B5">
        <w:rPr>
          <w:rFonts w:ascii="Times New Roman" w:hAnsi="Times New Roman" w:cs="Times New Roman"/>
          <w:sz w:val="24"/>
          <w:szCs w:val="24"/>
        </w:rPr>
        <w:t>the British people sought</w:t>
      </w:r>
      <w:r w:rsidR="002B13B1">
        <w:rPr>
          <w:rFonts w:ascii="Times New Roman" w:hAnsi="Times New Roman" w:cs="Times New Roman"/>
          <w:sz w:val="24"/>
          <w:szCs w:val="24"/>
        </w:rPr>
        <w:t xml:space="preserve"> </w:t>
      </w:r>
      <w:r w:rsidR="00D242E0">
        <w:rPr>
          <w:rFonts w:ascii="Times New Roman" w:hAnsi="Times New Roman" w:cs="Times New Roman"/>
          <w:sz w:val="24"/>
          <w:szCs w:val="24"/>
        </w:rPr>
        <w:t xml:space="preserve">a </w:t>
      </w:r>
      <w:r w:rsidR="00EE15B5">
        <w:rPr>
          <w:rFonts w:ascii="Times New Roman" w:hAnsi="Times New Roman" w:cs="Times New Roman"/>
          <w:sz w:val="24"/>
          <w:szCs w:val="24"/>
        </w:rPr>
        <w:t xml:space="preserve">way to </w:t>
      </w:r>
      <w:r w:rsidR="00BD4BC4">
        <w:rPr>
          <w:rFonts w:ascii="Times New Roman" w:hAnsi="Times New Roman" w:cs="Times New Roman"/>
          <w:sz w:val="24"/>
          <w:szCs w:val="24"/>
        </w:rPr>
        <w:t xml:space="preserve">make sense of the carnage and destruction left by </w:t>
      </w:r>
      <w:r w:rsidR="008D047F">
        <w:rPr>
          <w:rFonts w:ascii="Times New Roman" w:hAnsi="Times New Roman" w:cs="Times New Roman"/>
          <w:sz w:val="24"/>
          <w:szCs w:val="24"/>
        </w:rPr>
        <w:t>a war they knew little about.</w:t>
      </w:r>
      <w:r w:rsidR="008D047F">
        <w:rPr>
          <w:rStyle w:val="FootnoteReference"/>
          <w:rFonts w:ascii="Times New Roman" w:hAnsi="Times New Roman" w:cs="Times New Roman"/>
          <w:sz w:val="24"/>
          <w:szCs w:val="24"/>
        </w:rPr>
        <w:footnoteReference w:id="1"/>
      </w:r>
    </w:p>
    <w:p w:rsidR="00A72F0A" w:rsidRDefault="00BE6950" w:rsidP="00EE48A3">
      <w:pPr>
        <w:jc w:val="both"/>
        <w:rPr>
          <w:rFonts w:ascii="Times New Roman" w:hAnsi="Times New Roman" w:cs="Times New Roman"/>
          <w:sz w:val="24"/>
          <w:szCs w:val="24"/>
        </w:rPr>
      </w:pPr>
      <w:r>
        <w:rPr>
          <w:rFonts w:ascii="Times New Roman" w:hAnsi="Times New Roman" w:cs="Times New Roman"/>
          <w:sz w:val="24"/>
          <w:szCs w:val="24"/>
        </w:rPr>
        <w:t>E</w:t>
      </w:r>
      <w:r w:rsidR="00A72F0A">
        <w:rPr>
          <w:rFonts w:ascii="Times New Roman" w:hAnsi="Times New Roman" w:cs="Times New Roman"/>
          <w:sz w:val="24"/>
          <w:szCs w:val="24"/>
        </w:rPr>
        <w:t>ach group affected by the war</w:t>
      </w:r>
      <w:r>
        <w:rPr>
          <w:rFonts w:ascii="Times New Roman" w:hAnsi="Times New Roman" w:cs="Times New Roman"/>
          <w:sz w:val="24"/>
          <w:szCs w:val="24"/>
        </w:rPr>
        <w:t xml:space="preserve"> found their own way to</w:t>
      </w:r>
      <w:r w:rsidR="00A72F0A">
        <w:rPr>
          <w:rFonts w:ascii="Times New Roman" w:hAnsi="Times New Roman" w:cs="Times New Roman"/>
          <w:sz w:val="24"/>
          <w:szCs w:val="24"/>
        </w:rPr>
        <w:t xml:space="preserve"> mourn and commemorat</w:t>
      </w:r>
      <w:r>
        <w:rPr>
          <w:rFonts w:ascii="Times New Roman" w:hAnsi="Times New Roman" w:cs="Times New Roman"/>
          <w:sz w:val="24"/>
          <w:szCs w:val="24"/>
        </w:rPr>
        <w:t xml:space="preserve">e lost friends and </w:t>
      </w:r>
      <w:r w:rsidR="00BD4BC4">
        <w:rPr>
          <w:rFonts w:ascii="Times New Roman" w:hAnsi="Times New Roman" w:cs="Times New Roman"/>
          <w:sz w:val="24"/>
          <w:szCs w:val="24"/>
        </w:rPr>
        <w:t>family</w:t>
      </w:r>
      <w:r>
        <w:rPr>
          <w:rFonts w:ascii="Times New Roman" w:hAnsi="Times New Roman" w:cs="Times New Roman"/>
          <w:sz w:val="24"/>
          <w:szCs w:val="24"/>
        </w:rPr>
        <w:t>;</w:t>
      </w:r>
      <w:r w:rsidR="00A92D91">
        <w:rPr>
          <w:rFonts w:ascii="Times New Roman" w:hAnsi="Times New Roman" w:cs="Times New Roman"/>
          <w:sz w:val="24"/>
          <w:szCs w:val="24"/>
        </w:rPr>
        <w:t xml:space="preserve"> Jay Winter estimate</w:t>
      </w:r>
      <w:r w:rsidR="00194C78">
        <w:rPr>
          <w:rFonts w:ascii="Times New Roman" w:hAnsi="Times New Roman" w:cs="Times New Roman"/>
          <w:sz w:val="24"/>
          <w:szCs w:val="24"/>
        </w:rPr>
        <w:t>d</w:t>
      </w:r>
      <w:r>
        <w:rPr>
          <w:rFonts w:ascii="Times New Roman" w:hAnsi="Times New Roman" w:cs="Times New Roman"/>
          <w:sz w:val="24"/>
          <w:szCs w:val="24"/>
        </w:rPr>
        <w:t xml:space="preserve"> </w:t>
      </w:r>
      <w:r w:rsidR="00194C78">
        <w:rPr>
          <w:rFonts w:ascii="Times New Roman" w:hAnsi="Times New Roman" w:cs="Times New Roman"/>
          <w:sz w:val="24"/>
          <w:szCs w:val="24"/>
        </w:rPr>
        <w:t xml:space="preserve">that </w:t>
      </w:r>
      <w:r w:rsidR="00A92D91">
        <w:rPr>
          <w:rFonts w:ascii="Times New Roman" w:hAnsi="Times New Roman" w:cs="Times New Roman"/>
          <w:sz w:val="24"/>
          <w:szCs w:val="24"/>
        </w:rPr>
        <w:t xml:space="preserve">722,785 British servicemen </w:t>
      </w:r>
      <w:r>
        <w:rPr>
          <w:rFonts w:ascii="Times New Roman" w:hAnsi="Times New Roman" w:cs="Times New Roman"/>
          <w:sz w:val="24"/>
          <w:szCs w:val="24"/>
        </w:rPr>
        <w:t>died</w:t>
      </w:r>
      <w:r w:rsidR="00A92D91">
        <w:rPr>
          <w:rFonts w:ascii="Times New Roman" w:hAnsi="Times New Roman" w:cs="Times New Roman"/>
          <w:sz w:val="24"/>
          <w:szCs w:val="24"/>
        </w:rPr>
        <w:t xml:space="preserve"> in battle or later in hospital,</w:t>
      </w:r>
      <w:r w:rsidR="00336615">
        <w:rPr>
          <w:rStyle w:val="FootnoteReference"/>
          <w:rFonts w:ascii="Times New Roman" w:hAnsi="Times New Roman" w:cs="Times New Roman"/>
          <w:sz w:val="24"/>
          <w:szCs w:val="24"/>
        </w:rPr>
        <w:footnoteReference w:id="2"/>
      </w:r>
      <w:r w:rsidR="00A92D91">
        <w:rPr>
          <w:rFonts w:ascii="Times New Roman" w:hAnsi="Times New Roman" w:cs="Times New Roman"/>
          <w:sz w:val="24"/>
          <w:szCs w:val="24"/>
        </w:rPr>
        <w:t xml:space="preserve"> </w:t>
      </w:r>
      <w:r w:rsidR="00194C78">
        <w:rPr>
          <w:rFonts w:ascii="Times New Roman" w:hAnsi="Times New Roman" w:cs="Times New Roman"/>
          <w:sz w:val="24"/>
          <w:szCs w:val="24"/>
        </w:rPr>
        <w:t>while</w:t>
      </w:r>
      <w:r w:rsidR="00A92D91">
        <w:rPr>
          <w:rFonts w:ascii="Times New Roman" w:hAnsi="Times New Roman" w:cs="Times New Roman"/>
          <w:sz w:val="24"/>
          <w:szCs w:val="24"/>
        </w:rPr>
        <w:t xml:space="preserve"> Gary Sheffield</w:t>
      </w:r>
      <w:r w:rsidR="00194C78">
        <w:rPr>
          <w:rFonts w:ascii="Times New Roman" w:hAnsi="Times New Roman" w:cs="Times New Roman"/>
          <w:sz w:val="24"/>
          <w:szCs w:val="24"/>
        </w:rPr>
        <w:t xml:space="preserve"> </w:t>
      </w:r>
      <w:r w:rsidR="00A92D91">
        <w:rPr>
          <w:rFonts w:ascii="Times New Roman" w:hAnsi="Times New Roman" w:cs="Times New Roman"/>
          <w:sz w:val="24"/>
          <w:szCs w:val="24"/>
        </w:rPr>
        <w:t>estimate</w:t>
      </w:r>
      <w:r w:rsidR="00194C78">
        <w:rPr>
          <w:rFonts w:ascii="Times New Roman" w:hAnsi="Times New Roman" w:cs="Times New Roman"/>
          <w:sz w:val="24"/>
          <w:szCs w:val="24"/>
        </w:rPr>
        <w:t>d</w:t>
      </w:r>
      <w:r w:rsidR="00A92D91">
        <w:rPr>
          <w:rFonts w:ascii="Times New Roman" w:hAnsi="Times New Roman" w:cs="Times New Roman"/>
          <w:sz w:val="24"/>
          <w:szCs w:val="24"/>
        </w:rPr>
        <w:t xml:space="preserve"> 744,702</w:t>
      </w:r>
      <w:r w:rsidR="00194C78">
        <w:rPr>
          <w:rFonts w:ascii="Times New Roman" w:hAnsi="Times New Roman" w:cs="Times New Roman"/>
          <w:sz w:val="24"/>
          <w:szCs w:val="24"/>
        </w:rPr>
        <w:t>.</w:t>
      </w:r>
      <w:r w:rsidR="00336615">
        <w:rPr>
          <w:rStyle w:val="FootnoteReference"/>
          <w:rFonts w:ascii="Times New Roman" w:hAnsi="Times New Roman" w:cs="Times New Roman"/>
          <w:sz w:val="24"/>
          <w:szCs w:val="24"/>
        </w:rPr>
        <w:footnoteReference w:id="3"/>
      </w:r>
      <w:r w:rsidR="00194C78">
        <w:rPr>
          <w:rFonts w:ascii="Times New Roman" w:hAnsi="Times New Roman" w:cs="Times New Roman"/>
          <w:sz w:val="24"/>
          <w:szCs w:val="24"/>
        </w:rPr>
        <w:t xml:space="preserve"> T</w:t>
      </w:r>
      <w:r w:rsidR="00A72F0A">
        <w:rPr>
          <w:rFonts w:ascii="Times New Roman" w:hAnsi="Times New Roman" w:cs="Times New Roman"/>
          <w:sz w:val="24"/>
          <w:szCs w:val="24"/>
        </w:rPr>
        <w:t>he soldiers who were fighting on the frontline</w:t>
      </w:r>
      <w:r w:rsidR="00194C78">
        <w:rPr>
          <w:rFonts w:ascii="Times New Roman" w:hAnsi="Times New Roman" w:cs="Times New Roman"/>
          <w:sz w:val="24"/>
          <w:szCs w:val="24"/>
        </w:rPr>
        <w:t xml:space="preserve"> had</w:t>
      </w:r>
      <w:r w:rsidR="00A72F0A">
        <w:rPr>
          <w:rFonts w:ascii="Times New Roman" w:hAnsi="Times New Roman" w:cs="Times New Roman"/>
          <w:sz w:val="24"/>
          <w:szCs w:val="24"/>
        </w:rPr>
        <w:t xml:space="preserve"> to cope with the death of comrades on a daily basis</w:t>
      </w:r>
      <w:r w:rsidR="00A92D91">
        <w:rPr>
          <w:rFonts w:ascii="Times New Roman" w:hAnsi="Times New Roman" w:cs="Times New Roman"/>
          <w:sz w:val="24"/>
          <w:szCs w:val="24"/>
        </w:rPr>
        <w:t>, for them all that pervaded their lives was the</w:t>
      </w:r>
      <w:r w:rsidR="00A72F0A">
        <w:rPr>
          <w:rFonts w:ascii="Times New Roman" w:hAnsi="Times New Roman" w:cs="Times New Roman"/>
          <w:sz w:val="24"/>
          <w:szCs w:val="24"/>
        </w:rPr>
        <w:t xml:space="preserve"> need to survive the destruction and hor</w:t>
      </w:r>
      <w:r w:rsidR="00A92D91">
        <w:rPr>
          <w:rFonts w:ascii="Times New Roman" w:hAnsi="Times New Roman" w:cs="Times New Roman"/>
          <w:sz w:val="24"/>
          <w:szCs w:val="24"/>
        </w:rPr>
        <w:t>ror</w:t>
      </w:r>
      <w:r w:rsidR="002C5910">
        <w:rPr>
          <w:rFonts w:ascii="Times New Roman" w:hAnsi="Times New Roman" w:cs="Times New Roman"/>
          <w:sz w:val="24"/>
          <w:szCs w:val="24"/>
        </w:rPr>
        <w:t>. S</w:t>
      </w:r>
      <w:r w:rsidR="00A72F0A">
        <w:rPr>
          <w:rFonts w:ascii="Times New Roman" w:hAnsi="Times New Roman" w:cs="Times New Roman"/>
          <w:sz w:val="24"/>
          <w:szCs w:val="24"/>
        </w:rPr>
        <w:t>imple, but respectful, ceremonies would take place when an opportunity arose to gather the dead from no-man’s land</w:t>
      </w:r>
      <w:r w:rsidR="002C5910">
        <w:rPr>
          <w:rFonts w:ascii="Times New Roman" w:hAnsi="Times New Roman" w:cs="Times New Roman"/>
          <w:sz w:val="24"/>
          <w:szCs w:val="24"/>
        </w:rPr>
        <w:t xml:space="preserve"> but </w:t>
      </w:r>
      <w:r w:rsidR="00194C78">
        <w:rPr>
          <w:rFonts w:ascii="Times New Roman" w:hAnsi="Times New Roman" w:cs="Times New Roman"/>
          <w:sz w:val="24"/>
          <w:szCs w:val="24"/>
        </w:rPr>
        <w:t>was quickly</w:t>
      </w:r>
      <w:r w:rsidR="002C5910">
        <w:rPr>
          <w:rFonts w:ascii="Times New Roman" w:hAnsi="Times New Roman" w:cs="Times New Roman"/>
          <w:sz w:val="24"/>
          <w:szCs w:val="24"/>
        </w:rPr>
        <w:t xml:space="preserve"> forgotten </w:t>
      </w:r>
      <w:r w:rsidR="00A92D91">
        <w:rPr>
          <w:rFonts w:ascii="Times New Roman" w:hAnsi="Times New Roman" w:cs="Times New Roman"/>
          <w:sz w:val="24"/>
          <w:szCs w:val="24"/>
        </w:rPr>
        <w:t xml:space="preserve">once completed, </w:t>
      </w:r>
      <w:r w:rsidR="002C5910">
        <w:rPr>
          <w:rFonts w:ascii="Times New Roman" w:hAnsi="Times New Roman" w:cs="Times New Roman"/>
          <w:sz w:val="24"/>
          <w:szCs w:val="24"/>
        </w:rPr>
        <w:t>enabling the men to suppress their grief and move forward</w:t>
      </w:r>
      <w:r w:rsidR="00194C78">
        <w:rPr>
          <w:rFonts w:ascii="Times New Roman" w:hAnsi="Times New Roman" w:cs="Times New Roman"/>
          <w:sz w:val="24"/>
          <w:szCs w:val="24"/>
        </w:rPr>
        <w:t xml:space="preserve"> to their next task</w:t>
      </w:r>
      <w:r w:rsidR="002C5910">
        <w:rPr>
          <w:rFonts w:ascii="Times New Roman" w:hAnsi="Times New Roman" w:cs="Times New Roman"/>
          <w:sz w:val="24"/>
          <w:szCs w:val="24"/>
        </w:rPr>
        <w:t xml:space="preserve">. </w:t>
      </w:r>
      <w:r w:rsidR="00A92D91">
        <w:rPr>
          <w:rFonts w:ascii="Times New Roman" w:hAnsi="Times New Roman" w:cs="Times New Roman"/>
          <w:sz w:val="24"/>
          <w:szCs w:val="24"/>
        </w:rPr>
        <w:t>Servicemen</w:t>
      </w:r>
      <w:r w:rsidR="002C5910">
        <w:rPr>
          <w:rFonts w:ascii="Times New Roman" w:hAnsi="Times New Roman" w:cs="Times New Roman"/>
          <w:sz w:val="24"/>
          <w:szCs w:val="24"/>
        </w:rPr>
        <w:t xml:space="preserve"> had no time for elaborate mourning rituals, life for the </w:t>
      </w:r>
      <w:r w:rsidR="00A92D91">
        <w:rPr>
          <w:rFonts w:ascii="Times New Roman" w:hAnsi="Times New Roman" w:cs="Times New Roman"/>
          <w:sz w:val="24"/>
          <w:szCs w:val="24"/>
        </w:rPr>
        <w:t>men</w:t>
      </w:r>
      <w:r w:rsidR="002C5910">
        <w:rPr>
          <w:rFonts w:ascii="Times New Roman" w:hAnsi="Times New Roman" w:cs="Times New Roman"/>
          <w:sz w:val="24"/>
          <w:szCs w:val="24"/>
        </w:rPr>
        <w:t xml:space="preserve"> at the frontline was centred around the necessity of killing the enemy before they themselves were killed.</w:t>
      </w:r>
      <w:r w:rsidR="002C5910">
        <w:rPr>
          <w:rStyle w:val="FootnoteReference"/>
          <w:rFonts w:ascii="Times New Roman" w:hAnsi="Times New Roman" w:cs="Times New Roman"/>
          <w:sz w:val="24"/>
          <w:szCs w:val="24"/>
        </w:rPr>
        <w:footnoteReference w:id="4"/>
      </w:r>
    </w:p>
    <w:p w:rsidR="004C74FC" w:rsidRDefault="00336615" w:rsidP="00EE48A3">
      <w:pPr>
        <w:jc w:val="both"/>
        <w:rPr>
          <w:rFonts w:ascii="Times New Roman" w:hAnsi="Times New Roman" w:cs="Times New Roman"/>
          <w:sz w:val="24"/>
          <w:szCs w:val="24"/>
        </w:rPr>
      </w:pPr>
      <w:r>
        <w:rPr>
          <w:rFonts w:ascii="Times New Roman" w:hAnsi="Times New Roman" w:cs="Times New Roman"/>
          <w:sz w:val="24"/>
          <w:szCs w:val="24"/>
        </w:rPr>
        <w:t>Most of those left grieving on the home front</w:t>
      </w:r>
      <w:r w:rsidR="006C11AF">
        <w:rPr>
          <w:rFonts w:ascii="Times New Roman" w:hAnsi="Times New Roman" w:cs="Times New Roman"/>
          <w:sz w:val="24"/>
          <w:szCs w:val="24"/>
        </w:rPr>
        <w:t xml:space="preserve"> were the mothers, wives and sisters left behind</w:t>
      </w:r>
      <w:r w:rsidR="00D242E0">
        <w:rPr>
          <w:rFonts w:ascii="Times New Roman" w:hAnsi="Times New Roman" w:cs="Times New Roman"/>
          <w:sz w:val="24"/>
          <w:szCs w:val="24"/>
        </w:rPr>
        <w:t>.</w:t>
      </w:r>
      <w:r w:rsidR="00BD4BC4">
        <w:rPr>
          <w:rFonts w:ascii="Times New Roman" w:hAnsi="Times New Roman" w:cs="Times New Roman"/>
          <w:sz w:val="24"/>
          <w:szCs w:val="24"/>
        </w:rPr>
        <w:t xml:space="preserve"> </w:t>
      </w:r>
      <w:r w:rsidR="00D242E0">
        <w:rPr>
          <w:rFonts w:ascii="Times New Roman" w:hAnsi="Times New Roman" w:cs="Times New Roman"/>
          <w:sz w:val="24"/>
          <w:szCs w:val="24"/>
        </w:rPr>
        <w:t>U</w:t>
      </w:r>
      <w:r w:rsidR="00BD4BC4">
        <w:rPr>
          <w:rFonts w:ascii="Times New Roman" w:hAnsi="Times New Roman" w:cs="Times New Roman"/>
          <w:sz w:val="24"/>
          <w:szCs w:val="24"/>
        </w:rPr>
        <w:t xml:space="preserve">nlike their Victorian parents they were unable to sit by their child’s deathbed and grieve in public, each person killed at the front had to be mourned privately without funery </w:t>
      </w:r>
      <w:r w:rsidR="0086186A">
        <w:rPr>
          <w:rFonts w:ascii="Times New Roman" w:hAnsi="Times New Roman" w:cs="Times New Roman"/>
          <w:sz w:val="24"/>
          <w:szCs w:val="24"/>
        </w:rPr>
        <w:t>customs and rituals.</w:t>
      </w:r>
      <w:r w:rsidR="0086186A">
        <w:rPr>
          <w:rStyle w:val="FootnoteReference"/>
          <w:rFonts w:ascii="Times New Roman" w:hAnsi="Times New Roman" w:cs="Times New Roman"/>
          <w:sz w:val="24"/>
          <w:szCs w:val="24"/>
        </w:rPr>
        <w:footnoteReference w:id="5"/>
      </w:r>
      <w:r w:rsidR="0086186A">
        <w:rPr>
          <w:rFonts w:ascii="Times New Roman" w:hAnsi="Times New Roman" w:cs="Times New Roman"/>
          <w:sz w:val="24"/>
          <w:szCs w:val="24"/>
        </w:rPr>
        <w:t xml:space="preserve"> Middle and upper class families were hit particularly hard, o</w:t>
      </w:r>
      <w:r w:rsidR="00C85A25">
        <w:rPr>
          <w:rFonts w:ascii="Times New Roman" w:hAnsi="Times New Roman" w:cs="Times New Roman"/>
          <w:sz w:val="24"/>
          <w:szCs w:val="24"/>
        </w:rPr>
        <w:t>ne in every</w:t>
      </w:r>
      <w:r w:rsidR="008A3D3B">
        <w:rPr>
          <w:rFonts w:ascii="Times New Roman" w:hAnsi="Times New Roman" w:cs="Times New Roman"/>
          <w:sz w:val="24"/>
          <w:szCs w:val="24"/>
        </w:rPr>
        <w:t xml:space="preserve"> </w:t>
      </w:r>
      <w:r w:rsidR="00CB1B3B">
        <w:rPr>
          <w:rFonts w:ascii="Times New Roman" w:hAnsi="Times New Roman" w:cs="Times New Roman"/>
          <w:sz w:val="24"/>
          <w:szCs w:val="24"/>
        </w:rPr>
        <w:t>five public school boy</w:t>
      </w:r>
      <w:r w:rsidR="006E57E7">
        <w:rPr>
          <w:rFonts w:ascii="Times New Roman" w:hAnsi="Times New Roman" w:cs="Times New Roman"/>
          <w:sz w:val="24"/>
          <w:szCs w:val="24"/>
        </w:rPr>
        <w:t xml:space="preserve">s </w:t>
      </w:r>
      <w:r w:rsidR="00BD4BC4">
        <w:rPr>
          <w:rFonts w:ascii="Times New Roman" w:hAnsi="Times New Roman" w:cs="Times New Roman"/>
          <w:sz w:val="24"/>
          <w:szCs w:val="24"/>
        </w:rPr>
        <w:t xml:space="preserve">died during World War One, this </w:t>
      </w:r>
      <w:r w:rsidR="008A3D3B">
        <w:rPr>
          <w:rFonts w:ascii="Times New Roman" w:hAnsi="Times New Roman" w:cs="Times New Roman"/>
          <w:sz w:val="24"/>
          <w:szCs w:val="24"/>
        </w:rPr>
        <w:t>meant</w:t>
      </w:r>
      <w:r w:rsidR="006E57E7">
        <w:rPr>
          <w:rFonts w:ascii="Times New Roman" w:hAnsi="Times New Roman" w:cs="Times New Roman"/>
          <w:sz w:val="24"/>
          <w:szCs w:val="24"/>
        </w:rPr>
        <w:t>,</w:t>
      </w:r>
      <w:r w:rsidR="008A3D3B">
        <w:rPr>
          <w:rFonts w:ascii="Times New Roman" w:hAnsi="Times New Roman" w:cs="Times New Roman"/>
          <w:sz w:val="24"/>
          <w:szCs w:val="24"/>
        </w:rPr>
        <w:t xml:space="preserve"> </w:t>
      </w:r>
      <w:r w:rsidR="006E57E7">
        <w:rPr>
          <w:rFonts w:ascii="Times New Roman" w:hAnsi="Times New Roman" w:cs="Times New Roman"/>
          <w:sz w:val="24"/>
          <w:szCs w:val="24"/>
        </w:rPr>
        <w:t xml:space="preserve">for some families, </w:t>
      </w:r>
      <w:r w:rsidR="008A3D3B">
        <w:rPr>
          <w:rFonts w:ascii="Times New Roman" w:hAnsi="Times New Roman" w:cs="Times New Roman"/>
          <w:sz w:val="24"/>
          <w:szCs w:val="24"/>
        </w:rPr>
        <w:t>the remova</w:t>
      </w:r>
      <w:r w:rsidR="00735DD9">
        <w:rPr>
          <w:rFonts w:ascii="Times New Roman" w:hAnsi="Times New Roman" w:cs="Times New Roman"/>
          <w:sz w:val="24"/>
          <w:szCs w:val="24"/>
        </w:rPr>
        <w:t>l</w:t>
      </w:r>
      <w:r w:rsidR="008A3D3B">
        <w:rPr>
          <w:rFonts w:ascii="Times New Roman" w:hAnsi="Times New Roman" w:cs="Times New Roman"/>
          <w:sz w:val="24"/>
          <w:szCs w:val="24"/>
        </w:rPr>
        <w:t xml:space="preserve"> of a whole generation of men who were expected to inherit the family’s estates and fortunes.</w:t>
      </w:r>
      <w:r w:rsidR="006E57E7">
        <w:rPr>
          <w:rStyle w:val="FootnoteReference"/>
          <w:rFonts w:ascii="Times New Roman" w:hAnsi="Times New Roman" w:cs="Times New Roman"/>
          <w:sz w:val="24"/>
          <w:szCs w:val="24"/>
        </w:rPr>
        <w:footnoteReference w:id="6"/>
      </w:r>
      <w:r w:rsidR="008A3D3B">
        <w:rPr>
          <w:rFonts w:ascii="Times New Roman" w:hAnsi="Times New Roman" w:cs="Times New Roman"/>
          <w:sz w:val="24"/>
          <w:szCs w:val="24"/>
        </w:rPr>
        <w:t xml:space="preserve"> There is much historiographical evidence in the form of letters and literature that gives an insight into the mourning and grieving practices of the upper classes, one well known poem, written by Rudyard Kipling after his son</w:t>
      </w:r>
      <w:r w:rsidR="00A94357">
        <w:rPr>
          <w:rFonts w:ascii="Times New Roman" w:hAnsi="Times New Roman" w:cs="Times New Roman"/>
          <w:sz w:val="24"/>
          <w:szCs w:val="24"/>
        </w:rPr>
        <w:t>, John</w:t>
      </w:r>
      <w:r w:rsidR="00F32376">
        <w:rPr>
          <w:rFonts w:ascii="Times New Roman" w:hAnsi="Times New Roman" w:cs="Times New Roman"/>
          <w:sz w:val="24"/>
          <w:szCs w:val="24"/>
        </w:rPr>
        <w:t>,</w:t>
      </w:r>
      <w:r w:rsidR="00A94357">
        <w:rPr>
          <w:rFonts w:ascii="Times New Roman" w:hAnsi="Times New Roman" w:cs="Times New Roman"/>
          <w:sz w:val="24"/>
          <w:szCs w:val="24"/>
        </w:rPr>
        <w:t xml:space="preserve"> went missing at the Battle of Loos in 1915, writes of the chivalric values of sacrifice and honour which </w:t>
      </w:r>
      <w:r w:rsidR="00B24B26">
        <w:rPr>
          <w:rFonts w:ascii="Times New Roman" w:hAnsi="Times New Roman" w:cs="Times New Roman"/>
          <w:sz w:val="24"/>
          <w:szCs w:val="24"/>
        </w:rPr>
        <w:t>the upper and middle classes held onto.</w:t>
      </w:r>
      <w:r w:rsidR="00500D8E">
        <w:rPr>
          <w:rStyle w:val="FootnoteReference"/>
          <w:rFonts w:ascii="Times New Roman" w:hAnsi="Times New Roman" w:cs="Times New Roman"/>
          <w:sz w:val="24"/>
          <w:szCs w:val="24"/>
        </w:rPr>
        <w:footnoteReference w:id="7"/>
      </w:r>
      <w:r w:rsidR="00B24B26">
        <w:rPr>
          <w:rFonts w:ascii="Times New Roman" w:hAnsi="Times New Roman" w:cs="Times New Roman"/>
          <w:sz w:val="24"/>
          <w:szCs w:val="24"/>
        </w:rPr>
        <w:t xml:space="preserve"> Most</w:t>
      </w:r>
      <w:r w:rsidR="00A94357">
        <w:rPr>
          <w:rFonts w:ascii="Times New Roman" w:hAnsi="Times New Roman" w:cs="Times New Roman"/>
          <w:sz w:val="24"/>
          <w:szCs w:val="24"/>
        </w:rPr>
        <w:t xml:space="preserve"> officers </w:t>
      </w:r>
      <w:r w:rsidR="00B24B26">
        <w:rPr>
          <w:rFonts w:ascii="Times New Roman" w:hAnsi="Times New Roman" w:cs="Times New Roman"/>
          <w:sz w:val="24"/>
          <w:szCs w:val="24"/>
        </w:rPr>
        <w:t>had entered the war in an effort to ‘do one’s bit’ but had been completely unprepared for the total, industrialised arena they found themselves</w:t>
      </w:r>
      <w:r w:rsidR="00A94357">
        <w:rPr>
          <w:rFonts w:ascii="Times New Roman" w:hAnsi="Times New Roman" w:cs="Times New Roman"/>
          <w:sz w:val="24"/>
          <w:szCs w:val="24"/>
        </w:rPr>
        <w:t>.</w:t>
      </w:r>
      <w:r w:rsidR="00100295">
        <w:rPr>
          <w:rStyle w:val="FootnoteReference"/>
          <w:rFonts w:ascii="Times New Roman" w:hAnsi="Times New Roman" w:cs="Times New Roman"/>
          <w:sz w:val="24"/>
          <w:szCs w:val="24"/>
        </w:rPr>
        <w:footnoteReference w:id="8"/>
      </w:r>
      <w:r w:rsidR="004C74FC">
        <w:rPr>
          <w:rFonts w:ascii="Times New Roman" w:hAnsi="Times New Roman" w:cs="Times New Roman"/>
          <w:sz w:val="24"/>
          <w:szCs w:val="24"/>
        </w:rPr>
        <w:t xml:space="preserve"> </w:t>
      </w:r>
      <w:r w:rsidR="00C85A25">
        <w:rPr>
          <w:rFonts w:ascii="Times New Roman" w:hAnsi="Times New Roman" w:cs="Times New Roman"/>
          <w:sz w:val="24"/>
          <w:szCs w:val="24"/>
        </w:rPr>
        <w:t xml:space="preserve">The </w:t>
      </w:r>
      <w:r w:rsidR="00D242E0">
        <w:rPr>
          <w:rFonts w:ascii="Times New Roman" w:hAnsi="Times New Roman" w:cs="Times New Roman"/>
          <w:sz w:val="24"/>
          <w:szCs w:val="24"/>
        </w:rPr>
        <w:t xml:space="preserve">traditional </w:t>
      </w:r>
      <w:r w:rsidR="00C85A25">
        <w:rPr>
          <w:rFonts w:ascii="Times New Roman" w:hAnsi="Times New Roman" w:cs="Times New Roman"/>
          <w:sz w:val="24"/>
          <w:szCs w:val="24"/>
        </w:rPr>
        <w:t>idealism of Christianity was often used to console the grief-stricken families of the soldiers killed at the front.</w:t>
      </w:r>
      <w:r w:rsidR="00C85A25">
        <w:rPr>
          <w:rStyle w:val="FootnoteReference"/>
          <w:rFonts w:ascii="Times New Roman" w:hAnsi="Times New Roman" w:cs="Times New Roman"/>
          <w:sz w:val="24"/>
          <w:szCs w:val="24"/>
        </w:rPr>
        <w:footnoteReference w:id="9"/>
      </w:r>
      <w:r w:rsidR="00C85A25">
        <w:rPr>
          <w:rFonts w:ascii="Times New Roman" w:hAnsi="Times New Roman" w:cs="Times New Roman"/>
          <w:sz w:val="24"/>
          <w:szCs w:val="24"/>
        </w:rPr>
        <w:t xml:space="preserve"> </w:t>
      </w:r>
      <w:r w:rsidR="00B24B26">
        <w:rPr>
          <w:rFonts w:ascii="Times New Roman" w:hAnsi="Times New Roman" w:cs="Times New Roman"/>
          <w:sz w:val="24"/>
          <w:szCs w:val="24"/>
        </w:rPr>
        <w:t>To help with the grieving process</w:t>
      </w:r>
      <w:r w:rsidR="004C74FC">
        <w:rPr>
          <w:rFonts w:ascii="Times New Roman" w:hAnsi="Times New Roman" w:cs="Times New Roman"/>
          <w:sz w:val="24"/>
          <w:szCs w:val="24"/>
        </w:rPr>
        <w:t xml:space="preserve"> </w:t>
      </w:r>
      <w:r w:rsidR="00B97475">
        <w:rPr>
          <w:rFonts w:ascii="Times New Roman" w:hAnsi="Times New Roman" w:cs="Times New Roman"/>
          <w:sz w:val="24"/>
          <w:szCs w:val="24"/>
        </w:rPr>
        <w:t xml:space="preserve">a </w:t>
      </w:r>
      <w:r w:rsidR="00B24B26">
        <w:rPr>
          <w:rFonts w:ascii="Times New Roman" w:hAnsi="Times New Roman" w:cs="Times New Roman"/>
          <w:sz w:val="24"/>
          <w:szCs w:val="24"/>
        </w:rPr>
        <w:t>stained-glass</w:t>
      </w:r>
      <w:r w:rsidR="004C74FC">
        <w:rPr>
          <w:rFonts w:ascii="Times New Roman" w:hAnsi="Times New Roman" w:cs="Times New Roman"/>
          <w:sz w:val="24"/>
          <w:szCs w:val="24"/>
        </w:rPr>
        <w:t xml:space="preserve"> window or plaque </w:t>
      </w:r>
      <w:r w:rsidR="0086186A">
        <w:rPr>
          <w:rFonts w:ascii="Times New Roman" w:hAnsi="Times New Roman" w:cs="Times New Roman"/>
          <w:sz w:val="24"/>
          <w:szCs w:val="24"/>
        </w:rPr>
        <w:t>could be</w:t>
      </w:r>
      <w:r w:rsidR="00B24B26">
        <w:rPr>
          <w:rFonts w:ascii="Times New Roman" w:hAnsi="Times New Roman" w:cs="Times New Roman"/>
          <w:sz w:val="24"/>
          <w:szCs w:val="24"/>
        </w:rPr>
        <w:t xml:space="preserve"> </w:t>
      </w:r>
      <w:r w:rsidR="00B97475">
        <w:rPr>
          <w:rFonts w:ascii="Times New Roman" w:hAnsi="Times New Roman" w:cs="Times New Roman"/>
          <w:sz w:val="24"/>
          <w:szCs w:val="24"/>
        </w:rPr>
        <w:lastRenderedPageBreak/>
        <w:t>commissioned for the local church</w:t>
      </w:r>
      <w:r w:rsidR="00C43BC4">
        <w:rPr>
          <w:rFonts w:ascii="Times New Roman" w:hAnsi="Times New Roman" w:cs="Times New Roman"/>
          <w:sz w:val="24"/>
          <w:szCs w:val="24"/>
        </w:rPr>
        <w:t xml:space="preserve"> as a commemorative piece linking the war with the consolation of Christian sacrifice. One </w:t>
      </w:r>
      <w:r w:rsidR="00194C78">
        <w:rPr>
          <w:rFonts w:ascii="Times New Roman" w:hAnsi="Times New Roman" w:cs="Times New Roman"/>
          <w:sz w:val="24"/>
          <w:szCs w:val="24"/>
        </w:rPr>
        <w:t xml:space="preserve">such </w:t>
      </w:r>
      <w:r w:rsidR="00C43BC4">
        <w:rPr>
          <w:rFonts w:ascii="Times New Roman" w:hAnsi="Times New Roman" w:cs="Times New Roman"/>
          <w:sz w:val="24"/>
          <w:szCs w:val="24"/>
        </w:rPr>
        <w:t>example is in Cadder</w:t>
      </w:r>
      <w:r w:rsidR="00B24B26">
        <w:rPr>
          <w:rFonts w:ascii="Times New Roman" w:hAnsi="Times New Roman" w:cs="Times New Roman"/>
          <w:sz w:val="24"/>
          <w:szCs w:val="24"/>
        </w:rPr>
        <w:t xml:space="preserve"> parish church</w:t>
      </w:r>
      <w:r w:rsidR="00C43BC4">
        <w:rPr>
          <w:rFonts w:ascii="Times New Roman" w:hAnsi="Times New Roman" w:cs="Times New Roman"/>
          <w:sz w:val="24"/>
          <w:szCs w:val="24"/>
        </w:rPr>
        <w:t>, Scotland which Sir Hugh Reid had installed in memory of his son</w:t>
      </w:r>
      <w:r w:rsidR="00B24B26">
        <w:rPr>
          <w:rFonts w:ascii="Times New Roman" w:hAnsi="Times New Roman" w:cs="Times New Roman"/>
          <w:sz w:val="24"/>
          <w:szCs w:val="24"/>
        </w:rPr>
        <w:t>,</w:t>
      </w:r>
      <w:r w:rsidR="00500D8E">
        <w:rPr>
          <w:rFonts w:ascii="Times New Roman" w:hAnsi="Times New Roman" w:cs="Times New Roman"/>
          <w:sz w:val="24"/>
          <w:szCs w:val="24"/>
        </w:rPr>
        <w:t xml:space="preserve"> James,</w:t>
      </w:r>
      <w:r w:rsidR="00B24B26">
        <w:rPr>
          <w:rFonts w:ascii="Times New Roman" w:hAnsi="Times New Roman" w:cs="Times New Roman"/>
          <w:sz w:val="24"/>
          <w:szCs w:val="24"/>
        </w:rPr>
        <w:t xml:space="preserve"> its </w:t>
      </w:r>
      <w:r w:rsidR="00C43BC4">
        <w:rPr>
          <w:rFonts w:ascii="Times New Roman" w:hAnsi="Times New Roman" w:cs="Times New Roman"/>
          <w:sz w:val="24"/>
          <w:szCs w:val="24"/>
        </w:rPr>
        <w:t xml:space="preserve">theme is the Supreme Sacrifice and shows Jesus on the Cross above a panel containing scenes </w:t>
      </w:r>
      <w:r w:rsidR="00500D8E">
        <w:rPr>
          <w:rFonts w:ascii="Times New Roman" w:hAnsi="Times New Roman" w:cs="Times New Roman"/>
          <w:sz w:val="24"/>
          <w:szCs w:val="24"/>
        </w:rPr>
        <w:t>of soldiers on patrol</w:t>
      </w:r>
      <w:r w:rsidR="00C43BC4">
        <w:rPr>
          <w:rFonts w:ascii="Times New Roman" w:hAnsi="Times New Roman" w:cs="Times New Roman"/>
          <w:sz w:val="24"/>
          <w:szCs w:val="24"/>
        </w:rPr>
        <w:t>.</w:t>
      </w:r>
      <w:r w:rsidR="00C43BC4">
        <w:rPr>
          <w:rStyle w:val="FootnoteReference"/>
          <w:rFonts w:ascii="Times New Roman" w:hAnsi="Times New Roman" w:cs="Times New Roman"/>
          <w:sz w:val="24"/>
          <w:szCs w:val="24"/>
        </w:rPr>
        <w:footnoteReference w:id="10"/>
      </w:r>
    </w:p>
    <w:p w:rsidR="00F32376" w:rsidRDefault="00C85A25" w:rsidP="00F32376">
      <w:pPr>
        <w:jc w:val="both"/>
        <w:rPr>
          <w:rFonts w:ascii="Times New Roman" w:hAnsi="Times New Roman" w:cs="Times New Roman"/>
          <w:sz w:val="24"/>
          <w:szCs w:val="24"/>
        </w:rPr>
      </w:pPr>
      <w:r>
        <w:rPr>
          <w:rFonts w:ascii="Times New Roman" w:hAnsi="Times New Roman" w:cs="Times New Roman"/>
          <w:sz w:val="24"/>
          <w:szCs w:val="24"/>
        </w:rPr>
        <w:t>T</w:t>
      </w:r>
      <w:r w:rsidR="00B97475">
        <w:rPr>
          <w:rFonts w:ascii="Times New Roman" w:hAnsi="Times New Roman" w:cs="Times New Roman"/>
          <w:sz w:val="24"/>
          <w:szCs w:val="24"/>
        </w:rPr>
        <w:t xml:space="preserve">hose </w:t>
      </w:r>
      <w:r>
        <w:rPr>
          <w:rFonts w:ascii="Times New Roman" w:hAnsi="Times New Roman" w:cs="Times New Roman"/>
          <w:sz w:val="24"/>
          <w:szCs w:val="24"/>
        </w:rPr>
        <w:t xml:space="preserve">of the working classes </w:t>
      </w:r>
      <w:r w:rsidR="00B97475">
        <w:rPr>
          <w:rFonts w:ascii="Times New Roman" w:hAnsi="Times New Roman" w:cs="Times New Roman"/>
          <w:sz w:val="24"/>
          <w:szCs w:val="24"/>
        </w:rPr>
        <w:t xml:space="preserve">who had </w:t>
      </w:r>
      <w:r w:rsidR="00A72F0A">
        <w:rPr>
          <w:rFonts w:ascii="Times New Roman" w:hAnsi="Times New Roman" w:cs="Times New Roman"/>
          <w:sz w:val="24"/>
          <w:szCs w:val="24"/>
        </w:rPr>
        <w:t>no spare</w:t>
      </w:r>
      <w:r w:rsidR="00B97475">
        <w:rPr>
          <w:rFonts w:ascii="Times New Roman" w:hAnsi="Times New Roman" w:cs="Times New Roman"/>
          <w:sz w:val="24"/>
          <w:szCs w:val="24"/>
        </w:rPr>
        <w:t xml:space="preserve"> income</w:t>
      </w:r>
      <w:r>
        <w:rPr>
          <w:rFonts w:ascii="Times New Roman" w:hAnsi="Times New Roman" w:cs="Times New Roman"/>
          <w:sz w:val="24"/>
          <w:szCs w:val="24"/>
        </w:rPr>
        <w:t xml:space="preserve"> were unable to commemorate their dead by buying expensive windows and plaques so contented</w:t>
      </w:r>
      <w:r w:rsidR="00B97475">
        <w:rPr>
          <w:rFonts w:ascii="Times New Roman" w:hAnsi="Times New Roman" w:cs="Times New Roman"/>
          <w:sz w:val="24"/>
          <w:szCs w:val="24"/>
        </w:rPr>
        <w:t xml:space="preserve"> themselves with a</w:t>
      </w:r>
      <w:r>
        <w:rPr>
          <w:rFonts w:ascii="Times New Roman" w:hAnsi="Times New Roman" w:cs="Times New Roman"/>
          <w:sz w:val="24"/>
          <w:szCs w:val="24"/>
        </w:rPr>
        <w:t>n inexpensive</w:t>
      </w:r>
      <w:r w:rsidR="000A591D">
        <w:rPr>
          <w:rFonts w:ascii="Times New Roman" w:hAnsi="Times New Roman" w:cs="Times New Roman"/>
          <w:sz w:val="24"/>
          <w:szCs w:val="24"/>
        </w:rPr>
        <w:t xml:space="preserve"> reliquary </w:t>
      </w:r>
      <w:r w:rsidR="00C648DD">
        <w:rPr>
          <w:rFonts w:ascii="Times New Roman" w:hAnsi="Times New Roman" w:cs="Times New Roman"/>
          <w:sz w:val="24"/>
          <w:szCs w:val="24"/>
        </w:rPr>
        <w:t xml:space="preserve">which </w:t>
      </w:r>
      <w:r>
        <w:rPr>
          <w:rFonts w:ascii="Times New Roman" w:hAnsi="Times New Roman" w:cs="Times New Roman"/>
          <w:sz w:val="24"/>
          <w:szCs w:val="24"/>
        </w:rPr>
        <w:t xml:space="preserve">could sit on the mantelpiece. Simple photographs surrounded by black ribbons and flowers meant as much to the mothers of the </w:t>
      </w:r>
      <w:r w:rsidR="006E57E7">
        <w:rPr>
          <w:rFonts w:ascii="Times New Roman" w:hAnsi="Times New Roman" w:cs="Times New Roman"/>
          <w:sz w:val="24"/>
          <w:szCs w:val="24"/>
        </w:rPr>
        <w:t xml:space="preserve">lowly </w:t>
      </w:r>
      <w:r>
        <w:rPr>
          <w:rFonts w:ascii="Times New Roman" w:hAnsi="Times New Roman" w:cs="Times New Roman"/>
          <w:sz w:val="24"/>
          <w:szCs w:val="24"/>
        </w:rPr>
        <w:t>foot soldier as a commemorative window to the family of a missing officer.</w:t>
      </w:r>
      <w:r w:rsidR="00B97475">
        <w:rPr>
          <w:rStyle w:val="FootnoteReference"/>
          <w:rFonts w:ascii="Times New Roman" w:hAnsi="Times New Roman" w:cs="Times New Roman"/>
          <w:sz w:val="24"/>
          <w:szCs w:val="24"/>
        </w:rPr>
        <w:footnoteReference w:id="11"/>
      </w:r>
      <w:r w:rsidR="00C464AE">
        <w:rPr>
          <w:rFonts w:ascii="Times New Roman" w:hAnsi="Times New Roman" w:cs="Times New Roman"/>
          <w:sz w:val="24"/>
          <w:szCs w:val="24"/>
        </w:rPr>
        <w:t xml:space="preserve"> </w:t>
      </w:r>
      <w:r w:rsidR="00F32376">
        <w:rPr>
          <w:rFonts w:ascii="Times New Roman" w:hAnsi="Times New Roman" w:cs="Times New Roman"/>
          <w:sz w:val="24"/>
          <w:szCs w:val="24"/>
        </w:rPr>
        <w:t xml:space="preserve">In 1916 a memorial medallion was minted and sent to the families of one million servicemen </w:t>
      </w:r>
      <w:r w:rsidR="008D047F">
        <w:rPr>
          <w:rFonts w:ascii="Times New Roman" w:hAnsi="Times New Roman" w:cs="Times New Roman"/>
          <w:sz w:val="24"/>
          <w:szCs w:val="24"/>
        </w:rPr>
        <w:t>who had died, it had</w:t>
      </w:r>
      <w:r w:rsidR="00F32376">
        <w:rPr>
          <w:rFonts w:ascii="Times New Roman" w:hAnsi="Times New Roman" w:cs="Times New Roman"/>
          <w:sz w:val="24"/>
          <w:szCs w:val="24"/>
        </w:rPr>
        <w:t xml:space="preserve"> a picture of a lion accompanying Britannia holding a wreath and trident</w:t>
      </w:r>
      <w:r w:rsidR="008D047F">
        <w:rPr>
          <w:rFonts w:ascii="Times New Roman" w:hAnsi="Times New Roman" w:cs="Times New Roman"/>
          <w:sz w:val="24"/>
          <w:szCs w:val="24"/>
        </w:rPr>
        <w:t xml:space="preserve">, </w:t>
      </w:r>
      <w:r w:rsidR="00F32376">
        <w:rPr>
          <w:rFonts w:ascii="Times New Roman" w:hAnsi="Times New Roman" w:cs="Times New Roman"/>
          <w:sz w:val="24"/>
          <w:szCs w:val="24"/>
        </w:rPr>
        <w:t xml:space="preserve">embossed on the coin </w:t>
      </w:r>
      <w:r w:rsidR="008D047F">
        <w:rPr>
          <w:rFonts w:ascii="Times New Roman" w:hAnsi="Times New Roman" w:cs="Times New Roman"/>
          <w:sz w:val="24"/>
          <w:szCs w:val="24"/>
        </w:rPr>
        <w:t>was</w:t>
      </w:r>
      <w:r w:rsidR="00F32376">
        <w:rPr>
          <w:rFonts w:ascii="Times New Roman" w:hAnsi="Times New Roman" w:cs="Times New Roman"/>
          <w:sz w:val="24"/>
          <w:szCs w:val="24"/>
        </w:rPr>
        <w:t xml:space="preserve"> the name of the deceased and a motto ‘He Died </w:t>
      </w:r>
      <w:r w:rsidR="008D047F">
        <w:rPr>
          <w:rFonts w:ascii="Times New Roman" w:hAnsi="Times New Roman" w:cs="Times New Roman"/>
          <w:sz w:val="24"/>
          <w:szCs w:val="24"/>
        </w:rPr>
        <w:t>for</w:t>
      </w:r>
      <w:r w:rsidR="00F32376">
        <w:rPr>
          <w:rFonts w:ascii="Times New Roman" w:hAnsi="Times New Roman" w:cs="Times New Roman"/>
          <w:sz w:val="24"/>
          <w:szCs w:val="24"/>
        </w:rPr>
        <w:t xml:space="preserve"> Freedom And Honour’</w:t>
      </w:r>
      <w:r w:rsidR="008D047F">
        <w:rPr>
          <w:rFonts w:ascii="Times New Roman" w:hAnsi="Times New Roman" w:cs="Times New Roman"/>
          <w:sz w:val="24"/>
          <w:szCs w:val="24"/>
        </w:rPr>
        <w:t>,</w:t>
      </w:r>
      <w:r w:rsidR="00F32376">
        <w:rPr>
          <w:rFonts w:ascii="Times New Roman" w:hAnsi="Times New Roman" w:cs="Times New Roman"/>
          <w:sz w:val="24"/>
          <w:szCs w:val="24"/>
        </w:rPr>
        <w:t xml:space="preserve"> </w:t>
      </w:r>
      <w:r w:rsidR="008D047F">
        <w:rPr>
          <w:rFonts w:ascii="Times New Roman" w:hAnsi="Times New Roman" w:cs="Times New Roman"/>
          <w:sz w:val="24"/>
          <w:szCs w:val="24"/>
        </w:rPr>
        <w:t>t</w:t>
      </w:r>
      <w:r w:rsidR="00F32376">
        <w:rPr>
          <w:rFonts w:ascii="Times New Roman" w:hAnsi="Times New Roman" w:cs="Times New Roman"/>
          <w:sz w:val="24"/>
          <w:szCs w:val="24"/>
        </w:rPr>
        <w:t>he medal became known as the ‘dead man’s penny</w:t>
      </w:r>
      <w:r w:rsidR="008D047F">
        <w:rPr>
          <w:rFonts w:ascii="Times New Roman" w:hAnsi="Times New Roman" w:cs="Times New Roman"/>
          <w:sz w:val="24"/>
          <w:szCs w:val="24"/>
        </w:rPr>
        <w:t>’</w:t>
      </w:r>
      <w:r w:rsidR="00F32376">
        <w:rPr>
          <w:rFonts w:ascii="Times New Roman" w:hAnsi="Times New Roman" w:cs="Times New Roman"/>
          <w:sz w:val="24"/>
          <w:szCs w:val="24"/>
        </w:rPr>
        <w:t>.</w:t>
      </w:r>
      <w:r w:rsidR="00F32376">
        <w:rPr>
          <w:rStyle w:val="FootnoteReference"/>
          <w:rFonts w:ascii="Times New Roman" w:hAnsi="Times New Roman" w:cs="Times New Roman"/>
          <w:sz w:val="24"/>
          <w:szCs w:val="24"/>
        </w:rPr>
        <w:footnoteReference w:id="12"/>
      </w:r>
      <w:r w:rsidR="001738EE">
        <w:rPr>
          <w:rFonts w:ascii="Times New Roman" w:hAnsi="Times New Roman" w:cs="Times New Roman"/>
          <w:sz w:val="24"/>
          <w:szCs w:val="24"/>
        </w:rPr>
        <w:t xml:space="preserve"> </w:t>
      </w:r>
      <w:r w:rsidR="00735DD9">
        <w:rPr>
          <w:rFonts w:ascii="Times New Roman" w:hAnsi="Times New Roman" w:cs="Times New Roman"/>
          <w:sz w:val="24"/>
          <w:szCs w:val="24"/>
        </w:rPr>
        <w:t xml:space="preserve"> </w:t>
      </w:r>
      <w:r w:rsidR="001738EE">
        <w:rPr>
          <w:rFonts w:ascii="Times New Roman" w:hAnsi="Times New Roman" w:cs="Times New Roman"/>
          <w:sz w:val="24"/>
          <w:szCs w:val="24"/>
        </w:rPr>
        <w:t xml:space="preserve">For </w:t>
      </w:r>
      <w:r w:rsidR="00D242E0">
        <w:rPr>
          <w:rFonts w:ascii="Times New Roman" w:hAnsi="Times New Roman" w:cs="Times New Roman"/>
          <w:sz w:val="24"/>
          <w:szCs w:val="24"/>
        </w:rPr>
        <w:t xml:space="preserve">historians </w:t>
      </w:r>
      <w:r w:rsidR="00AC4E56">
        <w:rPr>
          <w:rFonts w:ascii="Times New Roman" w:hAnsi="Times New Roman" w:cs="Times New Roman"/>
          <w:sz w:val="24"/>
          <w:szCs w:val="24"/>
        </w:rPr>
        <w:t>George Mosse and Bob Bushaway</w:t>
      </w:r>
      <w:r w:rsidR="001738EE">
        <w:rPr>
          <w:rFonts w:ascii="Times New Roman" w:hAnsi="Times New Roman" w:cs="Times New Roman"/>
          <w:sz w:val="24"/>
          <w:szCs w:val="24"/>
        </w:rPr>
        <w:t xml:space="preserve"> memorials such as this helped to justify the mass killing being endured by the British, </w:t>
      </w:r>
      <w:r w:rsidR="00735DD9">
        <w:rPr>
          <w:rFonts w:ascii="Times New Roman" w:hAnsi="Times New Roman" w:cs="Times New Roman"/>
          <w:sz w:val="24"/>
          <w:szCs w:val="24"/>
        </w:rPr>
        <w:t xml:space="preserve">they were being led to believe that </w:t>
      </w:r>
      <w:r w:rsidR="008537F0">
        <w:rPr>
          <w:rFonts w:ascii="Times New Roman" w:hAnsi="Times New Roman" w:cs="Times New Roman"/>
          <w:sz w:val="24"/>
          <w:szCs w:val="24"/>
        </w:rPr>
        <w:t>their</w:t>
      </w:r>
      <w:r w:rsidR="001738EE">
        <w:rPr>
          <w:rFonts w:ascii="Times New Roman" w:hAnsi="Times New Roman" w:cs="Times New Roman"/>
          <w:sz w:val="24"/>
          <w:szCs w:val="24"/>
        </w:rPr>
        <w:t xml:space="preserve"> soldiers were fighting for decency and civilisation against the militar</w:t>
      </w:r>
      <w:r w:rsidR="00AC4E56">
        <w:rPr>
          <w:rFonts w:ascii="Times New Roman" w:hAnsi="Times New Roman" w:cs="Times New Roman"/>
          <w:sz w:val="24"/>
          <w:szCs w:val="24"/>
        </w:rPr>
        <w:t>y might of Germany.</w:t>
      </w:r>
      <w:r w:rsidR="00AC4E56">
        <w:rPr>
          <w:rStyle w:val="FootnoteReference"/>
          <w:rFonts w:ascii="Times New Roman" w:hAnsi="Times New Roman" w:cs="Times New Roman"/>
          <w:sz w:val="24"/>
          <w:szCs w:val="24"/>
        </w:rPr>
        <w:footnoteReference w:id="13"/>
      </w:r>
    </w:p>
    <w:p w:rsidR="00D23D7E" w:rsidRDefault="00C464AE" w:rsidP="00EE48A3">
      <w:pPr>
        <w:jc w:val="both"/>
        <w:rPr>
          <w:rFonts w:ascii="Times New Roman" w:hAnsi="Times New Roman" w:cs="Times New Roman"/>
          <w:sz w:val="24"/>
          <w:szCs w:val="24"/>
        </w:rPr>
      </w:pPr>
      <w:r>
        <w:rPr>
          <w:rFonts w:ascii="Times New Roman" w:hAnsi="Times New Roman" w:cs="Times New Roman"/>
          <w:sz w:val="24"/>
          <w:szCs w:val="24"/>
        </w:rPr>
        <w:t>Street s</w:t>
      </w:r>
      <w:r w:rsidR="001843BE">
        <w:rPr>
          <w:rFonts w:ascii="Times New Roman" w:hAnsi="Times New Roman" w:cs="Times New Roman"/>
          <w:sz w:val="24"/>
          <w:szCs w:val="24"/>
        </w:rPr>
        <w:t xml:space="preserve">hrines, which were particularly popular in </w:t>
      </w:r>
      <w:r w:rsidR="006E57E7">
        <w:rPr>
          <w:rFonts w:ascii="Times New Roman" w:hAnsi="Times New Roman" w:cs="Times New Roman"/>
          <w:sz w:val="24"/>
          <w:szCs w:val="24"/>
        </w:rPr>
        <w:t xml:space="preserve">working class areas of </w:t>
      </w:r>
      <w:r w:rsidR="001843BE">
        <w:rPr>
          <w:rFonts w:ascii="Times New Roman" w:hAnsi="Times New Roman" w:cs="Times New Roman"/>
          <w:sz w:val="24"/>
          <w:szCs w:val="24"/>
        </w:rPr>
        <w:t>London</w:t>
      </w:r>
      <w:r>
        <w:rPr>
          <w:rFonts w:ascii="Times New Roman" w:hAnsi="Times New Roman" w:cs="Times New Roman"/>
          <w:sz w:val="24"/>
          <w:szCs w:val="24"/>
        </w:rPr>
        <w:t>,</w:t>
      </w:r>
      <w:r w:rsidR="001843BE">
        <w:rPr>
          <w:rFonts w:ascii="Times New Roman" w:hAnsi="Times New Roman" w:cs="Times New Roman"/>
          <w:sz w:val="24"/>
          <w:szCs w:val="24"/>
        </w:rPr>
        <w:t xml:space="preserve"> brought together the members of a community who were mourning loved ones </w:t>
      </w:r>
      <w:r>
        <w:rPr>
          <w:rFonts w:ascii="Times New Roman" w:hAnsi="Times New Roman" w:cs="Times New Roman"/>
          <w:sz w:val="24"/>
          <w:szCs w:val="24"/>
        </w:rPr>
        <w:t xml:space="preserve">while </w:t>
      </w:r>
      <w:r w:rsidR="00296BC2">
        <w:rPr>
          <w:rFonts w:ascii="Times New Roman" w:hAnsi="Times New Roman" w:cs="Times New Roman"/>
          <w:sz w:val="24"/>
          <w:szCs w:val="24"/>
        </w:rPr>
        <w:t>acting as an initiative to</w:t>
      </w:r>
      <w:r>
        <w:rPr>
          <w:rFonts w:ascii="Times New Roman" w:hAnsi="Times New Roman" w:cs="Times New Roman"/>
          <w:sz w:val="24"/>
          <w:szCs w:val="24"/>
        </w:rPr>
        <w:t xml:space="preserve"> other young men </w:t>
      </w:r>
      <w:r w:rsidR="00296BC2">
        <w:rPr>
          <w:rFonts w:ascii="Times New Roman" w:hAnsi="Times New Roman" w:cs="Times New Roman"/>
          <w:sz w:val="24"/>
          <w:szCs w:val="24"/>
        </w:rPr>
        <w:t>to join up</w:t>
      </w:r>
      <w:r w:rsidR="00871A03">
        <w:rPr>
          <w:rFonts w:ascii="Times New Roman" w:hAnsi="Times New Roman" w:cs="Times New Roman"/>
          <w:sz w:val="24"/>
          <w:szCs w:val="24"/>
        </w:rPr>
        <w:t>.</w:t>
      </w:r>
      <w:r w:rsidR="00343FA9">
        <w:rPr>
          <w:rStyle w:val="FootnoteReference"/>
          <w:rFonts w:ascii="Times New Roman" w:hAnsi="Times New Roman" w:cs="Times New Roman"/>
          <w:sz w:val="24"/>
          <w:szCs w:val="24"/>
        </w:rPr>
        <w:footnoteReference w:id="14"/>
      </w:r>
      <w:r w:rsidR="00B763D6">
        <w:rPr>
          <w:rFonts w:ascii="Times New Roman" w:hAnsi="Times New Roman" w:cs="Times New Roman"/>
          <w:sz w:val="24"/>
          <w:szCs w:val="24"/>
        </w:rPr>
        <w:t xml:space="preserve"> Communities joined together to affirm their moral character and exclude those who challenged </w:t>
      </w:r>
      <w:r w:rsidR="0054451B">
        <w:rPr>
          <w:rFonts w:ascii="Times New Roman" w:hAnsi="Times New Roman" w:cs="Times New Roman"/>
          <w:sz w:val="24"/>
          <w:szCs w:val="24"/>
        </w:rPr>
        <w:t>it.</w:t>
      </w:r>
      <w:r w:rsidR="0054451B">
        <w:rPr>
          <w:rStyle w:val="FootnoteReference"/>
          <w:rFonts w:ascii="Times New Roman" w:hAnsi="Times New Roman" w:cs="Times New Roman"/>
          <w:sz w:val="24"/>
          <w:szCs w:val="24"/>
        </w:rPr>
        <w:footnoteReference w:id="15"/>
      </w:r>
      <w:r w:rsidR="001843BE">
        <w:rPr>
          <w:rFonts w:ascii="Times New Roman" w:hAnsi="Times New Roman" w:cs="Times New Roman"/>
          <w:sz w:val="24"/>
          <w:szCs w:val="24"/>
        </w:rPr>
        <w:t xml:space="preserve">Abbey parish </w:t>
      </w:r>
      <w:r w:rsidR="00296BC2">
        <w:rPr>
          <w:rFonts w:ascii="Times New Roman" w:hAnsi="Times New Roman" w:cs="Times New Roman"/>
          <w:sz w:val="24"/>
          <w:szCs w:val="24"/>
        </w:rPr>
        <w:t xml:space="preserve">in St Albans had </w:t>
      </w:r>
      <w:r w:rsidR="001843BE">
        <w:rPr>
          <w:rFonts w:ascii="Times New Roman" w:hAnsi="Times New Roman" w:cs="Times New Roman"/>
          <w:sz w:val="24"/>
          <w:szCs w:val="24"/>
        </w:rPr>
        <w:t>stone</w:t>
      </w:r>
      <w:r w:rsidR="00296BC2">
        <w:rPr>
          <w:rFonts w:ascii="Times New Roman" w:hAnsi="Times New Roman" w:cs="Times New Roman"/>
          <w:sz w:val="24"/>
          <w:szCs w:val="24"/>
        </w:rPr>
        <w:t xml:space="preserve"> plaques </w:t>
      </w:r>
      <w:r w:rsidR="001843BE">
        <w:rPr>
          <w:rFonts w:ascii="Times New Roman" w:hAnsi="Times New Roman" w:cs="Times New Roman"/>
          <w:sz w:val="24"/>
          <w:szCs w:val="24"/>
        </w:rPr>
        <w:t>fixed to a house wall in every street</w:t>
      </w:r>
      <w:r w:rsidR="0005637E">
        <w:rPr>
          <w:rFonts w:ascii="Times New Roman" w:hAnsi="Times New Roman" w:cs="Times New Roman"/>
          <w:sz w:val="24"/>
          <w:szCs w:val="24"/>
        </w:rPr>
        <w:t xml:space="preserve"> where </w:t>
      </w:r>
      <w:r w:rsidR="00F32376">
        <w:rPr>
          <w:rFonts w:ascii="Times New Roman" w:hAnsi="Times New Roman" w:cs="Times New Roman"/>
          <w:sz w:val="24"/>
          <w:szCs w:val="24"/>
        </w:rPr>
        <w:t>they</w:t>
      </w:r>
      <w:r w:rsidR="001843BE">
        <w:rPr>
          <w:rFonts w:ascii="Times New Roman" w:hAnsi="Times New Roman" w:cs="Times New Roman"/>
          <w:sz w:val="24"/>
          <w:szCs w:val="24"/>
        </w:rPr>
        <w:t xml:space="preserve"> record</w:t>
      </w:r>
      <w:r w:rsidR="00F32376">
        <w:rPr>
          <w:rFonts w:ascii="Times New Roman" w:hAnsi="Times New Roman" w:cs="Times New Roman"/>
          <w:sz w:val="24"/>
          <w:szCs w:val="24"/>
        </w:rPr>
        <w:t>ed</w:t>
      </w:r>
      <w:r w:rsidR="001843BE">
        <w:rPr>
          <w:rFonts w:ascii="Times New Roman" w:hAnsi="Times New Roman" w:cs="Times New Roman"/>
          <w:sz w:val="24"/>
          <w:szCs w:val="24"/>
        </w:rPr>
        <w:t xml:space="preserve"> the name of all those </w:t>
      </w:r>
      <w:r w:rsidR="00296BC2">
        <w:rPr>
          <w:rFonts w:ascii="Times New Roman" w:hAnsi="Times New Roman" w:cs="Times New Roman"/>
          <w:sz w:val="24"/>
          <w:szCs w:val="24"/>
        </w:rPr>
        <w:t>who had been killed</w:t>
      </w:r>
      <w:r w:rsidR="00DD6227">
        <w:rPr>
          <w:rFonts w:ascii="Times New Roman" w:hAnsi="Times New Roman" w:cs="Times New Roman"/>
          <w:sz w:val="24"/>
          <w:szCs w:val="24"/>
        </w:rPr>
        <w:t xml:space="preserve"> in the war</w:t>
      </w:r>
      <w:r w:rsidR="0005637E">
        <w:rPr>
          <w:rFonts w:ascii="Times New Roman" w:hAnsi="Times New Roman" w:cs="Times New Roman"/>
          <w:sz w:val="24"/>
          <w:szCs w:val="24"/>
        </w:rPr>
        <w:t>. A</w:t>
      </w:r>
      <w:r w:rsidR="00F32376">
        <w:rPr>
          <w:rFonts w:ascii="Times New Roman" w:hAnsi="Times New Roman" w:cs="Times New Roman"/>
          <w:sz w:val="24"/>
          <w:szCs w:val="24"/>
        </w:rPr>
        <w:t xml:space="preserve"> Christian cross </w:t>
      </w:r>
      <w:r w:rsidR="0005637E">
        <w:rPr>
          <w:rFonts w:ascii="Times New Roman" w:hAnsi="Times New Roman" w:cs="Times New Roman"/>
          <w:sz w:val="24"/>
          <w:szCs w:val="24"/>
        </w:rPr>
        <w:t xml:space="preserve">was </w:t>
      </w:r>
      <w:r w:rsidR="00F32376">
        <w:rPr>
          <w:rFonts w:ascii="Times New Roman" w:hAnsi="Times New Roman" w:cs="Times New Roman"/>
          <w:sz w:val="24"/>
          <w:szCs w:val="24"/>
        </w:rPr>
        <w:t>above the names</w:t>
      </w:r>
      <w:r w:rsidR="0005637E">
        <w:rPr>
          <w:rFonts w:ascii="Times New Roman" w:hAnsi="Times New Roman" w:cs="Times New Roman"/>
          <w:sz w:val="24"/>
          <w:szCs w:val="24"/>
        </w:rPr>
        <w:t xml:space="preserve"> and each one had been </w:t>
      </w:r>
      <w:r w:rsidR="001843BE">
        <w:rPr>
          <w:rFonts w:ascii="Times New Roman" w:hAnsi="Times New Roman" w:cs="Times New Roman"/>
          <w:sz w:val="24"/>
          <w:szCs w:val="24"/>
        </w:rPr>
        <w:t>dedicated by the Dean of the Abbey.</w:t>
      </w:r>
      <w:r w:rsidR="001843BE">
        <w:rPr>
          <w:rStyle w:val="FootnoteReference"/>
          <w:rFonts w:ascii="Times New Roman" w:hAnsi="Times New Roman" w:cs="Times New Roman"/>
          <w:sz w:val="24"/>
          <w:szCs w:val="24"/>
        </w:rPr>
        <w:footnoteReference w:id="16"/>
      </w:r>
      <w:r w:rsidR="001843BE">
        <w:rPr>
          <w:rFonts w:ascii="Times New Roman" w:hAnsi="Times New Roman" w:cs="Times New Roman"/>
          <w:sz w:val="24"/>
          <w:szCs w:val="24"/>
        </w:rPr>
        <w:t xml:space="preserve"> Not all shrines had a Christian element to them and many </w:t>
      </w:r>
      <w:r w:rsidR="0073796D">
        <w:rPr>
          <w:rFonts w:ascii="Times New Roman" w:hAnsi="Times New Roman" w:cs="Times New Roman"/>
          <w:sz w:val="24"/>
          <w:szCs w:val="24"/>
        </w:rPr>
        <w:t xml:space="preserve">were </w:t>
      </w:r>
      <w:r w:rsidR="00512BD1">
        <w:rPr>
          <w:rFonts w:ascii="Times New Roman" w:hAnsi="Times New Roman" w:cs="Times New Roman"/>
          <w:sz w:val="24"/>
          <w:szCs w:val="24"/>
        </w:rPr>
        <w:t xml:space="preserve">primarily secularist </w:t>
      </w:r>
      <w:r w:rsidR="0073796D">
        <w:rPr>
          <w:rFonts w:ascii="Times New Roman" w:hAnsi="Times New Roman" w:cs="Times New Roman"/>
          <w:sz w:val="24"/>
          <w:szCs w:val="24"/>
        </w:rPr>
        <w:t>commemorations of the ‘call to arms</w:t>
      </w:r>
      <w:r w:rsidR="0005637E">
        <w:rPr>
          <w:rFonts w:ascii="Times New Roman" w:hAnsi="Times New Roman" w:cs="Times New Roman"/>
          <w:sz w:val="24"/>
          <w:szCs w:val="24"/>
        </w:rPr>
        <w:t>,</w:t>
      </w:r>
      <w:r w:rsidR="0073796D">
        <w:rPr>
          <w:rFonts w:ascii="Times New Roman" w:hAnsi="Times New Roman" w:cs="Times New Roman"/>
          <w:sz w:val="24"/>
          <w:szCs w:val="24"/>
        </w:rPr>
        <w:t>’</w:t>
      </w:r>
      <w:r w:rsidR="001843BE">
        <w:rPr>
          <w:rFonts w:ascii="Times New Roman" w:hAnsi="Times New Roman" w:cs="Times New Roman"/>
          <w:sz w:val="24"/>
          <w:szCs w:val="24"/>
        </w:rPr>
        <w:t xml:space="preserve"> list</w:t>
      </w:r>
      <w:r w:rsidR="0073796D">
        <w:rPr>
          <w:rFonts w:ascii="Times New Roman" w:hAnsi="Times New Roman" w:cs="Times New Roman"/>
          <w:sz w:val="24"/>
          <w:szCs w:val="24"/>
        </w:rPr>
        <w:t>ing</w:t>
      </w:r>
      <w:r w:rsidR="001843BE">
        <w:rPr>
          <w:rFonts w:ascii="Times New Roman" w:hAnsi="Times New Roman" w:cs="Times New Roman"/>
          <w:sz w:val="24"/>
          <w:szCs w:val="24"/>
        </w:rPr>
        <w:t xml:space="preserve"> the names of </w:t>
      </w:r>
      <w:r w:rsidR="0073796D">
        <w:rPr>
          <w:rFonts w:ascii="Times New Roman" w:hAnsi="Times New Roman" w:cs="Times New Roman"/>
          <w:sz w:val="24"/>
          <w:szCs w:val="24"/>
        </w:rPr>
        <w:t>not only the dead but all the you</w:t>
      </w:r>
      <w:r w:rsidR="00296BC2">
        <w:rPr>
          <w:rFonts w:ascii="Times New Roman" w:hAnsi="Times New Roman" w:cs="Times New Roman"/>
          <w:sz w:val="24"/>
          <w:szCs w:val="24"/>
        </w:rPr>
        <w:t>ng m</w:t>
      </w:r>
      <w:r w:rsidR="0073796D">
        <w:rPr>
          <w:rFonts w:ascii="Times New Roman" w:hAnsi="Times New Roman" w:cs="Times New Roman"/>
          <w:sz w:val="24"/>
          <w:szCs w:val="24"/>
        </w:rPr>
        <w:t>e</w:t>
      </w:r>
      <w:r w:rsidR="00296BC2">
        <w:rPr>
          <w:rFonts w:ascii="Times New Roman" w:hAnsi="Times New Roman" w:cs="Times New Roman"/>
          <w:sz w:val="24"/>
          <w:szCs w:val="24"/>
        </w:rPr>
        <w:t>n</w:t>
      </w:r>
      <w:r w:rsidR="001843BE">
        <w:rPr>
          <w:rFonts w:ascii="Times New Roman" w:hAnsi="Times New Roman" w:cs="Times New Roman"/>
          <w:sz w:val="24"/>
          <w:szCs w:val="24"/>
        </w:rPr>
        <w:t xml:space="preserve"> who had signed up to fight for their country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7"/>
      </w:r>
      <w:r w:rsidR="00296BC2">
        <w:rPr>
          <w:rFonts w:ascii="Times New Roman" w:hAnsi="Times New Roman" w:cs="Times New Roman"/>
          <w:sz w:val="24"/>
          <w:szCs w:val="24"/>
        </w:rPr>
        <w:t xml:space="preserve"> </w:t>
      </w:r>
      <w:r w:rsidR="0073796D">
        <w:rPr>
          <w:rFonts w:ascii="Times New Roman" w:hAnsi="Times New Roman" w:cs="Times New Roman"/>
          <w:sz w:val="24"/>
          <w:szCs w:val="24"/>
        </w:rPr>
        <w:t>T</w:t>
      </w:r>
      <w:r w:rsidR="00296BC2">
        <w:rPr>
          <w:rFonts w:ascii="Times New Roman" w:hAnsi="Times New Roman" w:cs="Times New Roman"/>
          <w:sz w:val="24"/>
          <w:szCs w:val="24"/>
        </w:rPr>
        <w:t>hey were great sources of comfort</w:t>
      </w:r>
      <w:r w:rsidR="0073796D">
        <w:rPr>
          <w:rFonts w:ascii="Times New Roman" w:hAnsi="Times New Roman" w:cs="Times New Roman"/>
          <w:sz w:val="24"/>
          <w:szCs w:val="24"/>
        </w:rPr>
        <w:t>, giving the families left behind a purpose</w:t>
      </w:r>
      <w:r w:rsidR="0005637E">
        <w:rPr>
          <w:rFonts w:ascii="Times New Roman" w:hAnsi="Times New Roman" w:cs="Times New Roman"/>
          <w:sz w:val="24"/>
          <w:szCs w:val="24"/>
        </w:rPr>
        <w:t>,</w:t>
      </w:r>
      <w:r w:rsidR="0073796D">
        <w:rPr>
          <w:rFonts w:ascii="Times New Roman" w:hAnsi="Times New Roman" w:cs="Times New Roman"/>
          <w:sz w:val="24"/>
          <w:szCs w:val="24"/>
        </w:rPr>
        <w:t xml:space="preserve"> with many believing that the shrines provided </w:t>
      </w:r>
      <w:r w:rsidR="00512BD1">
        <w:rPr>
          <w:rFonts w:ascii="Times New Roman" w:hAnsi="Times New Roman" w:cs="Times New Roman"/>
          <w:sz w:val="24"/>
          <w:szCs w:val="24"/>
        </w:rPr>
        <w:t>some form of protection for those listed on it.</w:t>
      </w:r>
      <w:r w:rsidR="00DD6227">
        <w:rPr>
          <w:rStyle w:val="FootnoteReference"/>
          <w:rFonts w:ascii="Times New Roman" w:hAnsi="Times New Roman" w:cs="Times New Roman"/>
          <w:sz w:val="24"/>
          <w:szCs w:val="24"/>
        </w:rPr>
        <w:footnoteReference w:id="18"/>
      </w:r>
      <w:r w:rsidR="0005637E">
        <w:rPr>
          <w:rFonts w:ascii="Times New Roman" w:hAnsi="Times New Roman" w:cs="Times New Roman"/>
          <w:sz w:val="24"/>
          <w:szCs w:val="24"/>
        </w:rPr>
        <w:t xml:space="preserve"> Not everyone agreed with them though, the Protestant Truth Society felt that they bordered on idolatry as praying for the dead went against the thirty-nine articles of the Church of England.</w:t>
      </w:r>
      <w:r w:rsidR="0005637E">
        <w:rPr>
          <w:rStyle w:val="FootnoteReference"/>
          <w:rFonts w:ascii="Times New Roman" w:hAnsi="Times New Roman" w:cs="Times New Roman"/>
          <w:sz w:val="24"/>
          <w:szCs w:val="24"/>
        </w:rPr>
        <w:footnoteReference w:id="19"/>
      </w:r>
    </w:p>
    <w:p w:rsidR="0054451B" w:rsidRPr="008F27A4" w:rsidRDefault="0054451B" w:rsidP="0054451B">
      <w:pPr>
        <w:jc w:val="both"/>
        <w:rPr>
          <w:rFonts w:ascii="Times New Roman" w:hAnsi="Times New Roman" w:cs="Times New Roman"/>
          <w:sz w:val="24"/>
          <w:szCs w:val="24"/>
        </w:rPr>
      </w:pPr>
      <w:r>
        <w:rPr>
          <w:rFonts w:ascii="Times New Roman" w:hAnsi="Times New Roman" w:cs="Times New Roman"/>
          <w:sz w:val="24"/>
          <w:szCs w:val="24"/>
        </w:rPr>
        <w:t xml:space="preserve">Civilians and soldiers alike took to collecting items connected to the war, photographs along with helmets and pieces of barbed wire sat beside each other on the mantelpiece, a reminder of what was going on at the frontline. Museums were then set up to house the </w:t>
      </w:r>
      <w:r w:rsidR="001258DB">
        <w:rPr>
          <w:rFonts w:ascii="Times New Roman" w:hAnsi="Times New Roman" w:cs="Times New Roman"/>
          <w:sz w:val="24"/>
          <w:szCs w:val="24"/>
        </w:rPr>
        <w:t>ever-increasing</w:t>
      </w:r>
      <w:r>
        <w:rPr>
          <w:rFonts w:ascii="Times New Roman" w:hAnsi="Times New Roman" w:cs="Times New Roman"/>
          <w:sz w:val="24"/>
          <w:szCs w:val="24"/>
        </w:rPr>
        <w:t xml:space="preserve"> </w:t>
      </w:r>
      <w:r>
        <w:rPr>
          <w:rFonts w:ascii="Times New Roman" w:hAnsi="Times New Roman" w:cs="Times New Roman"/>
          <w:sz w:val="24"/>
          <w:szCs w:val="24"/>
        </w:rPr>
        <w:lastRenderedPageBreak/>
        <w:t>collections, the most famous in Britain being the Imperial War Museum in London, which was set up in 1917 not to glorify war but as a monument to the sacrifice and hard work of all those who had participated in the conflict on the frontline and the home front.</w:t>
      </w:r>
      <w:r>
        <w:rPr>
          <w:rStyle w:val="FootnoteReference"/>
          <w:rFonts w:ascii="Times New Roman" w:hAnsi="Times New Roman" w:cs="Times New Roman"/>
          <w:sz w:val="24"/>
          <w:szCs w:val="24"/>
        </w:rPr>
        <w:footnoteReference w:id="20"/>
      </w:r>
    </w:p>
    <w:p w:rsidR="008D047F" w:rsidRDefault="006F51C8" w:rsidP="008D047F">
      <w:pPr>
        <w:jc w:val="both"/>
        <w:rPr>
          <w:rFonts w:ascii="Times New Roman" w:hAnsi="Times New Roman" w:cs="Times New Roman"/>
          <w:sz w:val="24"/>
          <w:szCs w:val="24"/>
        </w:rPr>
      </w:pPr>
      <w:r>
        <w:rPr>
          <w:rFonts w:ascii="Times New Roman" w:hAnsi="Times New Roman" w:cs="Times New Roman"/>
          <w:sz w:val="24"/>
          <w:szCs w:val="24"/>
        </w:rPr>
        <w:t xml:space="preserve">Although a lot of the grieving process experienced by those left behind often took </w:t>
      </w:r>
      <w:r w:rsidR="0005637E">
        <w:rPr>
          <w:rFonts w:ascii="Times New Roman" w:hAnsi="Times New Roman" w:cs="Times New Roman"/>
          <w:sz w:val="24"/>
          <w:szCs w:val="24"/>
        </w:rPr>
        <w:t>new</w:t>
      </w:r>
      <w:r>
        <w:rPr>
          <w:rFonts w:ascii="Times New Roman" w:hAnsi="Times New Roman" w:cs="Times New Roman"/>
          <w:sz w:val="24"/>
          <w:szCs w:val="24"/>
        </w:rPr>
        <w:t xml:space="preserve"> forms of mourning and commemoration the Victorian practice of communing with the s</w:t>
      </w:r>
      <w:r w:rsidR="008D047F">
        <w:rPr>
          <w:rFonts w:ascii="Times New Roman" w:hAnsi="Times New Roman" w:cs="Times New Roman"/>
          <w:sz w:val="24"/>
          <w:szCs w:val="24"/>
        </w:rPr>
        <w:t>pirit</w:t>
      </w:r>
      <w:r w:rsidR="0035242E">
        <w:rPr>
          <w:rFonts w:ascii="Times New Roman" w:hAnsi="Times New Roman" w:cs="Times New Roman"/>
          <w:sz w:val="24"/>
          <w:szCs w:val="24"/>
        </w:rPr>
        <w:t>s</w:t>
      </w:r>
      <w:r w:rsidR="008D047F">
        <w:rPr>
          <w:rFonts w:ascii="Times New Roman" w:hAnsi="Times New Roman" w:cs="Times New Roman"/>
          <w:sz w:val="24"/>
          <w:szCs w:val="24"/>
        </w:rPr>
        <w:t xml:space="preserve"> </w:t>
      </w:r>
      <w:r>
        <w:rPr>
          <w:rFonts w:ascii="Times New Roman" w:hAnsi="Times New Roman" w:cs="Times New Roman"/>
          <w:sz w:val="24"/>
          <w:szCs w:val="24"/>
        </w:rPr>
        <w:t>re</w:t>
      </w:r>
      <w:r w:rsidR="008D047F">
        <w:rPr>
          <w:rFonts w:ascii="Times New Roman" w:hAnsi="Times New Roman" w:cs="Times New Roman"/>
          <w:sz w:val="24"/>
          <w:szCs w:val="24"/>
        </w:rPr>
        <w:t xml:space="preserve">gained popularity among those who were seeking a way of saying goodbye to loved ones </w:t>
      </w:r>
      <w:r>
        <w:rPr>
          <w:rFonts w:ascii="Times New Roman" w:hAnsi="Times New Roman" w:cs="Times New Roman"/>
          <w:sz w:val="24"/>
          <w:szCs w:val="24"/>
        </w:rPr>
        <w:t xml:space="preserve">as well as </w:t>
      </w:r>
      <w:r w:rsidR="0005637E">
        <w:rPr>
          <w:rFonts w:ascii="Times New Roman" w:hAnsi="Times New Roman" w:cs="Times New Roman"/>
          <w:sz w:val="24"/>
          <w:szCs w:val="24"/>
        </w:rPr>
        <w:t xml:space="preserve">among </w:t>
      </w:r>
      <w:r>
        <w:rPr>
          <w:rFonts w:ascii="Times New Roman" w:hAnsi="Times New Roman" w:cs="Times New Roman"/>
          <w:sz w:val="24"/>
          <w:szCs w:val="24"/>
        </w:rPr>
        <w:t>those who needed to know if their loved ones who were ‘missing’ were indeed ‘dead’</w:t>
      </w:r>
      <w:r w:rsidR="008D047F">
        <w:rPr>
          <w:rFonts w:ascii="Times New Roman" w:hAnsi="Times New Roman" w:cs="Times New Roman"/>
          <w:sz w:val="24"/>
          <w:szCs w:val="24"/>
        </w:rPr>
        <w:t>.</w:t>
      </w:r>
      <w:r w:rsidR="008D047F">
        <w:rPr>
          <w:rStyle w:val="FootnoteReference"/>
          <w:rFonts w:ascii="Times New Roman" w:hAnsi="Times New Roman" w:cs="Times New Roman"/>
          <w:sz w:val="24"/>
          <w:szCs w:val="24"/>
        </w:rPr>
        <w:footnoteReference w:id="21"/>
      </w:r>
      <w:r w:rsidR="00A92769">
        <w:rPr>
          <w:rFonts w:ascii="Times New Roman" w:hAnsi="Times New Roman" w:cs="Times New Roman"/>
          <w:sz w:val="24"/>
          <w:szCs w:val="24"/>
        </w:rPr>
        <w:t xml:space="preserve"> For some, like David Cannadine, the resurgence of spiritualism helped those left behind to deny the death of </w:t>
      </w:r>
      <w:r w:rsidR="003C20C0">
        <w:rPr>
          <w:rFonts w:ascii="Times New Roman" w:hAnsi="Times New Roman" w:cs="Times New Roman"/>
          <w:sz w:val="24"/>
          <w:szCs w:val="24"/>
        </w:rPr>
        <w:t>their loved ones</w:t>
      </w:r>
      <w:r w:rsidR="00D04407">
        <w:rPr>
          <w:rFonts w:ascii="Times New Roman" w:hAnsi="Times New Roman" w:cs="Times New Roman"/>
          <w:sz w:val="24"/>
          <w:szCs w:val="24"/>
        </w:rPr>
        <w:t>,</w:t>
      </w:r>
      <w:r w:rsidR="003C20C0">
        <w:rPr>
          <w:rStyle w:val="FootnoteReference"/>
          <w:rFonts w:ascii="Times New Roman" w:hAnsi="Times New Roman" w:cs="Times New Roman"/>
          <w:sz w:val="24"/>
          <w:szCs w:val="24"/>
        </w:rPr>
        <w:footnoteReference w:id="22"/>
      </w:r>
      <w:r w:rsidR="0035242E">
        <w:rPr>
          <w:rFonts w:ascii="Times New Roman" w:hAnsi="Times New Roman" w:cs="Times New Roman"/>
          <w:sz w:val="24"/>
          <w:szCs w:val="24"/>
        </w:rPr>
        <w:t xml:space="preserve"> </w:t>
      </w:r>
      <w:r w:rsidR="00D04407">
        <w:rPr>
          <w:rFonts w:ascii="Times New Roman" w:hAnsi="Times New Roman" w:cs="Times New Roman"/>
          <w:sz w:val="24"/>
          <w:szCs w:val="24"/>
        </w:rPr>
        <w:t xml:space="preserve">while for Jay Winter spiritualism was another form of religion and tradition indicating that not </w:t>
      </w:r>
      <w:r w:rsidR="00FC5DB0">
        <w:rPr>
          <w:rFonts w:ascii="Times New Roman" w:hAnsi="Times New Roman" w:cs="Times New Roman"/>
          <w:sz w:val="24"/>
          <w:szCs w:val="24"/>
        </w:rPr>
        <w:t>everybody in the</w:t>
      </w:r>
      <w:r w:rsidR="00D04407">
        <w:rPr>
          <w:rFonts w:ascii="Times New Roman" w:hAnsi="Times New Roman" w:cs="Times New Roman"/>
          <w:sz w:val="24"/>
          <w:szCs w:val="24"/>
        </w:rPr>
        <w:t xml:space="preserve"> Great War </w:t>
      </w:r>
      <w:r w:rsidR="00FC5DB0">
        <w:rPr>
          <w:rFonts w:ascii="Times New Roman" w:hAnsi="Times New Roman" w:cs="Times New Roman"/>
          <w:sz w:val="24"/>
          <w:szCs w:val="24"/>
        </w:rPr>
        <w:t xml:space="preserve">looked for new ways to </w:t>
      </w:r>
      <w:r w:rsidR="00D04407">
        <w:rPr>
          <w:rFonts w:ascii="Times New Roman" w:hAnsi="Times New Roman" w:cs="Times New Roman"/>
          <w:sz w:val="24"/>
          <w:szCs w:val="24"/>
        </w:rPr>
        <w:t>commemorat</w:t>
      </w:r>
      <w:r w:rsidR="00FC5DB0">
        <w:rPr>
          <w:rFonts w:ascii="Times New Roman" w:hAnsi="Times New Roman" w:cs="Times New Roman"/>
          <w:sz w:val="24"/>
          <w:szCs w:val="24"/>
        </w:rPr>
        <w:t>e the dead.</w:t>
      </w:r>
      <w:r w:rsidR="00D04407">
        <w:rPr>
          <w:rStyle w:val="FootnoteReference"/>
          <w:rFonts w:ascii="Times New Roman" w:hAnsi="Times New Roman" w:cs="Times New Roman"/>
          <w:sz w:val="24"/>
          <w:szCs w:val="24"/>
        </w:rPr>
        <w:footnoteReference w:id="23"/>
      </w:r>
      <w:r w:rsidR="00D04407">
        <w:rPr>
          <w:rFonts w:ascii="Times New Roman" w:hAnsi="Times New Roman" w:cs="Times New Roman"/>
          <w:sz w:val="24"/>
          <w:szCs w:val="24"/>
        </w:rPr>
        <w:t xml:space="preserve"> </w:t>
      </w:r>
      <w:r w:rsidR="0035242E">
        <w:rPr>
          <w:rFonts w:ascii="Times New Roman" w:hAnsi="Times New Roman" w:cs="Times New Roman"/>
          <w:sz w:val="24"/>
          <w:szCs w:val="24"/>
        </w:rPr>
        <w:t>Sir Arthur Conan Doyle was one of the most famous spiritualists who attended seances in the hope of talking to his son Kingsley who had died after being wounded on the Somme.</w:t>
      </w:r>
      <w:r w:rsidR="0035242E">
        <w:rPr>
          <w:rStyle w:val="FootnoteReference"/>
          <w:rFonts w:ascii="Times New Roman" w:hAnsi="Times New Roman" w:cs="Times New Roman"/>
          <w:sz w:val="24"/>
          <w:szCs w:val="24"/>
        </w:rPr>
        <w:footnoteReference w:id="24"/>
      </w:r>
      <w:r w:rsidR="0035242E">
        <w:rPr>
          <w:rFonts w:ascii="Times New Roman" w:hAnsi="Times New Roman" w:cs="Times New Roman"/>
          <w:sz w:val="24"/>
          <w:szCs w:val="24"/>
        </w:rPr>
        <w:t xml:space="preserve"> Conan Doyle also took an interest in spirit photography</w:t>
      </w:r>
      <w:r w:rsidR="00B672E1">
        <w:rPr>
          <w:rFonts w:ascii="Times New Roman" w:hAnsi="Times New Roman" w:cs="Times New Roman"/>
          <w:sz w:val="24"/>
          <w:szCs w:val="24"/>
        </w:rPr>
        <w:t xml:space="preserve"> where the spirits of dead servicemen </w:t>
      </w:r>
      <w:r w:rsidR="00735DD9">
        <w:rPr>
          <w:rFonts w:ascii="Times New Roman" w:hAnsi="Times New Roman" w:cs="Times New Roman"/>
          <w:sz w:val="24"/>
          <w:szCs w:val="24"/>
        </w:rPr>
        <w:t xml:space="preserve">are said to </w:t>
      </w:r>
      <w:r w:rsidR="00B672E1">
        <w:rPr>
          <w:rFonts w:ascii="Times New Roman" w:hAnsi="Times New Roman" w:cs="Times New Roman"/>
          <w:sz w:val="24"/>
          <w:szCs w:val="24"/>
        </w:rPr>
        <w:t xml:space="preserve">appear in photographs often at war commemoration services, like the one </w:t>
      </w:r>
      <w:r w:rsidR="00D04407">
        <w:rPr>
          <w:rFonts w:ascii="Times New Roman" w:hAnsi="Times New Roman" w:cs="Times New Roman"/>
          <w:sz w:val="24"/>
          <w:szCs w:val="24"/>
        </w:rPr>
        <w:t xml:space="preserve">taken </w:t>
      </w:r>
      <w:r w:rsidR="00B672E1">
        <w:rPr>
          <w:rFonts w:ascii="Times New Roman" w:hAnsi="Times New Roman" w:cs="Times New Roman"/>
          <w:sz w:val="24"/>
          <w:szCs w:val="24"/>
        </w:rPr>
        <w:t xml:space="preserve">by </w:t>
      </w:r>
      <w:r w:rsidR="00D04407">
        <w:rPr>
          <w:rFonts w:ascii="Times New Roman" w:hAnsi="Times New Roman" w:cs="Times New Roman"/>
          <w:sz w:val="24"/>
          <w:szCs w:val="24"/>
        </w:rPr>
        <w:t xml:space="preserve">a </w:t>
      </w:r>
      <w:r w:rsidR="00B672E1">
        <w:rPr>
          <w:rFonts w:ascii="Times New Roman" w:hAnsi="Times New Roman" w:cs="Times New Roman"/>
          <w:sz w:val="24"/>
          <w:szCs w:val="24"/>
        </w:rPr>
        <w:t xml:space="preserve">Mrs Deane </w:t>
      </w:r>
      <w:r w:rsidR="00D04407">
        <w:rPr>
          <w:rFonts w:ascii="Times New Roman" w:hAnsi="Times New Roman" w:cs="Times New Roman"/>
          <w:sz w:val="24"/>
          <w:szCs w:val="24"/>
        </w:rPr>
        <w:t>a</w:t>
      </w:r>
      <w:r w:rsidR="00B672E1">
        <w:rPr>
          <w:rFonts w:ascii="Times New Roman" w:hAnsi="Times New Roman" w:cs="Times New Roman"/>
          <w:sz w:val="24"/>
          <w:szCs w:val="24"/>
        </w:rPr>
        <w:t>t the Remembrance Day service at Whitehall in 1922.</w:t>
      </w:r>
      <w:r w:rsidR="00B672E1">
        <w:rPr>
          <w:rStyle w:val="FootnoteReference"/>
          <w:rFonts w:ascii="Times New Roman" w:hAnsi="Times New Roman" w:cs="Times New Roman"/>
          <w:sz w:val="24"/>
          <w:szCs w:val="24"/>
        </w:rPr>
        <w:footnoteReference w:id="25"/>
      </w:r>
      <w:r w:rsidR="00B672E1">
        <w:rPr>
          <w:rFonts w:ascii="Times New Roman" w:hAnsi="Times New Roman" w:cs="Times New Roman"/>
          <w:sz w:val="24"/>
          <w:szCs w:val="24"/>
        </w:rPr>
        <w:t xml:space="preserve"> </w:t>
      </w:r>
    </w:p>
    <w:p w:rsidR="00FC5DB0" w:rsidRDefault="00D348C2" w:rsidP="00FC5DB0">
      <w:pPr>
        <w:jc w:val="both"/>
        <w:rPr>
          <w:rFonts w:ascii="Times New Roman" w:hAnsi="Times New Roman" w:cs="Times New Roman"/>
          <w:sz w:val="24"/>
          <w:szCs w:val="24"/>
        </w:rPr>
      </w:pPr>
      <w:r>
        <w:rPr>
          <w:rFonts w:ascii="Times New Roman" w:hAnsi="Times New Roman" w:cs="Times New Roman"/>
          <w:sz w:val="24"/>
          <w:szCs w:val="24"/>
        </w:rPr>
        <w:t>Pr</w:t>
      </w:r>
      <w:r w:rsidR="007C15F8">
        <w:rPr>
          <w:rFonts w:ascii="Times New Roman" w:hAnsi="Times New Roman" w:cs="Times New Roman"/>
          <w:sz w:val="24"/>
          <w:szCs w:val="24"/>
        </w:rPr>
        <w:t>ior</w:t>
      </w:r>
      <w:r>
        <w:rPr>
          <w:rFonts w:ascii="Times New Roman" w:hAnsi="Times New Roman" w:cs="Times New Roman"/>
          <w:sz w:val="24"/>
          <w:szCs w:val="24"/>
        </w:rPr>
        <w:t xml:space="preserve"> to World War One the war dead were usually forgotten, </w:t>
      </w:r>
      <w:r w:rsidR="007C15F8">
        <w:rPr>
          <w:rFonts w:ascii="Times New Roman" w:hAnsi="Times New Roman" w:cs="Times New Roman"/>
          <w:sz w:val="24"/>
          <w:szCs w:val="24"/>
        </w:rPr>
        <w:t>and</w:t>
      </w:r>
      <w:r w:rsidR="00FC5DB0">
        <w:rPr>
          <w:rFonts w:ascii="Times New Roman" w:hAnsi="Times New Roman" w:cs="Times New Roman"/>
          <w:sz w:val="24"/>
          <w:szCs w:val="24"/>
        </w:rPr>
        <w:t xml:space="preserve"> as early as 1916 the British government had decided the bodies of servicemen who died in the conflict would not be repatriated but buried where they fell</w:t>
      </w:r>
      <w:r w:rsidR="004145A8">
        <w:rPr>
          <w:rFonts w:ascii="Times New Roman" w:hAnsi="Times New Roman" w:cs="Times New Roman"/>
          <w:sz w:val="24"/>
          <w:szCs w:val="24"/>
        </w:rPr>
        <w:t xml:space="preserve">, leaving </w:t>
      </w:r>
      <w:r w:rsidR="007C15F8">
        <w:rPr>
          <w:rFonts w:ascii="Times New Roman" w:hAnsi="Times New Roman" w:cs="Times New Roman"/>
          <w:sz w:val="24"/>
          <w:szCs w:val="24"/>
        </w:rPr>
        <w:t xml:space="preserve">thousands of </w:t>
      </w:r>
      <w:r w:rsidR="004145A8">
        <w:rPr>
          <w:rFonts w:ascii="Times New Roman" w:hAnsi="Times New Roman" w:cs="Times New Roman"/>
          <w:sz w:val="24"/>
          <w:szCs w:val="24"/>
        </w:rPr>
        <w:t>families unable to visit the graveside of a loved one</w:t>
      </w:r>
      <w:r w:rsidR="000C4877">
        <w:rPr>
          <w:rFonts w:ascii="Times New Roman" w:hAnsi="Times New Roman" w:cs="Times New Roman"/>
          <w:sz w:val="24"/>
          <w:szCs w:val="24"/>
        </w:rPr>
        <w:t>. T</w:t>
      </w:r>
      <w:r w:rsidR="00FC5DB0">
        <w:rPr>
          <w:rFonts w:ascii="Times New Roman" w:hAnsi="Times New Roman" w:cs="Times New Roman"/>
          <w:sz w:val="24"/>
          <w:szCs w:val="24"/>
        </w:rPr>
        <w:t xml:space="preserve">he Grave Registration Commission was set up by Red Cross worker Fabian Ware in a response to </w:t>
      </w:r>
      <w:r w:rsidR="001575A1">
        <w:rPr>
          <w:rFonts w:ascii="Times New Roman" w:hAnsi="Times New Roman" w:cs="Times New Roman"/>
          <w:sz w:val="24"/>
          <w:szCs w:val="24"/>
        </w:rPr>
        <w:t xml:space="preserve">queries from the public to make sure </w:t>
      </w:r>
      <w:r w:rsidR="000C4877">
        <w:rPr>
          <w:rFonts w:ascii="Times New Roman" w:hAnsi="Times New Roman" w:cs="Times New Roman"/>
          <w:sz w:val="24"/>
          <w:szCs w:val="24"/>
        </w:rPr>
        <w:t xml:space="preserve">that records of </w:t>
      </w:r>
      <w:r w:rsidR="001575A1">
        <w:rPr>
          <w:rFonts w:ascii="Times New Roman" w:hAnsi="Times New Roman" w:cs="Times New Roman"/>
          <w:sz w:val="24"/>
          <w:szCs w:val="24"/>
        </w:rPr>
        <w:t>the final resting place</w:t>
      </w:r>
      <w:r w:rsidR="000C4877">
        <w:rPr>
          <w:rFonts w:ascii="Times New Roman" w:hAnsi="Times New Roman" w:cs="Times New Roman"/>
          <w:sz w:val="24"/>
          <w:szCs w:val="24"/>
        </w:rPr>
        <w:t>s</w:t>
      </w:r>
      <w:r w:rsidR="001575A1">
        <w:rPr>
          <w:rFonts w:ascii="Times New Roman" w:hAnsi="Times New Roman" w:cs="Times New Roman"/>
          <w:sz w:val="24"/>
          <w:szCs w:val="24"/>
        </w:rPr>
        <w:t xml:space="preserve"> of British soldiers didn’t get lost.</w:t>
      </w:r>
      <w:r w:rsidR="00FC5DB0">
        <w:rPr>
          <w:rStyle w:val="FootnoteReference"/>
          <w:rFonts w:ascii="Times New Roman" w:hAnsi="Times New Roman" w:cs="Times New Roman"/>
          <w:sz w:val="24"/>
          <w:szCs w:val="24"/>
        </w:rPr>
        <w:footnoteReference w:id="26"/>
      </w:r>
      <w:r w:rsidR="00FC5DB0">
        <w:rPr>
          <w:rFonts w:ascii="Times New Roman" w:hAnsi="Times New Roman" w:cs="Times New Roman"/>
          <w:sz w:val="24"/>
          <w:szCs w:val="24"/>
        </w:rPr>
        <w:t xml:space="preserve"> </w:t>
      </w:r>
      <w:r w:rsidR="001575A1">
        <w:rPr>
          <w:rFonts w:ascii="Times New Roman" w:hAnsi="Times New Roman" w:cs="Times New Roman"/>
          <w:sz w:val="24"/>
          <w:szCs w:val="24"/>
        </w:rPr>
        <w:t>In 1917</w:t>
      </w:r>
      <w:r w:rsidR="00FC5DB0">
        <w:rPr>
          <w:rFonts w:ascii="Times New Roman" w:hAnsi="Times New Roman" w:cs="Times New Roman"/>
          <w:sz w:val="24"/>
          <w:szCs w:val="24"/>
        </w:rPr>
        <w:t xml:space="preserve"> the Imperial War Graves Commission </w:t>
      </w:r>
      <w:r w:rsidR="001575A1">
        <w:rPr>
          <w:rFonts w:ascii="Times New Roman" w:hAnsi="Times New Roman" w:cs="Times New Roman"/>
          <w:sz w:val="24"/>
          <w:szCs w:val="24"/>
        </w:rPr>
        <w:t>was given a royal charter to</w:t>
      </w:r>
      <w:r w:rsidR="00FC5DB0">
        <w:rPr>
          <w:rFonts w:ascii="Times New Roman" w:hAnsi="Times New Roman" w:cs="Times New Roman"/>
          <w:sz w:val="24"/>
          <w:szCs w:val="24"/>
        </w:rPr>
        <w:t xml:space="preserve"> establish more than </w:t>
      </w:r>
      <w:r w:rsidR="00A36BB5">
        <w:rPr>
          <w:rFonts w:ascii="Times New Roman" w:hAnsi="Times New Roman" w:cs="Times New Roman"/>
          <w:sz w:val="24"/>
          <w:szCs w:val="24"/>
        </w:rPr>
        <w:t>18</w:t>
      </w:r>
      <w:r w:rsidR="00FC5DB0">
        <w:rPr>
          <w:rFonts w:ascii="Times New Roman" w:hAnsi="Times New Roman" w:cs="Times New Roman"/>
          <w:sz w:val="24"/>
          <w:szCs w:val="24"/>
        </w:rPr>
        <w:t>00 cemeteries in France and Belgium</w:t>
      </w:r>
      <w:r w:rsidR="001575A1">
        <w:rPr>
          <w:rFonts w:ascii="Times New Roman" w:hAnsi="Times New Roman" w:cs="Times New Roman"/>
          <w:sz w:val="24"/>
          <w:szCs w:val="24"/>
        </w:rPr>
        <w:t>,</w:t>
      </w:r>
      <w:r w:rsidR="00FC5DB0">
        <w:rPr>
          <w:rStyle w:val="FootnoteReference"/>
          <w:rFonts w:ascii="Times New Roman" w:hAnsi="Times New Roman" w:cs="Times New Roman"/>
          <w:sz w:val="24"/>
          <w:szCs w:val="24"/>
        </w:rPr>
        <w:footnoteReference w:id="27"/>
      </w:r>
      <w:r w:rsidR="00FC5DB0">
        <w:rPr>
          <w:rFonts w:ascii="Times New Roman" w:hAnsi="Times New Roman" w:cs="Times New Roman"/>
          <w:sz w:val="24"/>
          <w:szCs w:val="24"/>
        </w:rPr>
        <w:t xml:space="preserve"> complet</w:t>
      </w:r>
      <w:r w:rsidR="001575A1">
        <w:rPr>
          <w:rFonts w:ascii="Times New Roman" w:hAnsi="Times New Roman" w:cs="Times New Roman"/>
          <w:sz w:val="24"/>
          <w:szCs w:val="24"/>
        </w:rPr>
        <w:t>ing</w:t>
      </w:r>
      <w:r w:rsidR="00FC5DB0">
        <w:rPr>
          <w:rFonts w:ascii="Times New Roman" w:hAnsi="Times New Roman" w:cs="Times New Roman"/>
          <w:sz w:val="24"/>
          <w:szCs w:val="24"/>
        </w:rPr>
        <w:t xml:space="preserve"> its work in 1938 </w:t>
      </w:r>
      <w:r w:rsidR="001575A1">
        <w:rPr>
          <w:rFonts w:ascii="Times New Roman" w:hAnsi="Times New Roman" w:cs="Times New Roman"/>
          <w:sz w:val="24"/>
          <w:szCs w:val="24"/>
        </w:rPr>
        <w:t xml:space="preserve">with </w:t>
      </w:r>
      <w:r w:rsidR="00FC5DB0">
        <w:rPr>
          <w:rFonts w:ascii="Times New Roman" w:hAnsi="Times New Roman" w:cs="Times New Roman"/>
          <w:sz w:val="24"/>
          <w:szCs w:val="24"/>
        </w:rPr>
        <w:t>557,520 soldiers ha</w:t>
      </w:r>
      <w:r w:rsidR="001575A1">
        <w:rPr>
          <w:rFonts w:ascii="Times New Roman" w:hAnsi="Times New Roman" w:cs="Times New Roman"/>
          <w:sz w:val="24"/>
          <w:szCs w:val="24"/>
        </w:rPr>
        <w:t>ving</w:t>
      </w:r>
      <w:r w:rsidR="00FC5DB0">
        <w:rPr>
          <w:rFonts w:ascii="Times New Roman" w:hAnsi="Times New Roman" w:cs="Times New Roman"/>
          <w:sz w:val="24"/>
          <w:szCs w:val="24"/>
        </w:rPr>
        <w:t xml:space="preserve"> been identified and buried whilst another 180,861 were buried anonymously</w:t>
      </w:r>
      <w:r w:rsidR="001575A1">
        <w:rPr>
          <w:rFonts w:ascii="Times New Roman" w:hAnsi="Times New Roman" w:cs="Times New Roman"/>
          <w:sz w:val="24"/>
          <w:szCs w:val="24"/>
        </w:rPr>
        <w:t>.</w:t>
      </w:r>
      <w:r w:rsidR="00E657BA">
        <w:rPr>
          <w:rStyle w:val="FootnoteReference"/>
          <w:rFonts w:ascii="Times New Roman" w:hAnsi="Times New Roman" w:cs="Times New Roman"/>
          <w:sz w:val="24"/>
          <w:szCs w:val="24"/>
        </w:rPr>
        <w:footnoteReference w:id="28"/>
      </w:r>
      <w:r w:rsidR="00E657BA">
        <w:rPr>
          <w:rFonts w:ascii="Times New Roman" w:hAnsi="Times New Roman" w:cs="Times New Roman"/>
          <w:sz w:val="24"/>
          <w:szCs w:val="24"/>
        </w:rPr>
        <w:t xml:space="preserve"> </w:t>
      </w:r>
      <w:r w:rsidR="001575A1">
        <w:rPr>
          <w:rFonts w:ascii="Times New Roman" w:hAnsi="Times New Roman" w:cs="Times New Roman"/>
          <w:sz w:val="24"/>
          <w:szCs w:val="24"/>
        </w:rPr>
        <w:t>The aim of the Commission was to emphasise equality throughout the cemeteries</w:t>
      </w:r>
      <w:r w:rsidR="00A36BB5">
        <w:rPr>
          <w:rFonts w:ascii="Times New Roman" w:hAnsi="Times New Roman" w:cs="Times New Roman"/>
          <w:sz w:val="24"/>
          <w:szCs w:val="24"/>
        </w:rPr>
        <w:t xml:space="preserve"> and </w:t>
      </w:r>
      <w:r w:rsidR="00E657BA">
        <w:rPr>
          <w:rFonts w:ascii="Times New Roman" w:hAnsi="Times New Roman" w:cs="Times New Roman"/>
          <w:sz w:val="24"/>
          <w:szCs w:val="24"/>
        </w:rPr>
        <w:t>move away from the Christian symbol of the cross which was prominent in French and German cemeteries.</w:t>
      </w:r>
      <w:r w:rsidR="00E657BA">
        <w:rPr>
          <w:rStyle w:val="FootnoteReference"/>
          <w:rFonts w:ascii="Times New Roman" w:hAnsi="Times New Roman" w:cs="Times New Roman"/>
          <w:sz w:val="24"/>
          <w:szCs w:val="24"/>
        </w:rPr>
        <w:footnoteReference w:id="29"/>
      </w:r>
      <w:r w:rsidR="00E657BA">
        <w:rPr>
          <w:rFonts w:ascii="Times New Roman" w:hAnsi="Times New Roman" w:cs="Times New Roman"/>
          <w:sz w:val="24"/>
          <w:szCs w:val="24"/>
        </w:rPr>
        <w:t xml:space="preserve"> </w:t>
      </w:r>
      <w:r w:rsidR="00A36BB5">
        <w:rPr>
          <w:rFonts w:ascii="Times New Roman" w:hAnsi="Times New Roman" w:cs="Times New Roman"/>
          <w:sz w:val="24"/>
          <w:szCs w:val="24"/>
        </w:rPr>
        <w:t xml:space="preserve">Sir Edwin Lutyens was commissioned to design the cemeteries and gravestones </w:t>
      </w:r>
      <w:r w:rsidR="00FC5DB0">
        <w:rPr>
          <w:rFonts w:ascii="Times New Roman" w:hAnsi="Times New Roman" w:cs="Times New Roman"/>
          <w:sz w:val="24"/>
          <w:szCs w:val="24"/>
        </w:rPr>
        <w:t xml:space="preserve">with the </w:t>
      </w:r>
      <w:r w:rsidR="00A36BB5">
        <w:rPr>
          <w:rFonts w:ascii="Times New Roman" w:hAnsi="Times New Roman" w:cs="Times New Roman"/>
          <w:sz w:val="24"/>
          <w:szCs w:val="24"/>
        </w:rPr>
        <w:t>help of Rudyard Kipling for the wording. The result was a</w:t>
      </w:r>
      <w:r w:rsidR="00FC5DB0">
        <w:rPr>
          <w:rFonts w:ascii="Times New Roman" w:hAnsi="Times New Roman" w:cs="Times New Roman"/>
          <w:sz w:val="24"/>
          <w:szCs w:val="24"/>
        </w:rPr>
        <w:t xml:space="preserve"> uniform</w:t>
      </w:r>
      <w:r w:rsidR="000C4877">
        <w:rPr>
          <w:rFonts w:ascii="Times New Roman" w:hAnsi="Times New Roman" w:cs="Times New Roman"/>
          <w:sz w:val="24"/>
          <w:szCs w:val="24"/>
        </w:rPr>
        <w:t>,</w:t>
      </w:r>
      <w:r w:rsidR="00FC5DB0">
        <w:rPr>
          <w:rFonts w:ascii="Times New Roman" w:hAnsi="Times New Roman" w:cs="Times New Roman"/>
          <w:sz w:val="24"/>
          <w:szCs w:val="24"/>
        </w:rPr>
        <w:t xml:space="preserve"> white</w:t>
      </w:r>
      <w:r w:rsidR="000C4877">
        <w:rPr>
          <w:rFonts w:ascii="Times New Roman" w:hAnsi="Times New Roman" w:cs="Times New Roman"/>
          <w:sz w:val="24"/>
          <w:szCs w:val="24"/>
        </w:rPr>
        <w:t>,</w:t>
      </w:r>
      <w:r w:rsidR="00FC5DB0">
        <w:rPr>
          <w:rFonts w:ascii="Times New Roman" w:hAnsi="Times New Roman" w:cs="Times New Roman"/>
          <w:sz w:val="24"/>
          <w:szCs w:val="24"/>
        </w:rPr>
        <w:t xml:space="preserve"> Portland stone headstone, irrespective of rank</w:t>
      </w:r>
      <w:r w:rsidR="001575A1">
        <w:rPr>
          <w:rFonts w:ascii="Times New Roman" w:hAnsi="Times New Roman" w:cs="Times New Roman"/>
          <w:sz w:val="24"/>
          <w:szCs w:val="24"/>
        </w:rPr>
        <w:t xml:space="preserve">, </w:t>
      </w:r>
      <w:r w:rsidR="00A36BB5">
        <w:rPr>
          <w:rFonts w:ascii="Times New Roman" w:hAnsi="Times New Roman" w:cs="Times New Roman"/>
          <w:sz w:val="24"/>
          <w:szCs w:val="24"/>
        </w:rPr>
        <w:t xml:space="preserve">with </w:t>
      </w:r>
      <w:r w:rsidR="001575A1">
        <w:rPr>
          <w:rFonts w:ascii="Times New Roman" w:hAnsi="Times New Roman" w:cs="Times New Roman"/>
          <w:sz w:val="24"/>
          <w:szCs w:val="24"/>
        </w:rPr>
        <w:t>the graveyards set up to resemble an English country garden</w:t>
      </w:r>
      <w:r w:rsidR="00E657BA">
        <w:rPr>
          <w:rFonts w:ascii="Times New Roman" w:hAnsi="Times New Roman" w:cs="Times New Roman"/>
          <w:sz w:val="24"/>
          <w:szCs w:val="24"/>
        </w:rPr>
        <w:t xml:space="preserve">. </w:t>
      </w:r>
      <w:r w:rsidR="00A36BB5">
        <w:rPr>
          <w:rFonts w:ascii="Times New Roman" w:hAnsi="Times New Roman" w:cs="Times New Roman"/>
          <w:sz w:val="24"/>
          <w:szCs w:val="24"/>
        </w:rPr>
        <w:t>Lutyens ‘monolithic altar</w:t>
      </w:r>
      <w:r>
        <w:rPr>
          <w:rFonts w:ascii="Times New Roman" w:hAnsi="Times New Roman" w:cs="Times New Roman"/>
          <w:sz w:val="24"/>
          <w:szCs w:val="24"/>
        </w:rPr>
        <w:t xml:space="preserve">’ with the epitaph ‘their name liveth forever’ </w:t>
      </w:r>
      <w:r w:rsidR="00E657BA">
        <w:rPr>
          <w:rFonts w:ascii="Times New Roman" w:hAnsi="Times New Roman" w:cs="Times New Roman"/>
          <w:sz w:val="24"/>
          <w:szCs w:val="24"/>
        </w:rPr>
        <w:t>took centre stage incorporating slight curves symbolising hope and happiness.</w:t>
      </w:r>
      <w:r w:rsidR="00E657BA">
        <w:rPr>
          <w:rStyle w:val="FootnoteReference"/>
          <w:rFonts w:ascii="Times New Roman" w:hAnsi="Times New Roman" w:cs="Times New Roman"/>
          <w:sz w:val="24"/>
          <w:szCs w:val="24"/>
        </w:rPr>
        <w:footnoteReference w:id="30"/>
      </w:r>
      <w:r w:rsidR="00E657BA">
        <w:rPr>
          <w:rFonts w:ascii="Times New Roman" w:hAnsi="Times New Roman" w:cs="Times New Roman"/>
          <w:sz w:val="24"/>
          <w:szCs w:val="24"/>
        </w:rPr>
        <w:t xml:space="preserve"> As there was much opposition from the Church of England, a compromise was made in some of the larger cemeteries where a </w:t>
      </w:r>
      <w:r w:rsidR="00B73932">
        <w:rPr>
          <w:rFonts w:ascii="Times New Roman" w:hAnsi="Times New Roman" w:cs="Times New Roman"/>
          <w:sz w:val="24"/>
          <w:szCs w:val="24"/>
        </w:rPr>
        <w:t xml:space="preserve">stone cross incorporating a </w:t>
      </w:r>
      <w:r w:rsidR="00B73932">
        <w:rPr>
          <w:rFonts w:ascii="Times New Roman" w:hAnsi="Times New Roman" w:cs="Times New Roman"/>
          <w:sz w:val="24"/>
          <w:szCs w:val="24"/>
        </w:rPr>
        <w:lastRenderedPageBreak/>
        <w:t>bronze sword was also added,</w:t>
      </w:r>
      <w:r w:rsidR="00B73932">
        <w:rPr>
          <w:rStyle w:val="FootnoteReference"/>
          <w:rFonts w:ascii="Times New Roman" w:hAnsi="Times New Roman" w:cs="Times New Roman"/>
          <w:sz w:val="24"/>
          <w:szCs w:val="24"/>
        </w:rPr>
        <w:footnoteReference w:id="31"/>
      </w:r>
      <w:r w:rsidR="00B73932">
        <w:rPr>
          <w:rFonts w:ascii="Times New Roman" w:hAnsi="Times New Roman" w:cs="Times New Roman"/>
          <w:sz w:val="24"/>
          <w:szCs w:val="24"/>
        </w:rPr>
        <w:t xml:space="preserve"> but for </w:t>
      </w:r>
      <w:r w:rsidR="000C3944">
        <w:rPr>
          <w:rFonts w:ascii="Times New Roman" w:hAnsi="Times New Roman" w:cs="Times New Roman"/>
          <w:sz w:val="24"/>
          <w:szCs w:val="24"/>
        </w:rPr>
        <w:t>the Commission</w:t>
      </w:r>
      <w:r w:rsidR="00B73932">
        <w:rPr>
          <w:rFonts w:ascii="Times New Roman" w:hAnsi="Times New Roman" w:cs="Times New Roman"/>
          <w:sz w:val="24"/>
          <w:szCs w:val="24"/>
        </w:rPr>
        <w:t xml:space="preserve"> a shared death took precedence over shared religion.</w:t>
      </w:r>
      <w:r w:rsidR="00B73932">
        <w:rPr>
          <w:rStyle w:val="FootnoteReference"/>
          <w:rFonts w:ascii="Times New Roman" w:hAnsi="Times New Roman" w:cs="Times New Roman"/>
          <w:sz w:val="24"/>
          <w:szCs w:val="24"/>
        </w:rPr>
        <w:footnoteReference w:id="32"/>
      </w:r>
    </w:p>
    <w:p w:rsidR="00B763D6" w:rsidRDefault="00B763D6" w:rsidP="00B763D6">
      <w:pPr>
        <w:jc w:val="both"/>
        <w:rPr>
          <w:rFonts w:ascii="Times New Roman" w:hAnsi="Times New Roman" w:cs="Times New Roman"/>
          <w:sz w:val="24"/>
          <w:szCs w:val="24"/>
        </w:rPr>
      </w:pPr>
      <w:r>
        <w:rPr>
          <w:rFonts w:ascii="Times New Roman" w:hAnsi="Times New Roman" w:cs="Times New Roman"/>
          <w:sz w:val="24"/>
          <w:szCs w:val="24"/>
        </w:rPr>
        <w:t>In August 1918 over 100,000 people a week visited a temporary memorial shrine which had been erected in Hyde Park to commemorate those who had died in the conflict,</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this </w:t>
      </w:r>
      <w:r w:rsidR="0081559F">
        <w:rPr>
          <w:rFonts w:ascii="Times New Roman" w:hAnsi="Times New Roman" w:cs="Times New Roman"/>
          <w:sz w:val="24"/>
          <w:szCs w:val="24"/>
        </w:rPr>
        <w:t>need for those who were grieving to have a permanent memorial to visit was realised on 19</w:t>
      </w:r>
      <w:r w:rsidR="0081559F" w:rsidRPr="0081559F">
        <w:rPr>
          <w:rFonts w:ascii="Times New Roman" w:hAnsi="Times New Roman" w:cs="Times New Roman"/>
          <w:sz w:val="24"/>
          <w:szCs w:val="24"/>
          <w:vertAlign w:val="superscript"/>
        </w:rPr>
        <w:t>th</w:t>
      </w:r>
      <w:r w:rsidR="0081559F">
        <w:rPr>
          <w:rFonts w:ascii="Times New Roman" w:hAnsi="Times New Roman" w:cs="Times New Roman"/>
          <w:sz w:val="24"/>
          <w:szCs w:val="24"/>
        </w:rPr>
        <w:t xml:space="preserve"> July 1919 when</w:t>
      </w:r>
      <w:r w:rsidR="001258DB">
        <w:rPr>
          <w:rFonts w:ascii="Times New Roman" w:hAnsi="Times New Roman" w:cs="Times New Roman"/>
          <w:sz w:val="24"/>
          <w:szCs w:val="24"/>
        </w:rPr>
        <w:t xml:space="preserve"> a Peace Day Parade was organised </w:t>
      </w:r>
      <w:r w:rsidR="0081559F">
        <w:rPr>
          <w:rFonts w:ascii="Times New Roman" w:hAnsi="Times New Roman" w:cs="Times New Roman"/>
          <w:sz w:val="24"/>
          <w:szCs w:val="24"/>
        </w:rPr>
        <w:t>to celebrate the signing of the Treaty of Versailles</w:t>
      </w:r>
      <w:r w:rsidR="001258DB">
        <w:rPr>
          <w:rFonts w:ascii="Times New Roman" w:hAnsi="Times New Roman" w:cs="Times New Roman"/>
          <w:sz w:val="24"/>
          <w:szCs w:val="24"/>
        </w:rPr>
        <w:t>.</w:t>
      </w:r>
      <w:r w:rsidR="00B27F2A">
        <w:rPr>
          <w:rStyle w:val="FootnoteReference"/>
          <w:rFonts w:ascii="Times New Roman" w:hAnsi="Times New Roman" w:cs="Times New Roman"/>
          <w:sz w:val="24"/>
          <w:szCs w:val="24"/>
        </w:rPr>
        <w:footnoteReference w:id="34"/>
      </w:r>
      <w:r w:rsidR="001258DB">
        <w:rPr>
          <w:rFonts w:ascii="Times New Roman" w:hAnsi="Times New Roman" w:cs="Times New Roman"/>
          <w:sz w:val="24"/>
          <w:szCs w:val="24"/>
        </w:rPr>
        <w:t xml:space="preserve"> </w:t>
      </w:r>
      <w:r w:rsidR="00092582">
        <w:rPr>
          <w:rFonts w:ascii="Times New Roman" w:hAnsi="Times New Roman" w:cs="Times New Roman"/>
          <w:sz w:val="24"/>
          <w:szCs w:val="24"/>
        </w:rPr>
        <w:t>Prime Minister, David Lloyd George, asked Edwin Lutyens</w:t>
      </w:r>
      <w:r w:rsidR="00F96253">
        <w:rPr>
          <w:rFonts w:ascii="Times New Roman" w:hAnsi="Times New Roman" w:cs="Times New Roman"/>
          <w:sz w:val="24"/>
          <w:szCs w:val="24"/>
        </w:rPr>
        <w:t>, who had already designed the war cemeteries,</w:t>
      </w:r>
      <w:r w:rsidR="00092582">
        <w:rPr>
          <w:rFonts w:ascii="Times New Roman" w:hAnsi="Times New Roman" w:cs="Times New Roman"/>
          <w:sz w:val="24"/>
          <w:szCs w:val="24"/>
        </w:rPr>
        <w:t xml:space="preserve"> to design a monument as a centrepiece for the parade</w:t>
      </w:r>
      <w:r w:rsidR="0081559F">
        <w:rPr>
          <w:rFonts w:ascii="Times New Roman" w:hAnsi="Times New Roman" w:cs="Times New Roman"/>
          <w:sz w:val="24"/>
          <w:szCs w:val="24"/>
        </w:rPr>
        <w:t>, which was to proceed down Whitehall. King George V stat</w:t>
      </w:r>
      <w:r w:rsidR="004D21C0">
        <w:rPr>
          <w:rFonts w:ascii="Times New Roman" w:hAnsi="Times New Roman" w:cs="Times New Roman"/>
          <w:sz w:val="24"/>
          <w:szCs w:val="24"/>
        </w:rPr>
        <w:t>ed at a cabinet meeting</w:t>
      </w:r>
      <w:r w:rsidR="0081559F">
        <w:rPr>
          <w:rFonts w:ascii="Times New Roman" w:hAnsi="Times New Roman" w:cs="Times New Roman"/>
          <w:sz w:val="24"/>
          <w:szCs w:val="24"/>
        </w:rPr>
        <w:t xml:space="preserve"> that he believed the returning soldiers had had enough of processions reminding them of the war</w:t>
      </w:r>
      <w:r w:rsidR="004D21C0">
        <w:rPr>
          <w:rFonts w:ascii="Times New Roman" w:hAnsi="Times New Roman" w:cs="Times New Roman"/>
          <w:sz w:val="24"/>
          <w:szCs w:val="24"/>
        </w:rPr>
        <w:t>, but</w:t>
      </w:r>
      <w:r w:rsidR="0081559F">
        <w:rPr>
          <w:rFonts w:ascii="Times New Roman" w:hAnsi="Times New Roman" w:cs="Times New Roman"/>
          <w:sz w:val="24"/>
          <w:szCs w:val="24"/>
        </w:rPr>
        <w:t xml:space="preserve"> the parade went ahead</w:t>
      </w:r>
      <w:r w:rsidR="004D21C0">
        <w:rPr>
          <w:rFonts w:ascii="Times New Roman" w:hAnsi="Times New Roman" w:cs="Times New Roman"/>
          <w:sz w:val="24"/>
          <w:szCs w:val="24"/>
        </w:rPr>
        <w:t xml:space="preserve"> anyway</w:t>
      </w:r>
      <w:r w:rsidR="0081559F">
        <w:rPr>
          <w:rFonts w:ascii="Times New Roman" w:hAnsi="Times New Roman" w:cs="Times New Roman"/>
          <w:sz w:val="24"/>
          <w:szCs w:val="24"/>
        </w:rPr>
        <w:t>.</w:t>
      </w:r>
      <w:r w:rsidR="0081559F">
        <w:rPr>
          <w:rStyle w:val="FootnoteReference"/>
          <w:rFonts w:ascii="Times New Roman" w:hAnsi="Times New Roman" w:cs="Times New Roman"/>
          <w:sz w:val="24"/>
          <w:szCs w:val="24"/>
        </w:rPr>
        <w:footnoteReference w:id="35"/>
      </w:r>
      <w:r w:rsidR="00092582">
        <w:rPr>
          <w:rFonts w:ascii="Times New Roman" w:hAnsi="Times New Roman" w:cs="Times New Roman"/>
          <w:sz w:val="24"/>
          <w:szCs w:val="24"/>
        </w:rPr>
        <w:t xml:space="preserve"> </w:t>
      </w:r>
      <w:r w:rsidR="00B27F2A">
        <w:rPr>
          <w:rFonts w:ascii="Times New Roman" w:hAnsi="Times New Roman" w:cs="Times New Roman"/>
          <w:sz w:val="24"/>
          <w:szCs w:val="24"/>
        </w:rPr>
        <w:t>Lutyens decide</w:t>
      </w:r>
      <w:r w:rsidR="0081559F">
        <w:rPr>
          <w:rFonts w:ascii="Times New Roman" w:hAnsi="Times New Roman" w:cs="Times New Roman"/>
          <w:sz w:val="24"/>
          <w:szCs w:val="24"/>
        </w:rPr>
        <w:t>d</w:t>
      </w:r>
      <w:r w:rsidR="00B27F2A">
        <w:rPr>
          <w:rFonts w:ascii="Times New Roman" w:hAnsi="Times New Roman" w:cs="Times New Roman"/>
          <w:sz w:val="24"/>
          <w:szCs w:val="24"/>
        </w:rPr>
        <w:t xml:space="preserve"> on a cenotaph, </w:t>
      </w:r>
      <w:r w:rsidR="00F96253">
        <w:rPr>
          <w:rFonts w:ascii="Times New Roman" w:hAnsi="Times New Roman" w:cs="Times New Roman"/>
          <w:sz w:val="24"/>
          <w:szCs w:val="24"/>
        </w:rPr>
        <w:t xml:space="preserve">an </w:t>
      </w:r>
      <w:r w:rsidR="00B27F2A">
        <w:rPr>
          <w:rFonts w:ascii="Times New Roman" w:hAnsi="Times New Roman" w:cs="Times New Roman"/>
          <w:sz w:val="24"/>
          <w:szCs w:val="24"/>
        </w:rPr>
        <w:t xml:space="preserve">empty tomb, </w:t>
      </w:r>
      <w:r w:rsidR="00F96253">
        <w:rPr>
          <w:rFonts w:ascii="Times New Roman" w:hAnsi="Times New Roman" w:cs="Times New Roman"/>
          <w:sz w:val="24"/>
          <w:szCs w:val="24"/>
        </w:rPr>
        <w:t xml:space="preserve">which was to be </w:t>
      </w:r>
      <w:r w:rsidR="0081559F">
        <w:rPr>
          <w:rFonts w:ascii="Times New Roman" w:hAnsi="Times New Roman" w:cs="Times New Roman"/>
          <w:sz w:val="24"/>
          <w:szCs w:val="24"/>
        </w:rPr>
        <w:t>religiously neutral</w:t>
      </w:r>
      <w:r w:rsidR="00F96253">
        <w:rPr>
          <w:rFonts w:ascii="Times New Roman" w:hAnsi="Times New Roman" w:cs="Times New Roman"/>
          <w:sz w:val="24"/>
          <w:szCs w:val="24"/>
        </w:rPr>
        <w:t>. It</w:t>
      </w:r>
      <w:r w:rsidR="00B27F2A">
        <w:rPr>
          <w:rFonts w:ascii="Times New Roman" w:hAnsi="Times New Roman" w:cs="Times New Roman"/>
          <w:sz w:val="24"/>
          <w:szCs w:val="24"/>
        </w:rPr>
        <w:t xml:space="preserve"> was first made as a temporary monument in</w:t>
      </w:r>
      <w:r w:rsidR="00092582">
        <w:rPr>
          <w:rFonts w:ascii="Times New Roman" w:hAnsi="Times New Roman" w:cs="Times New Roman"/>
          <w:sz w:val="24"/>
          <w:szCs w:val="24"/>
        </w:rPr>
        <w:t xml:space="preserve"> wood and plaster</w:t>
      </w:r>
      <w:r w:rsidR="00B27F2A">
        <w:rPr>
          <w:rFonts w:ascii="Times New Roman" w:hAnsi="Times New Roman" w:cs="Times New Roman"/>
          <w:sz w:val="24"/>
          <w:szCs w:val="24"/>
        </w:rPr>
        <w:t>,</w:t>
      </w:r>
      <w:r w:rsidR="00092582">
        <w:rPr>
          <w:rFonts w:ascii="Times New Roman" w:hAnsi="Times New Roman" w:cs="Times New Roman"/>
          <w:sz w:val="24"/>
          <w:szCs w:val="24"/>
        </w:rPr>
        <w:t xml:space="preserve"> replicated in Portland stone in 1920 as a permanent fixture, </w:t>
      </w:r>
      <w:r w:rsidR="00F96253">
        <w:rPr>
          <w:rFonts w:ascii="Times New Roman" w:hAnsi="Times New Roman" w:cs="Times New Roman"/>
          <w:sz w:val="24"/>
          <w:szCs w:val="24"/>
        </w:rPr>
        <w:t xml:space="preserve">and </w:t>
      </w:r>
      <w:r w:rsidR="00092582">
        <w:rPr>
          <w:rFonts w:ascii="Times New Roman" w:hAnsi="Times New Roman" w:cs="Times New Roman"/>
          <w:sz w:val="24"/>
          <w:szCs w:val="24"/>
        </w:rPr>
        <w:t xml:space="preserve">was a perfect example of minimalist art and sensibilities </w:t>
      </w:r>
      <w:r w:rsidR="00F96253">
        <w:rPr>
          <w:rFonts w:ascii="Times New Roman" w:hAnsi="Times New Roman" w:cs="Times New Roman"/>
          <w:sz w:val="24"/>
          <w:szCs w:val="24"/>
        </w:rPr>
        <w:t xml:space="preserve">which were </w:t>
      </w:r>
      <w:r w:rsidR="00092582">
        <w:rPr>
          <w:rFonts w:ascii="Times New Roman" w:hAnsi="Times New Roman" w:cs="Times New Roman"/>
          <w:sz w:val="24"/>
          <w:szCs w:val="24"/>
        </w:rPr>
        <w:t>prevalent at that time.</w:t>
      </w:r>
      <w:r w:rsidR="00262020">
        <w:rPr>
          <w:rStyle w:val="FootnoteReference"/>
          <w:rFonts w:ascii="Times New Roman" w:hAnsi="Times New Roman" w:cs="Times New Roman"/>
          <w:sz w:val="24"/>
          <w:szCs w:val="24"/>
        </w:rPr>
        <w:footnoteReference w:id="36"/>
      </w:r>
      <w:r w:rsidR="00092582">
        <w:rPr>
          <w:rFonts w:ascii="Times New Roman" w:hAnsi="Times New Roman" w:cs="Times New Roman"/>
          <w:sz w:val="24"/>
          <w:szCs w:val="24"/>
        </w:rPr>
        <w:t xml:space="preserve"> The simplicity of the design was to focus the attention of those who passed by on the empty tomb on top of the pillar. </w:t>
      </w:r>
      <w:r w:rsidR="00B27F2A">
        <w:rPr>
          <w:rFonts w:ascii="Times New Roman" w:hAnsi="Times New Roman" w:cs="Times New Roman"/>
          <w:sz w:val="24"/>
          <w:szCs w:val="24"/>
        </w:rPr>
        <w:t xml:space="preserve">This tomb was representative of all those who had fallen in the war and was a </w:t>
      </w:r>
      <w:r w:rsidR="004D21C0">
        <w:rPr>
          <w:rFonts w:ascii="Times New Roman" w:hAnsi="Times New Roman" w:cs="Times New Roman"/>
          <w:sz w:val="24"/>
          <w:szCs w:val="24"/>
        </w:rPr>
        <w:t>blank canvas where</w:t>
      </w:r>
      <w:r w:rsidR="00B27F2A">
        <w:rPr>
          <w:rFonts w:ascii="Times New Roman" w:hAnsi="Times New Roman" w:cs="Times New Roman"/>
          <w:sz w:val="24"/>
          <w:szCs w:val="24"/>
        </w:rPr>
        <w:t xml:space="preserve"> grieving family and friends </w:t>
      </w:r>
      <w:r w:rsidR="004D21C0">
        <w:rPr>
          <w:rFonts w:ascii="Times New Roman" w:hAnsi="Times New Roman" w:cs="Times New Roman"/>
          <w:sz w:val="24"/>
          <w:szCs w:val="24"/>
        </w:rPr>
        <w:t>could impart their own thoughts</w:t>
      </w:r>
      <w:r w:rsidR="00401560">
        <w:rPr>
          <w:rFonts w:ascii="Times New Roman" w:hAnsi="Times New Roman" w:cs="Times New Roman"/>
          <w:sz w:val="24"/>
          <w:szCs w:val="24"/>
        </w:rPr>
        <w:t xml:space="preserve"> and memories</w:t>
      </w:r>
      <w:r w:rsidR="00B27F2A">
        <w:rPr>
          <w:rFonts w:ascii="Times New Roman" w:hAnsi="Times New Roman" w:cs="Times New Roman"/>
          <w:sz w:val="24"/>
          <w:szCs w:val="24"/>
        </w:rPr>
        <w:t>.</w:t>
      </w:r>
      <w:r w:rsidR="00262020">
        <w:rPr>
          <w:rStyle w:val="FootnoteReference"/>
          <w:rFonts w:ascii="Times New Roman" w:hAnsi="Times New Roman" w:cs="Times New Roman"/>
          <w:sz w:val="24"/>
          <w:szCs w:val="24"/>
        </w:rPr>
        <w:footnoteReference w:id="37"/>
      </w:r>
    </w:p>
    <w:p w:rsidR="004D21C0" w:rsidRDefault="004D21C0" w:rsidP="00B763D6">
      <w:pPr>
        <w:jc w:val="both"/>
        <w:rPr>
          <w:rFonts w:ascii="Times New Roman" w:hAnsi="Times New Roman" w:cs="Times New Roman"/>
          <w:sz w:val="24"/>
          <w:szCs w:val="24"/>
        </w:rPr>
      </w:pPr>
      <w:r>
        <w:rPr>
          <w:rFonts w:ascii="Times New Roman" w:hAnsi="Times New Roman" w:cs="Times New Roman"/>
          <w:sz w:val="24"/>
          <w:szCs w:val="24"/>
        </w:rPr>
        <w:t>Being a symbol of the evolving modernism in Britain and having no religious aspect to its design, the cenotaph caused a problem for the Church of England who were already struggling to give the British people an adequate answer as to why God had allowed such large-scale destruction.</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To try and bring the British people back to the traditional values of the Church </w:t>
      </w:r>
      <w:r w:rsidR="00A8349F">
        <w:rPr>
          <w:rFonts w:ascii="Times New Roman" w:hAnsi="Times New Roman" w:cs="Times New Roman"/>
          <w:sz w:val="24"/>
          <w:szCs w:val="24"/>
        </w:rPr>
        <w:t>the Dean of Westminster Abbey revisited an idea</w:t>
      </w:r>
      <w:r w:rsidR="00BE00D5">
        <w:rPr>
          <w:rFonts w:ascii="Times New Roman" w:hAnsi="Times New Roman" w:cs="Times New Roman"/>
          <w:sz w:val="24"/>
          <w:szCs w:val="24"/>
        </w:rPr>
        <w:t>,</w:t>
      </w:r>
      <w:r w:rsidR="00A8349F">
        <w:rPr>
          <w:rFonts w:ascii="Times New Roman" w:hAnsi="Times New Roman" w:cs="Times New Roman"/>
          <w:sz w:val="24"/>
          <w:szCs w:val="24"/>
        </w:rPr>
        <w:t xml:space="preserve"> </w:t>
      </w:r>
      <w:r w:rsidR="00BE00D5">
        <w:rPr>
          <w:rFonts w:ascii="Times New Roman" w:hAnsi="Times New Roman" w:cs="Times New Roman"/>
          <w:sz w:val="24"/>
          <w:szCs w:val="24"/>
        </w:rPr>
        <w:t xml:space="preserve">put forward </w:t>
      </w:r>
      <w:r w:rsidR="00CD5C17">
        <w:rPr>
          <w:rFonts w:ascii="Times New Roman" w:hAnsi="Times New Roman" w:cs="Times New Roman"/>
          <w:sz w:val="24"/>
          <w:szCs w:val="24"/>
        </w:rPr>
        <w:t>as early as 1916,</w:t>
      </w:r>
      <w:r w:rsidR="00F023D1">
        <w:rPr>
          <w:rFonts w:ascii="Times New Roman" w:hAnsi="Times New Roman" w:cs="Times New Roman"/>
          <w:sz w:val="24"/>
          <w:szCs w:val="24"/>
        </w:rPr>
        <w:t xml:space="preserve"> </w:t>
      </w:r>
      <w:r w:rsidR="00BE00D5">
        <w:rPr>
          <w:rFonts w:ascii="Times New Roman" w:hAnsi="Times New Roman" w:cs="Times New Roman"/>
          <w:sz w:val="24"/>
          <w:szCs w:val="24"/>
        </w:rPr>
        <w:t>by the Reverend David Railton,</w:t>
      </w:r>
      <w:r w:rsidR="00F023D1">
        <w:rPr>
          <w:rFonts w:ascii="Times New Roman" w:hAnsi="Times New Roman" w:cs="Times New Roman"/>
          <w:sz w:val="24"/>
          <w:szCs w:val="24"/>
        </w:rPr>
        <w:t xml:space="preserve"> </w:t>
      </w:r>
      <w:r w:rsidR="00A8349F">
        <w:rPr>
          <w:rFonts w:ascii="Times New Roman" w:hAnsi="Times New Roman" w:cs="Times New Roman"/>
          <w:sz w:val="24"/>
          <w:szCs w:val="24"/>
        </w:rPr>
        <w:t xml:space="preserve">to re inter the body of an </w:t>
      </w:r>
      <w:r w:rsidR="00CD5C17">
        <w:rPr>
          <w:rFonts w:ascii="Times New Roman" w:hAnsi="Times New Roman" w:cs="Times New Roman"/>
          <w:sz w:val="24"/>
          <w:szCs w:val="24"/>
        </w:rPr>
        <w:t>unidentified</w:t>
      </w:r>
      <w:r w:rsidR="00A8349F">
        <w:rPr>
          <w:rFonts w:ascii="Times New Roman" w:hAnsi="Times New Roman" w:cs="Times New Roman"/>
          <w:sz w:val="24"/>
          <w:szCs w:val="24"/>
        </w:rPr>
        <w:t xml:space="preserve"> soldier from </w:t>
      </w:r>
      <w:r w:rsidR="00430D69">
        <w:rPr>
          <w:rFonts w:ascii="Times New Roman" w:hAnsi="Times New Roman" w:cs="Times New Roman"/>
          <w:sz w:val="24"/>
          <w:szCs w:val="24"/>
        </w:rPr>
        <w:t>the battlefields in</w:t>
      </w:r>
      <w:r w:rsidR="00F023D1">
        <w:rPr>
          <w:rFonts w:ascii="Times New Roman" w:hAnsi="Times New Roman" w:cs="Times New Roman"/>
          <w:sz w:val="24"/>
          <w:szCs w:val="24"/>
        </w:rPr>
        <w:t>to</w:t>
      </w:r>
      <w:r w:rsidR="00430D69">
        <w:rPr>
          <w:rFonts w:ascii="Times New Roman" w:hAnsi="Times New Roman" w:cs="Times New Roman"/>
          <w:sz w:val="24"/>
          <w:szCs w:val="24"/>
        </w:rPr>
        <w:t xml:space="preserve"> </w:t>
      </w:r>
      <w:r w:rsidR="00F023D1">
        <w:rPr>
          <w:rFonts w:ascii="Times New Roman" w:hAnsi="Times New Roman" w:cs="Times New Roman"/>
          <w:sz w:val="24"/>
          <w:szCs w:val="24"/>
        </w:rPr>
        <w:t>a</w:t>
      </w:r>
      <w:r w:rsidR="00430D69">
        <w:rPr>
          <w:rFonts w:ascii="Times New Roman" w:hAnsi="Times New Roman" w:cs="Times New Roman"/>
          <w:sz w:val="24"/>
          <w:szCs w:val="24"/>
        </w:rPr>
        <w:t xml:space="preserve"> Tomb of the Unknown </w:t>
      </w:r>
      <w:r w:rsidR="00F023D1">
        <w:rPr>
          <w:rFonts w:ascii="Times New Roman" w:hAnsi="Times New Roman" w:cs="Times New Roman"/>
          <w:sz w:val="24"/>
          <w:szCs w:val="24"/>
        </w:rPr>
        <w:t>Warrior</w:t>
      </w:r>
      <w:r w:rsidR="00430D69">
        <w:rPr>
          <w:rFonts w:ascii="Times New Roman" w:hAnsi="Times New Roman" w:cs="Times New Roman"/>
          <w:sz w:val="24"/>
          <w:szCs w:val="24"/>
        </w:rPr>
        <w:t xml:space="preserve"> at Westminster Abbey.</w:t>
      </w:r>
      <w:r w:rsidR="00430D69">
        <w:rPr>
          <w:rStyle w:val="FootnoteReference"/>
          <w:rFonts w:ascii="Times New Roman" w:hAnsi="Times New Roman" w:cs="Times New Roman"/>
          <w:sz w:val="24"/>
          <w:szCs w:val="24"/>
        </w:rPr>
        <w:footnoteReference w:id="39"/>
      </w:r>
      <w:r w:rsidR="00BE00D5">
        <w:rPr>
          <w:rFonts w:ascii="Times New Roman" w:hAnsi="Times New Roman" w:cs="Times New Roman"/>
          <w:sz w:val="24"/>
          <w:szCs w:val="24"/>
        </w:rPr>
        <w:t xml:space="preserve"> The body was disinterred at short notice and paraded down Whitehall where it stopp</w:t>
      </w:r>
      <w:r w:rsidR="00F023D1">
        <w:rPr>
          <w:rFonts w:ascii="Times New Roman" w:hAnsi="Times New Roman" w:cs="Times New Roman"/>
          <w:sz w:val="24"/>
          <w:szCs w:val="24"/>
        </w:rPr>
        <w:t>e</w:t>
      </w:r>
      <w:r w:rsidR="00BE00D5">
        <w:rPr>
          <w:rFonts w:ascii="Times New Roman" w:hAnsi="Times New Roman" w:cs="Times New Roman"/>
          <w:sz w:val="24"/>
          <w:szCs w:val="24"/>
        </w:rPr>
        <w:t>d</w:t>
      </w:r>
      <w:r w:rsidR="00F023D1">
        <w:rPr>
          <w:rFonts w:ascii="Times New Roman" w:hAnsi="Times New Roman" w:cs="Times New Roman"/>
          <w:sz w:val="24"/>
          <w:szCs w:val="24"/>
        </w:rPr>
        <w:t xml:space="preserve"> in front of </w:t>
      </w:r>
      <w:r w:rsidR="00BE00D5">
        <w:rPr>
          <w:rFonts w:ascii="Times New Roman" w:hAnsi="Times New Roman" w:cs="Times New Roman"/>
          <w:sz w:val="24"/>
          <w:szCs w:val="24"/>
        </w:rPr>
        <w:t xml:space="preserve">the new permanent Cenotaph memorial which was to be unveiled that day. A previously agreed on prayer was said, </w:t>
      </w:r>
      <w:r w:rsidR="00CD5C17">
        <w:rPr>
          <w:rFonts w:ascii="Times New Roman" w:hAnsi="Times New Roman" w:cs="Times New Roman"/>
          <w:sz w:val="24"/>
          <w:szCs w:val="24"/>
        </w:rPr>
        <w:t>bringing a religious element into the ceremony, which remains to this day. T</w:t>
      </w:r>
      <w:r w:rsidR="00BE00D5">
        <w:rPr>
          <w:rFonts w:ascii="Times New Roman" w:hAnsi="Times New Roman" w:cs="Times New Roman"/>
          <w:sz w:val="24"/>
          <w:szCs w:val="24"/>
        </w:rPr>
        <w:t>he dignitaries attending the unveiling</w:t>
      </w:r>
      <w:r w:rsidR="00CD5C17">
        <w:rPr>
          <w:rFonts w:ascii="Times New Roman" w:hAnsi="Times New Roman" w:cs="Times New Roman"/>
          <w:sz w:val="24"/>
          <w:szCs w:val="24"/>
        </w:rPr>
        <w:t xml:space="preserve"> then </w:t>
      </w:r>
      <w:r w:rsidR="00BE00D5">
        <w:rPr>
          <w:rFonts w:ascii="Times New Roman" w:hAnsi="Times New Roman" w:cs="Times New Roman"/>
          <w:sz w:val="24"/>
          <w:szCs w:val="24"/>
        </w:rPr>
        <w:t>carried on to Westminster Abbey where the body was interred amid an understated ceremony.</w:t>
      </w:r>
      <w:r w:rsidR="00BE00D5">
        <w:rPr>
          <w:rStyle w:val="FootnoteReference"/>
          <w:rFonts w:ascii="Times New Roman" w:hAnsi="Times New Roman" w:cs="Times New Roman"/>
          <w:sz w:val="24"/>
          <w:szCs w:val="24"/>
        </w:rPr>
        <w:footnoteReference w:id="40"/>
      </w:r>
      <w:r w:rsidR="00BE00D5">
        <w:rPr>
          <w:rFonts w:ascii="Times New Roman" w:hAnsi="Times New Roman" w:cs="Times New Roman"/>
          <w:sz w:val="24"/>
          <w:szCs w:val="24"/>
        </w:rPr>
        <w:t xml:space="preserve"> </w:t>
      </w:r>
      <w:r w:rsidR="00F023D1">
        <w:rPr>
          <w:rFonts w:ascii="Times New Roman" w:hAnsi="Times New Roman" w:cs="Times New Roman"/>
          <w:sz w:val="24"/>
          <w:szCs w:val="24"/>
        </w:rPr>
        <w:t xml:space="preserve">The crowds attending the ceremony were </w:t>
      </w:r>
      <w:r w:rsidR="004F66C9">
        <w:rPr>
          <w:rFonts w:ascii="Times New Roman" w:hAnsi="Times New Roman" w:cs="Times New Roman"/>
          <w:sz w:val="24"/>
          <w:szCs w:val="24"/>
        </w:rPr>
        <w:t xml:space="preserve">extremely large, as it fulfilled a need </w:t>
      </w:r>
      <w:r w:rsidR="000C3944">
        <w:rPr>
          <w:rFonts w:ascii="Times New Roman" w:hAnsi="Times New Roman" w:cs="Times New Roman"/>
          <w:sz w:val="24"/>
          <w:szCs w:val="24"/>
        </w:rPr>
        <w:t>which</w:t>
      </w:r>
      <w:r w:rsidR="004F66C9">
        <w:rPr>
          <w:rFonts w:ascii="Times New Roman" w:hAnsi="Times New Roman" w:cs="Times New Roman"/>
          <w:sz w:val="24"/>
          <w:szCs w:val="24"/>
        </w:rPr>
        <w:t xml:space="preserve"> the cenotaph with its empty tomb was unable to satisfy.</w:t>
      </w:r>
      <w:r w:rsidR="004F66C9">
        <w:rPr>
          <w:rStyle w:val="FootnoteReference"/>
          <w:rFonts w:ascii="Times New Roman" w:hAnsi="Times New Roman" w:cs="Times New Roman"/>
          <w:sz w:val="24"/>
          <w:szCs w:val="24"/>
        </w:rPr>
        <w:footnoteReference w:id="41"/>
      </w:r>
      <w:r w:rsidR="004F66C9">
        <w:rPr>
          <w:rFonts w:ascii="Times New Roman" w:hAnsi="Times New Roman" w:cs="Times New Roman"/>
          <w:sz w:val="24"/>
          <w:szCs w:val="24"/>
        </w:rPr>
        <w:t xml:space="preserve"> F</w:t>
      </w:r>
      <w:r w:rsidR="00BE00D5">
        <w:rPr>
          <w:rFonts w:ascii="Times New Roman" w:hAnsi="Times New Roman" w:cs="Times New Roman"/>
          <w:sz w:val="24"/>
          <w:szCs w:val="24"/>
        </w:rPr>
        <w:t xml:space="preserve">or Maurice Fitzgerald, biographer </w:t>
      </w:r>
      <w:r w:rsidR="00330D98">
        <w:rPr>
          <w:rFonts w:ascii="Times New Roman" w:hAnsi="Times New Roman" w:cs="Times New Roman"/>
          <w:sz w:val="24"/>
          <w:szCs w:val="24"/>
        </w:rPr>
        <w:t>of Dean Herbert Ryle</w:t>
      </w:r>
      <w:r w:rsidR="00BE00D5">
        <w:rPr>
          <w:rFonts w:ascii="Times New Roman" w:hAnsi="Times New Roman" w:cs="Times New Roman"/>
          <w:sz w:val="24"/>
          <w:szCs w:val="24"/>
        </w:rPr>
        <w:t>, it was ‘the very stone of the abbey</w:t>
      </w:r>
      <w:r w:rsidR="000C3944">
        <w:rPr>
          <w:rFonts w:ascii="Times New Roman" w:hAnsi="Times New Roman" w:cs="Times New Roman"/>
          <w:sz w:val="24"/>
          <w:szCs w:val="24"/>
        </w:rPr>
        <w:t>,</w:t>
      </w:r>
      <w:r w:rsidR="00BE00D5">
        <w:rPr>
          <w:rFonts w:ascii="Times New Roman" w:hAnsi="Times New Roman" w:cs="Times New Roman"/>
          <w:sz w:val="24"/>
          <w:szCs w:val="24"/>
        </w:rPr>
        <w:t xml:space="preserve"> that spoke to those</w:t>
      </w:r>
      <w:r w:rsidR="00330D98">
        <w:rPr>
          <w:rFonts w:ascii="Times New Roman" w:hAnsi="Times New Roman" w:cs="Times New Roman"/>
          <w:sz w:val="24"/>
          <w:szCs w:val="24"/>
        </w:rPr>
        <w:t xml:space="preserve"> attending</w:t>
      </w:r>
      <w:r w:rsidR="000C3944">
        <w:rPr>
          <w:rFonts w:ascii="Times New Roman" w:hAnsi="Times New Roman" w:cs="Times New Roman"/>
          <w:sz w:val="24"/>
          <w:szCs w:val="24"/>
        </w:rPr>
        <w:t>,</w:t>
      </w:r>
      <w:r w:rsidR="00BE00D5">
        <w:rPr>
          <w:rFonts w:ascii="Times New Roman" w:hAnsi="Times New Roman" w:cs="Times New Roman"/>
          <w:sz w:val="24"/>
          <w:szCs w:val="24"/>
        </w:rPr>
        <w:t xml:space="preserve"> of the spiritual link to one another, their forefathers and to God</w:t>
      </w:r>
      <w:r w:rsidR="00F023D1">
        <w:rPr>
          <w:rFonts w:ascii="Times New Roman" w:hAnsi="Times New Roman" w:cs="Times New Roman"/>
          <w:sz w:val="24"/>
          <w:szCs w:val="24"/>
        </w:rPr>
        <w:t>.’</w:t>
      </w:r>
      <w:r w:rsidR="00F023D1">
        <w:rPr>
          <w:rStyle w:val="FootnoteReference"/>
          <w:rFonts w:ascii="Times New Roman" w:hAnsi="Times New Roman" w:cs="Times New Roman"/>
          <w:sz w:val="24"/>
          <w:szCs w:val="24"/>
        </w:rPr>
        <w:footnoteReference w:id="42"/>
      </w:r>
    </w:p>
    <w:p w:rsidR="00B02222" w:rsidRDefault="00330D98" w:rsidP="00EE48A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Many towns and villages copied the idea of a permanent memorial for their war dead, some like Manchester employed Lutyens </w:t>
      </w:r>
      <w:r w:rsidR="00C21D24">
        <w:rPr>
          <w:rFonts w:ascii="Times New Roman" w:hAnsi="Times New Roman" w:cs="Times New Roman"/>
          <w:sz w:val="24"/>
          <w:szCs w:val="24"/>
        </w:rPr>
        <w:t xml:space="preserve">himself </w:t>
      </w:r>
      <w:r>
        <w:rPr>
          <w:rFonts w:ascii="Times New Roman" w:hAnsi="Times New Roman" w:cs="Times New Roman"/>
          <w:sz w:val="24"/>
          <w:szCs w:val="24"/>
        </w:rPr>
        <w:t>to produce a variation of his national Cenotaph.</w:t>
      </w:r>
      <w:r>
        <w:rPr>
          <w:rStyle w:val="FootnoteReference"/>
          <w:rFonts w:ascii="Times New Roman" w:hAnsi="Times New Roman" w:cs="Times New Roman"/>
          <w:sz w:val="24"/>
          <w:szCs w:val="24"/>
        </w:rPr>
        <w:footnoteReference w:id="43"/>
      </w:r>
      <w:r w:rsidR="00C21D24" w:rsidRPr="00C21D24">
        <w:rPr>
          <w:rFonts w:ascii="Times New Roman" w:hAnsi="Times New Roman" w:cs="Times New Roman"/>
          <w:sz w:val="24"/>
          <w:szCs w:val="24"/>
        </w:rPr>
        <w:t xml:space="preserve"> </w:t>
      </w:r>
      <w:r w:rsidR="00C21D24">
        <w:rPr>
          <w:rFonts w:ascii="Times New Roman" w:hAnsi="Times New Roman" w:cs="Times New Roman"/>
          <w:sz w:val="24"/>
          <w:szCs w:val="24"/>
        </w:rPr>
        <w:t>Designs for war memorials had begun long before the war had ended, in December 1915 the Civic Arts Association was founded which held regular meetings to discuss the subject and exhibitions were put on to showcase designs suiting all purse sizes.</w:t>
      </w:r>
      <w:r w:rsidR="00C21D24">
        <w:rPr>
          <w:rStyle w:val="FootnoteReference"/>
          <w:rFonts w:ascii="Times New Roman" w:hAnsi="Times New Roman" w:cs="Times New Roman"/>
          <w:sz w:val="24"/>
          <w:szCs w:val="24"/>
        </w:rPr>
        <w:footnoteReference w:id="44"/>
      </w:r>
      <w:r w:rsidR="00C21D24">
        <w:rPr>
          <w:rFonts w:ascii="Times New Roman" w:hAnsi="Times New Roman" w:cs="Times New Roman"/>
          <w:sz w:val="24"/>
          <w:szCs w:val="24"/>
        </w:rPr>
        <w:t xml:space="preserve"> </w:t>
      </w:r>
      <w:r w:rsidR="000B6682" w:rsidRPr="00F71C5F">
        <w:rPr>
          <w:rFonts w:ascii="Times New Roman" w:hAnsi="Times New Roman" w:cs="Times New Roman"/>
          <w:sz w:val="24"/>
          <w:szCs w:val="24"/>
        </w:rPr>
        <w:t xml:space="preserve">The traumatic nature of </w:t>
      </w:r>
      <w:r w:rsidR="000B6682">
        <w:rPr>
          <w:rFonts w:ascii="Times New Roman" w:hAnsi="Times New Roman" w:cs="Times New Roman"/>
          <w:sz w:val="24"/>
          <w:szCs w:val="24"/>
        </w:rPr>
        <w:t>World War One and the impact it made on both individuals and communities shaped the way memorials to the dead were designed and commemorated.</w:t>
      </w:r>
      <w:r w:rsidR="000B6682">
        <w:rPr>
          <w:rStyle w:val="FootnoteReference"/>
          <w:rFonts w:ascii="Times New Roman" w:hAnsi="Times New Roman" w:cs="Times New Roman"/>
          <w:sz w:val="24"/>
          <w:szCs w:val="24"/>
        </w:rPr>
        <w:footnoteReference w:id="45"/>
      </w:r>
      <w:r w:rsidR="000B6682">
        <w:rPr>
          <w:rFonts w:ascii="Times New Roman" w:hAnsi="Times New Roman" w:cs="Times New Roman"/>
          <w:sz w:val="24"/>
          <w:szCs w:val="24"/>
        </w:rPr>
        <w:t xml:space="preserve"> </w:t>
      </w:r>
      <w:r w:rsidR="002711DE">
        <w:rPr>
          <w:rFonts w:ascii="Times New Roman" w:hAnsi="Times New Roman" w:cs="Times New Roman"/>
          <w:sz w:val="24"/>
          <w:szCs w:val="24"/>
        </w:rPr>
        <w:t>All memorials had a political message, s</w:t>
      </w:r>
      <w:r w:rsidR="000B6682">
        <w:rPr>
          <w:rFonts w:ascii="Times New Roman" w:hAnsi="Times New Roman" w:cs="Times New Roman"/>
          <w:sz w:val="24"/>
          <w:szCs w:val="24"/>
        </w:rPr>
        <w:t xml:space="preserve">ome communities opted for traditional designs and inscriptions that commemorated courage and sacrifice while others chose more simplistic modern designs that centred around </w:t>
      </w:r>
      <w:r w:rsidR="002711DE">
        <w:rPr>
          <w:rFonts w:ascii="Times New Roman" w:hAnsi="Times New Roman" w:cs="Times New Roman"/>
          <w:sz w:val="24"/>
          <w:szCs w:val="24"/>
        </w:rPr>
        <w:t>taking</w:t>
      </w:r>
      <w:r w:rsidR="000B6682">
        <w:rPr>
          <w:rFonts w:ascii="Times New Roman" w:hAnsi="Times New Roman" w:cs="Times New Roman"/>
          <w:sz w:val="24"/>
          <w:szCs w:val="24"/>
        </w:rPr>
        <w:t xml:space="preserve"> lessons from the war.</w:t>
      </w:r>
      <w:r w:rsidR="002711DE">
        <w:rPr>
          <w:rStyle w:val="FootnoteReference"/>
          <w:rFonts w:ascii="Times New Roman" w:hAnsi="Times New Roman" w:cs="Times New Roman"/>
          <w:sz w:val="24"/>
          <w:szCs w:val="24"/>
        </w:rPr>
        <w:footnoteReference w:id="46"/>
      </w:r>
      <w:r w:rsidR="002711DE">
        <w:rPr>
          <w:rFonts w:ascii="Times New Roman" w:hAnsi="Times New Roman" w:cs="Times New Roman"/>
          <w:sz w:val="24"/>
          <w:szCs w:val="24"/>
        </w:rPr>
        <w:t xml:space="preserve"> For Marxist historian R. Bushaway it was a way that the upper class committees could use traditional ideology to ‘prevent the oppressed from seeing the reality of their situation.’</w:t>
      </w:r>
      <w:r w:rsidR="002711DE">
        <w:rPr>
          <w:rStyle w:val="FootnoteReference"/>
          <w:rFonts w:ascii="Times New Roman" w:hAnsi="Times New Roman" w:cs="Times New Roman"/>
          <w:sz w:val="24"/>
          <w:szCs w:val="24"/>
        </w:rPr>
        <w:footnoteReference w:id="47"/>
      </w:r>
      <w:r w:rsidR="00B02222">
        <w:rPr>
          <w:rFonts w:ascii="Times New Roman" w:hAnsi="Times New Roman" w:cs="Times New Roman"/>
          <w:sz w:val="24"/>
          <w:szCs w:val="24"/>
        </w:rPr>
        <w:t xml:space="preserve"> For Eksteins once the war had ended reality stopped and memory took over.</w:t>
      </w:r>
      <w:r w:rsidR="00B02222">
        <w:rPr>
          <w:rStyle w:val="FootnoteReference"/>
          <w:rFonts w:ascii="Times New Roman" w:hAnsi="Times New Roman" w:cs="Times New Roman"/>
          <w:sz w:val="24"/>
          <w:szCs w:val="24"/>
        </w:rPr>
        <w:footnoteReference w:id="48"/>
      </w:r>
    </w:p>
    <w:p w:rsidR="00401560" w:rsidRDefault="00735158" w:rsidP="00EE48A3">
      <w:pPr>
        <w:jc w:val="both"/>
        <w:rPr>
          <w:rFonts w:ascii="Times New Roman" w:hAnsi="Times New Roman" w:cs="Times New Roman"/>
          <w:sz w:val="24"/>
          <w:szCs w:val="24"/>
        </w:rPr>
      </w:pPr>
      <w:r>
        <w:rPr>
          <w:rFonts w:ascii="Times New Roman" w:hAnsi="Times New Roman" w:cs="Times New Roman"/>
          <w:sz w:val="24"/>
          <w:szCs w:val="24"/>
        </w:rPr>
        <w:t>Many of the relatives and friends who had lost a loved one in the war took to going on pilgrimage after the war had ended. Travel companies such as Thomas Cook’s were set up to help with the organisation</w:t>
      </w:r>
      <w:r w:rsidR="00330380">
        <w:rPr>
          <w:rFonts w:ascii="Times New Roman" w:hAnsi="Times New Roman" w:cs="Times New Roman"/>
          <w:sz w:val="24"/>
          <w:szCs w:val="24"/>
        </w:rPr>
        <w:t xml:space="preserve"> but have been accused of turning battlefield pilgrimages into battlefield tourism, making money out of grieving widows while giving them limited facilities.</w:t>
      </w:r>
      <w:r>
        <w:rPr>
          <w:rStyle w:val="FootnoteReference"/>
          <w:rFonts w:ascii="Times New Roman" w:hAnsi="Times New Roman" w:cs="Times New Roman"/>
          <w:sz w:val="24"/>
          <w:szCs w:val="24"/>
        </w:rPr>
        <w:footnoteReference w:id="49"/>
      </w:r>
      <w:r w:rsidR="00330380">
        <w:rPr>
          <w:rFonts w:ascii="Times New Roman" w:hAnsi="Times New Roman" w:cs="Times New Roman"/>
          <w:sz w:val="24"/>
          <w:szCs w:val="24"/>
        </w:rPr>
        <w:t xml:space="preserve"> For those who could not afford the cost of travelling to Europe charities</w:t>
      </w:r>
      <w:r w:rsidR="000C3944">
        <w:rPr>
          <w:rFonts w:ascii="Times New Roman" w:hAnsi="Times New Roman" w:cs="Times New Roman"/>
          <w:sz w:val="24"/>
          <w:szCs w:val="24"/>
        </w:rPr>
        <w:t>,</w:t>
      </w:r>
      <w:r w:rsidR="00330380">
        <w:rPr>
          <w:rFonts w:ascii="Times New Roman" w:hAnsi="Times New Roman" w:cs="Times New Roman"/>
          <w:sz w:val="24"/>
          <w:szCs w:val="24"/>
        </w:rPr>
        <w:t xml:space="preserve"> like the British Legion and the Empire Service League</w:t>
      </w:r>
      <w:r w:rsidR="000C3944">
        <w:rPr>
          <w:rFonts w:ascii="Times New Roman" w:hAnsi="Times New Roman" w:cs="Times New Roman"/>
          <w:sz w:val="24"/>
          <w:szCs w:val="24"/>
        </w:rPr>
        <w:t>,</w:t>
      </w:r>
      <w:r w:rsidR="00330380">
        <w:rPr>
          <w:rFonts w:ascii="Times New Roman" w:hAnsi="Times New Roman" w:cs="Times New Roman"/>
          <w:sz w:val="24"/>
          <w:szCs w:val="24"/>
        </w:rPr>
        <w:t xml:space="preserve"> helped subsidise the </w:t>
      </w:r>
      <w:r w:rsidR="00AA08F7">
        <w:rPr>
          <w:rFonts w:ascii="Times New Roman" w:hAnsi="Times New Roman" w:cs="Times New Roman"/>
          <w:sz w:val="24"/>
          <w:szCs w:val="24"/>
        </w:rPr>
        <w:t>trip</w:t>
      </w:r>
      <w:r w:rsidR="00330380">
        <w:rPr>
          <w:rFonts w:ascii="Times New Roman" w:hAnsi="Times New Roman" w:cs="Times New Roman"/>
          <w:sz w:val="24"/>
          <w:szCs w:val="24"/>
        </w:rPr>
        <w:t>.</w:t>
      </w:r>
      <w:r w:rsidR="00330380">
        <w:rPr>
          <w:rStyle w:val="FootnoteReference"/>
          <w:rFonts w:ascii="Times New Roman" w:hAnsi="Times New Roman" w:cs="Times New Roman"/>
          <w:sz w:val="24"/>
          <w:szCs w:val="24"/>
        </w:rPr>
        <w:footnoteReference w:id="50"/>
      </w:r>
      <w:r w:rsidR="00330380">
        <w:rPr>
          <w:rFonts w:ascii="Times New Roman" w:hAnsi="Times New Roman" w:cs="Times New Roman"/>
          <w:sz w:val="24"/>
          <w:szCs w:val="24"/>
        </w:rPr>
        <w:t xml:space="preserve"> For the pilgrims and </w:t>
      </w:r>
      <w:r w:rsidR="00AA08F7">
        <w:rPr>
          <w:rFonts w:ascii="Times New Roman" w:hAnsi="Times New Roman" w:cs="Times New Roman"/>
          <w:sz w:val="24"/>
          <w:szCs w:val="24"/>
        </w:rPr>
        <w:t xml:space="preserve">travel agents alike the erection of battlefield memorials became a place to remember those who had died in a particular battle. Lutyens Thiepval memorial dominated the Somme recording the names of the 73000 unidentified men and could be visited by their families and friends, followed by the Lochnagar Mine Crater that had been preserved as a place of remembrance. Hundreds of families took the opportunity to see where their loved ones fell and in time war veterans began to go back to the places </w:t>
      </w:r>
      <w:r w:rsidR="00735DD9">
        <w:rPr>
          <w:rFonts w:ascii="Times New Roman" w:hAnsi="Times New Roman" w:cs="Times New Roman"/>
          <w:sz w:val="24"/>
          <w:szCs w:val="24"/>
        </w:rPr>
        <w:t xml:space="preserve">where </w:t>
      </w:r>
      <w:r w:rsidR="00AA08F7">
        <w:rPr>
          <w:rFonts w:ascii="Times New Roman" w:hAnsi="Times New Roman" w:cs="Times New Roman"/>
          <w:sz w:val="24"/>
          <w:szCs w:val="24"/>
        </w:rPr>
        <w:t>they had fought.</w:t>
      </w:r>
      <w:r w:rsidR="00735DD9">
        <w:rPr>
          <w:rStyle w:val="FootnoteReference"/>
          <w:rFonts w:ascii="Times New Roman" w:hAnsi="Times New Roman" w:cs="Times New Roman"/>
          <w:sz w:val="24"/>
          <w:szCs w:val="24"/>
        </w:rPr>
        <w:footnoteReference w:id="51"/>
      </w:r>
    </w:p>
    <w:p w:rsidR="00EE48A3" w:rsidRDefault="00474AFA" w:rsidP="00EE48A3">
      <w:pPr>
        <w:jc w:val="both"/>
        <w:rPr>
          <w:rFonts w:ascii="Times New Roman" w:hAnsi="Times New Roman" w:cs="Times New Roman"/>
          <w:sz w:val="24"/>
          <w:szCs w:val="24"/>
        </w:rPr>
      </w:pPr>
      <w:r>
        <w:rPr>
          <w:rFonts w:ascii="Times New Roman" w:hAnsi="Times New Roman" w:cs="Times New Roman"/>
          <w:sz w:val="24"/>
          <w:szCs w:val="24"/>
        </w:rPr>
        <w:t>T</w:t>
      </w:r>
      <w:r w:rsidR="00DB1399">
        <w:rPr>
          <w:rFonts w:ascii="Times New Roman" w:hAnsi="Times New Roman" w:cs="Times New Roman"/>
          <w:sz w:val="24"/>
          <w:szCs w:val="24"/>
        </w:rPr>
        <w:t xml:space="preserve">wo sets of people emerged after the </w:t>
      </w:r>
      <w:r>
        <w:rPr>
          <w:rFonts w:ascii="Times New Roman" w:hAnsi="Times New Roman" w:cs="Times New Roman"/>
          <w:sz w:val="24"/>
          <w:szCs w:val="24"/>
        </w:rPr>
        <w:t>war</w:t>
      </w:r>
      <w:r w:rsidR="00DB1399">
        <w:rPr>
          <w:rFonts w:ascii="Times New Roman" w:hAnsi="Times New Roman" w:cs="Times New Roman"/>
          <w:sz w:val="24"/>
          <w:szCs w:val="24"/>
        </w:rPr>
        <w:t xml:space="preserve"> had ended</w:t>
      </w:r>
      <w:r>
        <w:rPr>
          <w:rFonts w:ascii="Times New Roman" w:hAnsi="Times New Roman" w:cs="Times New Roman"/>
          <w:sz w:val="24"/>
          <w:szCs w:val="24"/>
        </w:rPr>
        <w:t>, t</w:t>
      </w:r>
      <w:r w:rsidR="00DB1399">
        <w:rPr>
          <w:rFonts w:ascii="Times New Roman" w:hAnsi="Times New Roman" w:cs="Times New Roman"/>
          <w:sz w:val="24"/>
          <w:szCs w:val="24"/>
        </w:rPr>
        <w:t xml:space="preserve">hose left at home </w:t>
      </w:r>
      <w:r>
        <w:rPr>
          <w:rFonts w:ascii="Times New Roman" w:hAnsi="Times New Roman" w:cs="Times New Roman"/>
          <w:sz w:val="24"/>
          <w:szCs w:val="24"/>
        </w:rPr>
        <w:t>wanted</w:t>
      </w:r>
      <w:r w:rsidR="00DB1399">
        <w:rPr>
          <w:rFonts w:ascii="Times New Roman" w:hAnsi="Times New Roman" w:cs="Times New Roman"/>
          <w:sz w:val="24"/>
          <w:szCs w:val="24"/>
        </w:rPr>
        <w:t xml:space="preserve"> to mourn and grieve the loss of loved ones in a meaningful way while the returning soldiers</w:t>
      </w:r>
      <w:r w:rsidR="00483E0C">
        <w:rPr>
          <w:rFonts w:ascii="Times New Roman" w:hAnsi="Times New Roman" w:cs="Times New Roman"/>
          <w:sz w:val="24"/>
          <w:szCs w:val="24"/>
        </w:rPr>
        <w:t>,</w:t>
      </w:r>
      <w:r w:rsidR="00DB1399">
        <w:rPr>
          <w:rFonts w:ascii="Times New Roman" w:hAnsi="Times New Roman" w:cs="Times New Roman"/>
          <w:sz w:val="24"/>
          <w:szCs w:val="24"/>
        </w:rPr>
        <w:t xml:space="preserve"> </w:t>
      </w:r>
      <w:r>
        <w:rPr>
          <w:rFonts w:ascii="Times New Roman" w:hAnsi="Times New Roman" w:cs="Times New Roman"/>
          <w:sz w:val="24"/>
          <w:szCs w:val="24"/>
        </w:rPr>
        <w:t>relating tales of their horrendous experiences and sacrifice</w:t>
      </w:r>
      <w:r w:rsidR="00483E0C">
        <w:rPr>
          <w:rFonts w:ascii="Times New Roman" w:hAnsi="Times New Roman" w:cs="Times New Roman"/>
          <w:sz w:val="24"/>
          <w:szCs w:val="24"/>
        </w:rPr>
        <w:t>,</w:t>
      </w:r>
      <w:r>
        <w:rPr>
          <w:rFonts w:ascii="Times New Roman" w:hAnsi="Times New Roman" w:cs="Times New Roman"/>
          <w:sz w:val="24"/>
          <w:szCs w:val="24"/>
        </w:rPr>
        <w:t xml:space="preserve"> wanted to forget the conflict.</w:t>
      </w:r>
      <w:r>
        <w:rPr>
          <w:rStyle w:val="FootnoteReference"/>
          <w:rFonts w:ascii="Times New Roman" w:hAnsi="Times New Roman" w:cs="Times New Roman"/>
          <w:sz w:val="24"/>
          <w:szCs w:val="24"/>
        </w:rPr>
        <w:footnoteReference w:id="52"/>
      </w:r>
      <w:r w:rsidR="006410E7">
        <w:rPr>
          <w:rFonts w:ascii="Times New Roman" w:hAnsi="Times New Roman" w:cs="Times New Roman"/>
          <w:sz w:val="24"/>
          <w:szCs w:val="24"/>
        </w:rPr>
        <w:t xml:space="preserve"> Soldiers</w:t>
      </w:r>
      <w:r w:rsidR="00DB1399">
        <w:rPr>
          <w:rFonts w:ascii="Times New Roman" w:hAnsi="Times New Roman" w:cs="Times New Roman"/>
          <w:sz w:val="24"/>
          <w:szCs w:val="24"/>
        </w:rPr>
        <w:t xml:space="preserve"> did not want to be reminded of the fear and destruction, for them returning home meant returning to their old lives where they had a job and family to love them, the continued remembrance services often meant that they could not put the war behind them and move forward.</w:t>
      </w:r>
      <w:r w:rsidR="006410E7">
        <w:rPr>
          <w:rStyle w:val="FootnoteReference"/>
          <w:rFonts w:ascii="Times New Roman" w:hAnsi="Times New Roman" w:cs="Times New Roman"/>
          <w:sz w:val="24"/>
          <w:szCs w:val="24"/>
        </w:rPr>
        <w:footnoteReference w:id="53"/>
      </w:r>
      <w:r w:rsidR="004A49CA">
        <w:rPr>
          <w:rFonts w:ascii="Times New Roman" w:hAnsi="Times New Roman" w:cs="Times New Roman"/>
          <w:sz w:val="24"/>
          <w:szCs w:val="24"/>
        </w:rPr>
        <w:t xml:space="preserve"> </w:t>
      </w:r>
      <w:r w:rsidR="00B02222">
        <w:rPr>
          <w:rFonts w:ascii="Times New Roman" w:hAnsi="Times New Roman" w:cs="Times New Roman"/>
          <w:sz w:val="24"/>
          <w:szCs w:val="24"/>
        </w:rPr>
        <w:t xml:space="preserve">The reality </w:t>
      </w:r>
      <w:r w:rsidR="00483E0C">
        <w:rPr>
          <w:rFonts w:ascii="Times New Roman" w:hAnsi="Times New Roman" w:cs="Times New Roman"/>
          <w:sz w:val="24"/>
          <w:szCs w:val="24"/>
        </w:rPr>
        <w:t>meant</w:t>
      </w:r>
      <w:r w:rsidR="00B02222">
        <w:rPr>
          <w:rFonts w:ascii="Times New Roman" w:hAnsi="Times New Roman" w:cs="Times New Roman"/>
          <w:sz w:val="24"/>
          <w:szCs w:val="24"/>
        </w:rPr>
        <w:t xml:space="preserve"> e</w:t>
      </w:r>
      <w:r w:rsidR="00B02222" w:rsidRPr="008D68C6">
        <w:rPr>
          <w:rFonts w:ascii="Times New Roman" w:hAnsi="Times New Roman" w:cs="Times New Roman"/>
          <w:sz w:val="24"/>
          <w:szCs w:val="24"/>
        </w:rPr>
        <w:t>x-</w:t>
      </w:r>
      <w:r w:rsidR="00B02222">
        <w:rPr>
          <w:rFonts w:ascii="Times New Roman" w:hAnsi="Times New Roman" w:cs="Times New Roman"/>
          <w:sz w:val="24"/>
          <w:szCs w:val="24"/>
        </w:rPr>
        <w:t>servicemen found themselves leaving the ranks with very little</w:t>
      </w:r>
      <w:r w:rsidR="00483E0C">
        <w:rPr>
          <w:rFonts w:ascii="Times New Roman" w:hAnsi="Times New Roman" w:cs="Times New Roman"/>
          <w:sz w:val="24"/>
          <w:szCs w:val="24"/>
        </w:rPr>
        <w:t>,</w:t>
      </w:r>
      <w:r w:rsidR="00B02222">
        <w:rPr>
          <w:rFonts w:ascii="Times New Roman" w:hAnsi="Times New Roman" w:cs="Times New Roman"/>
          <w:sz w:val="24"/>
          <w:szCs w:val="24"/>
        </w:rPr>
        <w:t xml:space="preserve"> if any</w:t>
      </w:r>
      <w:r w:rsidR="00483E0C">
        <w:rPr>
          <w:rFonts w:ascii="Times New Roman" w:hAnsi="Times New Roman" w:cs="Times New Roman"/>
          <w:sz w:val="24"/>
          <w:szCs w:val="24"/>
        </w:rPr>
        <w:t>,</w:t>
      </w:r>
      <w:r w:rsidR="00B02222">
        <w:rPr>
          <w:rFonts w:ascii="Times New Roman" w:hAnsi="Times New Roman" w:cs="Times New Roman"/>
          <w:sz w:val="24"/>
          <w:szCs w:val="24"/>
        </w:rPr>
        <w:t xml:space="preserve"> aid from the state</w:t>
      </w:r>
      <w:r w:rsidR="00483E0C">
        <w:rPr>
          <w:rFonts w:ascii="Times New Roman" w:hAnsi="Times New Roman" w:cs="Times New Roman"/>
          <w:sz w:val="24"/>
          <w:szCs w:val="24"/>
        </w:rPr>
        <w:t>, c</w:t>
      </w:r>
      <w:r w:rsidR="00B02222">
        <w:rPr>
          <w:rFonts w:ascii="Times New Roman" w:hAnsi="Times New Roman" w:cs="Times New Roman"/>
          <w:sz w:val="24"/>
          <w:szCs w:val="24"/>
        </w:rPr>
        <w:t xml:space="preserve">harities, some of which were linked to government, were often the only form </w:t>
      </w:r>
      <w:r w:rsidR="00B02222">
        <w:rPr>
          <w:rFonts w:ascii="Times New Roman" w:hAnsi="Times New Roman" w:cs="Times New Roman"/>
          <w:sz w:val="24"/>
          <w:szCs w:val="24"/>
        </w:rPr>
        <w:lastRenderedPageBreak/>
        <w:t>of assistance offered to the servicemen and their families.</w:t>
      </w:r>
      <w:r w:rsidR="00B02222">
        <w:rPr>
          <w:rStyle w:val="FootnoteReference"/>
          <w:rFonts w:ascii="Times New Roman" w:hAnsi="Times New Roman" w:cs="Times New Roman"/>
          <w:sz w:val="24"/>
          <w:szCs w:val="24"/>
        </w:rPr>
        <w:footnoteReference w:id="54"/>
      </w:r>
      <w:r w:rsidR="00A571FB">
        <w:rPr>
          <w:rFonts w:ascii="Times New Roman" w:hAnsi="Times New Roman" w:cs="Times New Roman"/>
          <w:sz w:val="24"/>
          <w:szCs w:val="24"/>
        </w:rPr>
        <w:t xml:space="preserve"> One such charity was the British Legion which introduced the Poppy, made by veterans, as a symbol of remembrance. With the monies made from selling the poppies they were able to help ex-servicemen with monetary aid as well as petitioning the government for better pension legislation.</w:t>
      </w:r>
      <w:r w:rsidR="00483E0C">
        <w:rPr>
          <w:rStyle w:val="FootnoteReference"/>
          <w:rFonts w:ascii="Times New Roman" w:hAnsi="Times New Roman" w:cs="Times New Roman"/>
          <w:sz w:val="24"/>
          <w:szCs w:val="24"/>
        </w:rPr>
        <w:footnoteReference w:id="55"/>
      </w:r>
    </w:p>
    <w:p w:rsidR="00082BF2" w:rsidRDefault="00082BF2" w:rsidP="00EE48A3">
      <w:pPr>
        <w:jc w:val="both"/>
        <w:rPr>
          <w:rFonts w:ascii="Times New Roman" w:hAnsi="Times New Roman" w:cs="Times New Roman"/>
          <w:sz w:val="24"/>
          <w:szCs w:val="24"/>
        </w:rPr>
      </w:pPr>
      <w:r>
        <w:rPr>
          <w:rFonts w:ascii="Times New Roman" w:hAnsi="Times New Roman" w:cs="Times New Roman"/>
          <w:sz w:val="24"/>
          <w:szCs w:val="24"/>
        </w:rPr>
        <w:t xml:space="preserve">For many the First World War was a time for change, religion was being questioned and asked to justify why God would demand such sacrifice </w:t>
      </w:r>
      <w:r w:rsidR="000C3944">
        <w:rPr>
          <w:rFonts w:ascii="Times New Roman" w:hAnsi="Times New Roman" w:cs="Times New Roman"/>
          <w:sz w:val="24"/>
          <w:szCs w:val="24"/>
        </w:rPr>
        <w:t>of</w:t>
      </w:r>
      <w:r>
        <w:rPr>
          <w:rFonts w:ascii="Times New Roman" w:hAnsi="Times New Roman" w:cs="Times New Roman"/>
          <w:sz w:val="24"/>
          <w:szCs w:val="24"/>
        </w:rPr>
        <w:t xml:space="preserve"> those who died in the war. Memorials and battlefield monuments caused controversy between those who wanted to continue with the </w:t>
      </w:r>
      <w:r w:rsidR="006D1173">
        <w:rPr>
          <w:rFonts w:ascii="Times New Roman" w:hAnsi="Times New Roman" w:cs="Times New Roman"/>
          <w:sz w:val="24"/>
          <w:szCs w:val="24"/>
        </w:rPr>
        <w:t xml:space="preserve">traditions and those who wanted to welcome a new modern age. Traditional memorials like church windows and crosses were up against simple modern designs like the cenotaph and the Thiepval memorial. War veterans were coming home and finding that often they had lost their jobs and their voice, commemorations and memorials went ahead without asking their opinion. What had their sacrifice been for? As time went on and the </w:t>
      </w:r>
      <w:r w:rsidR="00D242E0">
        <w:rPr>
          <w:rFonts w:ascii="Times New Roman" w:hAnsi="Times New Roman" w:cs="Times New Roman"/>
          <w:sz w:val="24"/>
          <w:szCs w:val="24"/>
        </w:rPr>
        <w:t xml:space="preserve">war </w:t>
      </w:r>
      <w:r w:rsidR="006D1173">
        <w:rPr>
          <w:rFonts w:ascii="Times New Roman" w:hAnsi="Times New Roman" w:cs="Times New Roman"/>
          <w:sz w:val="24"/>
          <w:szCs w:val="24"/>
        </w:rPr>
        <w:t xml:space="preserve">generation of soldiers and their families died the </w:t>
      </w:r>
      <w:r w:rsidR="000C3944">
        <w:rPr>
          <w:rFonts w:ascii="Times New Roman" w:hAnsi="Times New Roman" w:cs="Times New Roman"/>
          <w:sz w:val="24"/>
          <w:szCs w:val="24"/>
        </w:rPr>
        <w:t xml:space="preserve">way the war </w:t>
      </w:r>
      <w:r w:rsidR="00D242E0">
        <w:rPr>
          <w:rFonts w:ascii="Times New Roman" w:hAnsi="Times New Roman" w:cs="Times New Roman"/>
          <w:sz w:val="24"/>
          <w:szCs w:val="24"/>
        </w:rPr>
        <w:t>was</w:t>
      </w:r>
      <w:r w:rsidR="000C3944">
        <w:rPr>
          <w:rFonts w:ascii="Times New Roman" w:hAnsi="Times New Roman" w:cs="Times New Roman"/>
          <w:sz w:val="24"/>
          <w:szCs w:val="24"/>
        </w:rPr>
        <w:t xml:space="preserve"> remembered</w:t>
      </w:r>
      <w:r w:rsidR="006D1173">
        <w:rPr>
          <w:rFonts w:ascii="Times New Roman" w:hAnsi="Times New Roman" w:cs="Times New Roman"/>
          <w:sz w:val="24"/>
          <w:szCs w:val="24"/>
        </w:rPr>
        <w:t xml:space="preserve"> changed from one of </w:t>
      </w:r>
      <w:r w:rsidR="00D242E0">
        <w:rPr>
          <w:rFonts w:ascii="Times New Roman" w:hAnsi="Times New Roman" w:cs="Times New Roman"/>
          <w:sz w:val="24"/>
          <w:szCs w:val="24"/>
        </w:rPr>
        <w:t xml:space="preserve">justified </w:t>
      </w:r>
      <w:r w:rsidR="006D1173">
        <w:rPr>
          <w:rFonts w:ascii="Times New Roman" w:hAnsi="Times New Roman" w:cs="Times New Roman"/>
          <w:sz w:val="24"/>
          <w:szCs w:val="24"/>
        </w:rPr>
        <w:t>sacr</w:t>
      </w:r>
      <w:bookmarkStart w:id="0" w:name="_GoBack"/>
      <w:bookmarkEnd w:id="0"/>
      <w:r w:rsidR="006D1173">
        <w:rPr>
          <w:rFonts w:ascii="Times New Roman" w:hAnsi="Times New Roman" w:cs="Times New Roman"/>
          <w:sz w:val="24"/>
          <w:szCs w:val="24"/>
        </w:rPr>
        <w:t xml:space="preserve">ifice to one of learning from the mistakes made, </w:t>
      </w:r>
      <w:r w:rsidR="00D242E0">
        <w:rPr>
          <w:rFonts w:ascii="Times New Roman" w:hAnsi="Times New Roman" w:cs="Times New Roman"/>
          <w:sz w:val="24"/>
          <w:szCs w:val="24"/>
        </w:rPr>
        <w:t>then</w:t>
      </w:r>
      <w:r w:rsidR="006D1173">
        <w:rPr>
          <w:rFonts w:ascii="Times New Roman" w:hAnsi="Times New Roman" w:cs="Times New Roman"/>
          <w:sz w:val="24"/>
          <w:szCs w:val="24"/>
        </w:rPr>
        <w:t xml:space="preserve"> World War Two </w:t>
      </w:r>
      <w:r w:rsidR="006E54A7">
        <w:rPr>
          <w:rFonts w:ascii="Times New Roman" w:hAnsi="Times New Roman" w:cs="Times New Roman"/>
          <w:sz w:val="24"/>
          <w:szCs w:val="24"/>
        </w:rPr>
        <w:t>happened….</w:t>
      </w:r>
      <w:r w:rsidR="006D1173">
        <w:rPr>
          <w:rFonts w:ascii="Times New Roman" w:hAnsi="Times New Roman" w:cs="Times New Roman"/>
          <w:sz w:val="24"/>
          <w:szCs w:val="24"/>
        </w:rPr>
        <w:t>.</w:t>
      </w: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Default="00B22633" w:rsidP="00EE48A3">
      <w:pPr>
        <w:jc w:val="both"/>
        <w:rPr>
          <w:rFonts w:ascii="Times New Roman" w:hAnsi="Times New Roman" w:cs="Times New Roman"/>
          <w:sz w:val="24"/>
          <w:szCs w:val="24"/>
        </w:rPr>
      </w:pPr>
    </w:p>
    <w:p w:rsidR="00B22633" w:rsidRPr="00C45FB7" w:rsidRDefault="00B22633" w:rsidP="00EE48A3">
      <w:pPr>
        <w:jc w:val="both"/>
        <w:rPr>
          <w:rFonts w:ascii="Times New Roman" w:hAnsi="Times New Roman" w:cs="Times New Roman"/>
          <w:sz w:val="24"/>
          <w:szCs w:val="24"/>
        </w:rPr>
      </w:pPr>
    </w:p>
    <w:p w:rsidR="00EE48A3" w:rsidRDefault="00EE48A3" w:rsidP="00EE48A3">
      <w:pPr>
        <w:jc w:val="both"/>
        <w:rPr>
          <w:rFonts w:ascii="Times New Roman" w:hAnsi="Times New Roman" w:cs="Times New Roman"/>
          <w:b/>
          <w:sz w:val="24"/>
          <w:szCs w:val="24"/>
        </w:rPr>
      </w:pPr>
    </w:p>
    <w:p w:rsidR="00EE48A3" w:rsidRDefault="00EE48A3" w:rsidP="00EE48A3">
      <w:pPr>
        <w:jc w:val="both"/>
        <w:rPr>
          <w:rFonts w:ascii="Times New Roman" w:hAnsi="Times New Roman" w:cs="Times New Roman"/>
          <w:b/>
          <w:sz w:val="24"/>
          <w:szCs w:val="24"/>
        </w:rPr>
      </w:pPr>
    </w:p>
    <w:p w:rsidR="00EE48A3" w:rsidRDefault="00EE48A3" w:rsidP="00EE48A3">
      <w:pPr>
        <w:jc w:val="both"/>
        <w:rPr>
          <w:rFonts w:ascii="Times New Roman" w:hAnsi="Times New Roman" w:cs="Times New Roman"/>
          <w:b/>
          <w:sz w:val="24"/>
          <w:szCs w:val="24"/>
        </w:rPr>
      </w:pPr>
      <w:r w:rsidRPr="00EE48A3">
        <w:rPr>
          <w:rFonts w:ascii="Times New Roman" w:hAnsi="Times New Roman" w:cs="Times New Roman"/>
          <w:b/>
          <w:sz w:val="24"/>
          <w:szCs w:val="24"/>
        </w:rPr>
        <w:lastRenderedPageBreak/>
        <w:t>Bibliography</w:t>
      </w:r>
    </w:p>
    <w:p w:rsidR="00483E0C" w:rsidRDefault="00483E0C" w:rsidP="00EE48A3">
      <w:pPr>
        <w:jc w:val="both"/>
        <w:rPr>
          <w:rFonts w:ascii="Times New Roman" w:hAnsi="Times New Roman" w:cs="Times New Roman"/>
          <w:sz w:val="24"/>
          <w:szCs w:val="24"/>
        </w:rPr>
      </w:pPr>
      <w:r>
        <w:rPr>
          <w:rFonts w:ascii="Times New Roman" w:hAnsi="Times New Roman" w:cs="Times New Roman"/>
          <w:sz w:val="24"/>
          <w:szCs w:val="24"/>
        </w:rPr>
        <w:t xml:space="preserve">Barr, N., </w:t>
      </w:r>
      <w:r w:rsidRPr="00483E0C">
        <w:rPr>
          <w:rFonts w:ascii="Times New Roman" w:hAnsi="Times New Roman" w:cs="Times New Roman"/>
          <w:i/>
          <w:sz w:val="24"/>
          <w:szCs w:val="24"/>
        </w:rPr>
        <w:t>The Lion and the Poppy: British Veterans, Politics and Society, 1921-1939</w:t>
      </w:r>
      <w:r>
        <w:rPr>
          <w:rFonts w:ascii="Times New Roman" w:hAnsi="Times New Roman" w:cs="Times New Roman"/>
          <w:sz w:val="24"/>
          <w:szCs w:val="24"/>
        </w:rPr>
        <w:t xml:space="preserve"> (Westport: Praeger Publishers, 2005).</w:t>
      </w:r>
    </w:p>
    <w:p w:rsidR="002C5910" w:rsidRDefault="002C5910" w:rsidP="00EE48A3">
      <w:pPr>
        <w:jc w:val="both"/>
        <w:rPr>
          <w:rFonts w:ascii="Times New Roman" w:hAnsi="Times New Roman" w:cs="Times New Roman"/>
          <w:sz w:val="24"/>
          <w:szCs w:val="24"/>
        </w:rPr>
      </w:pPr>
      <w:r w:rsidRPr="002C5910">
        <w:rPr>
          <w:rFonts w:ascii="Times New Roman" w:hAnsi="Times New Roman" w:cs="Times New Roman"/>
          <w:sz w:val="24"/>
          <w:szCs w:val="24"/>
        </w:rPr>
        <w:t xml:space="preserve">Bourke, J., </w:t>
      </w:r>
      <w:r w:rsidRPr="002C5910">
        <w:rPr>
          <w:rFonts w:ascii="Times New Roman" w:hAnsi="Times New Roman" w:cs="Times New Roman"/>
          <w:i/>
          <w:sz w:val="24"/>
          <w:szCs w:val="24"/>
        </w:rPr>
        <w:t>An Intimate History of Killing: Face to Face Killing in Twentieth Century Warfare</w:t>
      </w:r>
      <w:r>
        <w:rPr>
          <w:rFonts w:ascii="Times New Roman" w:hAnsi="Times New Roman" w:cs="Times New Roman"/>
          <w:sz w:val="24"/>
          <w:szCs w:val="24"/>
        </w:rPr>
        <w:t xml:space="preserve"> (London: Granta Books, 1999).</w:t>
      </w:r>
    </w:p>
    <w:p w:rsidR="00BD3DBC" w:rsidRPr="002C5910" w:rsidRDefault="00BD3DBC" w:rsidP="00EE48A3">
      <w:pPr>
        <w:jc w:val="both"/>
        <w:rPr>
          <w:rFonts w:ascii="Times New Roman" w:hAnsi="Times New Roman" w:cs="Times New Roman"/>
          <w:sz w:val="24"/>
          <w:szCs w:val="24"/>
        </w:rPr>
      </w:pPr>
      <w:r>
        <w:rPr>
          <w:rFonts w:ascii="Times New Roman" w:hAnsi="Times New Roman" w:cs="Times New Roman"/>
          <w:sz w:val="24"/>
          <w:szCs w:val="24"/>
        </w:rPr>
        <w:t xml:space="preserve">Brittain, V., </w:t>
      </w:r>
      <w:r w:rsidRPr="00BD3DBC">
        <w:rPr>
          <w:rFonts w:ascii="Times New Roman" w:hAnsi="Times New Roman" w:cs="Times New Roman"/>
          <w:i/>
          <w:sz w:val="24"/>
          <w:szCs w:val="24"/>
        </w:rPr>
        <w:t>Testament of Youth: An Autobiographical Study of the Years 1900 – 1925</w:t>
      </w:r>
      <w:r>
        <w:rPr>
          <w:rFonts w:ascii="Times New Roman" w:hAnsi="Times New Roman" w:cs="Times New Roman"/>
          <w:sz w:val="24"/>
          <w:szCs w:val="24"/>
        </w:rPr>
        <w:t xml:space="preserve"> (London: Penguin Books, 2015).</w:t>
      </w:r>
    </w:p>
    <w:p w:rsidR="00957935" w:rsidRPr="00957935" w:rsidRDefault="00957935" w:rsidP="00EE48A3">
      <w:pPr>
        <w:jc w:val="both"/>
        <w:rPr>
          <w:rFonts w:ascii="Times New Roman" w:hAnsi="Times New Roman" w:cs="Times New Roman"/>
          <w:sz w:val="24"/>
          <w:szCs w:val="24"/>
        </w:rPr>
      </w:pPr>
      <w:r w:rsidRPr="00957935">
        <w:rPr>
          <w:rFonts w:ascii="Times New Roman" w:hAnsi="Times New Roman" w:cs="Times New Roman"/>
          <w:sz w:val="24"/>
          <w:szCs w:val="24"/>
        </w:rPr>
        <w:t xml:space="preserve">Bushaway, R., </w:t>
      </w:r>
      <w:r w:rsidR="00A404A9">
        <w:rPr>
          <w:rFonts w:ascii="Times New Roman" w:hAnsi="Times New Roman" w:cs="Times New Roman"/>
          <w:sz w:val="24"/>
          <w:szCs w:val="24"/>
        </w:rPr>
        <w:t>‘</w:t>
      </w:r>
      <w:r w:rsidR="00A404A9" w:rsidRPr="00A404A9">
        <w:rPr>
          <w:rFonts w:ascii="Times New Roman" w:hAnsi="Times New Roman" w:cs="Times New Roman"/>
          <w:i/>
          <w:sz w:val="24"/>
          <w:szCs w:val="24"/>
        </w:rPr>
        <w:t>Name Upon Name: the Great War and Remembrance’</w:t>
      </w:r>
      <w:r w:rsidR="00A404A9">
        <w:rPr>
          <w:rFonts w:ascii="Times New Roman" w:hAnsi="Times New Roman" w:cs="Times New Roman"/>
          <w:sz w:val="24"/>
          <w:szCs w:val="24"/>
        </w:rPr>
        <w:t>, in R. Porter, ed., Myths of the English (Cambridge: Polity Press, 1992), p136-67.</w:t>
      </w:r>
    </w:p>
    <w:p w:rsidR="00DD6227" w:rsidRDefault="00401BBC" w:rsidP="00DD6227">
      <w:pPr>
        <w:jc w:val="both"/>
        <w:rPr>
          <w:rFonts w:ascii="Times New Roman" w:hAnsi="Times New Roman" w:cs="Times New Roman"/>
          <w:sz w:val="24"/>
          <w:szCs w:val="24"/>
        </w:rPr>
      </w:pPr>
      <w:r w:rsidRPr="00401BBC">
        <w:rPr>
          <w:rFonts w:ascii="Times New Roman" w:hAnsi="Times New Roman" w:cs="Times New Roman"/>
          <w:sz w:val="24"/>
          <w:szCs w:val="24"/>
        </w:rPr>
        <w:t>Cannadine,</w:t>
      </w:r>
      <w:r>
        <w:rPr>
          <w:rFonts w:ascii="Times New Roman" w:hAnsi="Times New Roman" w:cs="Times New Roman"/>
          <w:sz w:val="24"/>
          <w:szCs w:val="24"/>
        </w:rPr>
        <w:t xml:space="preserve"> D., ‘War and Death, Grief and Mourning in Modern Britain’, </w:t>
      </w:r>
      <w:r w:rsidRPr="00401BBC">
        <w:rPr>
          <w:rFonts w:ascii="Times New Roman" w:hAnsi="Times New Roman" w:cs="Times New Roman"/>
          <w:i/>
          <w:sz w:val="24"/>
          <w:szCs w:val="24"/>
        </w:rPr>
        <w:t xml:space="preserve">Mirrors of Mortality, Studies in the Social History of Death, </w:t>
      </w:r>
      <w:r>
        <w:rPr>
          <w:rFonts w:ascii="Times New Roman" w:hAnsi="Times New Roman" w:cs="Times New Roman"/>
          <w:sz w:val="24"/>
          <w:szCs w:val="24"/>
        </w:rPr>
        <w:t>ed. J. Waley (London: Europa, 1981), p187-242.</w:t>
      </w:r>
    </w:p>
    <w:p w:rsidR="00DD6227" w:rsidRDefault="00DD6227" w:rsidP="00DD6227">
      <w:pPr>
        <w:jc w:val="both"/>
        <w:rPr>
          <w:rFonts w:ascii="Times New Roman" w:hAnsi="Times New Roman" w:cs="Times New Roman"/>
          <w:sz w:val="24"/>
          <w:szCs w:val="24"/>
        </w:rPr>
      </w:pPr>
      <w:r>
        <w:rPr>
          <w:rFonts w:ascii="Times New Roman" w:hAnsi="Times New Roman" w:cs="Times New Roman"/>
          <w:sz w:val="24"/>
          <w:szCs w:val="24"/>
        </w:rPr>
        <w:t xml:space="preserve">Connelly, M., </w:t>
      </w:r>
      <w:r w:rsidRPr="00DD6227">
        <w:rPr>
          <w:rFonts w:ascii="Times New Roman" w:hAnsi="Times New Roman" w:cs="Times New Roman"/>
          <w:i/>
          <w:sz w:val="24"/>
          <w:szCs w:val="24"/>
        </w:rPr>
        <w:t>The Great War, Memory and Ritual: Commemoration in the City and East London, 1916-1939</w:t>
      </w:r>
      <w:r>
        <w:rPr>
          <w:rFonts w:ascii="Times New Roman" w:hAnsi="Times New Roman" w:cs="Times New Roman"/>
          <w:sz w:val="24"/>
          <w:szCs w:val="24"/>
        </w:rPr>
        <w:t xml:space="preserve"> (Woodbridge: Boydell and Brewer, 2002).</w:t>
      </w:r>
    </w:p>
    <w:p w:rsidR="00EE48A3" w:rsidRDefault="00EE48A3" w:rsidP="00DD6227">
      <w:pPr>
        <w:jc w:val="both"/>
        <w:rPr>
          <w:rFonts w:ascii="Times New Roman" w:hAnsi="Times New Roman" w:cs="Times New Roman"/>
          <w:sz w:val="24"/>
          <w:szCs w:val="24"/>
        </w:rPr>
      </w:pPr>
      <w:r w:rsidRPr="00EE48A3">
        <w:rPr>
          <w:rFonts w:ascii="Times New Roman" w:hAnsi="Times New Roman" w:cs="Times New Roman"/>
          <w:sz w:val="24"/>
          <w:szCs w:val="24"/>
        </w:rPr>
        <w:t>Eksteins</w:t>
      </w:r>
      <w:r>
        <w:rPr>
          <w:rFonts w:ascii="Times New Roman" w:hAnsi="Times New Roman" w:cs="Times New Roman"/>
          <w:sz w:val="24"/>
          <w:szCs w:val="24"/>
        </w:rPr>
        <w:t xml:space="preserve">, M., </w:t>
      </w:r>
      <w:r w:rsidRPr="00EE48A3">
        <w:rPr>
          <w:rFonts w:ascii="Times New Roman" w:hAnsi="Times New Roman" w:cs="Times New Roman"/>
          <w:i/>
          <w:sz w:val="24"/>
          <w:szCs w:val="24"/>
        </w:rPr>
        <w:t>Rites of Spring: The Great War and the Birth of the Modern Age</w:t>
      </w:r>
      <w:r>
        <w:rPr>
          <w:rFonts w:ascii="Times New Roman" w:hAnsi="Times New Roman" w:cs="Times New Roman"/>
          <w:sz w:val="24"/>
          <w:szCs w:val="24"/>
        </w:rPr>
        <w:t xml:space="preserve"> (New Y</w:t>
      </w:r>
      <w:r w:rsidR="00401BBC">
        <w:rPr>
          <w:rFonts w:ascii="Times New Roman" w:hAnsi="Times New Roman" w:cs="Times New Roman"/>
          <w:sz w:val="24"/>
          <w:szCs w:val="24"/>
        </w:rPr>
        <w:t>ork:</w:t>
      </w:r>
      <w:r>
        <w:rPr>
          <w:rFonts w:ascii="Times New Roman" w:hAnsi="Times New Roman" w:cs="Times New Roman"/>
          <w:sz w:val="24"/>
          <w:szCs w:val="24"/>
        </w:rPr>
        <w:t xml:space="preserve"> Doubleday, 1989).</w:t>
      </w:r>
    </w:p>
    <w:p w:rsidR="00F023D1" w:rsidRDefault="00F023D1" w:rsidP="00DD6227">
      <w:pPr>
        <w:jc w:val="both"/>
        <w:rPr>
          <w:rFonts w:ascii="Times New Roman" w:hAnsi="Times New Roman" w:cs="Times New Roman"/>
          <w:sz w:val="24"/>
          <w:szCs w:val="24"/>
        </w:rPr>
      </w:pPr>
      <w:r>
        <w:rPr>
          <w:rFonts w:ascii="Times New Roman" w:hAnsi="Times New Roman" w:cs="Times New Roman"/>
          <w:sz w:val="24"/>
          <w:szCs w:val="24"/>
        </w:rPr>
        <w:t xml:space="preserve">Fitzgerald, M., </w:t>
      </w:r>
      <w:r w:rsidRPr="00F023D1">
        <w:rPr>
          <w:rFonts w:ascii="Times New Roman" w:hAnsi="Times New Roman" w:cs="Times New Roman"/>
          <w:i/>
          <w:sz w:val="24"/>
          <w:szCs w:val="24"/>
        </w:rPr>
        <w:t>A Memoir of Herbert Edward Ryle</w:t>
      </w:r>
      <w:r>
        <w:rPr>
          <w:rFonts w:ascii="Times New Roman" w:hAnsi="Times New Roman" w:cs="Times New Roman"/>
          <w:sz w:val="24"/>
          <w:szCs w:val="24"/>
        </w:rPr>
        <w:t xml:space="preserve"> (London: Macmillan, 1928).</w:t>
      </w:r>
    </w:p>
    <w:p w:rsidR="00EE48A3" w:rsidRDefault="00EE48A3" w:rsidP="00401BBC">
      <w:pPr>
        <w:rPr>
          <w:rFonts w:ascii="Times New Roman" w:hAnsi="Times New Roman" w:cs="Times New Roman"/>
          <w:sz w:val="24"/>
          <w:szCs w:val="24"/>
        </w:rPr>
      </w:pPr>
      <w:r>
        <w:rPr>
          <w:rFonts w:ascii="Times New Roman" w:hAnsi="Times New Roman" w:cs="Times New Roman"/>
          <w:sz w:val="24"/>
          <w:szCs w:val="24"/>
        </w:rPr>
        <w:t xml:space="preserve">Fussell, P., </w:t>
      </w:r>
      <w:r w:rsidRPr="00EE48A3">
        <w:rPr>
          <w:rFonts w:ascii="Times New Roman" w:hAnsi="Times New Roman" w:cs="Times New Roman"/>
          <w:i/>
          <w:sz w:val="24"/>
          <w:szCs w:val="24"/>
        </w:rPr>
        <w:t>The Great War and Modern Memory</w:t>
      </w:r>
      <w:r>
        <w:rPr>
          <w:rFonts w:ascii="Times New Roman" w:hAnsi="Times New Roman" w:cs="Times New Roman"/>
          <w:sz w:val="24"/>
          <w:szCs w:val="24"/>
        </w:rPr>
        <w:t xml:space="preserve"> (Oxford University Press, 1975).</w:t>
      </w:r>
    </w:p>
    <w:p w:rsidR="00215FA0" w:rsidRDefault="00215FA0" w:rsidP="00401BBC">
      <w:pPr>
        <w:rPr>
          <w:rFonts w:ascii="Times New Roman" w:hAnsi="Times New Roman" w:cs="Times New Roman"/>
          <w:sz w:val="24"/>
          <w:szCs w:val="24"/>
        </w:rPr>
      </w:pPr>
      <w:r>
        <w:rPr>
          <w:rFonts w:ascii="Times New Roman" w:hAnsi="Times New Roman" w:cs="Times New Roman"/>
          <w:sz w:val="24"/>
          <w:szCs w:val="24"/>
        </w:rPr>
        <w:t>Gills</w:t>
      </w:r>
      <w:r w:rsidR="00BE44AD">
        <w:rPr>
          <w:rFonts w:ascii="Times New Roman" w:hAnsi="Times New Roman" w:cs="Times New Roman"/>
          <w:sz w:val="24"/>
          <w:szCs w:val="24"/>
        </w:rPr>
        <w:t xml:space="preserve">, J.R., </w:t>
      </w:r>
      <w:r w:rsidR="00BE44AD" w:rsidRPr="00BE44AD">
        <w:rPr>
          <w:rFonts w:ascii="Times New Roman" w:hAnsi="Times New Roman" w:cs="Times New Roman"/>
          <w:i/>
          <w:sz w:val="24"/>
          <w:szCs w:val="24"/>
        </w:rPr>
        <w:t>Commemorations: The Politics of National Identity</w:t>
      </w:r>
      <w:r w:rsidR="00BE44AD">
        <w:rPr>
          <w:rFonts w:ascii="Times New Roman" w:hAnsi="Times New Roman" w:cs="Times New Roman"/>
          <w:sz w:val="24"/>
          <w:szCs w:val="24"/>
        </w:rPr>
        <w:t xml:space="preserve"> (Princeton University Press, 1994).</w:t>
      </w:r>
    </w:p>
    <w:p w:rsidR="00A94357" w:rsidRDefault="00401BBC"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Gregory, A., </w:t>
      </w:r>
      <w:r w:rsidRPr="00401BBC">
        <w:rPr>
          <w:rFonts w:ascii="Times New Roman" w:hAnsi="Times New Roman" w:cs="Times New Roman"/>
          <w:i/>
          <w:sz w:val="24"/>
          <w:szCs w:val="24"/>
        </w:rPr>
        <w:t>The Silence of Memory</w:t>
      </w:r>
      <w:r w:rsidR="00D47533">
        <w:rPr>
          <w:rFonts w:ascii="Times New Roman" w:hAnsi="Times New Roman" w:cs="Times New Roman"/>
          <w:i/>
          <w:sz w:val="24"/>
          <w:szCs w:val="24"/>
        </w:rPr>
        <w:t>: Armistice Day 1919-1946</w:t>
      </w:r>
      <w:r>
        <w:rPr>
          <w:rFonts w:ascii="Times New Roman" w:hAnsi="Times New Roman" w:cs="Times New Roman"/>
          <w:sz w:val="24"/>
          <w:szCs w:val="24"/>
        </w:rPr>
        <w:t xml:space="preserve"> (Oxford: Berg Publishers, 1994).</w:t>
      </w:r>
    </w:p>
    <w:p w:rsidR="00401BBC" w:rsidRDefault="00A94357"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Holt, T &amp; V., </w:t>
      </w:r>
      <w:r w:rsidRPr="00A94357">
        <w:rPr>
          <w:rFonts w:ascii="Times New Roman" w:hAnsi="Times New Roman" w:cs="Times New Roman"/>
          <w:i/>
          <w:sz w:val="24"/>
          <w:szCs w:val="24"/>
        </w:rPr>
        <w:t>My Boy Jack?: The Search for Kipling’s Only Son</w:t>
      </w:r>
      <w:r>
        <w:rPr>
          <w:rFonts w:ascii="Times New Roman" w:hAnsi="Times New Roman" w:cs="Times New Roman"/>
          <w:sz w:val="24"/>
          <w:szCs w:val="24"/>
        </w:rPr>
        <w:t xml:space="preserve"> (Barnsley: Pen and Sword Military, 1998).</w:t>
      </w:r>
      <w:r w:rsidR="00401BBC">
        <w:rPr>
          <w:rFonts w:ascii="Times New Roman" w:hAnsi="Times New Roman" w:cs="Times New Roman"/>
          <w:sz w:val="24"/>
          <w:szCs w:val="24"/>
        </w:rPr>
        <w:tab/>
      </w:r>
    </w:p>
    <w:p w:rsidR="00401BBC" w:rsidRDefault="00401BBC"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Hynes, S., </w:t>
      </w:r>
      <w:r w:rsidRPr="00401BBC">
        <w:rPr>
          <w:rFonts w:ascii="Times New Roman" w:hAnsi="Times New Roman" w:cs="Times New Roman"/>
          <w:i/>
          <w:sz w:val="24"/>
          <w:szCs w:val="24"/>
        </w:rPr>
        <w:t>A War Imagined: The First World War and English Culture</w:t>
      </w:r>
      <w:r>
        <w:rPr>
          <w:rFonts w:ascii="Times New Roman" w:hAnsi="Times New Roman" w:cs="Times New Roman"/>
          <w:sz w:val="24"/>
          <w:szCs w:val="24"/>
        </w:rPr>
        <w:t xml:space="preserve"> (</w:t>
      </w:r>
      <w:r w:rsidR="00957935">
        <w:rPr>
          <w:rFonts w:ascii="Times New Roman" w:hAnsi="Times New Roman" w:cs="Times New Roman"/>
          <w:sz w:val="24"/>
          <w:szCs w:val="24"/>
        </w:rPr>
        <w:t>Bournemouth</w:t>
      </w:r>
      <w:r>
        <w:rPr>
          <w:rFonts w:ascii="Times New Roman" w:hAnsi="Times New Roman" w:cs="Times New Roman"/>
          <w:sz w:val="24"/>
          <w:szCs w:val="24"/>
        </w:rPr>
        <w:t>:</w:t>
      </w:r>
      <w:r w:rsidR="00957935">
        <w:rPr>
          <w:rFonts w:ascii="Times New Roman" w:hAnsi="Times New Roman" w:cs="Times New Roman"/>
          <w:sz w:val="24"/>
          <w:szCs w:val="24"/>
        </w:rPr>
        <w:t xml:space="preserve"> Pimlico, 1992</w:t>
      </w:r>
      <w:r>
        <w:rPr>
          <w:rFonts w:ascii="Times New Roman" w:hAnsi="Times New Roman" w:cs="Times New Roman"/>
          <w:sz w:val="24"/>
          <w:szCs w:val="24"/>
        </w:rPr>
        <w:t>).</w:t>
      </w:r>
    </w:p>
    <w:p w:rsidR="0035242E" w:rsidRDefault="0035242E"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Jones, K.I., </w:t>
      </w:r>
      <w:r w:rsidRPr="0035242E">
        <w:rPr>
          <w:rFonts w:ascii="Times New Roman" w:hAnsi="Times New Roman" w:cs="Times New Roman"/>
          <w:i/>
          <w:sz w:val="24"/>
          <w:szCs w:val="24"/>
        </w:rPr>
        <w:t>Conan Doyle and the Spirits. The Spiritualist Career of Sir Arthur Conan Doyle</w:t>
      </w:r>
      <w:r>
        <w:rPr>
          <w:rFonts w:ascii="Times New Roman" w:hAnsi="Times New Roman" w:cs="Times New Roman"/>
          <w:sz w:val="24"/>
          <w:szCs w:val="24"/>
        </w:rPr>
        <w:t xml:space="preserve"> (Wellingborough: Aquarium, 1989).</w:t>
      </w:r>
    </w:p>
    <w:p w:rsidR="00BE44AD" w:rsidRDefault="00BE44AD"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King, A., </w:t>
      </w:r>
      <w:r w:rsidRPr="00BE44AD">
        <w:rPr>
          <w:rFonts w:ascii="Times New Roman" w:hAnsi="Times New Roman" w:cs="Times New Roman"/>
          <w:i/>
          <w:sz w:val="24"/>
          <w:szCs w:val="24"/>
        </w:rPr>
        <w:t>Memorials of the Great War in Britain: The Symbolism and Politics of Remembrance</w:t>
      </w:r>
      <w:r>
        <w:rPr>
          <w:rFonts w:ascii="Times New Roman" w:hAnsi="Times New Roman" w:cs="Times New Roman"/>
          <w:sz w:val="24"/>
          <w:szCs w:val="24"/>
        </w:rPr>
        <w:t xml:space="preserve"> (Oxford: Berg, 1997).</w:t>
      </w:r>
    </w:p>
    <w:p w:rsidR="00F023D1" w:rsidRDefault="00BE44AD" w:rsidP="00401BBC">
      <w:pPr>
        <w:tabs>
          <w:tab w:val="left" w:pos="7200"/>
        </w:tabs>
        <w:rPr>
          <w:rFonts w:ascii="Times New Roman" w:hAnsi="Times New Roman" w:cs="Times New Roman"/>
          <w:sz w:val="24"/>
          <w:szCs w:val="24"/>
        </w:rPr>
      </w:pPr>
      <w:r>
        <w:rPr>
          <w:rFonts w:ascii="Times New Roman" w:hAnsi="Times New Roman" w:cs="Times New Roman"/>
          <w:sz w:val="24"/>
          <w:szCs w:val="24"/>
        </w:rPr>
        <w:t>Lloyd, D.W</w:t>
      </w:r>
      <w:r w:rsidRPr="00BE44AD">
        <w:rPr>
          <w:rFonts w:ascii="Times New Roman" w:hAnsi="Times New Roman" w:cs="Times New Roman"/>
          <w:i/>
          <w:sz w:val="24"/>
          <w:szCs w:val="24"/>
        </w:rPr>
        <w:t>., Battlefield Tourism: Pilgrimage and the Commemoration of the Great War in Britain, Australia and Canada 1919 – 1939</w:t>
      </w:r>
      <w:r>
        <w:rPr>
          <w:rFonts w:ascii="Times New Roman" w:hAnsi="Times New Roman" w:cs="Times New Roman"/>
          <w:sz w:val="24"/>
          <w:szCs w:val="24"/>
        </w:rPr>
        <w:t xml:space="preserve"> (Oxford: Berg, 1998)</w:t>
      </w:r>
      <w:r w:rsidR="00F023D1">
        <w:rPr>
          <w:rFonts w:ascii="Times New Roman" w:hAnsi="Times New Roman" w:cs="Times New Roman"/>
          <w:sz w:val="24"/>
          <w:szCs w:val="24"/>
        </w:rPr>
        <w:t>.</w:t>
      </w:r>
    </w:p>
    <w:p w:rsidR="00957935" w:rsidRDefault="00957935"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Mosse, G., </w:t>
      </w:r>
      <w:r w:rsidRPr="00957935">
        <w:rPr>
          <w:rFonts w:ascii="Times New Roman" w:hAnsi="Times New Roman" w:cs="Times New Roman"/>
          <w:i/>
          <w:sz w:val="24"/>
          <w:szCs w:val="24"/>
        </w:rPr>
        <w:t>Fallen Soldiers: Reshaping the Memory of the World Wars</w:t>
      </w:r>
      <w:r>
        <w:rPr>
          <w:rFonts w:ascii="Times New Roman" w:hAnsi="Times New Roman" w:cs="Times New Roman"/>
          <w:sz w:val="24"/>
          <w:szCs w:val="24"/>
        </w:rPr>
        <w:t xml:space="preserve"> (Oxford University Press, 1990).</w:t>
      </w:r>
    </w:p>
    <w:p w:rsidR="00957935" w:rsidRDefault="00957935"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Mosse, G., ‘Two World Wars and the Myth of War Experience’, </w:t>
      </w:r>
      <w:r w:rsidRPr="00957935">
        <w:rPr>
          <w:rFonts w:ascii="Times New Roman" w:hAnsi="Times New Roman" w:cs="Times New Roman"/>
          <w:i/>
          <w:sz w:val="24"/>
          <w:szCs w:val="24"/>
        </w:rPr>
        <w:t>Journal of Contemporary History,</w:t>
      </w:r>
      <w:r>
        <w:rPr>
          <w:rFonts w:ascii="Times New Roman" w:hAnsi="Times New Roman" w:cs="Times New Roman"/>
          <w:sz w:val="24"/>
          <w:szCs w:val="24"/>
        </w:rPr>
        <w:t xml:space="preserve"> 21, 1986, p491-513.</w:t>
      </w:r>
    </w:p>
    <w:p w:rsidR="00A404A9" w:rsidRDefault="00A404A9" w:rsidP="00401BBC">
      <w:pPr>
        <w:tabs>
          <w:tab w:val="left" w:pos="7200"/>
        </w:tabs>
        <w:rPr>
          <w:rFonts w:ascii="Times New Roman" w:hAnsi="Times New Roman" w:cs="Times New Roman"/>
          <w:sz w:val="24"/>
          <w:szCs w:val="24"/>
        </w:rPr>
      </w:pPr>
      <w:r>
        <w:rPr>
          <w:rFonts w:ascii="Times New Roman" w:hAnsi="Times New Roman" w:cs="Times New Roman"/>
          <w:sz w:val="24"/>
          <w:szCs w:val="24"/>
        </w:rPr>
        <w:lastRenderedPageBreak/>
        <w:t xml:space="preserve">Prost, A., </w:t>
      </w:r>
      <w:r w:rsidRPr="00A404A9">
        <w:rPr>
          <w:rFonts w:ascii="Times New Roman" w:hAnsi="Times New Roman" w:cs="Times New Roman"/>
          <w:i/>
          <w:sz w:val="24"/>
          <w:szCs w:val="24"/>
        </w:rPr>
        <w:t>Republican Identities in War and Peace: Representations of France in the 19</w:t>
      </w:r>
      <w:r w:rsidRPr="00A404A9">
        <w:rPr>
          <w:rFonts w:ascii="Times New Roman" w:hAnsi="Times New Roman" w:cs="Times New Roman"/>
          <w:i/>
          <w:sz w:val="24"/>
          <w:szCs w:val="24"/>
          <w:vertAlign w:val="superscript"/>
        </w:rPr>
        <w:t>th</w:t>
      </w:r>
      <w:r w:rsidRPr="00A404A9">
        <w:rPr>
          <w:rFonts w:ascii="Times New Roman" w:hAnsi="Times New Roman" w:cs="Times New Roman"/>
          <w:i/>
          <w:sz w:val="24"/>
          <w:szCs w:val="24"/>
        </w:rPr>
        <w:t xml:space="preserve"> and 20</w:t>
      </w:r>
      <w:r w:rsidRPr="00A404A9">
        <w:rPr>
          <w:rFonts w:ascii="Times New Roman" w:hAnsi="Times New Roman" w:cs="Times New Roman"/>
          <w:i/>
          <w:sz w:val="24"/>
          <w:szCs w:val="24"/>
          <w:vertAlign w:val="superscript"/>
        </w:rPr>
        <w:t>th</w:t>
      </w:r>
      <w:r w:rsidRPr="00A404A9">
        <w:rPr>
          <w:rFonts w:ascii="Times New Roman" w:hAnsi="Times New Roman" w:cs="Times New Roman"/>
          <w:i/>
          <w:sz w:val="24"/>
          <w:szCs w:val="24"/>
        </w:rPr>
        <w:t xml:space="preserve"> Centuries </w:t>
      </w:r>
      <w:r>
        <w:rPr>
          <w:rFonts w:ascii="Times New Roman" w:hAnsi="Times New Roman" w:cs="Times New Roman"/>
          <w:sz w:val="24"/>
          <w:szCs w:val="24"/>
        </w:rPr>
        <w:t>(London: Bloomsbury Academic, 2002).</w:t>
      </w:r>
    </w:p>
    <w:p w:rsidR="00330380" w:rsidRDefault="00330380" w:rsidP="00401BBC">
      <w:pPr>
        <w:tabs>
          <w:tab w:val="left" w:pos="7200"/>
        </w:tabs>
        <w:rPr>
          <w:rFonts w:ascii="Times New Roman" w:hAnsi="Times New Roman" w:cs="Times New Roman"/>
          <w:sz w:val="24"/>
          <w:szCs w:val="24"/>
        </w:rPr>
      </w:pPr>
      <w:r>
        <w:rPr>
          <w:rFonts w:ascii="Times New Roman" w:hAnsi="Times New Roman" w:cs="Times New Roman"/>
          <w:sz w:val="24"/>
          <w:szCs w:val="24"/>
        </w:rPr>
        <w:t xml:space="preserve">Reader, I., Walter, T., </w:t>
      </w:r>
      <w:r w:rsidRPr="00330380">
        <w:rPr>
          <w:rFonts w:ascii="Times New Roman" w:hAnsi="Times New Roman" w:cs="Times New Roman"/>
          <w:i/>
          <w:sz w:val="24"/>
          <w:szCs w:val="24"/>
        </w:rPr>
        <w:t>Pilgrimage in Popular Culture</w:t>
      </w:r>
      <w:r>
        <w:rPr>
          <w:rFonts w:ascii="Times New Roman" w:hAnsi="Times New Roman" w:cs="Times New Roman"/>
          <w:sz w:val="24"/>
          <w:szCs w:val="24"/>
        </w:rPr>
        <w:t xml:space="preserve"> (Basingstoke: Macmillan, 1993).</w:t>
      </w:r>
    </w:p>
    <w:p w:rsidR="00EE48A3" w:rsidRDefault="00EE48A3" w:rsidP="00401BBC">
      <w:pPr>
        <w:rPr>
          <w:rFonts w:ascii="Times New Roman" w:hAnsi="Times New Roman" w:cs="Times New Roman"/>
          <w:sz w:val="24"/>
          <w:szCs w:val="24"/>
        </w:rPr>
      </w:pPr>
      <w:r>
        <w:rPr>
          <w:rFonts w:ascii="Times New Roman" w:hAnsi="Times New Roman" w:cs="Times New Roman"/>
          <w:sz w:val="24"/>
          <w:szCs w:val="24"/>
        </w:rPr>
        <w:t xml:space="preserve">Robb, G., </w:t>
      </w:r>
      <w:r w:rsidRPr="00401BBC">
        <w:rPr>
          <w:rFonts w:ascii="Times New Roman" w:hAnsi="Times New Roman" w:cs="Times New Roman"/>
          <w:i/>
          <w:sz w:val="24"/>
          <w:szCs w:val="24"/>
        </w:rPr>
        <w:t>British Culture and the First World War</w:t>
      </w:r>
      <w:r w:rsidR="00401BBC">
        <w:rPr>
          <w:rFonts w:ascii="Times New Roman" w:hAnsi="Times New Roman" w:cs="Times New Roman"/>
          <w:sz w:val="24"/>
          <w:szCs w:val="24"/>
        </w:rPr>
        <w:t xml:space="preserve"> (Basingstoke:</w:t>
      </w:r>
      <w:r>
        <w:rPr>
          <w:rFonts w:ascii="Times New Roman" w:hAnsi="Times New Roman" w:cs="Times New Roman"/>
          <w:sz w:val="24"/>
          <w:szCs w:val="24"/>
        </w:rPr>
        <w:t xml:space="preserve"> Palgrave, 2002)</w:t>
      </w:r>
      <w:r w:rsidR="00401BBC">
        <w:rPr>
          <w:rFonts w:ascii="Times New Roman" w:hAnsi="Times New Roman" w:cs="Times New Roman"/>
          <w:sz w:val="24"/>
          <w:szCs w:val="24"/>
        </w:rPr>
        <w:t>.</w:t>
      </w:r>
    </w:p>
    <w:p w:rsidR="006E57E7" w:rsidRDefault="006E57E7" w:rsidP="00401BBC">
      <w:pPr>
        <w:rPr>
          <w:rFonts w:ascii="Times New Roman" w:hAnsi="Times New Roman" w:cs="Times New Roman"/>
          <w:sz w:val="24"/>
          <w:szCs w:val="24"/>
        </w:rPr>
      </w:pPr>
      <w:r>
        <w:rPr>
          <w:rFonts w:ascii="Times New Roman" w:hAnsi="Times New Roman" w:cs="Times New Roman"/>
          <w:sz w:val="24"/>
          <w:szCs w:val="24"/>
        </w:rPr>
        <w:t xml:space="preserve">Seldon, A., Walsh, D., </w:t>
      </w:r>
      <w:r w:rsidRPr="006E57E7">
        <w:rPr>
          <w:rFonts w:ascii="Times New Roman" w:hAnsi="Times New Roman" w:cs="Times New Roman"/>
          <w:i/>
          <w:sz w:val="24"/>
          <w:szCs w:val="24"/>
        </w:rPr>
        <w:t>Public Schools and the Great War</w:t>
      </w:r>
      <w:r>
        <w:rPr>
          <w:rFonts w:ascii="Times New Roman" w:hAnsi="Times New Roman" w:cs="Times New Roman"/>
          <w:sz w:val="24"/>
          <w:szCs w:val="24"/>
        </w:rPr>
        <w:t xml:space="preserve"> (Barnsley: Pen and Sword Military, 2013).</w:t>
      </w:r>
    </w:p>
    <w:p w:rsidR="00336615" w:rsidRDefault="00336615" w:rsidP="00401BBC">
      <w:pPr>
        <w:rPr>
          <w:rFonts w:ascii="Times New Roman" w:hAnsi="Times New Roman" w:cs="Times New Roman"/>
          <w:sz w:val="24"/>
          <w:szCs w:val="24"/>
        </w:rPr>
      </w:pPr>
      <w:r>
        <w:rPr>
          <w:rFonts w:ascii="Times New Roman" w:hAnsi="Times New Roman" w:cs="Times New Roman"/>
          <w:sz w:val="24"/>
          <w:szCs w:val="24"/>
        </w:rPr>
        <w:t xml:space="preserve">Sheffield, G.D., </w:t>
      </w:r>
      <w:r w:rsidRPr="00336615">
        <w:rPr>
          <w:rFonts w:ascii="Times New Roman" w:hAnsi="Times New Roman" w:cs="Times New Roman"/>
          <w:i/>
          <w:sz w:val="24"/>
          <w:szCs w:val="24"/>
        </w:rPr>
        <w:t>Forgotten Victory: The First World War, Myths and Realities</w:t>
      </w:r>
      <w:r>
        <w:rPr>
          <w:rFonts w:ascii="Times New Roman" w:hAnsi="Times New Roman" w:cs="Times New Roman"/>
          <w:sz w:val="24"/>
          <w:szCs w:val="24"/>
        </w:rPr>
        <w:t xml:space="preserve"> (London: Review, 2002).</w:t>
      </w:r>
    </w:p>
    <w:p w:rsidR="00262020" w:rsidRDefault="00262020" w:rsidP="00401BBC">
      <w:pPr>
        <w:rPr>
          <w:rFonts w:ascii="Times New Roman" w:hAnsi="Times New Roman" w:cs="Times New Roman"/>
          <w:sz w:val="24"/>
          <w:szCs w:val="24"/>
        </w:rPr>
      </w:pPr>
      <w:r>
        <w:rPr>
          <w:rFonts w:ascii="Times New Roman" w:hAnsi="Times New Roman" w:cs="Times New Roman"/>
          <w:sz w:val="24"/>
          <w:szCs w:val="24"/>
        </w:rPr>
        <w:t xml:space="preserve">Simmonds, A.G.V., </w:t>
      </w:r>
      <w:r w:rsidRPr="001A1CC5">
        <w:rPr>
          <w:rFonts w:ascii="Times New Roman" w:hAnsi="Times New Roman" w:cs="Times New Roman"/>
          <w:i/>
          <w:sz w:val="24"/>
          <w:szCs w:val="24"/>
        </w:rPr>
        <w:t>Britain and World War One</w:t>
      </w:r>
      <w:r>
        <w:rPr>
          <w:rFonts w:ascii="Times New Roman" w:hAnsi="Times New Roman" w:cs="Times New Roman"/>
          <w:sz w:val="24"/>
          <w:szCs w:val="24"/>
        </w:rPr>
        <w:t xml:space="preserve"> (Abingdon: Routledge</w:t>
      </w:r>
      <w:r w:rsidR="001A1CC5">
        <w:rPr>
          <w:rFonts w:ascii="Times New Roman" w:hAnsi="Times New Roman" w:cs="Times New Roman"/>
          <w:sz w:val="24"/>
          <w:szCs w:val="24"/>
        </w:rPr>
        <w:t>, 2012).</w:t>
      </w:r>
    </w:p>
    <w:p w:rsidR="00D23FB7" w:rsidRDefault="00D23FB7" w:rsidP="00401BBC">
      <w:pPr>
        <w:rPr>
          <w:rFonts w:ascii="Times New Roman" w:hAnsi="Times New Roman" w:cs="Times New Roman"/>
          <w:sz w:val="24"/>
          <w:szCs w:val="24"/>
        </w:rPr>
      </w:pPr>
      <w:r>
        <w:rPr>
          <w:rFonts w:ascii="Times New Roman" w:hAnsi="Times New Roman" w:cs="Times New Roman"/>
          <w:sz w:val="24"/>
          <w:szCs w:val="24"/>
        </w:rPr>
        <w:t xml:space="preserve">Skelton, T., Gliddon, G., </w:t>
      </w:r>
      <w:r w:rsidRPr="00D23FB7">
        <w:rPr>
          <w:rFonts w:ascii="Times New Roman" w:hAnsi="Times New Roman" w:cs="Times New Roman"/>
          <w:i/>
          <w:sz w:val="24"/>
          <w:szCs w:val="24"/>
        </w:rPr>
        <w:t>Lutyens and the Great War</w:t>
      </w:r>
      <w:r>
        <w:rPr>
          <w:rFonts w:ascii="Times New Roman" w:hAnsi="Times New Roman" w:cs="Times New Roman"/>
          <w:sz w:val="24"/>
          <w:szCs w:val="24"/>
        </w:rPr>
        <w:t xml:space="preserve"> (London: Frances Lincoln, 2008).   </w:t>
      </w:r>
    </w:p>
    <w:p w:rsidR="00B55453" w:rsidRDefault="00B55453" w:rsidP="00401BBC">
      <w:pPr>
        <w:rPr>
          <w:rFonts w:ascii="Times New Roman" w:hAnsi="Times New Roman" w:cs="Times New Roman"/>
          <w:sz w:val="24"/>
          <w:szCs w:val="24"/>
        </w:rPr>
      </w:pPr>
      <w:r>
        <w:rPr>
          <w:rFonts w:ascii="Times New Roman" w:hAnsi="Times New Roman" w:cs="Times New Roman"/>
          <w:sz w:val="24"/>
          <w:szCs w:val="24"/>
        </w:rPr>
        <w:t>Summers</w:t>
      </w:r>
      <w:r w:rsidR="00D23FB7">
        <w:rPr>
          <w:rFonts w:ascii="Times New Roman" w:hAnsi="Times New Roman" w:cs="Times New Roman"/>
          <w:sz w:val="24"/>
          <w:szCs w:val="24"/>
        </w:rPr>
        <w:t xml:space="preserve">, J., </w:t>
      </w:r>
      <w:r w:rsidR="00D23FB7" w:rsidRPr="00D23FB7">
        <w:rPr>
          <w:rFonts w:ascii="Times New Roman" w:hAnsi="Times New Roman" w:cs="Times New Roman"/>
          <w:i/>
          <w:sz w:val="24"/>
          <w:szCs w:val="24"/>
        </w:rPr>
        <w:t>British and Commonwealth War Cemeteries</w:t>
      </w:r>
      <w:r w:rsidR="00D23FB7">
        <w:rPr>
          <w:rFonts w:ascii="Times New Roman" w:hAnsi="Times New Roman" w:cs="Times New Roman"/>
          <w:sz w:val="24"/>
          <w:szCs w:val="24"/>
        </w:rPr>
        <w:t xml:space="preserve"> (Oxford: Shire Publications, 2010). </w:t>
      </w:r>
    </w:p>
    <w:p w:rsidR="00262020" w:rsidRDefault="00262020" w:rsidP="00401BBC">
      <w:pPr>
        <w:rPr>
          <w:rFonts w:ascii="Times New Roman" w:hAnsi="Times New Roman" w:cs="Times New Roman"/>
          <w:sz w:val="24"/>
          <w:szCs w:val="24"/>
        </w:rPr>
      </w:pPr>
      <w:r>
        <w:rPr>
          <w:rFonts w:ascii="Times New Roman" w:hAnsi="Times New Roman" w:cs="Times New Roman"/>
          <w:sz w:val="24"/>
          <w:szCs w:val="24"/>
        </w:rPr>
        <w:t xml:space="preserve">Van Emden, R., </w:t>
      </w:r>
      <w:r w:rsidRPr="00262020">
        <w:rPr>
          <w:rFonts w:ascii="Times New Roman" w:hAnsi="Times New Roman" w:cs="Times New Roman"/>
          <w:i/>
          <w:sz w:val="24"/>
          <w:szCs w:val="24"/>
        </w:rPr>
        <w:t>The Quick and the Dead</w:t>
      </w:r>
      <w:r>
        <w:rPr>
          <w:rFonts w:ascii="Times New Roman" w:hAnsi="Times New Roman" w:cs="Times New Roman"/>
          <w:sz w:val="24"/>
          <w:szCs w:val="24"/>
        </w:rPr>
        <w:t xml:space="preserve"> (London: Bloomsbury Publishing, 2011).</w:t>
      </w:r>
    </w:p>
    <w:p w:rsidR="00DD6227" w:rsidRDefault="00DD6227" w:rsidP="00401BBC">
      <w:pPr>
        <w:rPr>
          <w:rFonts w:ascii="Times New Roman" w:hAnsi="Times New Roman" w:cs="Times New Roman"/>
          <w:sz w:val="24"/>
          <w:szCs w:val="24"/>
        </w:rPr>
      </w:pPr>
      <w:r>
        <w:rPr>
          <w:rFonts w:ascii="Times New Roman" w:hAnsi="Times New Roman" w:cs="Times New Roman"/>
          <w:sz w:val="24"/>
          <w:szCs w:val="24"/>
        </w:rPr>
        <w:t xml:space="preserve">Wilkinson, A., </w:t>
      </w:r>
      <w:r w:rsidRPr="00DD6227">
        <w:rPr>
          <w:rFonts w:ascii="Times New Roman" w:hAnsi="Times New Roman" w:cs="Times New Roman"/>
          <w:i/>
          <w:sz w:val="24"/>
          <w:szCs w:val="24"/>
        </w:rPr>
        <w:t>The Church of England and the First World War</w:t>
      </w:r>
      <w:r>
        <w:rPr>
          <w:rFonts w:ascii="Times New Roman" w:hAnsi="Times New Roman" w:cs="Times New Roman"/>
          <w:sz w:val="24"/>
          <w:szCs w:val="24"/>
        </w:rPr>
        <w:t xml:space="preserve"> (Cambridge: Lutterworth Press, 1978).</w:t>
      </w:r>
    </w:p>
    <w:p w:rsidR="00336615" w:rsidRDefault="00336615" w:rsidP="00401BBC">
      <w:pPr>
        <w:rPr>
          <w:rFonts w:ascii="Times New Roman" w:hAnsi="Times New Roman" w:cs="Times New Roman"/>
          <w:sz w:val="24"/>
          <w:szCs w:val="24"/>
        </w:rPr>
      </w:pPr>
      <w:r>
        <w:rPr>
          <w:rFonts w:ascii="Times New Roman" w:hAnsi="Times New Roman" w:cs="Times New Roman"/>
          <w:sz w:val="24"/>
          <w:szCs w:val="24"/>
        </w:rPr>
        <w:t xml:space="preserve">Winter, J., </w:t>
      </w:r>
      <w:r w:rsidRPr="00336615">
        <w:rPr>
          <w:rFonts w:ascii="Times New Roman" w:hAnsi="Times New Roman" w:cs="Times New Roman"/>
          <w:i/>
          <w:sz w:val="24"/>
          <w:szCs w:val="24"/>
        </w:rPr>
        <w:t>The Great War and the British People</w:t>
      </w:r>
      <w:r>
        <w:rPr>
          <w:rFonts w:ascii="Times New Roman" w:hAnsi="Times New Roman" w:cs="Times New Roman"/>
          <w:sz w:val="24"/>
          <w:szCs w:val="24"/>
        </w:rPr>
        <w:t xml:space="preserve"> (Basingstoke: Palgrave Macmillan, 1986).</w:t>
      </w:r>
    </w:p>
    <w:p w:rsidR="00401BBC" w:rsidRDefault="00401BBC" w:rsidP="00401BBC">
      <w:pPr>
        <w:rPr>
          <w:rFonts w:ascii="Times New Roman" w:hAnsi="Times New Roman" w:cs="Times New Roman"/>
          <w:sz w:val="24"/>
          <w:szCs w:val="24"/>
        </w:rPr>
      </w:pPr>
      <w:r>
        <w:rPr>
          <w:rFonts w:ascii="Times New Roman" w:hAnsi="Times New Roman" w:cs="Times New Roman"/>
          <w:sz w:val="24"/>
          <w:szCs w:val="24"/>
        </w:rPr>
        <w:t xml:space="preserve">Winter, J., Baggett, B., </w:t>
      </w:r>
      <w:r w:rsidRPr="00401BBC">
        <w:rPr>
          <w:rFonts w:ascii="Times New Roman" w:hAnsi="Times New Roman" w:cs="Times New Roman"/>
          <w:i/>
          <w:sz w:val="24"/>
          <w:szCs w:val="24"/>
        </w:rPr>
        <w:t>1914–18: The Great War and the Shaping of the 20</w:t>
      </w:r>
      <w:r w:rsidRPr="00401BBC">
        <w:rPr>
          <w:rFonts w:ascii="Times New Roman" w:hAnsi="Times New Roman" w:cs="Times New Roman"/>
          <w:i/>
          <w:sz w:val="24"/>
          <w:szCs w:val="24"/>
          <w:vertAlign w:val="superscript"/>
        </w:rPr>
        <w:t>th</w:t>
      </w:r>
      <w:r w:rsidRPr="00401BBC">
        <w:rPr>
          <w:rFonts w:ascii="Times New Roman" w:hAnsi="Times New Roman" w:cs="Times New Roman"/>
          <w:i/>
          <w:sz w:val="24"/>
          <w:szCs w:val="24"/>
        </w:rPr>
        <w:t xml:space="preserve"> Century</w:t>
      </w:r>
      <w:r>
        <w:rPr>
          <w:rFonts w:ascii="Times New Roman" w:hAnsi="Times New Roman" w:cs="Times New Roman"/>
          <w:sz w:val="24"/>
          <w:szCs w:val="24"/>
        </w:rPr>
        <w:t xml:space="preserve"> (London: BBC Books, 1996).</w:t>
      </w:r>
    </w:p>
    <w:p w:rsidR="008D564F" w:rsidRDefault="00EE48A3" w:rsidP="008D564F">
      <w:pPr>
        <w:tabs>
          <w:tab w:val="right" w:pos="9026"/>
        </w:tabs>
        <w:rPr>
          <w:rFonts w:ascii="Times New Roman" w:hAnsi="Times New Roman" w:cs="Times New Roman"/>
          <w:sz w:val="24"/>
          <w:szCs w:val="24"/>
        </w:rPr>
      </w:pPr>
      <w:r>
        <w:rPr>
          <w:rFonts w:ascii="Times New Roman" w:hAnsi="Times New Roman" w:cs="Times New Roman"/>
          <w:sz w:val="24"/>
          <w:szCs w:val="24"/>
        </w:rPr>
        <w:t xml:space="preserve">Winter, J., </w:t>
      </w:r>
      <w:r w:rsidRPr="00EE48A3">
        <w:rPr>
          <w:rFonts w:ascii="Times New Roman" w:hAnsi="Times New Roman" w:cs="Times New Roman"/>
          <w:i/>
          <w:sz w:val="24"/>
          <w:szCs w:val="24"/>
        </w:rPr>
        <w:t>Sites of Memory, Sites of Mourning</w:t>
      </w:r>
      <w:r>
        <w:rPr>
          <w:rFonts w:ascii="Times New Roman" w:hAnsi="Times New Roman" w:cs="Times New Roman"/>
          <w:sz w:val="24"/>
          <w:szCs w:val="24"/>
        </w:rPr>
        <w:t xml:space="preserve"> (Cambridge University Press, 2014).</w:t>
      </w:r>
    </w:p>
    <w:p w:rsidR="00CD5C17" w:rsidRDefault="00CD5C17" w:rsidP="008D564F">
      <w:pPr>
        <w:tabs>
          <w:tab w:val="right" w:pos="9026"/>
        </w:tabs>
        <w:rPr>
          <w:rFonts w:ascii="Times New Roman" w:hAnsi="Times New Roman" w:cs="Times New Roman"/>
          <w:sz w:val="24"/>
          <w:szCs w:val="24"/>
        </w:rPr>
      </w:pPr>
      <w:r>
        <w:rPr>
          <w:rFonts w:ascii="Times New Roman" w:hAnsi="Times New Roman" w:cs="Times New Roman"/>
          <w:sz w:val="24"/>
          <w:szCs w:val="24"/>
        </w:rPr>
        <w:t xml:space="preserve">Wittman, L., </w:t>
      </w:r>
      <w:r w:rsidRPr="00CD5C17">
        <w:rPr>
          <w:rFonts w:ascii="Times New Roman" w:hAnsi="Times New Roman" w:cs="Times New Roman"/>
          <w:i/>
          <w:sz w:val="24"/>
          <w:szCs w:val="24"/>
        </w:rPr>
        <w:t>The Tomb of the Unknown Soldier, Modern Mourning, and the Reinvention of the Mystical Body</w:t>
      </w:r>
      <w:r>
        <w:rPr>
          <w:rFonts w:ascii="Times New Roman" w:hAnsi="Times New Roman" w:cs="Times New Roman"/>
          <w:sz w:val="24"/>
          <w:szCs w:val="24"/>
        </w:rPr>
        <w:t xml:space="preserve"> (University of Toronto Press, 2011).</w:t>
      </w:r>
    </w:p>
    <w:p w:rsidR="00F96253" w:rsidRDefault="00F96253" w:rsidP="008D564F">
      <w:pPr>
        <w:tabs>
          <w:tab w:val="right" w:pos="9026"/>
        </w:tabs>
        <w:rPr>
          <w:rFonts w:ascii="Times New Roman" w:hAnsi="Times New Roman" w:cs="Times New Roman"/>
          <w:b/>
          <w:sz w:val="24"/>
          <w:szCs w:val="24"/>
        </w:rPr>
      </w:pPr>
      <w:r w:rsidRPr="00F96253">
        <w:rPr>
          <w:rFonts w:ascii="Times New Roman" w:hAnsi="Times New Roman" w:cs="Times New Roman"/>
          <w:b/>
          <w:sz w:val="24"/>
          <w:szCs w:val="24"/>
        </w:rPr>
        <w:t>Government Papers</w:t>
      </w:r>
    </w:p>
    <w:p w:rsidR="00F96253" w:rsidRDefault="00F96253" w:rsidP="008D564F">
      <w:pPr>
        <w:tabs>
          <w:tab w:val="right" w:pos="9026"/>
        </w:tabs>
        <w:rPr>
          <w:rFonts w:ascii="Times New Roman" w:hAnsi="Times New Roman" w:cs="Times New Roman"/>
          <w:sz w:val="24"/>
          <w:szCs w:val="24"/>
        </w:rPr>
      </w:pPr>
      <w:r w:rsidRPr="00F96253">
        <w:rPr>
          <w:rFonts w:ascii="Times New Roman" w:hAnsi="Times New Roman" w:cs="Times New Roman"/>
          <w:sz w:val="24"/>
          <w:szCs w:val="24"/>
        </w:rPr>
        <w:t>National Archives, War Cabinet 588 CAB/23/11.</w:t>
      </w:r>
    </w:p>
    <w:p w:rsidR="00F96253" w:rsidRPr="00F96253" w:rsidRDefault="00F96253" w:rsidP="008D564F">
      <w:pPr>
        <w:tabs>
          <w:tab w:val="right" w:pos="9026"/>
        </w:tabs>
        <w:rPr>
          <w:rFonts w:ascii="Times New Roman" w:hAnsi="Times New Roman" w:cs="Times New Roman"/>
          <w:b/>
          <w:sz w:val="24"/>
          <w:szCs w:val="24"/>
        </w:rPr>
      </w:pPr>
      <w:r w:rsidRPr="00F96253">
        <w:rPr>
          <w:rFonts w:ascii="Times New Roman" w:hAnsi="Times New Roman" w:cs="Times New Roman"/>
          <w:b/>
          <w:sz w:val="24"/>
          <w:szCs w:val="24"/>
        </w:rPr>
        <w:t>Other</w:t>
      </w:r>
    </w:p>
    <w:p w:rsidR="00C43BC4" w:rsidRDefault="008D564F" w:rsidP="008D564F">
      <w:pPr>
        <w:tabs>
          <w:tab w:val="right" w:pos="9026"/>
        </w:tabs>
        <w:rPr>
          <w:rFonts w:ascii="Times New Roman" w:hAnsi="Times New Roman" w:cs="Times New Roman"/>
          <w:sz w:val="24"/>
          <w:szCs w:val="24"/>
        </w:rPr>
      </w:pPr>
      <w:r>
        <w:rPr>
          <w:rFonts w:ascii="Times New Roman" w:hAnsi="Times New Roman" w:cs="Times New Roman"/>
          <w:sz w:val="24"/>
          <w:szCs w:val="24"/>
        </w:rPr>
        <w:t xml:space="preserve">Anonymous, ‘Civic Arts and War Memorials’, </w:t>
      </w:r>
      <w:r w:rsidRPr="008D564F">
        <w:rPr>
          <w:rFonts w:ascii="Times New Roman" w:hAnsi="Times New Roman" w:cs="Times New Roman"/>
          <w:i/>
          <w:sz w:val="24"/>
          <w:szCs w:val="24"/>
        </w:rPr>
        <w:t>The Spectator</w:t>
      </w:r>
      <w:r>
        <w:rPr>
          <w:rFonts w:ascii="Times New Roman" w:hAnsi="Times New Roman" w:cs="Times New Roman"/>
          <w:sz w:val="24"/>
          <w:szCs w:val="24"/>
        </w:rPr>
        <w:t>, 15</w:t>
      </w:r>
      <w:r w:rsidRPr="008D564F">
        <w:rPr>
          <w:rFonts w:ascii="Times New Roman" w:hAnsi="Times New Roman" w:cs="Times New Roman"/>
          <w:sz w:val="24"/>
          <w:szCs w:val="24"/>
          <w:vertAlign w:val="superscript"/>
        </w:rPr>
        <w:t>th</w:t>
      </w:r>
      <w:r>
        <w:rPr>
          <w:rFonts w:ascii="Times New Roman" w:hAnsi="Times New Roman" w:cs="Times New Roman"/>
          <w:sz w:val="24"/>
          <w:szCs w:val="24"/>
        </w:rPr>
        <w:t xml:space="preserve"> July 1916, p12, available from </w:t>
      </w:r>
      <w:hyperlink r:id="rId7" w:history="1">
        <w:r w:rsidR="00C43BC4" w:rsidRPr="00DF6E3F">
          <w:rPr>
            <w:rStyle w:val="Hyperlink"/>
            <w:rFonts w:ascii="Times New Roman" w:hAnsi="Times New Roman" w:cs="Times New Roman"/>
            <w:sz w:val="24"/>
            <w:szCs w:val="24"/>
          </w:rPr>
          <w:t>http://archive.spectator.co.uk/article/15th-july-1916/12/civic-arts-and-war-memorials accessed 13/12/17</w:t>
        </w:r>
      </w:hyperlink>
      <w:r>
        <w:rPr>
          <w:rFonts w:ascii="Times New Roman" w:hAnsi="Times New Roman" w:cs="Times New Roman"/>
          <w:sz w:val="24"/>
          <w:szCs w:val="24"/>
        </w:rPr>
        <w:t>.</w:t>
      </w:r>
    </w:p>
    <w:p w:rsidR="008F27A4" w:rsidRDefault="002B287E" w:rsidP="008D564F">
      <w:pPr>
        <w:tabs>
          <w:tab w:val="right" w:pos="9026"/>
        </w:tabs>
        <w:rPr>
          <w:rFonts w:ascii="Times New Roman" w:hAnsi="Times New Roman" w:cs="Times New Roman"/>
          <w:sz w:val="24"/>
          <w:szCs w:val="24"/>
        </w:rPr>
      </w:pPr>
      <w:hyperlink r:id="rId8" w:history="1">
        <w:r w:rsidR="008B6FCF" w:rsidRPr="007D6DC8">
          <w:rPr>
            <w:rStyle w:val="Hyperlink"/>
            <w:rFonts w:ascii="Times New Roman" w:hAnsi="Times New Roman" w:cs="Times New Roman"/>
            <w:sz w:val="24"/>
            <w:szCs w:val="24"/>
          </w:rPr>
          <w:t>www.cadderchurch.org/stainedglass  accessed 19/12/2017</w:t>
        </w:r>
      </w:hyperlink>
      <w:r w:rsidR="00C43BC4">
        <w:rPr>
          <w:rFonts w:ascii="Times New Roman" w:hAnsi="Times New Roman" w:cs="Times New Roman"/>
          <w:sz w:val="24"/>
          <w:szCs w:val="24"/>
        </w:rPr>
        <w:t>.</w:t>
      </w:r>
    </w:p>
    <w:p w:rsidR="00EE48A3" w:rsidRDefault="002B287E" w:rsidP="008D564F">
      <w:pPr>
        <w:tabs>
          <w:tab w:val="right" w:pos="9026"/>
        </w:tabs>
        <w:rPr>
          <w:rFonts w:ascii="Times New Roman" w:hAnsi="Times New Roman" w:cs="Times New Roman"/>
          <w:sz w:val="24"/>
          <w:szCs w:val="24"/>
        </w:rPr>
      </w:pPr>
      <w:hyperlink r:id="rId9" w:history="1">
        <w:r w:rsidR="008B6FCF" w:rsidRPr="007D6DC8">
          <w:rPr>
            <w:rStyle w:val="Hyperlink"/>
            <w:rFonts w:ascii="Times New Roman" w:hAnsi="Times New Roman" w:cs="Times New Roman"/>
            <w:sz w:val="24"/>
            <w:szCs w:val="24"/>
          </w:rPr>
          <w:t>www.iwm.org.uk/history/how-iwm-got-its-start-in-the-middle-of-a-war</w:t>
        </w:r>
      </w:hyperlink>
      <w:r w:rsidR="008B6FCF">
        <w:rPr>
          <w:rFonts w:ascii="Times New Roman" w:hAnsi="Times New Roman" w:cs="Times New Roman"/>
          <w:sz w:val="24"/>
          <w:szCs w:val="24"/>
        </w:rPr>
        <w:t xml:space="preserve">  accessed 31/12/2017.</w:t>
      </w:r>
      <w:r w:rsidR="008D564F">
        <w:rPr>
          <w:rFonts w:ascii="Times New Roman" w:hAnsi="Times New Roman" w:cs="Times New Roman"/>
          <w:sz w:val="24"/>
          <w:szCs w:val="24"/>
        </w:rPr>
        <w:tab/>
      </w:r>
    </w:p>
    <w:p w:rsidR="00330D98" w:rsidRPr="00EE48A3" w:rsidRDefault="002B287E" w:rsidP="008D564F">
      <w:pPr>
        <w:tabs>
          <w:tab w:val="right" w:pos="9026"/>
        </w:tabs>
        <w:rPr>
          <w:rFonts w:ascii="Times New Roman" w:hAnsi="Times New Roman" w:cs="Times New Roman"/>
          <w:sz w:val="24"/>
          <w:szCs w:val="24"/>
        </w:rPr>
      </w:pPr>
      <w:hyperlink r:id="rId10" w:history="1">
        <w:r w:rsidR="00330D98" w:rsidRPr="003B3841">
          <w:rPr>
            <w:rStyle w:val="Hyperlink"/>
            <w:rFonts w:ascii="Times New Roman" w:hAnsi="Times New Roman" w:cs="Times New Roman"/>
            <w:sz w:val="24"/>
            <w:szCs w:val="24"/>
          </w:rPr>
          <w:t>http://www.iwm.org.uk/memorials/item/memorial/2024</w:t>
        </w:r>
      </w:hyperlink>
      <w:r w:rsidR="00330D98">
        <w:rPr>
          <w:rFonts w:ascii="Times New Roman" w:hAnsi="Times New Roman" w:cs="Times New Roman"/>
          <w:sz w:val="24"/>
          <w:szCs w:val="24"/>
        </w:rPr>
        <w:t xml:space="preserve"> accessed 04/01/2018.</w:t>
      </w:r>
    </w:p>
    <w:sectPr w:rsidR="00330D98" w:rsidRPr="00EE48A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287E" w:rsidRDefault="002B287E" w:rsidP="00EE48A3">
      <w:pPr>
        <w:spacing w:after="0" w:line="240" w:lineRule="auto"/>
      </w:pPr>
      <w:r>
        <w:separator/>
      </w:r>
    </w:p>
  </w:endnote>
  <w:endnote w:type="continuationSeparator" w:id="0">
    <w:p w:rsidR="002B287E" w:rsidRDefault="002B287E" w:rsidP="00EE4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6239554"/>
      <w:docPartObj>
        <w:docPartGallery w:val="Page Numbers (Bottom of Page)"/>
        <w:docPartUnique/>
      </w:docPartObj>
    </w:sdtPr>
    <w:sdtEndPr>
      <w:rPr>
        <w:noProof/>
      </w:rPr>
    </w:sdtEndPr>
    <w:sdtContent>
      <w:p w:rsidR="006D1173" w:rsidRDefault="006D1173">
        <w:pPr>
          <w:pStyle w:val="Footer"/>
          <w:jc w:val="center"/>
        </w:pPr>
        <w:r>
          <w:fldChar w:fldCharType="begin"/>
        </w:r>
        <w:r>
          <w:instrText xml:space="preserve"> PAGE   \* MERGEFORMAT </w:instrText>
        </w:r>
        <w:r>
          <w:fldChar w:fldCharType="separate"/>
        </w:r>
        <w:r w:rsidR="00761E80">
          <w:rPr>
            <w:noProof/>
          </w:rPr>
          <w:t>5</w:t>
        </w:r>
        <w:r>
          <w:rPr>
            <w:noProof/>
          </w:rPr>
          <w:fldChar w:fldCharType="end"/>
        </w:r>
      </w:p>
    </w:sdtContent>
  </w:sdt>
  <w:p w:rsidR="006D1173" w:rsidRDefault="006D11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287E" w:rsidRDefault="002B287E" w:rsidP="00EE48A3">
      <w:pPr>
        <w:spacing w:after="0" w:line="240" w:lineRule="auto"/>
      </w:pPr>
      <w:r>
        <w:separator/>
      </w:r>
    </w:p>
  </w:footnote>
  <w:footnote w:type="continuationSeparator" w:id="0">
    <w:p w:rsidR="002B287E" w:rsidRDefault="002B287E" w:rsidP="00EE48A3">
      <w:pPr>
        <w:spacing w:after="0" w:line="240" w:lineRule="auto"/>
      </w:pPr>
      <w:r>
        <w:continuationSeparator/>
      </w:r>
    </w:p>
  </w:footnote>
  <w:footnote w:id="1">
    <w:p w:rsidR="006D1173" w:rsidRDefault="006D1173" w:rsidP="00483E0C">
      <w:pPr>
        <w:pStyle w:val="FootnoteText"/>
        <w:jc w:val="both"/>
      </w:pPr>
      <w:r>
        <w:rPr>
          <w:rStyle w:val="FootnoteReference"/>
        </w:rPr>
        <w:footnoteRef/>
      </w:r>
      <w:r>
        <w:t xml:space="preserve"> Robb, </w:t>
      </w:r>
      <w:r w:rsidRPr="003C3886">
        <w:rPr>
          <w:i/>
        </w:rPr>
        <w:t>British Culture</w:t>
      </w:r>
      <w:r>
        <w:t xml:space="preserve"> </w:t>
      </w:r>
      <w:r w:rsidRPr="0086186A">
        <w:rPr>
          <w:i/>
        </w:rPr>
        <w:t>and the First World War</w:t>
      </w:r>
      <w:r>
        <w:t xml:space="preserve"> (Basingstoke: Palgrave, 2002), p208.</w:t>
      </w:r>
    </w:p>
  </w:footnote>
  <w:footnote w:id="2">
    <w:p w:rsidR="006D1173" w:rsidRDefault="006D1173" w:rsidP="00483E0C">
      <w:pPr>
        <w:pStyle w:val="FootnoteText"/>
        <w:jc w:val="both"/>
      </w:pPr>
      <w:r>
        <w:rPr>
          <w:rStyle w:val="FootnoteReference"/>
        </w:rPr>
        <w:footnoteRef/>
      </w:r>
      <w:r>
        <w:t xml:space="preserve"> J. Winter, </w:t>
      </w:r>
      <w:r w:rsidRPr="00336615">
        <w:rPr>
          <w:i/>
        </w:rPr>
        <w:t>The Great War and the British People</w:t>
      </w:r>
      <w:r>
        <w:t xml:space="preserve"> (Basingstoke: Palgrave Macmillan, 1986), p71.</w:t>
      </w:r>
    </w:p>
  </w:footnote>
  <w:footnote w:id="3">
    <w:p w:rsidR="006D1173" w:rsidRDefault="006D1173" w:rsidP="00483E0C">
      <w:pPr>
        <w:pStyle w:val="FootnoteText"/>
        <w:jc w:val="both"/>
      </w:pPr>
      <w:r>
        <w:rPr>
          <w:rStyle w:val="FootnoteReference"/>
        </w:rPr>
        <w:footnoteRef/>
      </w:r>
      <w:r>
        <w:t xml:space="preserve"> G.D. Sheffield, </w:t>
      </w:r>
      <w:r w:rsidRPr="00336615">
        <w:rPr>
          <w:i/>
        </w:rPr>
        <w:t>Forgotten Victory: The First World War, Myths and Realities</w:t>
      </w:r>
      <w:r>
        <w:t xml:space="preserve"> (London: Review, 2002), p6.</w:t>
      </w:r>
    </w:p>
  </w:footnote>
  <w:footnote w:id="4">
    <w:p w:rsidR="006D1173" w:rsidRDefault="006D1173" w:rsidP="00483E0C">
      <w:pPr>
        <w:pStyle w:val="FootnoteText"/>
        <w:jc w:val="both"/>
      </w:pPr>
      <w:r>
        <w:rPr>
          <w:rStyle w:val="FootnoteReference"/>
        </w:rPr>
        <w:footnoteRef/>
      </w:r>
      <w:r>
        <w:t xml:space="preserve"> J. Bourke, </w:t>
      </w:r>
      <w:r w:rsidRPr="002C5910">
        <w:rPr>
          <w:i/>
        </w:rPr>
        <w:t>An Intimate History of Killing: Face to Face Killing in Twentieth Century Warfare</w:t>
      </w:r>
      <w:r>
        <w:t xml:space="preserve"> (London: Granta Books, 1999), p1-2.</w:t>
      </w:r>
    </w:p>
  </w:footnote>
  <w:footnote w:id="5">
    <w:p w:rsidR="006D1173" w:rsidRDefault="006D1173" w:rsidP="00483E0C">
      <w:pPr>
        <w:pStyle w:val="FootnoteText"/>
        <w:jc w:val="both"/>
      </w:pPr>
      <w:r>
        <w:rPr>
          <w:rStyle w:val="FootnoteReference"/>
        </w:rPr>
        <w:footnoteRef/>
      </w:r>
      <w:r>
        <w:t xml:space="preserve"> Robb, </w:t>
      </w:r>
      <w:r w:rsidRPr="008F27A4">
        <w:rPr>
          <w:i/>
        </w:rPr>
        <w:t>British Culture</w:t>
      </w:r>
      <w:r>
        <w:t>, p210.</w:t>
      </w:r>
    </w:p>
  </w:footnote>
  <w:footnote w:id="6">
    <w:p w:rsidR="006D1173" w:rsidRDefault="006D1173" w:rsidP="00483E0C">
      <w:pPr>
        <w:pStyle w:val="FootnoteText"/>
        <w:jc w:val="both"/>
      </w:pPr>
      <w:r>
        <w:rPr>
          <w:rStyle w:val="FootnoteReference"/>
        </w:rPr>
        <w:footnoteRef/>
      </w:r>
      <w:r>
        <w:t xml:space="preserve"> A. Sheldon, D. Walsh, </w:t>
      </w:r>
      <w:r w:rsidRPr="006E57E7">
        <w:rPr>
          <w:i/>
        </w:rPr>
        <w:t>Public Schools and the Great War</w:t>
      </w:r>
      <w:r>
        <w:t xml:space="preserve"> (Barnsley: Pen and Sword Military, 2013), p1.</w:t>
      </w:r>
    </w:p>
  </w:footnote>
  <w:footnote w:id="7">
    <w:p w:rsidR="006D1173" w:rsidRDefault="006D1173" w:rsidP="00483E0C">
      <w:pPr>
        <w:pStyle w:val="FootnoteText"/>
        <w:jc w:val="both"/>
      </w:pPr>
      <w:r>
        <w:rPr>
          <w:rStyle w:val="FootnoteReference"/>
        </w:rPr>
        <w:footnoteRef/>
      </w:r>
      <w:r>
        <w:t xml:space="preserve"> T &amp; V. Holt, </w:t>
      </w:r>
      <w:r w:rsidRPr="00A94357">
        <w:rPr>
          <w:i/>
        </w:rPr>
        <w:t>My Boy Jack?: The Search for Kipling’s Only Son</w:t>
      </w:r>
      <w:r>
        <w:t xml:space="preserve"> (Barnsley: Pen and Sword Military, 1998), p65-6.</w:t>
      </w:r>
    </w:p>
  </w:footnote>
  <w:footnote w:id="8">
    <w:p w:rsidR="006D1173" w:rsidRDefault="006D1173" w:rsidP="00483E0C">
      <w:pPr>
        <w:pStyle w:val="FootnoteText"/>
        <w:jc w:val="both"/>
      </w:pPr>
      <w:r>
        <w:rPr>
          <w:rStyle w:val="FootnoteReference"/>
        </w:rPr>
        <w:footnoteRef/>
      </w:r>
      <w:r>
        <w:t xml:space="preserve"> G. Robb, </w:t>
      </w:r>
      <w:r w:rsidRPr="00B97475">
        <w:rPr>
          <w:i/>
        </w:rPr>
        <w:t>British Culture</w:t>
      </w:r>
      <w:r>
        <w:rPr>
          <w:i/>
        </w:rPr>
        <w:t xml:space="preserve">, </w:t>
      </w:r>
      <w:r>
        <w:t>p50.</w:t>
      </w:r>
    </w:p>
  </w:footnote>
  <w:footnote w:id="9">
    <w:p w:rsidR="006D1173" w:rsidRDefault="006D1173" w:rsidP="00483E0C">
      <w:pPr>
        <w:pStyle w:val="FootnoteText"/>
        <w:jc w:val="both"/>
      </w:pPr>
      <w:r>
        <w:rPr>
          <w:rStyle w:val="FootnoteReference"/>
        </w:rPr>
        <w:footnoteRef/>
      </w:r>
      <w:r>
        <w:t xml:space="preserve"> A. Gregory, </w:t>
      </w:r>
      <w:r w:rsidRPr="001738EE">
        <w:rPr>
          <w:i/>
        </w:rPr>
        <w:t>Silence of Memory: Armistice Day 1919 – 1946</w:t>
      </w:r>
      <w:r>
        <w:t xml:space="preserve"> (Oxford: Berg Publishers, 1994), p35.</w:t>
      </w:r>
    </w:p>
  </w:footnote>
  <w:footnote w:id="10">
    <w:p w:rsidR="006D1173" w:rsidRDefault="006D1173" w:rsidP="00483E0C">
      <w:pPr>
        <w:pStyle w:val="FootnoteText"/>
        <w:jc w:val="both"/>
      </w:pPr>
      <w:r>
        <w:rPr>
          <w:rStyle w:val="FootnoteReference"/>
        </w:rPr>
        <w:footnoteRef/>
      </w:r>
      <w:r>
        <w:t xml:space="preserve"> </w:t>
      </w:r>
      <w:hyperlink r:id="rId1" w:history="1">
        <w:r w:rsidRPr="00DF6E3F">
          <w:rPr>
            <w:rStyle w:val="Hyperlink"/>
          </w:rPr>
          <w:t>www.cadderchurch.org?stainedglass</w:t>
        </w:r>
      </w:hyperlink>
      <w:r>
        <w:t xml:space="preserve"> accessed 19/12/2017.</w:t>
      </w:r>
    </w:p>
  </w:footnote>
  <w:footnote w:id="11">
    <w:p w:rsidR="006D1173" w:rsidRDefault="006D1173" w:rsidP="00483E0C">
      <w:pPr>
        <w:pStyle w:val="FootnoteText"/>
        <w:jc w:val="both"/>
      </w:pPr>
      <w:r>
        <w:rPr>
          <w:rStyle w:val="FootnoteReference"/>
        </w:rPr>
        <w:footnoteRef/>
      </w:r>
      <w:r>
        <w:t xml:space="preserve"> </w:t>
      </w:r>
      <w:r w:rsidRPr="00AC4E56">
        <w:t>Gregory,</w:t>
      </w:r>
      <w:r>
        <w:rPr>
          <w:i/>
        </w:rPr>
        <w:t xml:space="preserve"> Silence of Memory,</w:t>
      </w:r>
      <w:r>
        <w:t xml:space="preserve"> p209.</w:t>
      </w:r>
    </w:p>
  </w:footnote>
  <w:footnote w:id="12">
    <w:p w:rsidR="006D1173" w:rsidRDefault="006D1173" w:rsidP="00483E0C">
      <w:pPr>
        <w:pStyle w:val="FootnoteText"/>
        <w:jc w:val="both"/>
      </w:pPr>
      <w:r>
        <w:rPr>
          <w:rStyle w:val="FootnoteReference"/>
        </w:rPr>
        <w:footnoteRef/>
      </w:r>
      <w:r>
        <w:t xml:space="preserve"> </w:t>
      </w:r>
      <w:r w:rsidRPr="003C20C0">
        <w:rPr>
          <w:i/>
        </w:rPr>
        <w:t>Ibid</w:t>
      </w:r>
      <w:r>
        <w:t>, p209.</w:t>
      </w:r>
    </w:p>
  </w:footnote>
  <w:footnote w:id="13">
    <w:p w:rsidR="006D1173" w:rsidRDefault="006D1173" w:rsidP="00483E0C">
      <w:pPr>
        <w:pStyle w:val="FootnoteText"/>
        <w:jc w:val="both"/>
      </w:pPr>
      <w:r>
        <w:rPr>
          <w:rStyle w:val="FootnoteReference"/>
        </w:rPr>
        <w:footnoteRef/>
      </w:r>
      <w:r>
        <w:t xml:space="preserve"> G. Mosse, </w:t>
      </w:r>
      <w:r w:rsidRPr="00AC4E56">
        <w:rPr>
          <w:i/>
        </w:rPr>
        <w:t>Fallen Soldiers: reshaping the Memory of the World Wars</w:t>
      </w:r>
      <w:r>
        <w:t xml:space="preserve"> (Oxford University Press, 1990), p7. R. Bushaway, ‘Name Upon Name: The Great War and Remembrance’ in R. Porter, ed., </w:t>
      </w:r>
      <w:r w:rsidRPr="00AC4E56">
        <w:rPr>
          <w:i/>
        </w:rPr>
        <w:t>Myths of the English</w:t>
      </w:r>
      <w:r>
        <w:t xml:space="preserve"> (Cambridge: Polity Press, 1992), p 136- 67, p138-139.</w:t>
      </w:r>
    </w:p>
  </w:footnote>
  <w:footnote w:id="14">
    <w:p w:rsidR="006D1173" w:rsidRDefault="006D1173" w:rsidP="00483E0C">
      <w:pPr>
        <w:pStyle w:val="FootnoteText"/>
        <w:jc w:val="both"/>
      </w:pPr>
      <w:r>
        <w:rPr>
          <w:rStyle w:val="FootnoteReference"/>
        </w:rPr>
        <w:footnoteRef/>
      </w:r>
      <w:r>
        <w:t xml:space="preserve"> A. King, </w:t>
      </w:r>
      <w:r w:rsidRPr="00343FA9">
        <w:rPr>
          <w:i/>
        </w:rPr>
        <w:t xml:space="preserve">Memorials of the Great </w:t>
      </w:r>
      <w:r>
        <w:rPr>
          <w:i/>
        </w:rPr>
        <w:t>W</w:t>
      </w:r>
      <w:r w:rsidRPr="00343FA9">
        <w:rPr>
          <w:i/>
        </w:rPr>
        <w:t>ar in Britain: The Symbolism and Politics of Remembrance</w:t>
      </w:r>
      <w:r>
        <w:t xml:space="preserve"> (Oxford: Berg, 1997), p50. </w:t>
      </w:r>
    </w:p>
  </w:footnote>
  <w:footnote w:id="15">
    <w:p w:rsidR="006D1173" w:rsidRDefault="006D1173" w:rsidP="00483E0C">
      <w:pPr>
        <w:pStyle w:val="FootnoteText"/>
        <w:jc w:val="both"/>
      </w:pPr>
      <w:r>
        <w:rPr>
          <w:rStyle w:val="FootnoteReference"/>
        </w:rPr>
        <w:footnoteRef/>
      </w:r>
      <w:r>
        <w:t xml:space="preserve"> J. Winter, </w:t>
      </w:r>
      <w:r w:rsidRPr="00C464AE">
        <w:rPr>
          <w:i/>
        </w:rPr>
        <w:t>Sites of Memory, Sites of Mourning</w:t>
      </w:r>
      <w:r>
        <w:t xml:space="preserve"> (Cambridge University Press, 2014), p80.</w:t>
      </w:r>
    </w:p>
  </w:footnote>
  <w:footnote w:id="16">
    <w:p w:rsidR="006D1173" w:rsidRDefault="006D1173" w:rsidP="00483E0C">
      <w:pPr>
        <w:pStyle w:val="FootnoteText"/>
        <w:jc w:val="both"/>
      </w:pPr>
      <w:r>
        <w:rPr>
          <w:rStyle w:val="FootnoteReference"/>
        </w:rPr>
        <w:footnoteRef/>
      </w:r>
      <w:r>
        <w:t xml:space="preserve"> A. Wilkinson, </w:t>
      </w:r>
      <w:r w:rsidRPr="001843BE">
        <w:rPr>
          <w:i/>
        </w:rPr>
        <w:t>The Church of England and the First World War</w:t>
      </w:r>
      <w:r>
        <w:t xml:space="preserve"> (Cambridge: Lutterworth Press, 1978), p295.</w:t>
      </w:r>
    </w:p>
  </w:footnote>
  <w:footnote w:id="17">
    <w:p w:rsidR="006D1173" w:rsidRDefault="006D1173" w:rsidP="00483E0C">
      <w:pPr>
        <w:pStyle w:val="FootnoteText"/>
        <w:jc w:val="both"/>
      </w:pPr>
      <w:r>
        <w:rPr>
          <w:rStyle w:val="FootnoteReference"/>
        </w:rPr>
        <w:footnoteRef/>
      </w:r>
      <w:r>
        <w:t xml:space="preserve"> Winter, </w:t>
      </w:r>
      <w:r w:rsidRPr="00C464AE">
        <w:rPr>
          <w:i/>
        </w:rPr>
        <w:t>Sites of Memory</w:t>
      </w:r>
      <w:r>
        <w:rPr>
          <w:i/>
        </w:rPr>
        <w:t xml:space="preserve">, </w:t>
      </w:r>
      <w:r>
        <w:t>p80.</w:t>
      </w:r>
    </w:p>
  </w:footnote>
  <w:footnote w:id="18">
    <w:p w:rsidR="006D1173" w:rsidRDefault="006D1173" w:rsidP="00483E0C">
      <w:pPr>
        <w:pStyle w:val="FootnoteText"/>
        <w:jc w:val="both"/>
      </w:pPr>
      <w:r>
        <w:rPr>
          <w:rStyle w:val="FootnoteReference"/>
        </w:rPr>
        <w:footnoteRef/>
      </w:r>
      <w:r>
        <w:t xml:space="preserve"> M. Connelly </w:t>
      </w:r>
      <w:r w:rsidRPr="00DD6227">
        <w:rPr>
          <w:i/>
        </w:rPr>
        <w:t>The Great War, Memory and Ritual: Commemoration in the City and East London, 1916-1939</w:t>
      </w:r>
      <w:r>
        <w:t xml:space="preserve"> (Woodbridge: Boydell and Brewer, 2002), p32.</w:t>
      </w:r>
    </w:p>
  </w:footnote>
  <w:footnote w:id="19">
    <w:p w:rsidR="006D1173" w:rsidRDefault="006D1173" w:rsidP="00483E0C">
      <w:pPr>
        <w:pStyle w:val="FootnoteText"/>
        <w:jc w:val="both"/>
      </w:pPr>
      <w:r>
        <w:rPr>
          <w:rStyle w:val="FootnoteReference"/>
        </w:rPr>
        <w:footnoteRef/>
      </w:r>
      <w:r>
        <w:t xml:space="preserve"> King</w:t>
      </w:r>
      <w:r w:rsidRPr="0005637E">
        <w:rPr>
          <w:i/>
        </w:rPr>
        <w:t>, Memorials of the Great War</w:t>
      </w:r>
      <w:r>
        <w:t>, p51.</w:t>
      </w:r>
    </w:p>
  </w:footnote>
  <w:footnote w:id="20">
    <w:p w:rsidR="006D1173" w:rsidRDefault="006D1173" w:rsidP="00483E0C">
      <w:pPr>
        <w:pStyle w:val="FootnoteText"/>
        <w:jc w:val="both"/>
      </w:pPr>
      <w:r>
        <w:rPr>
          <w:rStyle w:val="FootnoteReference"/>
        </w:rPr>
        <w:footnoteRef/>
      </w:r>
      <w:r>
        <w:t xml:space="preserve"> </w:t>
      </w:r>
      <w:hyperlink r:id="rId2" w:history="1">
        <w:r w:rsidRPr="007D6DC8">
          <w:rPr>
            <w:rStyle w:val="Hyperlink"/>
          </w:rPr>
          <w:t>www.iwm.org.uk/history/how-iwm-got-its-start-in-the-middle-of-a-war</w:t>
        </w:r>
      </w:hyperlink>
      <w:r>
        <w:t xml:space="preserve"> accessed 31/12/2017.</w:t>
      </w:r>
    </w:p>
  </w:footnote>
  <w:footnote w:id="21">
    <w:p w:rsidR="006D1173" w:rsidRDefault="006D1173" w:rsidP="00483E0C">
      <w:pPr>
        <w:pStyle w:val="FootnoteText"/>
        <w:jc w:val="both"/>
      </w:pPr>
      <w:r>
        <w:rPr>
          <w:rStyle w:val="FootnoteReference"/>
        </w:rPr>
        <w:footnoteRef/>
      </w:r>
      <w:r>
        <w:t xml:space="preserve"> Robb, </w:t>
      </w:r>
      <w:r w:rsidRPr="008F27A4">
        <w:rPr>
          <w:i/>
        </w:rPr>
        <w:t>British Culture</w:t>
      </w:r>
      <w:r>
        <w:t>, p210.</w:t>
      </w:r>
    </w:p>
  </w:footnote>
  <w:footnote w:id="22">
    <w:p w:rsidR="006D1173" w:rsidRDefault="006D1173" w:rsidP="00483E0C">
      <w:pPr>
        <w:pStyle w:val="FootnoteText"/>
        <w:jc w:val="both"/>
      </w:pPr>
      <w:r>
        <w:rPr>
          <w:rStyle w:val="FootnoteReference"/>
        </w:rPr>
        <w:footnoteRef/>
      </w:r>
      <w:r>
        <w:t xml:space="preserve"> D. Cannadine, ‘War and Death, Grief and Mourning in Modern Britain’, in </w:t>
      </w:r>
      <w:r w:rsidRPr="006410E7">
        <w:rPr>
          <w:i/>
        </w:rPr>
        <w:t xml:space="preserve">Mirrors of Mortality, Studies in the Social History of Death, ed. Joachim Waley </w:t>
      </w:r>
      <w:r>
        <w:t>(London: Europa, 1981), p187-242, p227.</w:t>
      </w:r>
    </w:p>
  </w:footnote>
  <w:footnote w:id="23">
    <w:p w:rsidR="006D1173" w:rsidRDefault="006D1173" w:rsidP="00483E0C">
      <w:pPr>
        <w:pStyle w:val="FootnoteText"/>
        <w:jc w:val="both"/>
      </w:pPr>
      <w:r>
        <w:rPr>
          <w:rStyle w:val="FootnoteReference"/>
        </w:rPr>
        <w:footnoteRef/>
      </w:r>
      <w:r>
        <w:t xml:space="preserve"> </w:t>
      </w:r>
      <w:r w:rsidRPr="00474AFA">
        <w:rPr>
          <w:i/>
        </w:rPr>
        <w:t>Ibid</w:t>
      </w:r>
      <w:r>
        <w:t>, p77.</w:t>
      </w:r>
    </w:p>
  </w:footnote>
  <w:footnote w:id="24">
    <w:p w:rsidR="006D1173" w:rsidRDefault="006D1173" w:rsidP="00483E0C">
      <w:pPr>
        <w:pStyle w:val="FootnoteText"/>
        <w:jc w:val="both"/>
      </w:pPr>
      <w:r>
        <w:rPr>
          <w:rStyle w:val="FootnoteReference"/>
        </w:rPr>
        <w:footnoteRef/>
      </w:r>
      <w:r>
        <w:t xml:space="preserve"> K.I. Jones, </w:t>
      </w:r>
      <w:r w:rsidRPr="0035242E">
        <w:rPr>
          <w:i/>
        </w:rPr>
        <w:t>Conan Doyle and the Spirits. The Spiritualist Career of Sir Arthur Conan Doyle</w:t>
      </w:r>
      <w:r>
        <w:t xml:space="preserve"> (Wellingborough: Aquarium, 1989), p109.</w:t>
      </w:r>
    </w:p>
  </w:footnote>
  <w:footnote w:id="25">
    <w:p w:rsidR="006D1173" w:rsidRDefault="006D1173" w:rsidP="00483E0C">
      <w:pPr>
        <w:pStyle w:val="FootnoteText"/>
        <w:jc w:val="both"/>
      </w:pPr>
      <w:r>
        <w:rPr>
          <w:rStyle w:val="FootnoteReference"/>
        </w:rPr>
        <w:footnoteRef/>
      </w:r>
      <w:r>
        <w:t xml:space="preserve"> Winter, </w:t>
      </w:r>
      <w:r w:rsidRPr="00B672E1">
        <w:rPr>
          <w:i/>
        </w:rPr>
        <w:t>Sites of Memory</w:t>
      </w:r>
      <w:r>
        <w:t>, p75.</w:t>
      </w:r>
    </w:p>
  </w:footnote>
  <w:footnote w:id="26">
    <w:p w:rsidR="006D1173" w:rsidRDefault="006D1173" w:rsidP="00483E0C">
      <w:pPr>
        <w:pStyle w:val="FootnoteText"/>
        <w:jc w:val="both"/>
      </w:pPr>
      <w:r>
        <w:rPr>
          <w:rStyle w:val="FootnoteReference"/>
        </w:rPr>
        <w:footnoteRef/>
      </w:r>
      <w:r>
        <w:t xml:space="preserve"> J.R.Gills, </w:t>
      </w:r>
      <w:r w:rsidRPr="008F27A4">
        <w:rPr>
          <w:i/>
        </w:rPr>
        <w:t>Commemorations: The Politics of National Identity</w:t>
      </w:r>
      <w:r>
        <w:t xml:space="preserve"> (Princeton University Press, 1994), p153.</w:t>
      </w:r>
    </w:p>
  </w:footnote>
  <w:footnote w:id="27">
    <w:p w:rsidR="006D1173" w:rsidRDefault="006D1173" w:rsidP="00483E0C">
      <w:pPr>
        <w:pStyle w:val="FootnoteText"/>
        <w:jc w:val="both"/>
      </w:pPr>
      <w:r>
        <w:rPr>
          <w:rStyle w:val="FootnoteReference"/>
        </w:rPr>
        <w:footnoteRef/>
      </w:r>
      <w:r>
        <w:t xml:space="preserve"> Robb, </w:t>
      </w:r>
      <w:r w:rsidRPr="008F27A4">
        <w:rPr>
          <w:i/>
        </w:rPr>
        <w:t>British Culture</w:t>
      </w:r>
      <w:r>
        <w:t>, p211.</w:t>
      </w:r>
    </w:p>
  </w:footnote>
  <w:footnote w:id="28">
    <w:p w:rsidR="006D1173" w:rsidRDefault="006D1173" w:rsidP="00483E0C">
      <w:pPr>
        <w:pStyle w:val="FootnoteText"/>
        <w:jc w:val="both"/>
      </w:pPr>
      <w:r>
        <w:rPr>
          <w:rStyle w:val="FootnoteReference"/>
        </w:rPr>
        <w:footnoteRef/>
      </w:r>
      <w:r>
        <w:t xml:space="preserve"> G. Mosse, </w:t>
      </w:r>
      <w:r w:rsidRPr="007B7BD7">
        <w:rPr>
          <w:i/>
        </w:rPr>
        <w:t>Fallen Soldiers: Reshaping the Memory of the World Wars</w:t>
      </w:r>
      <w:r>
        <w:t xml:space="preserve"> (Oxford University Press, 1990), p81-4.</w:t>
      </w:r>
    </w:p>
  </w:footnote>
  <w:footnote w:id="29">
    <w:p w:rsidR="006D1173" w:rsidRDefault="006D1173" w:rsidP="00483E0C">
      <w:pPr>
        <w:pStyle w:val="FootnoteText"/>
        <w:jc w:val="both"/>
      </w:pPr>
      <w:r>
        <w:rPr>
          <w:rStyle w:val="FootnoteReference"/>
        </w:rPr>
        <w:footnoteRef/>
      </w:r>
      <w:r>
        <w:t xml:space="preserve"> Summers, J., </w:t>
      </w:r>
      <w:r w:rsidRPr="00E657BA">
        <w:rPr>
          <w:i/>
        </w:rPr>
        <w:t>British and Commonwealth War Cemeteries</w:t>
      </w:r>
      <w:r>
        <w:t xml:space="preserve"> (Oxford: Shire Publications, 2010), p17.</w:t>
      </w:r>
    </w:p>
  </w:footnote>
  <w:footnote w:id="30">
    <w:p w:rsidR="006D1173" w:rsidRDefault="006D1173" w:rsidP="00483E0C">
      <w:pPr>
        <w:pStyle w:val="FootnoteText"/>
        <w:jc w:val="both"/>
      </w:pPr>
      <w:r>
        <w:rPr>
          <w:rStyle w:val="FootnoteReference"/>
        </w:rPr>
        <w:footnoteRef/>
      </w:r>
      <w:r>
        <w:t xml:space="preserve"> Skelton, T., Gliddon, G., </w:t>
      </w:r>
      <w:r w:rsidRPr="00E657BA">
        <w:rPr>
          <w:i/>
        </w:rPr>
        <w:t>Lutyens and the Great War</w:t>
      </w:r>
      <w:r>
        <w:t xml:space="preserve"> (London: Frances Lincoln, 2008), p26-9.</w:t>
      </w:r>
    </w:p>
  </w:footnote>
  <w:footnote w:id="31">
    <w:p w:rsidR="006D1173" w:rsidRDefault="006D1173" w:rsidP="00483E0C">
      <w:pPr>
        <w:pStyle w:val="FootnoteText"/>
        <w:jc w:val="both"/>
      </w:pPr>
      <w:r>
        <w:rPr>
          <w:rStyle w:val="FootnoteReference"/>
        </w:rPr>
        <w:footnoteRef/>
      </w:r>
      <w:r>
        <w:t xml:space="preserve"> </w:t>
      </w:r>
      <w:r w:rsidRPr="00082BF2">
        <w:t>Skelton, Gliddon</w:t>
      </w:r>
      <w:r>
        <w:rPr>
          <w:i/>
        </w:rPr>
        <w:t>, Lutyens</w:t>
      </w:r>
      <w:r>
        <w:t>, p28.</w:t>
      </w:r>
    </w:p>
  </w:footnote>
  <w:footnote w:id="32">
    <w:p w:rsidR="006D1173" w:rsidRDefault="006D1173" w:rsidP="00483E0C">
      <w:pPr>
        <w:pStyle w:val="FootnoteText"/>
        <w:jc w:val="both"/>
      </w:pPr>
      <w:r>
        <w:rPr>
          <w:rStyle w:val="FootnoteReference"/>
        </w:rPr>
        <w:footnoteRef/>
      </w:r>
      <w:r>
        <w:t xml:space="preserve"> A. Wilkinson, </w:t>
      </w:r>
      <w:r w:rsidRPr="00B73932">
        <w:rPr>
          <w:i/>
        </w:rPr>
        <w:t>The Church of England and the First World War</w:t>
      </w:r>
      <w:r>
        <w:t xml:space="preserve"> (Cambridge: Lutterworth Press, 1978), p302.</w:t>
      </w:r>
    </w:p>
  </w:footnote>
  <w:footnote w:id="33">
    <w:p w:rsidR="006D1173" w:rsidRDefault="006D1173" w:rsidP="00B763D6">
      <w:pPr>
        <w:pStyle w:val="FootnoteText"/>
      </w:pPr>
      <w:r>
        <w:rPr>
          <w:rStyle w:val="FootnoteReference"/>
        </w:rPr>
        <w:footnoteRef/>
      </w:r>
      <w:r>
        <w:t xml:space="preserve"> A. King, </w:t>
      </w:r>
      <w:r w:rsidRPr="00F71C5F">
        <w:rPr>
          <w:i/>
        </w:rPr>
        <w:t>Memorials of the Great War in Britain: The Symbolism and Politics of Remembrance</w:t>
      </w:r>
      <w:r>
        <w:t xml:space="preserve"> (Oxford: Berg, 1997), p55-56.</w:t>
      </w:r>
    </w:p>
  </w:footnote>
  <w:footnote w:id="34">
    <w:p w:rsidR="006D1173" w:rsidRDefault="006D1173">
      <w:pPr>
        <w:pStyle w:val="FootnoteText"/>
      </w:pPr>
      <w:r>
        <w:rPr>
          <w:rStyle w:val="FootnoteReference"/>
        </w:rPr>
        <w:footnoteRef/>
      </w:r>
      <w:r>
        <w:t xml:space="preserve"> R. Van Emden, </w:t>
      </w:r>
      <w:r w:rsidRPr="00262020">
        <w:rPr>
          <w:i/>
        </w:rPr>
        <w:t>The Quick and the Dead</w:t>
      </w:r>
      <w:r>
        <w:t xml:space="preserve"> (London: Bloomsbury Publishing, 2011), p261</w:t>
      </w:r>
    </w:p>
  </w:footnote>
  <w:footnote w:id="35">
    <w:p w:rsidR="006D1173" w:rsidRDefault="006D1173">
      <w:pPr>
        <w:pStyle w:val="FootnoteText"/>
      </w:pPr>
      <w:r>
        <w:rPr>
          <w:rStyle w:val="FootnoteReference"/>
        </w:rPr>
        <w:footnoteRef/>
      </w:r>
      <w:r>
        <w:t xml:space="preserve"> National Archives, War Cabinet 588 CAB/23/11.</w:t>
      </w:r>
    </w:p>
  </w:footnote>
  <w:footnote w:id="36">
    <w:p w:rsidR="006D1173" w:rsidRDefault="006D1173">
      <w:pPr>
        <w:pStyle w:val="FootnoteText"/>
      </w:pPr>
      <w:r>
        <w:rPr>
          <w:rStyle w:val="FootnoteReference"/>
        </w:rPr>
        <w:footnoteRef/>
      </w:r>
      <w:r>
        <w:t xml:space="preserve"> Cannadine, </w:t>
      </w:r>
      <w:r w:rsidRPr="00262020">
        <w:rPr>
          <w:i/>
        </w:rPr>
        <w:t>War and Death</w:t>
      </w:r>
      <w:r>
        <w:t>, p219.</w:t>
      </w:r>
    </w:p>
  </w:footnote>
  <w:footnote w:id="37">
    <w:p w:rsidR="006D1173" w:rsidRDefault="006D1173">
      <w:pPr>
        <w:pStyle w:val="FootnoteText"/>
      </w:pPr>
      <w:r>
        <w:rPr>
          <w:rStyle w:val="FootnoteReference"/>
        </w:rPr>
        <w:footnoteRef/>
      </w:r>
      <w:r>
        <w:t xml:space="preserve"> A.G.V. Simmonds, </w:t>
      </w:r>
      <w:r w:rsidRPr="00262020">
        <w:rPr>
          <w:i/>
        </w:rPr>
        <w:t>Britain and World War One</w:t>
      </w:r>
      <w:r>
        <w:t xml:space="preserve"> (Abingdon: Routledge,2012), p303.</w:t>
      </w:r>
    </w:p>
  </w:footnote>
  <w:footnote w:id="38">
    <w:p w:rsidR="006D1173" w:rsidRDefault="006D1173">
      <w:pPr>
        <w:pStyle w:val="FootnoteText"/>
      </w:pPr>
      <w:r>
        <w:rPr>
          <w:rStyle w:val="FootnoteReference"/>
        </w:rPr>
        <w:footnoteRef/>
      </w:r>
      <w:r>
        <w:t xml:space="preserve"> Cannadine, </w:t>
      </w:r>
      <w:r w:rsidRPr="004D21C0">
        <w:rPr>
          <w:i/>
        </w:rPr>
        <w:t>War and Death</w:t>
      </w:r>
      <w:r>
        <w:t>, p218-219.</w:t>
      </w:r>
    </w:p>
  </w:footnote>
  <w:footnote w:id="39">
    <w:p w:rsidR="006D1173" w:rsidRDefault="006D1173">
      <w:pPr>
        <w:pStyle w:val="FootnoteText"/>
      </w:pPr>
      <w:r>
        <w:rPr>
          <w:rStyle w:val="FootnoteReference"/>
        </w:rPr>
        <w:footnoteRef/>
      </w:r>
      <w:r>
        <w:t xml:space="preserve"> L. Wittman, </w:t>
      </w:r>
      <w:r w:rsidRPr="00330D98">
        <w:rPr>
          <w:i/>
        </w:rPr>
        <w:t>The Tomb of the Unknown Soldier, Modern Mourning, and the Reinvention of the Mystical Body</w:t>
      </w:r>
      <w:r>
        <w:t xml:space="preserve"> (University of Toronto Press, 2011), p36.</w:t>
      </w:r>
    </w:p>
  </w:footnote>
  <w:footnote w:id="40">
    <w:p w:rsidR="006D1173" w:rsidRDefault="006D1173">
      <w:pPr>
        <w:pStyle w:val="FootnoteText"/>
      </w:pPr>
      <w:r>
        <w:rPr>
          <w:rStyle w:val="FootnoteReference"/>
        </w:rPr>
        <w:footnoteRef/>
      </w:r>
      <w:r>
        <w:t xml:space="preserve"> Cannadine, </w:t>
      </w:r>
      <w:r w:rsidRPr="00CD5C17">
        <w:rPr>
          <w:i/>
        </w:rPr>
        <w:t>War and Death,</w:t>
      </w:r>
      <w:r>
        <w:t xml:space="preserve"> p200-209.</w:t>
      </w:r>
    </w:p>
  </w:footnote>
  <w:footnote w:id="41">
    <w:p w:rsidR="006D1173" w:rsidRDefault="006D1173" w:rsidP="004F66C9">
      <w:pPr>
        <w:pStyle w:val="FootnoteText"/>
      </w:pPr>
      <w:r>
        <w:rPr>
          <w:rStyle w:val="FootnoteReference"/>
        </w:rPr>
        <w:footnoteRef/>
      </w:r>
      <w:r>
        <w:t xml:space="preserve"> Gregory, </w:t>
      </w:r>
      <w:r w:rsidRPr="00D47533">
        <w:rPr>
          <w:i/>
        </w:rPr>
        <w:t>The Silence of Memory</w:t>
      </w:r>
      <w:r>
        <w:rPr>
          <w:i/>
        </w:rPr>
        <w:t xml:space="preserve">, </w:t>
      </w:r>
      <w:r>
        <w:t>p27.</w:t>
      </w:r>
    </w:p>
  </w:footnote>
  <w:footnote w:id="42">
    <w:p w:rsidR="006D1173" w:rsidRDefault="006D1173">
      <w:pPr>
        <w:pStyle w:val="FootnoteText"/>
      </w:pPr>
      <w:r>
        <w:rPr>
          <w:rStyle w:val="FootnoteReference"/>
        </w:rPr>
        <w:footnoteRef/>
      </w:r>
      <w:r>
        <w:t xml:space="preserve"> M. Fitzgerald, </w:t>
      </w:r>
      <w:r w:rsidRPr="00F023D1">
        <w:rPr>
          <w:i/>
        </w:rPr>
        <w:t>A Memoir of Herbert Edward Ryle</w:t>
      </w:r>
      <w:r>
        <w:t xml:space="preserve"> (London: Macmillan, 1928), p187.</w:t>
      </w:r>
    </w:p>
  </w:footnote>
  <w:footnote w:id="43">
    <w:p w:rsidR="006D1173" w:rsidRDefault="006D1173">
      <w:pPr>
        <w:pStyle w:val="FootnoteText"/>
      </w:pPr>
      <w:r>
        <w:rPr>
          <w:rStyle w:val="FootnoteReference"/>
        </w:rPr>
        <w:footnoteRef/>
      </w:r>
      <w:r>
        <w:t xml:space="preserve"> </w:t>
      </w:r>
      <w:hyperlink r:id="rId3" w:history="1">
        <w:r w:rsidRPr="003B3841">
          <w:rPr>
            <w:rStyle w:val="Hyperlink"/>
          </w:rPr>
          <w:t>http://www.iwm.org.uk/memorials/item/memorial/2024</w:t>
        </w:r>
      </w:hyperlink>
      <w:r>
        <w:t xml:space="preserve"> accessed 04/01/2018.</w:t>
      </w:r>
    </w:p>
  </w:footnote>
  <w:footnote w:id="44">
    <w:p w:rsidR="006D1173" w:rsidRPr="001468AB" w:rsidRDefault="006D1173" w:rsidP="00483E0C">
      <w:pPr>
        <w:pStyle w:val="FootnoteText"/>
        <w:jc w:val="both"/>
      </w:pPr>
      <w:r>
        <w:rPr>
          <w:rStyle w:val="FootnoteReference"/>
        </w:rPr>
        <w:footnoteRef/>
      </w:r>
      <w:r>
        <w:t xml:space="preserve"> Anonymous, ‘Civic Arts and War Memorials’, </w:t>
      </w:r>
      <w:r w:rsidRPr="001468AB">
        <w:rPr>
          <w:i/>
        </w:rPr>
        <w:t>The Spectator</w:t>
      </w:r>
      <w:r>
        <w:rPr>
          <w:i/>
        </w:rPr>
        <w:t xml:space="preserve">, </w:t>
      </w:r>
      <w:r>
        <w:t>15</w:t>
      </w:r>
      <w:r w:rsidRPr="001468AB">
        <w:rPr>
          <w:vertAlign w:val="superscript"/>
        </w:rPr>
        <w:t>th</w:t>
      </w:r>
      <w:r>
        <w:t xml:space="preserve"> July 1916, p12 available from </w:t>
      </w:r>
      <w:hyperlink r:id="rId4" w:history="1">
        <w:r w:rsidRPr="00B35244">
          <w:rPr>
            <w:rStyle w:val="Hyperlink"/>
          </w:rPr>
          <w:t>http://archive.spectator.co.uk/article/15th-july-1916/12/civic-arts-and-war-memorials</w:t>
        </w:r>
      </w:hyperlink>
      <w:r>
        <w:t xml:space="preserve"> accessed 13/12/17.</w:t>
      </w:r>
    </w:p>
  </w:footnote>
  <w:footnote w:id="45">
    <w:p w:rsidR="006D1173" w:rsidRDefault="006D1173" w:rsidP="00483E0C">
      <w:pPr>
        <w:pStyle w:val="FootnoteText"/>
        <w:jc w:val="both"/>
      </w:pPr>
      <w:r>
        <w:rPr>
          <w:rStyle w:val="FootnoteReference"/>
        </w:rPr>
        <w:footnoteRef/>
      </w:r>
      <w:r>
        <w:t xml:space="preserve"> D.W. Lloyd, </w:t>
      </w:r>
      <w:r w:rsidRPr="00F71C5F">
        <w:rPr>
          <w:i/>
        </w:rPr>
        <w:t>Battlefield Tourism: Pilgrimage and the Commemoration of the Great War in Britain, Australia and Canada</w:t>
      </w:r>
      <w:r>
        <w:t xml:space="preserve"> (Oxford: Berg, 1998), p217.</w:t>
      </w:r>
    </w:p>
  </w:footnote>
  <w:footnote w:id="46">
    <w:p w:rsidR="006D1173" w:rsidRDefault="006D1173" w:rsidP="00483E0C">
      <w:pPr>
        <w:pStyle w:val="FootnoteText"/>
        <w:jc w:val="both"/>
      </w:pPr>
      <w:r>
        <w:rPr>
          <w:rStyle w:val="FootnoteReference"/>
        </w:rPr>
        <w:footnoteRef/>
      </w:r>
      <w:r>
        <w:t xml:space="preserve"> Winter, </w:t>
      </w:r>
      <w:r w:rsidRPr="002711DE">
        <w:rPr>
          <w:i/>
        </w:rPr>
        <w:t>Sites of Memory</w:t>
      </w:r>
      <w:r>
        <w:t>, p94.</w:t>
      </w:r>
    </w:p>
  </w:footnote>
  <w:footnote w:id="47">
    <w:p w:rsidR="006D1173" w:rsidRDefault="006D1173" w:rsidP="00483E0C">
      <w:pPr>
        <w:pStyle w:val="FootnoteText"/>
        <w:jc w:val="both"/>
      </w:pPr>
      <w:r>
        <w:rPr>
          <w:rStyle w:val="FootnoteReference"/>
        </w:rPr>
        <w:footnoteRef/>
      </w:r>
      <w:r>
        <w:t xml:space="preserve"> Bushaway, ‘Name Upon Name,’ p160-161.</w:t>
      </w:r>
    </w:p>
  </w:footnote>
  <w:footnote w:id="48">
    <w:p w:rsidR="006D1173" w:rsidRDefault="006D1173" w:rsidP="00483E0C">
      <w:pPr>
        <w:pStyle w:val="FootnoteText"/>
        <w:jc w:val="both"/>
      </w:pPr>
      <w:r>
        <w:rPr>
          <w:rStyle w:val="FootnoteReference"/>
        </w:rPr>
        <w:footnoteRef/>
      </w:r>
      <w:r>
        <w:t xml:space="preserve"> M. Eksteins, </w:t>
      </w:r>
      <w:r w:rsidRPr="00B02222">
        <w:rPr>
          <w:i/>
        </w:rPr>
        <w:t>Rites of Spring: The Great War and the Birth of the Modern Age</w:t>
      </w:r>
      <w:r>
        <w:t xml:space="preserve"> (New York: Doubleday, 1989), p252-261.</w:t>
      </w:r>
    </w:p>
  </w:footnote>
  <w:footnote w:id="49">
    <w:p w:rsidR="006D1173" w:rsidRDefault="006D1173">
      <w:pPr>
        <w:pStyle w:val="FootnoteText"/>
      </w:pPr>
      <w:r>
        <w:rPr>
          <w:rStyle w:val="FootnoteReference"/>
        </w:rPr>
        <w:footnoteRef/>
      </w:r>
      <w:r>
        <w:t xml:space="preserve"> I. Reader, T. Walter, </w:t>
      </w:r>
      <w:r w:rsidRPr="00330380">
        <w:rPr>
          <w:i/>
        </w:rPr>
        <w:t>Pilgrimage in Popular Culture</w:t>
      </w:r>
      <w:r>
        <w:t xml:space="preserve"> (Basingstoke: Macmillan, 1993), p67.</w:t>
      </w:r>
    </w:p>
  </w:footnote>
  <w:footnote w:id="50">
    <w:p w:rsidR="006D1173" w:rsidRDefault="006D1173">
      <w:pPr>
        <w:pStyle w:val="FootnoteText"/>
      </w:pPr>
      <w:r>
        <w:rPr>
          <w:rStyle w:val="FootnoteReference"/>
        </w:rPr>
        <w:footnoteRef/>
      </w:r>
      <w:r>
        <w:t xml:space="preserve"> Mosse</w:t>
      </w:r>
      <w:r w:rsidRPr="00330380">
        <w:rPr>
          <w:i/>
        </w:rPr>
        <w:t>, Fallen Soldiers</w:t>
      </w:r>
      <w:r>
        <w:t>, p152.</w:t>
      </w:r>
    </w:p>
  </w:footnote>
  <w:footnote w:id="51">
    <w:p w:rsidR="006D1173" w:rsidRDefault="006D1173">
      <w:pPr>
        <w:pStyle w:val="FootnoteText"/>
      </w:pPr>
      <w:r>
        <w:rPr>
          <w:rStyle w:val="FootnoteReference"/>
        </w:rPr>
        <w:footnoteRef/>
      </w:r>
      <w:r>
        <w:t xml:space="preserve"> Lloyd, </w:t>
      </w:r>
      <w:r w:rsidRPr="00082BF2">
        <w:rPr>
          <w:i/>
        </w:rPr>
        <w:t>Battlefield Tourism</w:t>
      </w:r>
      <w:r>
        <w:t>, p173.</w:t>
      </w:r>
    </w:p>
  </w:footnote>
  <w:footnote w:id="52">
    <w:p w:rsidR="006D1173" w:rsidRDefault="006D1173" w:rsidP="00483E0C">
      <w:pPr>
        <w:pStyle w:val="FootnoteText"/>
        <w:jc w:val="both"/>
      </w:pPr>
      <w:r>
        <w:rPr>
          <w:rStyle w:val="FootnoteReference"/>
        </w:rPr>
        <w:footnoteRef/>
      </w:r>
      <w:r>
        <w:t xml:space="preserve"> Robb</w:t>
      </w:r>
      <w:r w:rsidRPr="008F27A4">
        <w:rPr>
          <w:i/>
        </w:rPr>
        <w:t>, British Culture</w:t>
      </w:r>
      <w:r>
        <w:t>, p209.</w:t>
      </w:r>
    </w:p>
  </w:footnote>
  <w:footnote w:id="53">
    <w:p w:rsidR="006D1173" w:rsidRDefault="006D1173" w:rsidP="00483E0C">
      <w:pPr>
        <w:pStyle w:val="FootnoteText"/>
        <w:jc w:val="both"/>
      </w:pPr>
      <w:r>
        <w:rPr>
          <w:rStyle w:val="FootnoteReference"/>
        </w:rPr>
        <w:footnoteRef/>
      </w:r>
      <w:r>
        <w:t xml:space="preserve"> Cannadine, ‘War and Death, p213.</w:t>
      </w:r>
    </w:p>
  </w:footnote>
  <w:footnote w:id="54">
    <w:p w:rsidR="006D1173" w:rsidRDefault="006D1173" w:rsidP="00483E0C">
      <w:pPr>
        <w:pStyle w:val="FootnoteText"/>
        <w:jc w:val="both"/>
      </w:pPr>
      <w:r>
        <w:rPr>
          <w:rStyle w:val="FootnoteReference"/>
        </w:rPr>
        <w:footnoteRef/>
      </w:r>
      <w:r>
        <w:t xml:space="preserve"> Gregory, p95.</w:t>
      </w:r>
    </w:p>
  </w:footnote>
  <w:footnote w:id="55">
    <w:p w:rsidR="006D1173" w:rsidRDefault="006D1173" w:rsidP="00483E0C">
      <w:pPr>
        <w:pStyle w:val="FootnoteText"/>
        <w:jc w:val="both"/>
      </w:pPr>
      <w:r>
        <w:rPr>
          <w:rStyle w:val="FootnoteReference"/>
        </w:rPr>
        <w:footnoteRef/>
      </w:r>
      <w:r>
        <w:t xml:space="preserve"> N. Barr, </w:t>
      </w:r>
      <w:r w:rsidRPr="00483E0C">
        <w:rPr>
          <w:i/>
        </w:rPr>
        <w:t>The Lion and the Poppy: British Veterans</w:t>
      </w:r>
      <w:r>
        <w:rPr>
          <w:i/>
        </w:rPr>
        <w:t>,</w:t>
      </w:r>
      <w:r w:rsidRPr="00483E0C">
        <w:rPr>
          <w:i/>
        </w:rPr>
        <w:t xml:space="preserve"> Politics and Society, 1921-1939</w:t>
      </w:r>
      <w:r>
        <w:t xml:space="preserve"> (Westport: Praeger Publishers, 2005), p3.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1173" w:rsidRDefault="006D1173">
    <w:pPr>
      <w:pStyle w:val="Header"/>
    </w:pPr>
    <w:r>
      <w:t>Hilary Slack – 1500636 – AHHI6007 – Assignment 02</w:t>
    </w:r>
  </w:p>
  <w:p w:rsidR="006D1173" w:rsidRDefault="006D11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8A3"/>
    <w:rsid w:val="0002104F"/>
    <w:rsid w:val="0005637E"/>
    <w:rsid w:val="00082BF2"/>
    <w:rsid w:val="00092582"/>
    <w:rsid w:val="000A591D"/>
    <w:rsid w:val="000B6682"/>
    <w:rsid w:val="000C3944"/>
    <w:rsid w:val="000C4877"/>
    <w:rsid w:val="000E2D1E"/>
    <w:rsid w:val="00100295"/>
    <w:rsid w:val="001258DB"/>
    <w:rsid w:val="001468AB"/>
    <w:rsid w:val="001575A1"/>
    <w:rsid w:val="001738EE"/>
    <w:rsid w:val="001843BE"/>
    <w:rsid w:val="00194C78"/>
    <w:rsid w:val="001A1CC5"/>
    <w:rsid w:val="001B3616"/>
    <w:rsid w:val="001D2781"/>
    <w:rsid w:val="001D776D"/>
    <w:rsid w:val="00213CF1"/>
    <w:rsid w:val="00215FA0"/>
    <w:rsid w:val="00262020"/>
    <w:rsid w:val="002711DE"/>
    <w:rsid w:val="00296BC2"/>
    <w:rsid w:val="002B13B1"/>
    <w:rsid w:val="002B287E"/>
    <w:rsid w:val="002C5910"/>
    <w:rsid w:val="002E1A5D"/>
    <w:rsid w:val="002F6D9B"/>
    <w:rsid w:val="003019CC"/>
    <w:rsid w:val="00330380"/>
    <w:rsid w:val="00330D98"/>
    <w:rsid w:val="00336615"/>
    <w:rsid w:val="00343FA9"/>
    <w:rsid w:val="0035242E"/>
    <w:rsid w:val="003742C4"/>
    <w:rsid w:val="00391B53"/>
    <w:rsid w:val="003A1E83"/>
    <w:rsid w:val="003C20C0"/>
    <w:rsid w:val="003C3886"/>
    <w:rsid w:val="00401560"/>
    <w:rsid w:val="00401BBC"/>
    <w:rsid w:val="004145A8"/>
    <w:rsid w:val="00430D69"/>
    <w:rsid w:val="00460D3F"/>
    <w:rsid w:val="00474AFA"/>
    <w:rsid w:val="00483E0C"/>
    <w:rsid w:val="004A49CA"/>
    <w:rsid w:val="004C74FC"/>
    <w:rsid w:val="004D21C0"/>
    <w:rsid w:val="004F66C9"/>
    <w:rsid w:val="00500D8E"/>
    <w:rsid w:val="00512BD1"/>
    <w:rsid w:val="00516D61"/>
    <w:rsid w:val="0054451B"/>
    <w:rsid w:val="006410E7"/>
    <w:rsid w:val="00647AFF"/>
    <w:rsid w:val="006619FE"/>
    <w:rsid w:val="006A7213"/>
    <w:rsid w:val="006C11AF"/>
    <w:rsid w:val="006D1173"/>
    <w:rsid w:val="006E54A7"/>
    <w:rsid w:val="006E57E7"/>
    <w:rsid w:val="006F51C8"/>
    <w:rsid w:val="006F6C10"/>
    <w:rsid w:val="00713A9A"/>
    <w:rsid w:val="00717D65"/>
    <w:rsid w:val="00735158"/>
    <w:rsid w:val="00735DD9"/>
    <w:rsid w:val="0073796D"/>
    <w:rsid w:val="00761E80"/>
    <w:rsid w:val="007B7BD7"/>
    <w:rsid w:val="007C15F8"/>
    <w:rsid w:val="007F41BE"/>
    <w:rsid w:val="0081559F"/>
    <w:rsid w:val="00846446"/>
    <w:rsid w:val="008537F0"/>
    <w:rsid w:val="0086186A"/>
    <w:rsid w:val="00861FFC"/>
    <w:rsid w:val="00871A03"/>
    <w:rsid w:val="008923E2"/>
    <w:rsid w:val="008A21B3"/>
    <w:rsid w:val="008A3B1D"/>
    <w:rsid w:val="008A3D3B"/>
    <w:rsid w:val="008B6FCF"/>
    <w:rsid w:val="008D047F"/>
    <w:rsid w:val="008D564F"/>
    <w:rsid w:val="008D68C6"/>
    <w:rsid w:val="008F27A4"/>
    <w:rsid w:val="00925F07"/>
    <w:rsid w:val="00957935"/>
    <w:rsid w:val="00962B73"/>
    <w:rsid w:val="00A36BB5"/>
    <w:rsid w:val="00A404A9"/>
    <w:rsid w:val="00A571FB"/>
    <w:rsid w:val="00A72F0A"/>
    <w:rsid w:val="00A8349F"/>
    <w:rsid w:val="00A92769"/>
    <w:rsid w:val="00A92D91"/>
    <w:rsid w:val="00A94357"/>
    <w:rsid w:val="00AA08F7"/>
    <w:rsid w:val="00AC4E56"/>
    <w:rsid w:val="00AE2F02"/>
    <w:rsid w:val="00B02222"/>
    <w:rsid w:val="00B22633"/>
    <w:rsid w:val="00B24B26"/>
    <w:rsid w:val="00B27F2A"/>
    <w:rsid w:val="00B41974"/>
    <w:rsid w:val="00B55453"/>
    <w:rsid w:val="00B672E1"/>
    <w:rsid w:val="00B73932"/>
    <w:rsid w:val="00B763D6"/>
    <w:rsid w:val="00B97475"/>
    <w:rsid w:val="00BD3DBC"/>
    <w:rsid w:val="00BD4BC4"/>
    <w:rsid w:val="00BD6633"/>
    <w:rsid w:val="00BE00D5"/>
    <w:rsid w:val="00BE44AD"/>
    <w:rsid w:val="00BE6950"/>
    <w:rsid w:val="00C12AAC"/>
    <w:rsid w:val="00C21D24"/>
    <w:rsid w:val="00C24581"/>
    <w:rsid w:val="00C43BC4"/>
    <w:rsid w:val="00C45FB7"/>
    <w:rsid w:val="00C464AE"/>
    <w:rsid w:val="00C648DD"/>
    <w:rsid w:val="00C85A25"/>
    <w:rsid w:val="00C90F53"/>
    <w:rsid w:val="00CB1B3B"/>
    <w:rsid w:val="00CD5C17"/>
    <w:rsid w:val="00D04407"/>
    <w:rsid w:val="00D23D7E"/>
    <w:rsid w:val="00D23FB7"/>
    <w:rsid w:val="00D242E0"/>
    <w:rsid w:val="00D348C2"/>
    <w:rsid w:val="00D47533"/>
    <w:rsid w:val="00DB1399"/>
    <w:rsid w:val="00DD6227"/>
    <w:rsid w:val="00E1100F"/>
    <w:rsid w:val="00E657BA"/>
    <w:rsid w:val="00E67648"/>
    <w:rsid w:val="00E70BA4"/>
    <w:rsid w:val="00E9262E"/>
    <w:rsid w:val="00EE15B5"/>
    <w:rsid w:val="00EE48A3"/>
    <w:rsid w:val="00F023D1"/>
    <w:rsid w:val="00F03E44"/>
    <w:rsid w:val="00F2614F"/>
    <w:rsid w:val="00F32376"/>
    <w:rsid w:val="00F623E3"/>
    <w:rsid w:val="00F66C5C"/>
    <w:rsid w:val="00F71C5F"/>
    <w:rsid w:val="00F95B83"/>
    <w:rsid w:val="00F96253"/>
    <w:rsid w:val="00FA2BDB"/>
    <w:rsid w:val="00FC5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97E6D"/>
  <w15:chartTrackingRefBased/>
  <w15:docId w15:val="{7576B6FA-974C-4028-9588-48A1A049A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4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8A3"/>
  </w:style>
  <w:style w:type="paragraph" w:styleId="Footer">
    <w:name w:val="footer"/>
    <w:basedOn w:val="Normal"/>
    <w:link w:val="FooterChar"/>
    <w:uiPriority w:val="99"/>
    <w:unhideWhenUsed/>
    <w:rsid w:val="00EE4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8A3"/>
  </w:style>
  <w:style w:type="paragraph" w:styleId="FootnoteText">
    <w:name w:val="footnote text"/>
    <w:basedOn w:val="Normal"/>
    <w:link w:val="FootnoteTextChar"/>
    <w:uiPriority w:val="99"/>
    <w:semiHidden/>
    <w:unhideWhenUsed/>
    <w:rsid w:val="00B974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7475"/>
    <w:rPr>
      <w:sz w:val="20"/>
      <w:szCs w:val="20"/>
    </w:rPr>
  </w:style>
  <w:style w:type="character" w:styleId="FootnoteReference">
    <w:name w:val="footnote reference"/>
    <w:basedOn w:val="DefaultParagraphFont"/>
    <w:uiPriority w:val="99"/>
    <w:semiHidden/>
    <w:unhideWhenUsed/>
    <w:rsid w:val="00B97475"/>
    <w:rPr>
      <w:vertAlign w:val="superscript"/>
    </w:rPr>
  </w:style>
  <w:style w:type="character" w:styleId="Hyperlink">
    <w:name w:val="Hyperlink"/>
    <w:basedOn w:val="DefaultParagraphFont"/>
    <w:uiPriority w:val="99"/>
    <w:unhideWhenUsed/>
    <w:rsid w:val="008D564F"/>
    <w:rPr>
      <w:color w:val="0563C1" w:themeColor="hyperlink"/>
      <w:u w:val="single"/>
    </w:rPr>
  </w:style>
  <w:style w:type="character" w:styleId="UnresolvedMention">
    <w:name w:val="Unresolved Mention"/>
    <w:basedOn w:val="DefaultParagraphFont"/>
    <w:uiPriority w:val="99"/>
    <w:semiHidden/>
    <w:unhideWhenUsed/>
    <w:rsid w:val="00C43BC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dderchurch.org/stainedglass%20%20accessed%2019/12/20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rchive.spectator.co.uk/article/15th-july-1916/12/civic-arts-and-war-memorials%20accessed%2013/12/1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wm.org.uk/memorials/item/memorial/2024" TargetMode="External"/><Relationship Id="rId4" Type="http://schemas.openxmlformats.org/officeDocument/2006/relationships/webSettings" Target="webSettings.xml"/><Relationship Id="rId9" Type="http://schemas.openxmlformats.org/officeDocument/2006/relationships/hyperlink" Target="http://www.iwm.org.uk/history/how-iwm-got-its-start-in-the-middle-of-a-war"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iwm.org.uk/memorials/item/memorial/2024" TargetMode="External"/><Relationship Id="rId2" Type="http://schemas.openxmlformats.org/officeDocument/2006/relationships/hyperlink" Target="http://www.iwm.org.uk/history/how-iwm-got-its-start-in-the-middle-of-a-war" TargetMode="External"/><Relationship Id="rId1" Type="http://schemas.openxmlformats.org/officeDocument/2006/relationships/hyperlink" Target="http://www.cadderchurch.org?stainedglass" TargetMode="External"/><Relationship Id="rId4" Type="http://schemas.openxmlformats.org/officeDocument/2006/relationships/hyperlink" Target="http://archive.spectator.co.uk/article/15th-july-1916/12/civic-arts-and-war-memori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B135C-768E-488C-8889-8B951B094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8</Pages>
  <Words>3002</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Cambridge University Engineering Department</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hilly</dc:creator>
  <cp:keywords/>
  <dc:description/>
  <cp:lastModifiedBy>Hilly Slack</cp:lastModifiedBy>
  <cp:revision>22</cp:revision>
  <dcterms:created xsi:type="dcterms:W3CDTF">2017-12-11T18:20:00Z</dcterms:created>
  <dcterms:modified xsi:type="dcterms:W3CDTF">2018-01-09T10:32:00Z</dcterms:modified>
</cp:coreProperties>
</file>